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0"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04" w:lineRule="exact"/>
        <w:rPr>
          <w:sz w:val="24"/>
          <w:szCs w:val="24"/>
          <w:color w:val="auto"/>
        </w:rPr>
      </w:pPr>
    </w:p>
    <w:p>
      <w:pPr>
        <w:ind w:left="660" w:right="4140" w:hanging="634"/>
        <w:spacing w:after="0" w:line="297"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 to ______________</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ALLETE, Inc.</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78" w:right="339" w:bottom="1440" w:gutter="0" w:footer="0" w:header="0"/>
        </w:sectPr>
      </w:pPr>
    </w:p>
    <w:p>
      <w:pPr>
        <w:spacing w:after="0" w:line="11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41-0418150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0" w:lineRule="exact"/>
        <w:rPr>
          <w:sz w:val="24"/>
          <w:szCs w:val="24"/>
          <w:color w:val="auto"/>
        </w:rPr>
      </w:pPr>
    </w:p>
    <w:p>
      <w:pPr>
        <w:sectPr>
          <w:pgSz w:w="11900" w:h="16838" w:orient="portrait"/>
          <w:cols w:equalWidth="0" w:num="2">
            <w:col w:w="6360" w:space="720"/>
            <w:col w:w="4160"/>
          </w:cols>
          <w:pgMar w:left="320" w:top="1278"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(218) 279-5000</w:t>
      </w:r>
    </w:p>
    <w:p>
      <w:pPr>
        <w:sectPr>
          <w:pgSz w:w="11900" w:h="16838" w:orient="portrait"/>
          <w:cols w:equalWidth="0" w:num="1">
            <w:col w:w="11240"/>
          </w:cols>
          <w:pgMar w:left="320" w:top="1278" w:right="339" w:bottom="1440" w:gutter="0" w:footer="0" w:header="0"/>
          <w:type w:val="continuous"/>
        </w:sectPr>
      </w:pP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278" w:right="339" w:bottom="1440" w:gutter="0" w:footer="0" w:header="0"/>
          <w:type w:val="continuous"/>
        </w:sectPr>
      </w:pPr>
    </w:p>
    <w:p>
      <w:pPr>
        <w:spacing w:after="0" w:line="61"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12" w:lineRule="exact"/>
        <w:rPr>
          <w:sz w:val="24"/>
          <w:szCs w:val="24"/>
          <w:color w:val="auto"/>
        </w:rPr>
      </w:pPr>
    </w:p>
    <w:p>
      <w:pPr>
        <w:sectPr>
          <w:pgSz w:w="11900" w:h="16838" w:orient="portrait"/>
          <w:cols w:equalWidth="0" w:num="3">
            <w:col w:w="4320" w:space="720"/>
            <w:col w:w="1620" w:space="720"/>
            <w:col w:w="3860"/>
          </w:cols>
          <w:pgMar w:left="320" w:top="1278" w:right="339" w:bottom="1440" w:gutter="0" w:footer="0" w:header="0"/>
          <w:type w:val="continuous"/>
        </w:sect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78" w:right="339" w:bottom="1440" w:gutter="0" w:footer="0" w:header="0"/>
          <w:type w:val="continuous"/>
        </w:sectPr>
      </w:pPr>
    </w:p>
    <w:p>
      <w:pPr>
        <w:spacing w:after="0" w:line="27" w:lineRule="exact"/>
        <w:rPr>
          <w:sz w:val="24"/>
          <w:szCs w:val="24"/>
          <w:color w:val="auto"/>
        </w:rPr>
      </w:pPr>
    </w:p>
    <w:p>
      <w:pPr>
        <w:ind w:left="420"/>
        <w:spacing w:after="0" w:line="259"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2">
            <w:col w:w="5020" w:space="180"/>
            <w:col w:w="6040"/>
          </w:cols>
          <w:pgMar w:left="320" w:top="1278" w:right="339" w:bottom="1440" w:gutter="0" w:footer="0" w:header="0"/>
          <w:type w:val="continuous"/>
        </w:sectPr>
      </w:pPr>
    </w:p>
    <w:p>
      <w:pPr>
        <w:ind w:left="1320"/>
        <w:spacing w:after="0" w:line="189" w:lineRule="exact"/>
        <w:tabs>
          <w:tab w:leader="none" w:pos="35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without par value,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57,666,069 shares outstanding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March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Definitions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Forward-Looking Statements</w:t>
            </w:r>
          </w:p>
        </w:tc>
        <w:tc>
          <w:tcPr>
            <w:tcW w:w="6200" w:type="dxa"/>
            <w:vAlign w:val="bottom"/>
            <w:gridSpan w:val="28"/>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Part I.</w:t>
            </w:r>
          </w:p>
        </w:tc>
        <w:tc>
          <w:tcPr>
            <w:tcW w:w="7460" w:type="dxa"/>
            <w:vAlign w:val="bottom"/>
            <w:gridSpan w:val="34"/>
          </w:tcPr>
          <w:p>
            <w:pPr>
              <w:ind w:left="20"/>
              <w:spacing w:after="0" w:line="189" w:lineRule="exact"/>
              <w:rPr>
                <w:sz w:val="20"/>
                <w:szCs w:val="20"/>
                <w:color w:val="auto"/>
              </w:rPr>
            </w:pPr>
            <w:r>
              <w:rPr>
                <w:rFonts w:ascii="Times New Roman" w:cs="Times New Roman" w:eastAsia="Times New Roman" w:hAnsi="Times New Roman"/>
                <w:sz w:val="18"/>
                <w:szCs w:val="18"/>
                <w:color w:val="0000FF"/>
              </w:rPr>
              <w:t>Financial Information</w:t>
            </w: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1.</w:t>
            </w:r>
          </w:p>
        </w:tc>
        <w:tc>
          <w:tcPr>
            <w:tcW w:w="300" w:type="dxa"/>
            <w:vAlign w:val="bottom"/>
            <w:gridSpan w:val="2"/>
            <w:shd w:val="clear" w:color="auto" w:fill="CCEEFF"/>
          </w:tcPr>
          <w:p>
            <w:pPr>
              <w:spacing w:after="0"/>
              <w:rPr>
                <w:sz w:val="16"/>
                <w:szCs w:val="16"/>
                <w:color w:val="auto"/>
              </w:rPr>
            </w:pPr>
          </w:p>
        </w:tc>
        <w:tc>
          <w:tcPr>
            <w:tcW w:w="6640" w:type="dxa"/>
            <w:vAlign w:val="bottom"/>
            <w:gridSpan w:val="3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Financial Statements - Unaudited</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w:t>
            </w:r>
          </w:p>
        </w:tc>
        <w:tc>
          <w:tcPr>
            <w:tcW w:w="3060" w:type="dxa"/>
            <w:vAlign w:val="bottom"/>
            <w:gridSpan w:val="7"/>
          </w:tcPr>
          <w:p>
            <w:pPr>
              <w:spacing w:after="0"/>
              <w:rPr>
                <w:sz w:val="16"/>
                <w:szCs w:val="16"/>
                <w:color w:val="auto"/>
              </w:rPr>
            </w:pP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0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 of Income</w:t>
            </w:r>
          </w:p>
        </w:tc>
        <w:tc>
          <w:tcPr>
            <w:tcW w:w="3760" w:type="dxa"/>
            <w:vAlign w:val="bottom"/>
            <w:gridSpan w:val="11"/>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Comprehensive Income</w:t>
            </w: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 of Cash Flows</w:t>
            </w:r>
          </w:p>
        </w:tc>
        <w:tc>
          <w:tcPr>
            <w:tcW w:w="3460" w:type="dxa"/>
            <w:vAlign w:val="bottom"/>
            <w:gridSpan w:val="10"/>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Equity</w:t>
            </w:r>
          </w:p>
        </w:tc>
        <w:tc>
          <w:tcPr>
            <w:tcW w:w="3460" w:type="dxa"/>
            <w:vAlign w:val="bottom"/>
            <w:gridSpan w:val="10"/>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11</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Note 1. Operations and Significant Accounting Policies</w:t>
            </w: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2. Regulatory Matters</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Note 3. Equity Investments</w:t>
            </w: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17</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4. Fair Value</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Note 5. Short-Term and Long-Term Debt</w:t>
            </w: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19</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6. Commitments, Guarantees and Contingencies</w:t>
            </w:r>
          </w:p>
        </w:tc>
        <w:tc>
          <w:tcPr>
            <w:tcW w:w="2140" w:type="dxa"/>
            <w:vAlign w:val="bottom"/>
            <w:gridSpan w:val="4"/>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Note 7. Earnings Per Share and Common Stock</w:t>
            </w:r>
          </w:p>
        </w:tc>
        <w:tc>
          <w:tcPr>
            <w:tcW w:w="2140" w:type="dxa"/>
            <w:vAlign w:val="bottom"/>
            <w:gridSpan w:val="4"/>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25</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8. Income Tax Expense</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Note 9. Pension and Other Postretirement Benefit Plans</w:t>
            </w: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27</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10. Business Segments</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Note 11. Subsequent Event – Agreement and Plan of Merger</w:t>
            </w: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29</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2.</w:t>
            </w:r>
          </w:p>
        </w:tc>
        <w:tc>
          <w:tcPr>
            <w:tcW w:w="300" w:type="dxa"/>
            <w:vAlign w:val="bottom"/>
            <w:gridSpan w:val="2"/>
            <w:shd w:val="clear" w:color="auto" w:fill="CCEEFF"/>
          </w:tcPr>
          <w:p>
            <w:pPr>
              <w:spacing w:after="0"/>
              <w:rPr>
                <w:sz w:val="16"/>
                <w:szCs w:val="16"/>
                <w:color w:val="auto"/>
              </w:rPr>
            </w:pPr>
          </w:p>
        </w:tc>
        <w:tc>
          <w:tcPr>
            <w:tcW w:w="6640" w:type="dxa"/>
            <w:vAlign w:val="bottom"/>
            <w:gridSpan w:val="3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Comparison of the Three Months Ended</w:t>
            </w: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Critical Accounting Policies</w:t>
            </w:r>
          </w:p>
        </w:tc>
        <w:tc>
          <w:tcPr>
            <w:tcW w:w="4220" w:type="dxa"/>
            <w:vAlign w:val="bottom"/>
            <w:gridSpan w:val="17"/>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Outlook</w:t>
            </w:r>
          </w:p>
        </w:tc>
        <w:tc>
          <w:tcPr>
            <w:tcW w:w="4220" w:type="dxa"/>
            <w:vAlign w:val="bottom"/>
            <w:gridSpan w:val="17"/>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Other</w:t>
            </w:r>
          </w:p>
        </w:tc>
        <w:tc>
          <w:tcPr>
            <w:tcW w:w="3940" w:type="dxa"/>
            <w:vAlign w:val="bottom"/>
            <w:gridSpan w:val="13"/>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3.</w:t>
            </w:r>
          </w:p>
        </w:tc>
        <w:tc>
          <w:tcPr>
            <w:tcW w:w="300" w:type="dxa"/>
            <w:vAlign w:val="bottom"/>
            <w:gridSpan w:val="2"/>
            <w:shd w:val="clear" w:color="auto" w:fill="CCEEFF"/>
          </w:tcPr>
          <w:p>
            <w:pPr>
              <w:spacing w:after="0"/>
              <w:rPr>
                <w:sz w:val="16"/>
                <w:szCs w:val="16"/>
                <w:color w:val="auto"/>
              </w:rPr>
            </w:pPr>
          </w:p>
        </w:tc>
        <w:tc>
          <w:tcPr>
            <w:tcW w:w="6640" w:type="dxa"/>
            <w:vAlign w:val="bottom"/>
            <w:gridSpan w:val="3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4.</w:t>
            </w:r>
          </w:p>
        </w:tc>
        <w:tc>
          <w:tcPr>
            <w:tcW w:w="300" w:type="dxa"/>
            <w:vAlign w:val="bottom"/>
            <w:gridSpan w:val="2"/>
          </w:tcPr>
          <w:p>
            <w:pPr>
              <w:spacing w:after="0"/>
              <w:rPr>
                <w:sz w:val="16"/>
                <w:szCs w:val="16"/>
                <w:color w:val="auto"/>
              </w:rPr>
            </w:pPr>
          </w:p>
        </w:tc>
        <w:tc>
          <w:tcPr>
            <w:tcW w:w="6640" w:type="dxa"/>
            <w:vAlign w:val="bottom"/>
            <w:gridSpan w:val="31"/>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41</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w:t>
            </w:r>
          </w:p>
        </w:tc>
        <w:tc>
          <w:tcPr>
            <w:tcW w:w="7460" w:type="dxa"/>
            <w:vAlign w:val="bottom"/>
            <w:gridSpan w:val="3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31"/>
          </w:tcPr>
          <w:p>
            <w:pPr>
              <w:ind w:left="1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41</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3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180" w:type="dxa"/>
            <w:vAlign w:val="bottom"/>
          </w:tcPr>
          <w:p>
            <w:pPr>
              <w:spacing w:after="0"/>
              <w:rPr>
                <w:sz w:val="16"/>
                <w:szCs w:val="16"/>
                <w:color w:val="auto"/>
              </w:rPr>
            </w:pPr>
          </w:p>
        </w:tc>
        <w:tc>
          <w:tcPr>
            <w:tcW w:w="6640" w:type="dxa"/>
            <w:vAlign w:val="bottom"/>
            <w:gridSpan w:val="31"/>
          </w:tcPr>
          <w:p>
            <w:pPr>
              <w:ind w:left="18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42</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3.</w:t>
            </w:r>
          </w:p>
        </w:tc>
        <w:tc>
          <w:tcPr>
            <w:tcW w:w="300" w:type="dxa"/>
            <w:vAlign w:val="bottom"/>
            <w:gridSpan w:val="2"/>
            <w:shd w:val="clear" w:color="auto" w:fill="CCEEFF"/>
          </w:tcPr>
          <w:p>
            <w:pPr>
              <w:spacing w:after="0"/>
              <w:rPr>
                <w:sz w:val="16"/>
                <w:szCs w:val="16"/>
                <w:color w:val="auto"/>
              </w:rPr>
            </w:pPr>
          </w:p>
        </w:tc>
        <w:tc>
          <w:tcPr>
            <w:tcW w:w="6640" w:type="dxa"/>
            <w:vAlign w:val="bottom"/>
            <w:gridSpan w:val="3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4.</w:t>
            </w:r>
          </w:p>
        </w:tc>
        <w:tc>
          <w:tcPr>
            <w:tcW w:w="300" w:type="dxa"/>
            <w:vAlign w:val="bottom"/>
            <w:gridSpan w:val="2"/>
          </w:tcPr>
          <w:p>
            <w:pPr>
              <w:spacing w:after="0"/>
              <w:rPr>
                <w:sz w:val="16"/>
                <w:szCs w:val="16"/>
                <w:color w:val="auto"/>
              </w:rPr>
            </w:pPr>
          </w:p>
        </w:tc>
        <w:tc>
          <w:tcPr>
            <w:tcW w:w="6640" w:type="dxa"/>
            <w:vAlign w:val="bottom"/>
            <w:gridSpan w:val="31"/>
          </w:tcPr>
          <w:p>
            <w:pPr>
              <w:ind w:left="18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5.</w:t>
            </w:r>
          </w:p>
        </w:tc>
        <w:tc>
          <w:tcPr>
            <w:tcW w:w="300" w:type="dxa"/>
            <w:vAlign w:val="bottom"/>
            <w:gridSpan w:val="2"/>
            <w:shd w:val="clear" w:color="auto" w:fill="CCEEFF"/>
          </w:tcPr>
          <w:p>
            <w:pPr>
              <w:spacing w:after="0"/>
              <w:rPr>
                <w:sz w:val="16"/>
                <w:szCs w:val="16"/>
                <w:color w:val="auto"/>
              </w:rPr>
            </w:pPr>
          </w:p>
        </w:tc>
        <w:tc>
          <w:tcPr>
            <w:tcW w:w="6640" w:type="dxa"/>
            <w:vAlign w:val="bottom"/>
            <w:gridSpan w:val="3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6.</w:t>
            </w:r>
          </w:p>
        </w:tc>
        <w:tc>
          <w:tcPr>
            <w:tcW w:w="300" w:type="dxa"/>
            <w:vAlign w:val="bottom"/>
            <w:gridSpan w:val="2"/>
          </w:tcPr>
          <w:p>
            <w:pPr>
              <w:spacing w:after="0"/>
              <w:rPr>
                <w:sz w:val="16"/>
                <w:szCs w:val="16"/>
                <w:color w:val="auto"/>
              </w:rPr>
            </w:pPr>
          </w:p>
        </w:tc>
        <w:tc>
          <w:tcPr>
            <w:tcW w:w="6640" w:type="dxa"/>
            <w:vAlign w:val="bottom"/>
            <w:gridSpan w:val="31"/>
          </w:tcPr>
          <w:p>
            <w:pPr>
              <w:ind w:left="18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08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14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Allowance for Funds Used During Construction – the cost of both debt and equity funds used to 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regulated utility plant additions during construction periods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Clean Energy,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Properties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Properties, LLC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South Wind</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South Wind,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Transmission Holdings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Transmission Holdings,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Alloy Merger Sub</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Alloy Merger Sub LLC, a Delaware limited liability company and wholly owned subsidiary of Alloy Parent.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Alloy Parent</w:t>
            </w:r>
          </w:p>
        </w:tc>
        <w:tc>
          <w:tcPr>
            <w:tcW w:w="8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Alloy Parent LLC, a Delaware limited liability company which, upon closing, will be jointly owned by a wholly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1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owned subsidiary of Canada Pension Plan Investment Board and affiliates of investment vehicles affiliated 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one or more funds, accounts, or other entities managed or advised by Global Infrastructure Management, LLC.</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Transmission Company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BNI Energy</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BNI Energy, Inc. and its subsidiary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Boswell</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Boswell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Caddo</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Clean Energy’s Caddo Wind Energy Facility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Cliffs</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CSAPR</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Cross-State Air Pollution Rule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Diamond Spring</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Clean Energy’s Diamond Spring Wind Energy Facility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ECO</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Conservation and Optimization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EPA</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Ownership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FERC</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10-K</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Annual Report on Form 10-K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Quarterly Report on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 of America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GHG</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Greenhouse Gases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HVDC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High-Voltage Direct-Current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IBEW</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Brotherhood of Electrical Workers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 Direct</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ALLETE’s Direct Stock Purchase and Dividend Reinvestment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___</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___ of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kV</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Kilovolt(s)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kWh</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Kilowatt-hour(s)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Laskin</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Laskin Energy Center</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Lampert Capital Markets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Lampert Capital Markets,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Merger</w:t>
            </w:r>
          </w:p>
        </w:tc>
        <w:tc>
          <w:tcPr>
            <w:tcW w:w="8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Pursuant to the Merger Agreement, on the terms and subject to the conditions set forth therein, Alloy Merger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1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Sub will merge with and into ALLETE (the “Merger”), with ALLETE continuing as the surviving corporation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the Merger and becoming a subsidiary of Alloy Parent.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Merger Agreement</w:t>
            </w:r>
          </w:p>
        </w:tc>
        <w:tc>
          <w:tcPr>
            <w:tcW w:w="8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Agreement and Plan of Merger, dated as of May 5, 2024, by and among ALLETE, Alloy Parent, and Alloy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Merger Sub.</w:t>
            </w: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 Power</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 operating division of ALLETE,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Minnkota Power</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Minnkota Power Cooperative,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ALLETE, Inc. First Quarter 2024 Form 10-Q</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120" w:type="dxa"/>
            <w:vAlign w:val="bottom"/>
            <w:gridSpan w:val="2"/>
          </w:tcPr>
          <w:p>
            <w:pPr>
              <w:ind w:left="248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MISO</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Midcontinent Independent System Operator,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 Investors Service, Inc.</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MPCA</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 Pollution Control Agency</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MPUC</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 Public Utilities Commission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Megawatt(s)</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NAAQS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Ambient Air Quality Standards</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NDPSC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Dakota Public Service Commission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Energy</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Energy Equity LLC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Nippon Steel</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Nippon Steel Corporation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Nobles 2</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Nobles 2 Power Partners, LLC</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3"/>
                <w:szCs w:val="23"/>
                <w:color w:val="auto"/>
                <w:vertAlign w:val="subscript"/>
              </w:rPr>
              <w:t>X</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Nitrogen Oxides</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Northshore Mining</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Northshore Mining Company, a wholly-owned subsidiary of Cleveland-Cliffs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___</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___ to the Consolidated Financial Statements in this Form 10-Q</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NPDES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Pollutant Discharge Elimination System</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NTEC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Nemadji Trail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PPA / PSA</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Purchase Agreement / Power Sales Agreement</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PPACA</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Patient Protection and Affordable Care Act of 2010</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PSCW</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Service Commission of Wisconsin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SO</w:t>
            </w:r>
            <w:r>
              <w:rPr>
                <w:rFonts w:ascii="Times New Roman" w:cs="Times New Roman" w:eastAsia="Times New Roman" w:hAnsi="Times New Roman"/>
                <w:sz w:val="23"/>
                <w:szCs w:val="23"/>
                <w:color w:val="auto"/>
                <w:vertAlign w:val="subscript"/>
              </w:rPr>
              <w:t>2</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Sulfur Dioxide</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Sofidel</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Sofidel Group</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Square Butte</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Square Butte Electric Cooperative, a North Dakota cooperative corporation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Shore Energy</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Shore Energy,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Paper</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Paper LLC</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SWL&amp;P</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Superior Water, Light and Power Company</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Taconite Harbor</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Taconite Harbor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4"/>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 Corporation</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Steel Corporation</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4"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objectives;</w:t>
      </w:r>
    </w:p>
    <w:p>
      <w:pPr>
        <w:spacing w:after="0" w:line="27"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domestic economic conditions affecting us or our customers;</w:t>
      </w:r>
    </w:p>
    <w:p>
      <w:pPr>
        <w:ind w:left="320" w:hanging="312"/>
        <w:spacing w:after="0" w:line="234"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laws and regulations or changes in tax rates or policies;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rates of inflation or availability of key materials and supplies;</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and administrative proceedings (whether civil or criminal) and settlements;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natural disasters and pandemic diseases;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 bank financing and other financing sources;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 performance of the financial markets;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delays or changes in project costs;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 and capital expenditures and our ability to raise revenues from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commodity prices on ALLETE and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skilled and experienced personnel;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emerging technology;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acts of terrorism and cybersecurity attacks;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expansion and integrate acquisitions;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growth rates and demographic patterns;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power market conditions;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including competition for retail and wholesale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restructuring initiatives in the electric industry;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on our businesses of climate change and future regulation to restrict the emissions of GHG;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increased deployment of distributed low-carbon electricity generation resources;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laws and regulations related to renewable and distributed generation;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availability and transportation of fuel and other commodities and the ability to recover the costs of such commodities;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industrial and municipal customers’ ability to execute announced expansion plans;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market conditions where our legacy Florida real estate investment is located may deteriorate;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realize value from, invest in, and develop new opportunities;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Alloy Parent or ALLETE may be unable to obtain governmental and regulatory approvals required for the Merger, or that required governmental and regulatory approvals or agreements with other parties interested therein may delay the Merger, may subject the Merger to or impose adverse conditions or costs or may cause the parties to abandon the Merger; and</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announcement and pendency of the Merger, during which the Company is subject to certain operating restrictions, could have an adverse effect on the Company’s businesses,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(Continued)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disclosures regarding factors that could cause our results or performance to differ from those anticipated by this report are discussed in Part I, Item 1A. Risk Factors of our 2023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7"/>
        </w:trPr>
        <w:tc>
          <w:tcPr>
            <w:tcW w:w="830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8"/>
              </w:rPr>
              <w:t>ALLETE</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30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830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300" w:type="dxa"/>
            <w:vAlign w:val="bottom"/>
          </w:tcPr>
          <w:p>
            <w:pPr>
              <w:spacing w:after="0"/>
              <w:rPr>
                <w:sz w:val="24"/>
                <w:szCs w:val="24"/>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5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$32.0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of $1.7 and $1.6)</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 Net</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30"/>
        </w:trPr>
        <w:tc>
          <w:tcPr>
            <w:tcW w:w="8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Prepayments and Other</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76.3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3"/>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433.2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5,009.1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5,013.4</w:t>
            </w: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409.0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333.1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 Net</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155.4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29"/>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264.8</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3"/>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$6,604.6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Equity</w:t>
            </w:r>
          </w:p>
        </w:tc>
        <w:tc>
          <w:tcPr>
            <w:tcW w:w="15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$84.2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30"/>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Taxes</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62.9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30"/>
        </w:trPr>
        <w:tc>
          <w:tcPr>
            <w:tcW w:w="8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80.2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3"/>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260.8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1,772.4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195.0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564.0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135.4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268.0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23"/>
        </w:trPr>
        <w:tc>
          <w:tcPr>
            <w:tcW w:w="8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3,195.6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3,249.3</w:t>
            </w:r>
          </w:p>
        </w:tc>
      </w:tr>
      <w:tr>
        <w:trPr>
          <w:trHeight w:val="223"/>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Guarantees and Contingencies (Note 6)</w:t>
            </w:r>
          </w:p>
        </w:tc>
        <w:tc>
          <w:tcPr>
            <w:tcW w:w="15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ALLETE Equity</w:t>
            </w:r>
          </w:p>
        </w:tc>
        <w:tc>
          <w:tcPr>
            <w:tcW w:w="15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Without Par Value, 80.0 Shares Authorized, 57.7 and 57.6 Shares Issued and Outstanding</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1,807.4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1,803.7</w:t>
            </w: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1,036.5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w:t>
            </w:r>
          </w:p>
        </w:tc>
      </w:tr>
      <w:tr>
        <w:trPr>
          <w:trHeight w:val="223"/>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ALLETE Equity</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2,823.0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2,809.6</w:t>
            </w: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585.5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r>
      <w:tr>
        <w:trPr>
          <w:trHeight w:val="223"/>
        </w:trPr>
        <w:tc>
          <w:tcPr>
            <w:tcW w:w="8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3,408.5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3,406.6</w:t>
            </w:r>
          </w:p>
        </w:tc>
      </w:tr>
      <w:tr>
        <w:trPr>
          <w:trHeight w:val="223"/>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Equity</w:t>
            </w: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$6,604.6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r>
    </w:tbl>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19"/>
                <w:szCs w:val="19"/>
                <w:color w:val="auto"/>
              </w:rPr>
            </w:pPr>
          </w:p>
        </w:tc>
        <w:tc>
          <w:tcPr>
            <w:tcW w:w="4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9"/>
        </w:trPr>
        <w:tc>
          <w:tcPr>
            <w:tcW w:w="6720" w:type="dxa"/>
            <w:vAlign w:val="bottom"/>
          </w:tcPr>
          <w:p>
            <w:pPr>
              <w:spacing w:after="0"/>
              <w:rPr>
                <w:sz w:val="19"/>
                <w:szCs w:val="19"/>
                <w:color w:val="auto"/>
              </w:rPr>
            </w:pPr>
          </w:p>
        </w:tc>
        <w:tc>
          <w:tcPr>
            <w:tcW w:w="45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7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3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3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3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29"/>
        </w:trPr>
        <w:tc>
          <w:tcPr>
            <w:tcW w:w="6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 Non-utility</w:t>
            </w:r>
          </w:p>
        </w:tc>
        <w:tc>
          <w:tcPr>
            <w:tcW w:w="3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Revenue</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3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3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3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3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30"/>
        </w:trPr>
        <w:tc>
          <w:tcPr>
            <w:tcW w:w="6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r>
      <w:tr>
        <w:trPr>
          <w:trHeight w:val="223"/>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Earnings</w:t>
            </w:r>
          </w:p>
        </w:tc>
        <w:tc>
          <w:tcPr>
            <w:tcW w:w="3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Expense</w:t>
            </w:r>
          </w:p>
        </w:tc>
        <w:tc>
          <w:tcPr>
            <w:tcW w:w="36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6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6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ALLETE</w:t>
            </w:r>
          </w:p>
        </w:tc>
        <w:tc>
          <w:tcPr>
            <w:tcW w:w="3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6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3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4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9"/>
        </w:trPr>
        <w:tc>
          <w:tcPr>
            <w:tcW w:w="70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Pr>
          <w:p>
            <w:pPr>
              <w:spacing w:after="0"/>
              <w:rPr>
                <w:sz w:val="19"/>
                <w:szCs w:val="19"/>
                <w:color w:val="auto"/>
              </w:rPr>
            </w:pPr>
          </w:p>
        </w:tc>
      </w:tr>
      <w:tr>
        <w:trPr>
          <w:trHeight w:val="238"/>
        </w:trPr>
        <w:tc>
          <w:tcPr>
            <w:tcW w:w="70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4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$37.0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Securities</w:t>
            </w:r>
          </w:p>
        </w:tc>
        <w:tc>
          <w:tcPr>
            <w:tcW w:w="3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of Income Tax Expense of $– and $0.1</w:t>
            </w:r>
          </w:p>
        </w:tc>
        <w:tc>
          <w:tcPr>
            <w:tcW w:w="3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3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of Income Tax Expense of $0.1 and $–</w:t>
            </w:r>
          </w:p>
        </w:tc>
        <w:tc>
          <w:tcPr>
            <w:tcW w:w="3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(0.4)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29"/>
        </w:trPr>
        <w:tc>
          <w:tcPr>
            <w:tcW w:w="70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ALLETE</w:t>
            </w:r>
          </w:p>
        </w:tc>
        <w:tc>
          <w:tcPr>
            <w:tcW w:w="3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$50.3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80" w:type="dxa"/>
            <w:vAlign w:val="bottom"/>
          </w:tcPr>
          <w:p>
            <w:pPr>
              <w:spacing w:after="0"/>
              <w:rPr>
                <w:sz w:val="19"/>
                <w:szCs w:val="19"/>
                <w:color w:val="auto"/>
              </w:rPr>
            </w:pPr>
          </w:p>
        </w:tc>
        <w:tc>
          <w:tcPr>
            <w:tcW w:w="332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7880" w:type="dxa"/>
            <w:vAlign w:val="bottom"/>
          </w:tcPr>
          <w:p>
            <w:pPr>
              <w:spacing w:after="0"/>
              <w:rPr>
                <w:sz w:val="19"/>
                <w:szCs w:val="19"/>
                <w:color w:val="auto"/>
              </w:rPr>
            </w:pPr>
          </w:p>
        </w:tc>
        <w:tc>
          <w:tcPr>
            <w:tcW w:w="3320" w:type="dxa"/>
            <w:vAlign w:val="bottom"/>
            <w:gridSpan w:val="2"/>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39"/>
        </w:trPr>
        <w:tc>
          <w:tcPr>
            <w:tcW w:w="78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8"/>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Millions</w:t>
            </w:r>
          </w:p>
        </w:tc>
        <w:tc>
          <w:tcPr>
            <w:tcW w:w="2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$37.0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Cash provided by (used in) Operating Activities:</w:t>
            </w:r>
          </w:p>
        </w:tc>
        <w:tc>
          <w:tcPr>
            <w:tcW w:w="2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AFUDC – Equity</w:t>
            </w:r>
          </w:p>
        </w:tc>
        <w:tc>
          <w:tcPr>
            <w:tcW w:w="24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(1.2)</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(Income) on Investments and Property, Plant and Equipment</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Expense</w:t>
            </w:r>
          </w:p>
        </w:tc>
        <w:tc>
          <w:tcPr>
            <w:tcW w:w="2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65.0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PSAs</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Other Intangible Assets and Other Assets</w:t>
            </w:r>
          </w:p>
        </w:tc>
        <w:tc>
          <w:tcPr>
            <w:tcW w:w="2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and ESOP Compensation Expense</w:t>
            </w:r>
          </w:p>
        </w:tc>
        <w:tc>
          <w:tcPr>
            <w:tcW w:w="2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Defined Benefit Pension and Other Postretirement Plan Benefit</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Fuel Adjustment Clause</w:t>
            </w:r>
          </w:p>
        </w:tc>
        <w:tc>
          <w:tcPr>
            <w:tcW w:w="2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4.9</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Bad Debt Expense</w:t>
            </w:r>
          </w:p>
        </w:tc>
        <w:tc>
          <w:tcPr>
            <w:tcW w:w="24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Interim Rate Refund</w:t>
            </w:r>
          </w:p>
        </w:tc>
        <w:tc>
          <w:tcPr>
            <w:tcW w:w="2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5.5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6"/>
        </w:trPr>
        <w:tc>
          <w:tcPr>
            <w:tcW w:w="78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Receivable</w:t>
            </w:r>
          </w:p>
        </w:tc>
        <w:tc>
          <w:tcPr>
            <w:tcW w:w="24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33"/>
        </w:trPr>
        <w:tc>
          <w:tcPr>
            <w:tcW w:w="7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(7.3)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r>
      <w:tr>
        <w:trPr>
          <w:trHeight w:val="226"/>
        </w:trPr>
        <w:tc>
          <w:tcPr>
            <w:tcW w:w="78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Prepayments and Other</w:t>
            </w:r>
          </w:p>
        </w:tc>
        <w:tc>
          <w:tcPr>
            <w:tcW w:w="2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33"/>
        </w:trPr>
        <w:tc>
          <w:tcPr>
            <w:tcW w:w="7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(10.4)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6"/>
        </w:trPr>
        <w:tc>
          <w:tcPr>
            <w:tcW w:w="78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(19.8)</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Contributions to Defined Benefit Pension Plans</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Regulatory and Other Non-Current Assets</w:t>
            </w:r>
          </w:p>
        </w:tc>
        <w:tc>
          <w:tcPr>
            <w:tcW w:w="2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9.1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29"/>
        </w:trPr>
        <w:tc>
          <w:tcPr>
            <w:tcW w:w="7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Regulatory and Other Non-Current Liabilities</w:t>
            </w:r>
          </w:p>
        </w:tc>
        <w:tc>
          <w:tcPr>
            <w:tcW w:w="24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5.6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23"/>
        </w:trPr>
        <w:tc>
          <w:tcPr>
            <w:tcW w:w="7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24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60.1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w:t>
            </w:r>
          </w:p>
        </w:tc>
      </w:tr>
      <w:tr>
        <w:trPr>
          <w:trHeight w:val="22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Sale of Available-for-sale Securities</w:t>
            </w:r>
          </w:p>
        </w:tc>
        <w:tc>
          <w:tcPr>
            <w:tcW w:w="2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for Purchase of Available-for-sale Securities</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for Equity Method Investments</w:t>
            </w:r>
          </w:p>
        </w:tc>
        <w:tc>
          <w:tcPr>
            <w:tcW w:w="24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Additions to Property, Plant and Equipment</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(60.6)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26"/>
        </w:trPr>
        <w:tc>
          <w:tcPr>
            <w:tcW w:w="7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4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1.5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3"/>
        </w:trPr>
        <w:tc>
          <w:tcPr>
            <w:tcW w:w="78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24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(60.8)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r>
      <w:tr>
        <w:trPr>
          <w:trHeight w:val="225"/>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1"/>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24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Issuance of Short-Term and Long-Term Debt</w:t>
            </w:r>
          </w:p>
        </w:tc>
        <w:tc>
          <w:tcPr>
            <w:tcW w:w="2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156.0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238.5</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Repayments of Short-Term and Long-Term Debt</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(158.0)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Non-Controlling Interest in Subsidiaries – Net</w:t>
            </w:r>
          </w:p>
        </w:tc>
        <w:tc>
          <w:tcPr>
            <w:tcW w:w="2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3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Distributions to Non-Controlling Interest</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6"/>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24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(40.6)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30"/>
        </w:trPr>
        <w:tc>
          <w:tcPr>
            <w:tcW w:w="7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4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3"/>
        </w:trPr>
        <w:tc>
          <w:tcPr>
            <w:tcW w:w="7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Cash used in Financing Activities</w:t>
            </w:r>
          </w:p>
        </w:tc>
        <w:tc>
          <w:tcPr>
            <w:tcW w:w="24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(38.4)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2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Cash, Cash Equivalents and Restricted Cash</w:t>
            </w:r>
          </w:p>
        </w:tc>
        <w:tc>
          <w:tcPr>
            <w:tcW w:w="2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(39.1)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8"/>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Beginning of Period</w:t>
            </w:r>
          </w:p>
        </w:tc>
        <w:tc>
          <w:tcPr>
            <w:tcW w:w="24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79.4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223"/>
        </w:trPr>
        <w:tc>
          <w:tcPr>
            <w:tcW w:w="7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24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$40.3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00"/>
          </w:cols>
          <w:pgMar w:left="340" w:top="887"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80" w:type="dxa"/>
            <w:vAlign w:val="bottom"/>
          </w:tcPr>
          <w:p>
            <w:pPr>
              <w:spacing w:after="0"/>
              <w:rPr>
                <w:sz w:val="19"/>
                <w:szCs w:val="19"/>
                <w:color w:val="auto"/>
              </w:rPr>
            </w:pPr>
          </w:p>
        </w:tc>
        <w:tc>
          <w:tcPr>
            <w:tcW w:w="2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0"/>
        </w:trPr>
        <w:tc>
          <w:tcPr>
            <w:tcW w:w="8580" w:type="dxa"/>
            <w:vAlign w:val="bottom"/>
          </w:tcPr>
          <w:p>
            <w:pPr>
              <w:spacing w:after="0"/>
              <w:rPr>
                <w:sz w:val="19"/>
                <w:szCs w:val="19"/>
                <w:color w:val="auto"/>
              </w:rPr>
            </w:pPr>
          </w:p>
        </w:tc>
        <w:tc>
          <w:tcPr>
            <w:tcW w:w="26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85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$1,803.7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r>
      <w:tr>
        <w:trPr>
          <w:trHeight w:val="230"/>
        </w:trPr>
        <w:tc>
          <w:tcPr>
            <w:tcW w:w="8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Issued</w:t>
            </w:r>
          </w:p>
        </w:tc>
        <w:tc>
          <w:tcPr>
            <w:tcW w:w="1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5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End of Period</w:t>
            </w: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1,807.4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w:t>
            </w:r>
          </w:p>
        </w:tc>
      </w:tr>
      <w:tr>
        <w:trPr>
          <w:trHeight w:val="250"/>
        </w:trPr>
        <w:tc>
          <w:tcPr>
            <w:tcW w:w="8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 Net of Income Taxes</w:t>
            </w: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Debt Securities</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5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Defined Benefit Pension and Other Postretirement Plans</w:t>
            </w:r>
          </w:p>
        </w:tc>
        <w:tc>
          <w:tcPr>
            <w:tcW w:w="16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Balance, End of Period</w:t>
            </w:r>
          </w:p>
        </w:tc>
        <w:tc>
          <w:tcPr>
            <w:tcW w:w="1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50"/>
        </w:trPr>
        <w:tc>
          <w:tcPr>
            <w:tcW w:w="85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1,026.4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r>
      <w:tr>
        <w:trPr>
          <w:trHeight w:val="229"/>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9"/>
        </w:trPr>
        <w:tc>
          <w:tcPr>
            <w:tcW w:w="8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Dividends</w:t>
            </w:r>
          </w:p>
        </w:tc>
        <w:tc>
          <w:tcPr>
            <w:tcW w:w="16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3"/>
        </w:trPr>
        <w:tc>
          <w:tcPr>
            <w:tcW w:w="8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Balance, End of Period</w:t>
            </w:r>
          </w:p>
        </w:tc>
        <w:tc>
          <w:tcPr>
            <w:tcW w:w="1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1,036.5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954.2</w:t>
            </w:r>
          </w:p>
        </w:tc>
      </w:tr>
      <w:tr>
        <w:trPr>
          <w:trHeight w:val="250"/>
        </w:trPr>
        <w:tc>
          <w:tcPr>
            <w:tcW w:w="85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 in Subsidiaries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597.0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Non-Controlling Interest in Subsidiaries – Net</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8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5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End of Period</w:t>
            </w: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585.5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r>
      <w:tr>
        <w:trPr>
          <w:trHeight w:val="250"/>
        </w:trPr>
        <w:tc>
          <w:tcPr>
            <w:tcW w:w="85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23"/>
        </w:trPr>
        <w:tc>
          <w:tcPr>
            <w:tcW w:w="8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$3,408.5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$3,357.7</w:t>
            </w:r>
          </w:p>
        </w:tc>
      </w:tr>
      <w:tr>
        <w:trPr>
          <w:trHeight w:val="250"/>
        </w:trPr>
        <w:tc>
          <w:tcPr>
            <w:tcW w:w="8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Non-Controlling Interest in Subsidiaries</w:t>
            </w:r>
          </w:p>
        </w:tc>
        <w:tc>
          <w:tcPr>
            <w:tcW w:w="1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Redeemable Non-Controlling Interest</w:t>
            </w: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8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Share of Common Stock</w:t>
            </w: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$0.705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$0.6775</w:t>
            </w:r>
          </w:p>
        </w:tc>
      </w:tr>
      <w:tr>
        <w:trPr>
          <w:trHeight w:val="318"/>
        </w:trPr>
        <w:tc>
          <w:tcPr>
            <w:tcW w:w="858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71755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pursuant to such rules and regulations. Similarly, the December 31, 2023, Consolidated Balance Sheet was derived from audited financial statements, but does not include all disclosures required by GAAP. The presentation of certain prior period amounts on the Consolidated Financial Statements have been adjusted for comparative purposes. In management’s opinion, these unaudited financial statements include all adjustments necessary for a fair statement of financial results. All adjustments are of a normal, recurring nature, except as otherwise disclosed. Operating results for the three months ended March 31, 2024, are not necessarily indicative of results that may be expected for any other interim period or for the year ending December 31, 2024. For further information, refer to the Consolidated Financial Statements and notes included in our 2023 Form 10-K.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The Company performed an evaluation of subsequent events for potential recognition and disclosure through the date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issuance.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5, 2024, ALLETE entered into the Merger Agreement. (See Note 11. Subsequent Event – Agreement and Plan of Merger.)</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We consider all investments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March 31, 2024, restricted cash amounts included in Prepayments and Other on the Consolidated Balance Sheet include collateral deposits required under an ALLETE Clean Energy loan. The restricted cash amounts included in Other Non-Current Assets represent collateral deposits required under an ALLETE Clean Energy loan agreement as well as PSAs. The following table provides a reconciliation of cash, cash equivalents and restricted cash reported within the Consolidated Balance Sheet that aggregate to the amounts presented in the Consolidated Statement of Cash Flows.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auto"/>
            </w:tcBorders>
            <w:vMerge w:val="continue"/>
          </w:tcPr>
          <w:p>
            <w:pPr>
              <w:spacing w:after="0"/>
              <w:rPr>
                <w:sz w:val="21"/>
                <w:szCs w:val="21"/>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$32.0</w:t>
            </w:r>
          </w:p>
        </w:tc>
        <w:tc>
          <w:tcPr>
            <w:tcW w:w="17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$71.9</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Prepayments and Other</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w:t>
            </w:r>
          </w:p>
        </w:tc>
        <w:tc>
          <w:tcPr>
            <w:tcW w:w="1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5.1</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17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w:t>
            </w: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Cash, Cash Equivalents and Restricted Cash on the Consolidated</w:t>
            </w: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Statement of Cash Flows</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$40.3</w:t>
            </w: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$79.4</w:t>
            </w: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$39.6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Inventories – Net. </w:t>
      </w:r>
      <w:r>
        <w:rPr>
          <w:rFonts w:ascii="Times New Roman" w:cs="Times New Roman" w:eastAsia="Times New Roman" w:hAnsi="Times New Roman"/>
          <w:sz w:val="18"/>
          <w:szCs w:val="18"/>
          <w:color w:val="auto"/>
        </w:rPr>
        <w:t>Inventories are stated at the lower of cost or net realizable value. Inventories in our Regulated Operations segment are carried 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 – Net</w:t>
            </w:r>
          </w:p>
        </w:tc>
        <w:tc>
          <w:tcPr>
            <w:tcW w:w="3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auto"/>
            </w:tcBorders>
            <w:vMerge w:val="continue"/>
          </w:tcPr>
          <w:p>
            <w:pPr>
              <w:spacing w:after="0"/>
              <w:rPr>
                <w:sz w:val="21"/>
                <w:szCs w:val="21"/>
                <w:color w:val="auto"/>
              </w:rPr>
            </w:pPr>
          </w:p>
        </w:tc>
        <w:tc>
          <w:tcPr>
            <w:tcW w:w="3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Fuel </w:t>
            </w:r>
            <w:r>
              <w:rPr>
                <w:rFonts w:ascii="Times New Roman" w:cs="Times New Roman" w:eastAsia="Times New Roman" w:hAnsi="Times New Roman"/>
                <w:sz w:val="16"/>
                <w:szCs w:val="16"/>
                <w:i w:val="1"/>
                <w:iCs w:val="1"/>
                <w:color w:val="auto"/>
              </w:rPr>
              <w:t>(a)</w:t>
            </w:r>
          </w:p>
        </w:tc>
        <w:tc>
          <w:tcPr>
            <w:tcW w:w="3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3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119.0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Renewable Energy Facilities Under Development </w:t>
            </w:r>
            <w:r>
              <w:rPr>
                <w:rFonts w:ascii="Times New Roman" w:cs="Times New Roman" w:eastAsia="Times New Roman" w:hAnsi="Times New Roman"/>
                <w:sz w:val="16"/>
                <w:szCs w:val="16"/>
                <w:i w:val="1"/>
                <w:iCs w:val="1"/>
                <w:color w:val="auto"/>
              </w:rPr>
              <w:t>(b)</w:t>
            </w:r>
          </w:p>
        </w:tc>
        <w:tc>
          <w:tcPr>
            <w:tcW w:w="35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Inventories – Net</w:t>
            </w:r>
          </w:p>
        </w:tc>
        <w:tc>
          <w:tcPr>
            <w:tcW w:w="3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$182.7</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Fuel consists primarily of coal inventory at Minnesota Power.</w:t>
      </w:r>
    </w:p>
    <w:p>
      <w:pPr>
        <w:spacing w:after="0" w:line="28" w:lineRule="exact"/>
        <w:rPr>
          <w:rFonts w:ascii="Times New Roman" w:cs="Times New Roman" w:eastAsia="Times New Roman" w:hAnsi="Times New Roman"/>
          <w:sz w:val="16"/>
          <w:szCs w:val="16"/>
          <w:i w:val="1"/>
          <w:iCs w:val="1"/>
          <w:color w:val="auto"/>
        </w:rPr>
      </w:pPr>
    </w:p>
    <w:p>
      <w:pPr>
        <w:ind w:left="340" w:right="20" w:hanging="332"/>
        <w:spacing w:after="0" w:line="251" w:lineRule="auto"/>
        <w:tabs>
          <w:tab w:leader="none" w:pos="398"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Renewable Energy Facilities Under Development as of March 31, 2024, consists primarily of project costs related to renewable energy development projects at New Energy.</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The aggregate carrying amount of goodwill was $154.9 million as of March 31, 2024 ($154.9 million as of December 31, 2023). There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no changes to goodwill by reportable segment for the quarter and three months ended March 31, 2024.</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tc>
        <w:tc>
          <w:tcPr>
            <w:tcW w:w="1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40" w:type="dxa"/>
            <w:vAlign w:val="bottom"/>
            <w:tcBorders>
              <w:bottom w:val="single" w:sz="8" w:color="auto"/>
            </w:tcBorders>
            <w:vMerge w:val="continue"/>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Postretirement Benefit Plans</w:t>
            </w:r>
          </w:p>
        </w:tc>
        <w:tc>
          <w:tcPr>
            <w:tcW w:w="1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$104.6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16"/>
                <w:szCs w:val="16"/>
                <w:i w:val="1"/>
                <w:iCs w:val="1"/>
                <w:color w:val="auto"/>
              </w:rPr>
              <w:t>(a)</w:t>
            </w:r>
          </w:p>
        </w:tc>
        <w:tc>
          <w:tcPr>
            <w:tcW w:w="1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ALLETE Properties</w:t>
            </w:r>
          </w:p>
        </w:tc>
        <w:tc>
          <w:tcPr>
            <w:tcW w:w="1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10.7</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115.9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$264.8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line="283" w:lineRule="auto"/>
        <w:tabs>
          <w:tab w:leader="none" w:pos="37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Contract Assets consist of payments made to customers as an incentive to execute or extend service agreements. The payments are being amortized over the term of the respective agreements as a reduction to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540" w:type="dxa"/>
            <w:vAlign w:val="bottom"/>
            <w:tcBorders>
              <w:bottom w:val="single" w:sz="8" w:color="auto"/>
            </w:tcBorders>
            <w:vMerge w:val="continue"/>
          </w:tcPr>
          <w:p>
            <w:pPr>
              <w:spacing w:after="0"/>
              <w:rPr>
                <w:sz w:val="20"/>
                <w:szCs w:val="20"/>
                <w:color w:val="auto"/>
              </w:rPr>
            </w:pPr>
          </w:p>
        </w:tc>
        <w:tc>
          <w:tcPr>
            <w:tcW w:w="4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PSAs</w:t>
            </w:r>
          </w:p>
        </w:tc>
        <w:tc>
          <w:tcPr>
            <w:tcW w:w="4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4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Interim Rate Refund</w:t>
            </w:r>
          </w:p>
        </w:tc>
        <w:tc>
          <w:tcPr>
            <w:tcW w:w="4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59.5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4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4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720" w:type="dxa"/>
            <w:vAlign w:val="bottom"/>
            <w:tcBorders>
              <w:bottom w:val="single" w:sz="8" w:color="auto"/>
            </w:tcBorders>
            <w:vMerge w:val="continue"/>
          </w:tcPr>
          <w:p>
            <w:pPr>
              <w:spacing w:after="0"/>
              <w:rPr>
                <w:sz w:val="21"/>
                <w:szCs w:val="21"/>
                <w:color w:val="auto"/>
              </w:rPr>
            </w:pPr>
          </w:p>
        </w:tc>
        <w:tc>
          <w:tcPr>
            <w:tcW w:w="4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Asset Retirement Obligation </w:t>
            </w:r>
            <w:r>
              <w:rPr>
                <w:rFonts w:ascii="Times New Roman" w:cs="Times New Roman" w:eastAsia="Times New Roman" w:hAnsi="Times New Roman"/>
                <w:sz w:val="16"/>
                <w:szCs w:val="16"/>
                <w:i w:val="1"/>
                <w:iCs w:val="1"/>
                <w:color w:val="auto"/>
              </w:rPr>
              <w:t>(a)</w:t>
            </w:r>
          </w:p>
        </w:tc>
        <w:tc>
          <w:tcPr>
            <w:tcW w:w="4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$206.1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PSAs</w:t>
            </w:r>
          </w:p>
        </w:tc>
        <w:tc>
          <w:tcPr>
            <w:tcW w:w="4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1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4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$268.0</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340" w:hanging="332"/>
        <w:spacing w:after="0" w:line="273" w:lineRule="auto"/>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$37.2 million in Other Non-Current Assets on the Consolidated Balance Sheet as of March 31, 2024 ($37.2 million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tc>
        <w:tc>
          <w:tcPr>
            <w:tcW w:w="24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42"/>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4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2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Pension and Other Postretirement Benefit Plan Non-Service Credits </w:t>
            </w:r>
            <w:r>
              <w:rPr>
                <w:rFonts w:ascii="Times New Roman" w:cs="Times New Roman" w:eastAsia="Times New Roman" w:hAnsi="Times New Roman"/>
                <w:sz w:val="16"/>
                <w:szCs w:val="16"/>
                <w:i w:val="1"/>
                <w:iCs w:val="1"/>
                <w:color w:val="auto"/>
              </w:rPr>
              <w:t>(a)</w:t>
            </w:r>
          </w:p>
        </w:tc>
        <w:tc>
          <w:tcPr>
            <w:tcW w:w="24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2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 Equity</w:t>
            </w:r>
          </w:p>
        </w:tc>
        <w:tc>
          <w:tcPr>
            <w:tcW w:w="24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20" w:type="dxa"/>
            <w:vAlign w:val="bottom"/>
          </w:tcPr>
          <w:p>
            <w:pPr>
              <w:spacing w:after="0"/>
              <w:rPr>
                <w:sz w:val="19"/>
                <w:szCs w:val="19"/>
                <w:color w:val="auto"/>
              </w:rPr>
            </w:pPr>
          </w:p>
        </w:tc>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20" w:type="dxa"/>
            <w:vAlign w:val="bottom"/>
          </w:tcPr>
          <w:p>
            <w:pPr>
              <w:spacing w:after="0"/>
              <w:rPr>
                <w:sz w:val="19"/>
                <w:szCs w:val="19"/>
                <w:color w:val="auto"/>
              </w:rPr>
            </w:pPr>
          </w:p>
        </w:tc>
        <w:tc>
          <w:tcPr>
            <w:tcW w:w="7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4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65" w:lineRule="exact"/>
        <w:rPr>
          <w:sz w:val="20"/>
          <w:szCs w:val="20"/>
          <w:color w:val="auto"/>
        </w:rPr>
      </w:pPr>
    </w:p>
    <w:p>
      <w:pPr>
        <w:ind w:left="340" w:hanging="332"/>
        <w:spacing w:after="0" w:line="301" w:lineRule="auto"/>
        <w:tabs>
          <w:tab w:leader="none" w:pos="3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components of net periodic pension and other postretirement benefit cost other than service cost. (See Note 9. Pension and Other Postretirement Benefit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20" w:type="dxa"/>
            <w:vAlign w:val="bottom"/>
          </w:tcPr>
          <w:p>
            <w:pPr>
              <w:spacing w:after="0"/>
              <w:rPr>
                <w:sz w:val="19"/>
                <w:szCs w:val="19"/>
                <w:color w:val="auto"/>
              </w:rPr>
            </w:pPr>
          </w:p>
        </w:tc>
        <w:tc>
          <w:tcPr>
            <w:tcW w:w="34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0"/>
        </w:trPr>
        <w:tc>
          <w:tcPr>
            <w:tcW w:w="7820" w:type="dxa"/>
            <w:vAlign w:val="bottom"/>
          </w:tcPr>
          <w:p>
            <w:pPr>
              <w:spacing w:after="0"/>
              <w:rPr>
                <w:sz w:val="19"/>
                <w:szCs w:val="19"/>
                <w:color w:val="auto"/>
              </w:rPr>
            </w:pPr>
          </w:p>
        </w:tc>
        <w:tc>
          <w:tcPr>
            <w:tcW w:w="2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60" w:type="dxa"/>
            <w:vAlign w:val="bottom"/>
          </w:tcPr>
          <w:p>
            <w:pPr>
              <w:spacing w:after="0"/>
              <w:rPr>
                <w:sz w:val="19"/>
                <w:szCs w:val="19"/>
                <w:color w:val="auto"/>
              </w:rPr>
            </w:pPr>
          </w:p>
        </w:tc>
      </w:tr>
      <w:tr>
        <w:trPr>
          <w:trHeight w:val="238"/>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Statement of Cash Flows Information</w:t>
            </w:r>
          </w:p>
        </w:tc>
        <w:tc>
          <w:tcPr>
            <w:tcW w:w="27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7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 Net of Amounts Capitalized</w:t>
            </w:r>
          </w:p>
        </w:tc>
        <w:tc>
          <w:tcPr>
            <w:tcW w:w="27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$25.7</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7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Accounts Payable for Capital Additions to Property, Plant and Equipment</w:t>
            </w:r>
          </w:p>
        </w:tc>
        <w:tc>
          <w:tcPr>
            <w:tcW w:w="2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Asset Retirement Costs</w:t>
            </w:r>
          </w:p>
        </w:tc>
        <w:tc>
          <w:tcPr>
            <w:tcW w:w="27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AFUDC–Equity</w:t>
            </w:r>
          </w:p>
        </w:tc>
        <w:tc>
          <w:tcPr>
            <w:tcW w:w="274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and Disclosure Rules.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 Climate-related Disclosures Rule. </w:t>
      </w:r>
      <w:r>
        <w:rPr>
          <w:rFonts w:ascii="Times New Roman" w:cs="Times New Roman" w:eastAsia="Times New Roman" w:hAnsi="Times New Roman"/>
          <w:sz w:val="18"/>
          <w:szCs w:val="18"/>
          <w:color w:val="auto"/>
        </w:rPr>
        <w:t>On March 6, 2024, the SEC issued the final rules regarding the enhancement and standardization of climate-related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for investors (Rule). The Rule requires registrants to provide certain climate-related information in their annual reports and registration statements. These requirements include disclosing climate-related risks that materially affect or are reasonably likely to materially affect a registrant’s business strategy, results of operations, or financial condition as well as certain disclosures related to greenhouse-gas emissions, and the effects of severe weather events and other natural conditions. The disclosure requirements will begin phasing in for annual periods beginning in 2025. The Company is evaluating the final rule to determine its impact on the Company’s disclosures. The Rule is currently being challenged before the U.S. Court of Appeals, and the SEC issued a voluntary stay of the Rule on April 4, 2024, pending judicial review.</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new accounting pronouncements or rules that we anticipate having a material effect on the presentation of ALLETE’s consolidated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REGULATORY MATTERS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Regulatory matters are summarized in Note 4. Regulatory Matters to the Consolidated Financial Statements in our 2023 Form 10-K, with additional disclosure provided in the following paragraphs.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Electric Rates. </w:t>
      </w:r>
      <w:r>
        <w:rPr>
          <w:rFonts w:ascii="Times New Roman" w:cs="Times New Roman" w:eastAsia="Times New Roman" w:hAnsi="Times New Roman"/>
          <w:sz w:val="18"/>
          <w:szCs w:val="18"/>
          <w:color w:val="auto"/>
        </w:rPr>
        <w:t>Entities within our Regulated Operations segment file for periodic rate revisions with the MPUC, PSCW or FERC. As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MPUC, Minnesota Power also recognizes revenue under cost recovery riders for transmission, renewable, and environmental investments and expenditures. Revenue from cost recovery riders was $8.3 million for the three months ended March 31, 2024 ($16.4 million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2. REGULATORY MATTERS (Continued)</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Minnesota General Rate Case. </w:t>
      </w:r>
      <w:r>
        <w:rPr>
          <w:rFonts w:ascii="Times New Roman" w:cs="Times New Roman" w:eastAsia="Times New Roman" w:hAnsi="Times New Roman"/>
          <w:sz w:val="18"/>
          <w:szCs w:val="18"/>
          <w:color w:val="auto"/>
        </w:rPr>
        <w:t>On November 1, 2023, Minnesota Power filed a retail rate increase request with the MPUC seeking an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approximately 12.00 percent for retail customers, net of rider revenue incorporated into base rates. The rate filing seeks a return on equity of 10.30 percent and a 53.00 percent equity ratio. On an annualized basis, the requested final rate increase would generate approximately $89 million in additional revenue. In separate orders dated December 19, 2023, the MPUC accepted the filing as complete and approved an annual interim rate increase of approximately $64 million, net of rider revenue, beginning January 1, 2024, subject to refund.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 2024, Minnesota Power entered into a settlement agreement with the Minnesota Department of Commerce, Minnesota Office of the Attorney General, Residential Utilities Division, and Large Power Intervenors to settle the retail rate increase request. The settlement agreement is subject to approval by the MPUC. As part of the settlement agreement, the parties have agreed on all issues, including an overall rate increase of $33.97 million, net of rider revenue and amounts transferring to the fuel adjustment clause, a return on equity of 9.78 percent, all non-financial items and cost allocation. As a result of the settlement, Minnesota Power recorded a reserve for an interim rate refund of $5.5 million pre-tax as of March 31, 2024, which is subject to MPUC approval of the settlement agreement and Minnesota Power’s refund calculation.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2022 Minnesota General Rate Case. </w:t>
      </w:r>
      <w:r>
        <w:rPr>
          <w:rFonts w:ascii="Times New Roman" w:cs="Times New Roman" w:eastAsia="Times New Roman" w:hAnsi="Times New Roman"/>
          <w:sz w:val="18"/>
          <w:szCs w:val="18"/>
          <w:color w:val="auto"/>
        </w:rPr>
        <w:t>Minnesota Power is appealing with the Minnesota Court of Appeals (Court) specific aspects of the MPUC’s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May 2023 rate case orders for the ratemaking treatment of Taconite Harbor and Minnesota Power’s prepaid pension asset. Oral arguments on the appeal are expected to be heard by the Court in the second quarter of 2024 with a decision expected in the third quarter of 2024. We are unable to predict the outcome of this proceeding.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Wisconsin General Rate Case. </w:t>
      </w:r>
      <w:r>
        <w:rPr>
          <w:rFonts w:ascii="Times New Roman" w:cs="Times New Roman" w:eastAsia="Times New Roman" w:hAnsi="Times New Roman"/>
          <w:sz w:val="18"/>
          <w:szCs w:val="18"/>
          <w:color w:val="auto"/>
        </w:rPr>
        <w:t>On March 29, 2024, SWL&amp;P filed a rate increase request for its electric, gas and water utilities with the PSCW.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seeks an overall return on equity of 10.00 percent and a 55.00 percent equity ratio. On an annualized basis, the requested change would increase rates by approximately 5.90 percent for retail customers and generate an estimated $7.3 million of additional revenue. The change to SWL&amp;P customers’ rates will be determined by the PSCW later this year. Any rate adjustments are anticipated to become effective in January 2025.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Transmission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investments and expenditures, including a return on the capital invested. Current customer billing rates are based on an MPUC order dated December 19, 2023, which provisionally approved Minnesota Power’s latest transmission factor filing submitted on October 24, 2023. Updated billing rates were included on customer bills starting in the first quarter of 2024, and the MPUC approved Minnesota Power’s transmission factor filing with no changes in an order dated March 5,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Renewable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the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renewable investments and expenditures, including a return on the capital invested. Current customer billing rates for the renewable cost recovery rider were approved by the MPUC in an order dated October 3, 2023. On March 27, 2024, Minnesota Power submitted its latest renewable factor filing. If the filing is approved, Minnesota Power would be authorized to include updated billing rates on customer bills beginning October 1, 2024.</w:t>
      </w:r>
    </w:p>
    <w:p>
      <w:pPr>
        <w:spacing w:after="0" w:line="20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Solar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solar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investments and expenditures for meeting the state of Minnesota’s solar energy standard. Current customer billing rates were approved by the MPUC in an order dated December 26, 2023. Updated billing rates were included on customer bills starting in the first quarter of 2024.</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Fuel Adjustment Clause. </w:t>
      </w:r>
      <w:r>
        <w:rPr>
          <w:rFonts w:ascii="Times New Roman" w:cs="Times New Roman" w:eastAsia="Times New Roman" w:hAnsi="Times New Roman"/>
          <w:sz w:val="18"/>
          <w:szCs w:val="18"/>
          <w:color w:val="auto"/>
        </w:rPr>
        <w:t>Minnesota Power incurred lower fuel and purchased power costs in 2023 than those factored in its fuel adjustment forecast filed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2022 for 2023, which resulted in the recognition of an approximately $13 million regulatory liability as of March 31, 2024, and December 31, 2023. Minnesota Power requested to refund the regulatory liability beginning in the third quarter of 2024 as part of its annual true-up filing submitted to the MPUC on 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2. REGULATORY MATTERS (Continued)</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Energy Conservation and Optimization (ECO) Plan. </w:t>
      </w:r>
      <w:r>
        <w:rPr>
          <w:rFonts w:ascii="Times New Roman" w:cs="Times New Roman" w:eastAsia="Times New Roman" w:hAnsi="Times New Roman"/>
          <w:sz w:val="18"/>
          <w:szCs w:val="18"/>
          <w:color w:val="auto"/>
        </w:rPr>
        <w:t>On April 1, 2024, Minnesota Power submitted its 2023 ECO annual filing (formerly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Conservation Improvement Plan) detailing Minnesota Power’s ECO plan results and requesting a financial incentive of $2.2 million, which will be recognized upon approval by the MPUC. In 2023, a financial incentive of $2.2 million was recognized in the third quarter upon approval by the MPUC of the 2022 ECO annual filing. The financial incentives are recognized in the period in which the MPUC approves the filing.</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Regulatory Assets and Liabilities. </w:t>
      </w:r>
      <w:r>
        <w:rPr>
          <w:rFonts w:ascii="Times New Roman" w:cs="Times New Roman" w:eastAsia="Times New Roman" w:hAnsi="Times New Roman"/>
          <w:sz w:val="18"/>
          <w:szCs w:val="18"/>
          <w:color w:val="auto"/>
        </w:rPr>
        <w:t>Our regulated utility operations are subject to accounting standards for the effects of certain types of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The recovery, refund or credit to rates for these regulatory assets and liabilities will occur over the periods either specified by the applicable regulatory authority or over the corresponding period related to the asset or liability.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tc>
        <w:tc>
          <w:tcPr>
            <w:tcW w:w="3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720" w:type="dxa"/>
            <w:vAlign w:val="bottom"/>
            <w:tcBorders>
              <w:bottom w:val="single" w:sz="8" w:color="auto"/>
            </w:tcBorders>
            <w:vMerge w:val="continue"/>
          </w:tcPr>
          <w:p>
            <w:pPr>
              <w:spacing w:after="0"/>
              <w:rPr>
                <w:sz w:val="21"/>
                <w:szCs w:val="21"/>
                <w:color w:val="auto"/>
              </w:rPr>
            </w:pPr>
          </w:p>
        </w:tc>
        <w:tc>
          <w:tcPr>
            <w:tcW w:w="3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Current Regulatory Assets </w:t>
            </w:r>
            <w:r>
              <w:rPr>
                <w:rFonts w:ascii="Times New Roman" w:cs="Times New Roman" w:eastAsia="Times New Roman" w:hAnsi="Times New Roman"/>
                <w:sz w:val="16"/>
                <w:szCs w:val="16"/>
                <w:i w:val="1"/>
                <w:iCs w:val="1"/>
                <w:color w:val="auto"/>
              </w:rPr>
              <w:t>(a)</w:t>
            </w:r>
          </w:p>
        </w:tc>
        <w:tc>
          <w:tcPr>
            <w:tcW w:w="3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Regulatory Assets</w:t>
            </w:r>
          </w:p>
        </w:tc>
        <w:tc>
          <w:tcPr>
            <w:tcW w:w="3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$8.7</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Regulatory Assets</w:t>
            </w:r>
          </w:p>
        </w:tc>
        <w:tc>
          <w:tcPr>
            <w:tcW w:w="3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Plans</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$217.3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3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85.1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38.3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Recovery Riders</w:t>
            </w:r>
          </w:p>
        </w:tc>
        <w:tc>
          <w:tcPr>
            <w:tcW w:w="3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Taconite Harbor</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18.3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Manufactured Gas Plant</w:t>
            </w:r>
          </w:p>
        </w:tc>
        <w:tc>
          <w:tcPr>
            <w:tcW w:w="3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PPACA Income Tax Deferral</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3.3</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Non-Current Regulatory Assets</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$409.0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Current Regulatory Liabilities </w:t>
            </w:r>
            <w:r>
              <w:rPr>
                <w:rFonts w:ascii="Times New Roman" w:cs="Times New Roman" w:eastAsia="Times New Roman" w:hAnsi="Times New Roman"/>
                <w:sz w:val="16"/>
                <w:szCs w:val="16"/>
                <w:i w:val="1"/>
                <w:iCs w:val="1"/>
                <w:color w:val="auto"/>
              </w:rPr>
              <w:t>(b)</w:t>
            </w:r>
          </w:p>
        </w:tc>
        <w:tc>
          <w:tcPr>
            <w:tcW w:w="3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Interim Rate Refund</w:t>
            </w:r>
          </w:p>
        </w:tc>
        <w:tc>
          <w:tcPr>
            <w:tcW w:w="3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Transmission Formula Rates Refund</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Regulatory Liabilities</w:t>
            </w:r>
          </w:p>
        </w:tc>
        <w:tc>
          <w:tcPr>
            <w:tcW w:w="3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$17.1</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Regulatory Liabilities</w:t>
            </w:r>
          </w:p>
        </w:tc>
        <w:tc>
          <w:tcPr>
            <w:tcW w:w="3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Wholesale and Retail Contra AFUDC</w:t>
            </w:r>
          </w:p>
        </w:tc>
        <w:tc>
          <w:tcPr>
            <w:tcW w:w="3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77.3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Plant Removal Obligations</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69.3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3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45.5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Non-Jurisdictional Land Sales</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35.1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Tax Credits</w:t>
            </w:r>
          </w:p>
        </w:tc>
        <w:tc>
          <w:tcPr>
            <w:tcW w:w="3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Boswell Units 1 and 2 Net Plant and Equipment</w:t>
            </w:r>
          </w:p>
        </w:tc>
        <w:tc>
          <w:tcPr>
            <w:tcW w:w="30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6.1</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Regulatory Liabilities</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$564.0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Current regulatory assets are presented within Prepayments and Other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Current regulatory liabilities are presented within Other Current Liabilities on the Consolidated Balance Sheet.</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3. EQUITY INVESTMENTS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Investment in ATC</w:t>
      </w:r>
      <w:r>
        <w:rPr>
          <w:rFonts w:ascii="Times New Roman" w:cs="Times New Roman" w:eastAsia="Times New Roman" w:hAnsi="Times New Roman"/>
          <w:sz w:val="18"/>
          <w:szCs w:val="18"/>
          <w:color w:val="auto"/>
        </w:rPr>
        <w:t>. Our wholly-owned subsidiary, ALLETE Transmission Holdings, owns approximately 8 percent of ATC, a Wisconsin-based utility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owns and maintains electric transmission assets in portions of Wisconsin, Michigan, Minnesota and Illinois. We account for our investment in ATC under the equity method of accounting.</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ALLETE’s Investment in ATC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December 31, 2023</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Investments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ATC Earnings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Distributed ATC Earnings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the Remeasurement of Deferred Income Taxes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March 31, 2024</w:t>
            </w:r>
          </w:p>
        </w:tc>
        <w:tc>
          <w:tcPr>
            <w:tcW w:w="3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ATC’s authorized return on equity was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In August 2022, the U.S. Court of Appeals for the District of Columbia Circuit vacated and remanded the 2020 FERC order back to FERC. We cannot predict the return on equity the FERC will ultimately authorize in the remanded proceeding.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FERC issued a Notice of Proposed Rulemaking in 2021 proposing to limit the 0.50 percent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Investment in Nobles 2. </w:t>
      </w:r>
      <w:r>
        <w:rPr>
          <w:rFonts w:ascii="Times New Roman" w:cs="Times New Roman" w:eastAsia="Times New Roman" w:hAnsi="Times New Roman"/>
          <w:sz w:val="18"/>
          <w:szCs w:val="18"/>
          <w:color w:val="auto"/>
        </w:rPr>
        <w:t>Our subsidiary, ALLETE South Wind, owns 49 percent of Nobles 2, the entity that owns and operates a 250 MW wind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in southwestern Minnesota pursuant to a 20-year PPA with Minnesota Power. We account for our investment in Nobles 2 under the equity method of accounting.</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ALLETE’s Investment in Nobles 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000" w:type="dxa"/>
            <w:vAlign w:val="bottom"/>
            <w:tcBorders>
              <w:top w:val="single" w:sz="8" w:color="auto"/>
            </w:tcBorders>
          </w:tcPr>
          <w:p>
            <w:pPr>
              <w:spacing w:after="0"/>
              <w:rPr>
                <w:sz w:val="19"/>
                <w:szCs w:val="19"/>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December 31, 2023</w:t>
            </w:r>
          </w:p>
        </w:tc>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in Nobles 2 Earnings </w:t>
            </w:r>
            <w:r>
              <w:rPr>
                <w:rFonts w:ascii="Times New Roman" w:cs="Times New Roman" w:eastAsia="Times New Roman" w:hAnsi="Times New Roman"/>
                <w:sz w:val="16"/>
                <w:szCs w:val="16"/>
                <w:i w:val="1"/>
                <w:iCs w:val="1"/>
                <w:color w:val="auto"/>
              </w:rPr>
              <w:t>(a)</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Distributed Nobles 2 Earnings</w:t>
            </w:r>
          </w:p>
        </w:tc>
        <w:tc>
          <w:tcPr>
            <w:tcW w:w="4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March 31, 2024</w:t>
            </w:r>
          </w:p>
        </w:tc>
        <w:tc>
          <w:tcPr>
            <w:tcW w:w="4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r>
    </w:tbl>
    <w:p>
      <w:pPr>
        <w:spacing w:after="0" w:line="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Company also recorded earnings from net loss attributable to non-controlling interest of $3.0 million related to its investment in Nobles 2.</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4. FAIR VALUE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our assets and liabilities that were accounted for at fair value on a recurring basis as of March 31, 2024, and December 31, 2023.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on the Consolidated Balance Sheet approximates the carrying amount and therefore is excluded from the recurring fair value measures in the following tables.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2024</w:t>
            </w:r>
          </w:p>
        </w:tc>
        <w:tc>
          <w:tcPr>
            <w:tcW w:w="740" w:type="dxa"/>
            <w:vAlign w:val="bottom"/>
          </w:tcPr>
          <w:p>
            <w:pPr>
              <w:spacing w:after="0"/>
              <w:rPr>
                <w:sz w:val="19"/>
                <w:szCs w:val="19"/>
                <w:color w:val="auto"/>
              </w:rPr>
            </w:pPr>
          </w:p>
        </w:tc>
      </w:tr>
      <w:tr>
        <w:trPr>
          <w:trHeight w:val="238"/>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Available-for-sale – Corporate and Governmental Debt Securities </w:t>
            </w:r>
            <w:r>
              <w:rPr>
                <w:rFonts w:ascii="Times New Roman" w:cs="Times New Roman" w:eastAsia="Times New Roman" w:hAnsi="Times New Roman"/>
                <w:sz w:val="16"/>
                <w:szCs w:val="16"/>
                <w:i w:val="1"/>
                <w:iCs w:val="1"/>
                <w:color w:val="auto"/>
              </w:rPr>
              <w:t>(b)</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6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196"/>
        </w:trPr>
        <w:tc>
          <w:tcPr>
            <w:tcW w:w="6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6"/>
                <w:szCs w:val="16"/>
                <w:i w:val="1"/>
                <w:iCs w:val="1"/>
                <w:color w:val="auto"/>
              </w:rPr>
              <w:t>(c)</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$18.1</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$18.1</w:t>
            </w:r>
          </w:p>
        </w:tc>
        <w:tc>
          <w:tcPr>
            <w:tcW w:w="12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446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tc>
        <w:tc>
          <w:tcPr>
            <w:tcW w:w="660" w:type="dxa"/>
            <w:vAlign w:val="bottom"/>
          </w:tcPr>
          <w:p>
            <w:pPr>
              <w:spacing w:after="0"/>
              <w:rPr>
                <w:sz w:val="19"/>
                <w:szCs w:val="19"/>
                <w:color w:val="auto"/>
              </w:rPr>
            </w:pPr>
          </w:p>
        </w:tc>
      </w:tr>
      <w:tr>
        <w:trPr>
          <w:trHeight w:val="238"/>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2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$8.7</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 Corporate and Governmental Debt Securities</w:t>
            </w: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2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$14.5</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196"/>
        </w:trPr>
        <w:tc>
          <w:tcPr>
            <w:tcW w:w="6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6"/>
                <w:szCs w:val="16"/>
                <w:i w:val="1"/>
                <w:iCs w:val="1"/>
                <w:color w:val="auto"/>
              </w:rPr>
              <w:t>(c)</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$16.5</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2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$16.5</w:t>
            </w:r>
          </w:p>
        </w:tc>
        <w:tc>
          <w:tcPr>
            <w:tcW w:w="1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6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Assets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line="248" w:lineRule="auto"/>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March 31, 2024, the aggregate amount of available-for-sale corporate and governmental debt securities maturing in one year or less was $1.7 million, in one year to less than three years was $2.7 million, in three years to less than five years was $1.6 million and in five or more years was $0.5 million.</w:t>
      </w:r>
    </w:p>
    <w:p>
      <w:pPr>
        <w:spacing w:after="0" w:line="1"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Liabilities on the Consolidated Balance Sheet.</w:t>
      </w:r>
    </w:p>
    <w:p>
      <w:pPr>
        <w:spacing w:after="0" w:line="2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With the exception of the item listed in the following table, the estimated fair value of all financial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approximates the carrying amount. The fair value of the item listed in the following table was based on quoted market prices for the same or similar instruments (Level 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Short-Term and Long-Term Debt </w:t>
            </w:r>
            <w:r>
              <w:rPr>
                <w:rFonts w:ascii="Times New Roman" w:cs="Times New Roman" w:eastAsia="Times New Roman" w:hAnsi="Times New Roman"/>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31, 2024</w:t>
            </w:r>
          </w:p>
        </w:tc>
        <w:tc>
          <w:tcPr>
            <w:tcW w:w="4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$1,797.3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$1,646.8</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2023</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$1,799.4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w:t>
            </w: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Excludes unamortized debt issuance costs.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4. FAIR VALUE (Continued)</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Assets and Liabilities Measured at Fair Value on a Nonrecurring Basis. </w:t>
      </w:r>
      <w:r>
        <w:rPr>
          <w:rFonts w:ascii="Times New Roman" w:cs="Times New Roman" w:eastAsia="Times New Roman" w:hAnsi="Times New Roman"/>
          <w:sz w:val="18"/>
          <w:szCs w:val="18"/>
          <w:color w:val="auto"/>
        </w:rPr>
        <w:t>Non-financial assets such as equity method investments, land inventory,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plant and equipment are measured at fair value when there is an indicator of impairment and recorded at fair value only when an impairment is recognized. For the three months ended March 31, 2024, and the year ended December 31, 2023, there were no indicators of impairment for these non-financial 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monitor changes in the broader energy markets along with wind resource expectations that could indicate impairment at ALLETE Clean Energy wind energy facilities upon contract expirations or for facilities without long-term contracts for their entire output. A continued decline or volatility in energy prices or lower wind resource expectations could result in a future impairment.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SHORT-TERM AND LONG-TERM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short-term and long-term debt as of March 31, 2024, and December 31,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auto"/>
            </w:tcBorders>
            <w:vMerge w:val="continue"/>
          </w:tcPr>
          <w:p>
            <w:pPr>
              <w:spacing w:after="0"/>
              <w:rPr>
                <w:sz w:val="21"/>
                <w:szCs w:val="21"/>
                <w:color w:val="auto"/>
              </w:rPr>
            </w:pPr>
          </w:p>
        </w:tc>
        <w:tc>
          <w:tcPr>
            <w:tcW w:w="364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13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6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$17.2</w:t>
            </w:r>
          </w:p>
        </w:tc>
        <w:tc>
          <w:tcPr>
            <w:tcW w:w="2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1,780.1</w:t>
            </w:r>
          </w:p>
        </w:tc>
        <w:tc>
          <w:tcPr>
            <w:tcW w:w="2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6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$1,797.3</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$1,789.6</w:t>
            </w:r>
          </w:p>
        </w:tc>
        <w:tc>
          <w:tcPr>
            <w:tcW w:w="0" w:type="dxa"/>
            <w:vAlign w:val="bottom"/>
          </w:tcPr>
          <w:p>
            <w:pPr>
              <w:spacing w:after="0"/>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5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352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13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$111.5</w:t>
            </w:r>
          </w:p>
        </w:tc>
        <w:tc>
          <w:tcPr>
            <w:tcW w:w="2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1,687.9</w:t>
            </w:r>
          </w:p>
        </w:tc>
        <w:tc>
          <w:tcPr>
            <w:tcW w:w="2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1,679.9</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$1,799.4</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$19.4 million outstanding in standby letters of credit and $94.0 million outstanding draws under our lines of credit as of March 31, 2024 ($19.4 million in standby letters of credit and $34.1 million outstanding draws as of December 31, 2023). We also have standby letters of credit outstanding under other letter of credit facilities. (See Note 6. Commitments, Guarantees and Contingencies.)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2024, ALLETE issued $100 million of its First Mortgage Bonds (Bonds) to certain institutional buyers in the private placement market. The Bonds, which bear interest at 5.72 percent, will mature in April 2039 and pay interest semi-annually in April and October of each year, commencing on October 30, 2024. ALLETE has the option to prepay all or a portion of the Bonds at its discretion, subject to a make-whole provision. The Bonds are subject to additional terms and conditions which are customary for these types of transactions. Proceeds from the sale of the Bonds were used to refinance existing indebtedness and for general corporate purposes. The Bonds were sold in reliance on an exemption from registration under Section 4(a)(2) of the Securities Act of 1933, as amended, to institutional accredited investors.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Financial Covenants. </w:t>
      </w:r>
      <w:r>
        <w:rPr>
          <w:rFonts w:ascii="Times New Roman" w:cs="Times New Roman" w:eastAsia="Times New Roman" w:hAnsi="Times New Roman"/>
          <w:sz w:val="18"/>
          <w:szCs w:val="18"/>
          <w:color w:val="auto"/>
        </w:rPr>
        <w:t>Our long-term debt arrangements contain customary covenants. In addition, our lines of credit and letters of credit supporting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2024, our ratio was approximately 0.36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March 31, 2024,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Power Purchase and Sale Agreements. </w:t>
      </w:r>
      <w:r>
        <w:rPr>
          <w:rFonts w:ascii="Times New Roman" w:cs="Times New Roman" w:eastAsia="Times New Roman" w:hAnsi="Times New Roman"/>
          <w:sz w:val="18"/>
          <w:szCs w:val="18"/>
          <w:color w:val="auto"/>
        </w:rPr>
        <w:t>Our long-term PPAs have been evaluated under the accounting guidance for variable interest entities.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PPAs are summarized in Note 9. Commitments, Guarantees and Contingencies to the Consolidated Financial Statements in our 2023 Form 10-K, with additional disclosure provided in the following paragraphs.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Square Butte PPA. </w:t>
      </w:r>
      <w:r>
        <w:rPr>
          <w:rFonts w:ascii="Times New Roman" w:cs="Times New Roman" w:eastAsia="Times New Roman" w:hAnsi="Times New Roman"/>
          <w:sz w:val="18"/>
          <w:szCs w:val="18"/>
          <w:color w:val="auto"/>
        </w:rPr>
        <w:t>As of March 31, 2024, Square Butte had total debt outstanding of $162.6 million. Fuel expenses are recoverable through Minnesota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Power’s fuel adjustment clause and include the cost of coal purchased from BNI Energy under a long-term contract. Minnesota Power’s cost of power purchased from Square Butte during the three months ended March 31, 2024, was $22.9 million ($22.1 million for the same period in 2023). This reflects Minnesota Power’s pro rata share of total Square Butte costs based on the 50 percent output entitlement. Included in this amount was Minnesota Power’s pro rata share of interest expense of $1.3 million ($1.3 million for the same period in 2023). Minnesota Power’s payments to Square Butte are approved as a purchased power expense for ratemaking purposes by both the MPUC and the FERC.</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Minnkota Power PSA. </w:t>
      </w:r>
      <w:r>
        <w:rPr>
          <w:rFonts w:ascii="Times New Roman" w:cs="Times New Roman" w:eastAsia="Times New Roman" w:hAnsi="Times New Roman"/>
          <w:sz w:val="18"/>
          <w:szCs w:val="18"/>
          <w:color w:val="auto"/>
        </w:rPr>
        <w:t>Minnesota Power has a PSA with Minnkota Power, which commenced in 2014. Under the PSA, Minnesota Power is selling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41 percent in 2024 and 37 percent in 2023.</w:t>
      </w: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Coal, Rail and Shipping Contracts. </w:t>
      </w:r>
      <w:r>
        <w:rPr>
          <w:rFonts w:ascii="Times New Roman" w:cs="Times New Roman" w:eastAsia="Times New Roman" w:hAnsi="Times New Roman"/>
          <w:sz w:val="18"/>
          <w:szCs w:val="18"/>
          <w:color w:val="auto"/>
        </w:rPr>
        <w:t>Minnesota Power has coal supply agreements providing for the purchase of a significant portion of its coal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through December 2025. Minnesota Power also has coal transportation agreements in place for the delivery of a significant portion of its coal requirements through December 2024. The costs of fuel and related transportation costs for Minnesota Power’s generation are recoverable from Minnesota Power’s utility customers through the fuel adjustment clause.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Air. </w:t>
      </w:r>
      <w:r>
        <w:rPr>
          <w:rFonts w:ascii="Times New Roman" w:cs="Times New Roman" w:eastAsia="Times New Roman" w:hAnsi="Times New Roman"/>
          <w:sz w:val="18"/>
          <w:szCs w:val="18"/>
          <w:color w:val="auto"/>
        </w:rPr>
        <w:t>The electric utility industry is regulated both at the federal and state level to address air emissions. Minnesota Power’s thermal generating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mainly burn low-sulfur western sub-bituminous coal. All of Minnesota Power’s coal-fired generating facilities are equipped with pollution control equipment such as scrubbers, baghouses and low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technologies. Under currently applicable environmental regulations, these facilities are substantially compliant with emission requirements.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Cross-State Air Pollution Rule (CSAPR). </w:t>
      </w:r>
      <w:r>
        <w:rPr>
          <w:rFonts w:ascii="Times New Roman" w:cs="Times New Roman" w:eastAsia="Times New Roman" w:hAnsi="Times New Roman"/>
          <w:sz w:val="18"/>
          <w:szCs w:val="18"/>
          <w:color w:val="auto"/>
        </w:rPr>
        <w:t>The CSAPR requires certain states in the eastern half of the U.S., including Minnesota, to reduce power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and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allowances issued and pending issuance as well as consideration of current rules, we currently expect generation levels and emission rates will result in continued compliance with the CSAPR. Minnesota Power will continue to monitor ongoing CSAPR rulemakings and compliance implementation, including the EPA’s Good Neighbor Rule which modifies certain aspects of the CSAPR’s program scope and extent (see </w:t>
      </w:r>
      <w:r>
        <w:rPr>
          <w:rFonts w:ascii="Times New Roman" w:cs="Times New Roman" w:eastAsia="Times New Roman" w:hAnsi="Times New Roman"/>
          <w:sz w:val="18"/>
          <w:szCs w:val="18"/>
          <w:i w:val="1"/>
          <w:iCs w:val="1"/>
          <w:color w:val="auto"/>
        </w:rPr>
        <w:t>EPA Good Neighbor Plan for 2015 Ozone NAAQS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National Ambient Air Quality Standards (NAAQS). </w:t>
      </w:r>
      <w:r>
        <w:rPr>
          <w:rFonts w:ascii="Times New Roman" w:cs="Times New Roman" w:eastAsia="Times New Roman" w:hAnsi="Times New Roman"/>
          <w:sz w:val="18"/>
          <w:szCs w:val="18"/>
          <w:color w:val="auto"/>
        </w:rPr>
        <w:t>The EPA is required to review the NAAQS every five years. If the EPA determines that a state’s 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is not in compliance with the NAAQS, the state is required to adopt plans describing how it will reduce emissions to attain the NAAQS. Minnesota Power actively monitors NAAQS developments, and the EPA is currently reviewing the primary or secondary NAAQS for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and ozone. On February 7, 2024, the EPA announced a final rule lowering the annual primary standard for fine particulate matter while retaining other existing primary and secondary standards such as those for coarse particulate matter. The Company is reviewing the new standard to determine potential impacts. Anticipated timelines and compliance costs related to this new standard and other potential NAAQS revisions cannot yet be estimated; however, costs could be material. Minnesota Power would seek recovery of additional costs through a rate proceeding.</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EPA Good Neighbor Plan for 2015 Ozone NAAQS</w:t>
      </w:r>
      <w:r>
        <w:rPr>
          <w:rFonts w:ascii="Times New Roman" w:cs="Times New Roman" w:eastAsia="Times New Roman" w:hAnsi="Times New Roman"/>
          <w:sz w:val="18"/>
          <w:szCs w:val="18"/>
          <w:color w:val="auto"/>
        </w:rPr>
        <w:t>. On June 5, 2023, after disapproving state implementation plans, the EPA published a final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Plan (FIP) rule in the Federal Register, the Good Neighbor Plan, to address regional ozone transport for the 2015 Ozone NAAQS by reducing NOx emissions during the period of May 1 through September 30 (ozone season). In its justification for the final rule, the EPA asserted that 23 states, including Minnesota, were modeled as significant contributors to downwind states’ challenges in attaining or maintaining ozone NAAQS compliance within their state borders. The Good Neighbor Plan is designed to resolve this interstate transport issue by implementing a variety of NOx reduction strategies, including federal implementation plan requirements, NOx emission limitations, and ozone season allowance program requirements. The final rule imposed restrictions on fossil-fuel fired power plants in 22 states and on certain industrial sources in 20 states, with implementation occurring through changes to the existing CSAPR program for power plants.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the EPA partially disapproved the Good Neighbor State Implementation Plans (SIPs) for the states of Minnesota and Wisconsin, among others, Minnesota is subject to the final Good Neighbor Plan. However, Minnesota Power and a coalition of other Minnesota utilities and industry (the parties) co-filed challenges to the EPA’s final Minnesota SIP disapproval, submitting a petition for reconsideration and stay to the EPA, and a petition for judicial review to the U.S. Court of Appeals for the Eighth Circuit (Eighth Circuit Court). The parties are challenging and requesting reconsideration of certain technical components of the EPA’s review and subsequent partial disapproval of the state of Minnesota’s SIP. On July 5, 2023, the Eighth Circuit Court granted a stay of the SIP disapproval preventing the Good Neighbor Plan from taking effect in Minnesota. On March 28, 2024, the EPA issued a partial denial of several administrative reconsideration and stay petitions, including from the Minnesota coalition.</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September 29, 2023, the EPA issued an updated final interim rule addressing the stays in Minnesota and five other states, formally delaying the effective date of the final FIP for states with active stays in place. The state of Minnesota was therefore not subject to compliance obligations for the 2023 ozone season. Future compliance obligations will depend on resolution of the stay. Additionally, challenges have been filed against the final FIP rule by the Minnesota coalition parties and other entities, although the Minnesota coalition FIP challenge is currently in abeyance pending resolution of the SIP disapproval case. On February 21, 2024, the U.S. Supreme Court heard arguments from several states and industry groups requesting a national stay of the FIP rule. Anticipated compliance costs related to final Good Neighbor Plan compliance cannot yet be estimated due to uncertainties about SIP approval resolution, implementation timing, FIP rule outcome, and allowance costs and facility emissions during the ozone season. However, the costs could be material, including costs of additional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controls, emission allowance program participation, or operational changes, if any are required. Minnesota Power would seek recovery of additional costs through a rate proceeding.</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EPA National Emission Standards for Hazardous Air Pollutants for Major Sources: Industrial, Commercial and Institutional Boilers and Process Heaters (Industrial Boiler MACT) Rule</w:t>
      </w:r>
      <w:r>
        <w:rPr>
          <w:rFonts w:ascii="Times New Roman" w:cs="Times New Roman" w:eastAsia="Times New Roman" w:hAnsi="Times New Roman"/>
          <w:sz w:val="18"/>
          <w:szCs w:val="18"/>
          <w:color w:val="auto"/>
        </w:rPr>
        <w:t>. A final rule issued by the EPA for Industrial Boiler MACT became effective in 2013 with compliance required at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sources in 2016, which applied to Minnesota Power’s Hibbard Renewable Energy Center and Rapids Energy Center. Compliance consisted largely of adjustments to fuels and operating practices and compliance costs were not material. After this initial rulemaking, litigation from 2016 through 2018 resulted in court orders directing that the EPA reconsider certain aspects of the regulation. A final rule incorporating these revisions became effective in December 2022, with a compliance deadline of October 6, 2025. Compliance costs are not expected to be material.</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EPA Mercury and Air Toxics Standards (MATS) Rule</w:t>
      </w:r>
      <w:r>
        <w:rPr>
          <w:rFonts w:ascii="Times New Roman" w:cs="Times New Roman" w:eastAsia="Times New Roman" w:hAnsi="Times New Roman"/>
          <w:sz w:val="18"/>
          <w:szCs w:val="18"/>
          <w:color w:val="auto"/>
        </w:rPr>
        <w:t>. On April 25, 2024, the EPA published a final rule to revise the existing 2012 MATS Rule,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regulates air emissions of hazardous air pollutants from coal- and oil-fired electric generating units (EGUs). The final rule eliminates certain MATS compliance flexibility, lowers the particulate emission standard for all coal-fired EGUs, and reduces the mercury emission standard for lignite-fired EGUs. The rule will become effective 60 days after publication in the Federal Register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 compliance beginning in 2027. The MATS regulation applies at Minnesota Power’s Boswell facility, which is currently well-controlled for these emissions and already complying with some of the new requirements. The Company is analyzing the new rule but anticipates that its impacts to Boswell may be minimal. However, compliance costs cannot yet be estimated, and recovery of any additional costs would be sought through a rate proceeding.</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Climate Change. </w:t>
      </w:r>
      <w:r>
        <w:rPr>
          <w:rFonts w:ascii="Times New Roman" w:cs="Times New Roman" w:eastAsia="Times New Roman" w:hAnsi="Times New Roman"/>
          <w:sz w:val="18"/>
          <w:szCs w:val="18"/>
          <w:color w:val="auto"/>
        </w:rPr>
        <w:t>The scientific community generally accepts that emissions of GHGs are linked to global climate change which creates physical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renewable power supply for both our operations and the operations of others;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energy conservation initiatives for our customers and engaging in other demand side management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efficiency of our generating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research of technologies to reduce carbon emissions from generating facilities and carbon sequestration efforts;</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developing less carbon intensive future generating assets such as efficient and flexible natural gas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fired generating facilities;</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vegetation on right-of-way corridors to reduce potential wildfire or storm damage risks; and</w:t>
      </w:r>
    </w:p>
    <w:p>
      <w:pPr>
        <w:spacing w:after="0" w:line="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 Regulation of GHG Emissions. </w:t>
      </w:r>
      <w:r>
        <w:rPr>
          <w:rFonts w:ascii="Times New Roman" w:cs="Times New Roman" w:eastAsia="Times New Roman" w:hAnsi="Times New Roman"/>
          <w:sz w:val="18"/>
          <w:szCs w:val="18"/>
          <w:color w:val="auto"/>
        </w:rPr>
        <w:t>On April 25, 2024, the EPA issued several final greenhouse gas regulations to establish emissions standards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for fossil fuel-fired electric generating units (EGUs) under Section 111 of the Clean Air Act (CAA). The final rules revise new source performance standards (NSPS) for new, modified and reconstructed EGUs (Section 111(b) of the CAA) and creates new emission guidelines for existing EGUs (Section 111(d) of the CAA). The action also officially repeals the predecessor regulation “Affordable Clean Energy Rule”, first issued in 2019 and later vacated in 2021. Compliance will be required beginning January 1, 2030 for existing sources, and upon commencing operation of new units. The 111(d) rule also requires states to submit plans to provide for the establishment, implementation and enforcement of standards of performance for existing sources. States must submit their plans to the EPA within 24 months after publication of the final emissions guidelines.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final 111 rules apply to several Company assets, including existing EGUs at the Boswell and Laskin facilities as well as the proposed combined cycle natural gas-fired generating facility, NTEC. The Company is reviewing the new rule, but anticipates compliance may require operational or planning adjustments. The state implementation plan process for Section 111(d) existing units will also be a factor in determining specific requirements and timing. We are unable to predict compliance costs at this time; however, the costs could be material. Minnesota Power would seek recovery of additional costs through a rate proceeding.</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w:t>
      </w:r>
      <w:r>
        <w:rPr>
          <w:rFonts w:ascii="Times New Roman" w:cs="Times New Roman" w:eastAsia="Times New Roman" w:hAnsi="Times New Roman"/>
          <w:sz w:val="18"/>
          <w:szCs w:val="18"/>
          <w:color w:val="auto"/>
        </w:rPr>
        <w:t>The Clean Water Act requires NPDES permits be obtained from the EPA or delegated state agencies for any wastewater discharged into navigable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waters. We have obtained all necessary NPDES permits, including NPDES storm water permits for applicable facilities, to conduct our operations.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Steam Electric Power Generating Effluent Limitations Guidelines. </w:t>
      </w:r>
      <w:r>
        <w:rPr>
          <w:rFonts w:ascii="Times New Roman" w:cs="Times New Roman" w:eastAsia="Times New Roman" w:hAnsi="Times New Roman"/>
          <w:sz w:val="18"/>
          <w:szCs w:val="18"/>
          <w:color w:val="auto"/>
        </w:rPr>
        <w:t>In 2015, the EPA issued revised federal effluent limitation guidelines (ELG) for steam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power generating stations under the Clean Water Act. It set effluent limits and prescribed Best Available Control Technology (BACT) for several wastewater streams, including flue gas desulphurization (FGD) water, bottom ash transport water and coal combustion landfill leachate. In October 2020, the EPA published a final ELG Rule allowing re-use of bottom ash transport water in FGD scrubber systems with limited discharges related to maintaining system water balance. The rule set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25, 2024, the EPA released a pre-publication version of a final ELG rule to update the 2020 ELGs. In the final rule, the EPA is revising ELGs for existing sources, including establishing zero discharge limitations for bottom ash transport water, FGD wastewater, and combustion residual leachate, and allowing states to set discharge limits for legacy wastewater in surface impoundments based on best professional judgment. The rule proposes to maintain exemptions for units permanently ceasing coal combustion by 2028, and adds a new subcategory for units that have already complied with either the 2015 or 2020 ELG rules and which will retire by 2032. The final ELG rule also establishes mercury and arsenic limitations for functionally equivalent discharges of leachate via groundwater to surface water. Compliance deadlines are determined by the applicable state permitting authority. Compliance deadlines could be required as soon as 60 days after the final rule is published in the Federal Register, but no later than December 31, 2029.</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Bottom ash transport and FGD wastewater ELGs are not expected to have a significant impact on Minnesota Power operations. Zero leachate discharge requirements have the potential to impact dewatering associated with the closed Taconite Harbor dry ash landfill and Laskin’s closed Cell E impoundment. New limitations for arsenic and mercury related to functionally equivalent (groundwater to surface water) discharges are not currently anticipated to impact Minnesota Power facilities.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Permitted Water Discharges – Sulfate</w:t>
      </w:r>
      <w:r>
        <w:rPr>
          <w:rFonts w:ascii="Times New Roman" w:cs="Times New Roman" w:eastAsia="Times New Roman" w:hAnsi="Times New Roman"/>
          <w:sz w:val="18"/>
          <w:szCs w:val="18"/>
          <w:color w:val="auto"/>
        </w:rPr>
        <w:t>. In 2017, the MPCA released a draft water quality standard in an attempt to update Minnesota’s existing 10 mg/L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Clean Water Act requires the MPCA to update the state's impaired water list every two years. Beginning in 2021 through the latest draft approved by the EPA in April 2024, this list now includes Minnesota lakes and streams identified as wild rice waters that are listed for sulfate impairment. The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or its customers, if any. Minnesota Power would seek recovery of additional costs through a rate proceeding.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Solid and Hazardous Waste. </w:t>
      </w:r>
      <w:r>
        <w:rPr>
          <w:rFonts w:ascii="Times New Roman" w:cs="Times New Roman" w:eastAsia="Times New Roman" w:hAnsi="Times New Roman"/>
          <w:sz w:val="18"/>
          <w:szCs w:val="18"/>
          <w:color w:val="auto"/>
        </w:rPr>
        <w:t>The Resource Conservation and Recovery Act of 1976 regulates the management and disposal of solid and hazardous wastes.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notify the EPA of hazardous waste activity and, consequently, routinely submit reports to the EPA.</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Coal Ash Management Facilities. </w:t>
      </w:r>
      <w:r>
        <w:rPr>
          <w:rFonts w:ascii="Times New Roman" w:cs="Times New Roman" w:eastAsia="Times New Roman" w:hAnsi="Times New Roman"/>
          <w:sz w:val="18"/>
          <w:szCs w:val="18"/>
          <w:color w:val="auto"/>
        </w:rPr>
        <w:t>Minnesota Power produces the majority of its coal ash at Boswell, with small amounts of ash generated at Hibbard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Coal Combustion Residuals from Electric Utilities (CCR). </w:t>
      </w:r>
      <w:r>
        <w:rPr>
          <w:rFonts w:ascii="Times New Roman" w:cs="Times New Roman" w:eastAsia="Times New Roman" w:hAnsi="Times New Roman"/>
          <w:sz w:val="18"/>
          <w:szCs w:val="18"/>
          <w:color w:val="auto"/>
        </w:rPr>
        <w:t>In 2015, the EPA published a final rule (2015 Rule) regulating CCR as nonhazardous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Subtitle D of the Resource Conservation and Recovery Act (RCRA) in the Federal Register. The rule included additional requirements for new landfill and impoundment construction as well as closure activities related to certain existing impoundments. Costs of compliance for Boswell and Laskin are expected to be incurred primarily over the next 12 years and be between approximately $65 million and $120 million. Compliance costs for CCR at Taconite Harbor are not expected to be material. Minnesota Power would seek recovery of additional costs through a rate proceeding.</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 continues to work on minimizing compliance costs through evaluation of beneficial re-use and recycling of CCR. In 2018, a U.S. District Court for the District of Columbia decision vacated specific provisions of the CCR rule, which resulted in a change to the status of several existing clay-lined impoundments at Boswell being considered unlined. In September 2020, the EPA finalized the CCR Part A Rule, which required all unlined impoundments to cease disposal and initiate closure. Upon completion of dry ash conversion activities, Boswell ceased disposal in both impoundments in September 2022. Both impoundments are now inactive and have initiated closure.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25, 2024, the EPA finalized the CCR Legacy Impoundment Rule. The final rule expands the scope of units regulated under the CCR rule to include legacy ponds (inactive surface impoundments at inactive facilities) and creates a new category of units called CCR management units, which includes inactive and closed impoundments and landfills as well as other non-containerized accumulations of CCR. The rule requires all regulated generating facilities to evaluate and identify past deposits of CCR materials on their sites and close or re-close existing CCR units to meet current closure standards, as well as install groundwater monitoring systems, conduct groundwater monitoring, and implement groundwater corrective actions as necessary. Additionally, the EPA finalized portions of the proposed CCR Part B Rule, which allows CCR Units to certify closure while conducting groundwater remediation activities. This rule is currently under review; however impacts to previously closed CCR Units at Boswell and Laskin are anticipated. Compliance costs for Minnesota Power facilities cannot be estimated at this time; however, the costs could be material. Minnesota Power would seek recovery of additional costs through a rate proceeding.</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EPA released a proposed CCR Part B rulemaking in February 2020 addressing options for beneficial reuse of CCR materials, alternative liner demonstrations and other CCR regulatory revisions. Portions of the Part B rule addressing alternative liner equivalency standards were finalized in November 2020. Finalization of the remaining beneficial reuse requirements are expected in late 2024. The final CCR federal permit rule is expected in the first half of 2026. The final federal permit rule will finalize procedures for implementing a CCR federal permit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Environmental Matters.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Manufactured Gas Plant Site. </w:t>
      </w:r>
      <w:r>
        <w:rPr>
          <w:rFonts w:ascii="Times New Roman" w:cs="Times New Roman" w:eastAsia="Times New Roman" w:hAnsi="Times New Roman"/>
          <w:sz w:val="18"/>
          <w:szCs w:val="18"/>
          <w:color w:val="auto"/>
        </w:rPr>
        <w:t>We are reviewing and addressing environmental conditions at a former manufactured gas plant site located in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Wisconsin, and formerly operated by SWL&amp;P. SWL&amp;P has been working with the Wisconsin Department of Natural Resources (WDNR) in determining the extent and location of contamination at the site and surrounding properties. As of March 31, 2024, SWL&amp;P has recorded a liability of approximately $1 million for remediation costs at this site. SWL&amp;P has recorded the recovery of the remediation costs associated with the site as a regulatory asset as we expect recovery of these costs to be allowed by the PSCW.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Surety Bonds and Other Indemnifications.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multiple credit facility agreements in place that provide the ability to issue standby letters of credit to satisfy contractual security requirements across our businesses. As of March 31, 2024, we had $150.1 million of outstanding letters of credit issued, including those issued under our revolving credit facility. We do not believe it is likely that any of these outstanding letters of credit will be drawn upon.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2024, under the tax credit transferability provision of the Inflation Reduction Act, we entered into an agreement with a third party to sell a portion of our production tax credits. ALLETE has indemnified the third party for the value of production tax credits sold to date of approximately $14 million.</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Regulated Operations. </w:t>
      </w:r>
      <w:r>
        <w:rPr>
          <w:rFonts w:ascii="Times New Roman" w:cs="Times New Roman" w:eastAsia="Times New Roman" w:hAnsi="Times New Roman"/>
          <w:sz w:val="18"/>
          <w:szCs w:val="18"/>
          <w:color w:val="auto"/>
        </w:rPr>
        <w:t>As of March 31, 2024, we had $25.4 million outstanding in standby letters of credit at our Regulated Operations which are pledged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security to MISO, the NDPSC and state agencies.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(Continued)</w:t>
      </w:r>
    </w:p>
    <w:p>
      <w:pPr>
        <w:spacing w:after="0" w:line="2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ALLETE Clean Energy. </w:t>
      </w:r>
      <w:r>
        <w:rPr>
          <w:rFonts w:ascii="Times New Roman" w:cs="Times New Roman" w:eastAsia="Times New Roman" w:hAnsi="Times New Roman"/>
          <w:sz w:val="18"/>
          <w:szCs w:val="18"/>
          <w:color w:val="auto"/>
        </w:rPr>
        <w:t>ALLETE Clean Energy is party to PSAs that expire in various years between 2024 and 2039. As of March 31, 2024, ALLETE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Clean Energy has $80.6 million outstanding in standby letters of credit, the majority of which are pledged as security under these PSAs.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BNI Energy</w:t>
      </w:r>
      <w:r>
        <w:rPr>
          <w:rFonts w:ascii="Times New Roman" w:cs="Times New Roman" w:eastAsia="Times New Roman" w:hAnsi="Times New Roman"/>
          <w:sz w:val="18"/>
          <w:szCs w:val="18"/>
          <w:color w:val="auto"/>
        </w:rPr>
        <w:t>. As of March 31, 2024, BNI Energy had surety bonds outstanding of $82.4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in Nobles 2</w:t>
      </w:r>
      <w:r>
        <w:rPr>
          <w:rFonts w:ascii="Times New Roman" w:cs="Times New Roman" w:eastAsia="Times New Roman" w:hAnsi="Times New Roman"/>
          <w:sz w:val="18"/>
          <w:szCs w:val="18"/>
          <w:color w:val="auto"/>
        </w:rPr>
        <w:t>. The Nobles 2 wind energy facility requires standby letters of credit as security for certain contractual obligations. As of March 31, 2024, ALLETE South Wind has $10.1 million outstanding in standby letters of credit, related to its portion of the security requirements relative to its ownership in Nobles 2.</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South Shore Energy</w:t>
      </w:r>
      <w:r>
        <w:rPr>
          <w:rFonts w:ascii="Times New Roman" w:cs="Times New Roman" w:eastAsia="Times New Roman" w:hAnsi="Times New Roman"/>
          <w:sz w:val="18"/>
          <w:szCs w:val="18"/>
          <w:color w:val="auto"/>
        </w:rPr>
        <w:t>. As of March 31, 2024, South Shore Energy had $29.7 million outstanding in standby letters of credit pledged as security in connection with the development of NTEC.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 PER SHARE AND COMMON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60" w:type="dxa"/>
            <w:vAlign w:val="bottom"/>
            <w:tcBorders>
              <w:bottom w:val="single" w:sz="8" w:color="auto"/>
            </w:tcBorders>
          </w:tcPr>
          <w:p>
            <w:pPr>
              <w:spacing w:after="0"/>
              <w:rPr>
                <w:sz w:val="20"/>
                <w:szCs w:val="20"/>
                <w:color w:val="auto"/>
              </w:rPr>
            </w:pPr>
          </w:p>
        </w:tc>
      </w:tr>
      <w:tr>
        <w:trPr>
          <w:trHeight w:val="21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Basic and Diluted</w:t>
            </w: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1060" w:type="dxa"/>
            <w:vAlign w:val="bottom"/>
          </w:tcPr>
          <w:p>
            <w:pPr>
              <w:spacing w:after="0"/>
              <w:rPr>
                <w:sz w:val="18"/>
                <w:szCs w:val="18"/>
                <w:color w:val="auto"/>
              </w:rPr>
            </w:pPr>
          </w:p>
        </w:tc>
      </w:tr>
      <w:tr>
        <w:trPr>
          <w:trHeight w:val="238"/>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$50.7</w:t>
            </w: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$58.2</w:t>
            </w: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57.6</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57.3</w:t>
            </w:r>
          </w:p>
        </w:tc>
        <w:tc>
          <w:tcPr>
            <w:tcW w:w="1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$0.88</w:t>
            </w:r>
          </w:p>
        </w:tc>
        <w:tc>
          <w:tcPr>
            <w:tcW w:w="1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INCOME TAX EXPENSE</w:t>
            </w:r>
          </w:p>
        </w:tc>
        <w:tc>
          <w:tcPr>
            <w:tcW w:w="4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42"/>
        </w:trPr>
        <w:tc>
          <w:tcPr>
            <w:tcW w:w="6080" w:type="dxa"/>
            <w:vAlign w:val="bottom"/>
          </w:tcPr>
          <w:p>
            <w:pPr>
              <w:spacing w:after="0"/>
              <w:rPr>
                <w:sz w:val="24"/>
                <w:szCs w:val="24"/>
                <w:color w:val="auto"/>
              </w:rPr>
            </w:pPr>
          </w:p>
        </w:tc>
        <w:tc>
          <w:tcPr>
            <w:tcW w:w="506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9"/>
        </w:trPr>
        <w:tc>
          <w:tcPr>
            <w:tcW w:w="6080" w:type="dxa"/>
            <w:vAlign w:val="bottom"/>
          </w:tcPr>
          <w:p>
            <w:pPr>
              <w:spacing w:after="0"/>
              <w:rPr>
                <w:sz w:val="19"/>
                <w:szCs w:val="19"/>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Pr>
          <w:p>
            <w:pPr>
              <w:spacing w:after="0"/>
              <w:rPr>
                <w:sz w:val="19"/>
                <w:szCs w:val="19"/>
                <w:color w:val="auto"/>
              </w:rPr>
            </w:pPr>
          </w:p>
        </w:tc>
      </w:tr>
      <w:tr>
        <w:trPr>
          <w:trHeight w:val="238"/>
        </w:trPr>
        <w:tc>
          <w:tcPr>
            <w:tcW w:w="60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4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16"/>
                <w:szCs w:val="16"/>
                <w:i w:val="1"/>
                <w:iCs w:val="1"/>
                <w:color w:val="auto"/>
              </w:rPr>
              <w:t>(a)</w:t>
            </w:r>
          </w:p>
        </w:tc>
        <w:tc>
          <w:tcPr>
            <w:tcW w:w="4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$3.5</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43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6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4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4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16"/>
                <w:szCs w:val="16"/>
                <w:i w:val="1"/>
                <w:iCs w:val="1"/>
                <w:color w:val="auto"/>
              </w:rPr>
              <w:t>(b)</w:t>
            </w:r>
          </w:p>
        </w:tc>
        <w:tc>
          <w:tcPr>
            <w:tcW w:w="4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43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4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(0.3)</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Income Tax Benefit</w:t>
            </w:r>
          </w:p>
        </w:tc>
        <w:tc>
          <w:tcPr>
            <w:tcW w:w="43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6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430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8"/>
                <w:szCs w:val="18"/>
                <w:color w:val="auto"/>
              </w:rPr>
              <w:t>$4.0</w:t>
            </w:r>
          </w:p>
        </w:tc>
        <w:tc>
          <w:tcPr>
            <w:tcW w:w="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5"/>
              </w:rPr>
              <w:t>$1.5</w:t>
            </w:r>
          </w:p>
        </w:tc>
      </w:tr>
    </w:tbl>
    <w:p>
      <w:pPr>
        <w:spacing w:after="0" w:line="9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three months ended March 31, 2024 and 2023, the federal current tax expense was partially offset by production tax credits.</w:t>
      </w:r>
    </w:p>
    <w:p>
      <w:pPr>
        <w:spacing w:after="0" w:line="11"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three months ended March 31, 2024 and 2023, the federal income tax benefit is primarily due to production tax credits.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6640" w:type="dxa"/>
            <w:vAlign w:val="bottom"/>
          </w:tcPr>
          <w:p>
            <w:pPr>
              <w:spacing w:after="0"/>
              <w:rPr>
                <w:sz w:val="19"/>
                <w:szCs w:val="19"/>
                <w:color w:val="auto"/>
              </w:rPr>
            </w:pPr>
          </w:p>
        </w:tc>
        <w:tc>
          <w:tcPr>
            <w:tcW w:w="45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Taxes from Federal Statutory</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Pr>
          <w:p>
            <w:pPr>
              <w:spacing w:after="0"/>
              <w:rPr>
                <w:sz w:val="19"/>
                <w:szCs w:val="19"/>
                <w:color w:val="auto"/>
              </w:rPr>
            </w:pPr>
          </w:p>
        </w:tc>
      </w:tr>
      <w:tr>
        <w:trPr>
          <w:trHeight w:val="238"/>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Rate to Total Income Tax Expense</w:t>
            </w:r>
          </w:p>
        </w:tc>
        <w:tc>
          <w:tcPr>
            <w:tcW w:w="36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$41.0</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w:t>
            </w:r>
          </w:p>
        </w:tc>
      </w:tr>
      <w:tr>
        <w:trPr>
          <w:trHeight w:val="23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3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21 %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Computed at Statutory Federal Rate</w:t>
            </w:r>
          </w:p>
        </w:tc>
        <w:tc>
          <w:tcPr>
            <w:tcW w:w="36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$8.6</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Tax Due to:</w:t>
            </w:r>
          </w:p>
        </w:tc>
        <w:tc>
          <w:tcPr>
            <w:tcW w:w="3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Taxes – Net of Federal Income Tax Benefit</w:t>
            </w:r>
          </w:p>
        </w:tc>
        <w:tc>
          <w:tcPr>
            <w:tcW w:w="36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4.6</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Production Tax Credits </w:t>
            </w:r>
            <w:r>
              <w:rPr>
                <w:rFonts w:ascii="Times New Roman" w:cs="Times New Roman" w:eastAsia="Times New Roman" w:hAnsi="Times New Roman"/>
                <w:sz w:val="16"/>
                <w:szCs w:val="16"/>
                <w:i w:val="1"/>
                <w:iCs w:val="1"/>
                <w:color w:val="auto"/>
              </w:rPr>
              <w:t>(a)</w:t>
            </w:r>
          </w:p>
        </w:tc>
        <w:tc>
          <w:tcPr>
            <w:tcW w:w="36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(11.6)</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w:t>
            </w:r>
            <w:r>
              <w:rPr>
                <w:rFonts w:ascii="Times New Roman" w:cs="Times New Roman" w:eastAsia="Times New Roman" w:hAnsi="Times New Roman"/>
                <w:sz w:val="16"/>
                <w:szCs w:val="16"/>
                <w:i w:val="1"/>
                <w:iCs w:val="1"/>
                <w:color w:val="auto"/>
              </w:rPr>
              <w:t>(a)</w:t>
            </w:r>
          </w:p>
        </w:tc>
        <w:tc>
          <w:tcPr>
            <w:tcW w:w="36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(0.3)</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Differences – Excess Deferred Tax</w:t>
            </w:r>
          </w:p>
        </w:tc>
        <w:tc>
          <w:tcPr>
            <w:tcW w:w="36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36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AFUDC – Equity</w:t>
            </w:r>
          </w:p>
        </w:tc>
        <w:tc>
          <w:tcPr>
            <w:tcW w:w="36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bl>
    <w:p>
      <w:pPr>
        <w:spacing w:after="0" w:line="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For the three months ended March 31, 2024 and 2023, the credits are presented net of any estimated discount on the sale of certain credits.</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effective tax rate was 9.7 percent (3.8 percent for the three months ended March 31, 2023). The effective tax rates for 2024 and 2023 were primarily impacted by production tax credits.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Uncertain Tax Positions. </w:t>
      </w:r>
      <w:r>
        <w:rPr>
          <w:rFonts w:ascii="Times New Roman" w:cs="Times New Roman" w:eastAsia="Times New Roman" w:hAnsi="Times New Roman"/>
          <w:sz w:val="18"/>
          <w:szCs w:val="18"/>
          <w:color w:val="auto"/>
        </w:rPr>
        <w:t>As of March 31, 2024, we had gross unrecognized tax benefits of $1.1 million ($1.1 million as of December 31, 2023).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gross unrecognized tax benefits, $0.6 million represents the amount of unrecognized tax benefits included on the Consolidated Balance Sheet that, if recognized, would favorably impact the effective income tax rate. The unrecognized tax benefit amounts have been presented as an increase to the net deferred tax liability on the Consolidated Balance Sheet.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and its subsidiaries file a consolidated federal income tax return as well as combined and separate state income tax returns in various jurisdictions. ALLETE is currently under examination by the state of Minnesota for the tax years 2020 through 2022. ALLETE has no open federal audits and is no longer subject to federal examination for years before 2021 or state examination for years before 2020. Additionally, the statute of limitations related to the federal tax credit carryforwards will remain open until those credits are utilized in subsequent returns.</w:t>
      </w:r>
    </w:p>
    <w:p>
      <w:pPr>
        <w:sectPr>
          <w:pgSz w:w="11900" w:h="16838" w:orient="portrait"/>
          <w:cols w:equalWidth="0" w:num="1">
            <w:col w:w="11240"/>
          </w:cols>
          <w:pgMar w:left="320" w:top="88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PENSION AND OTHER POSTRETIREMENT BENEFIT PLANS</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6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20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38"/>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Non-Service Cost Components </w:t>
            </w:r>
            <w:r>
              <w:rPr>
                <w:rFonts w:ascii="Times New Roman" w:cs="Times New Roman" w:eastAsia="Times New Roman" w:hAnsi="Times New Roman"/>
                <w:sz w:val="16"/>
                <w:szCs w:val="16"/>
                <w:i w:val="1"/>
                <w:iCs w:val="1"/>
                <w:color w:val="auto"/>
              </w:rPr>
              <w:t>(a)</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9.7</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(11.2)</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These components of net periodic benefit cost (credit) are included in the line item “Other” under Other Income (Expense) on the Consolidated Statement of Income.</w:t>
      </w:r>
    </w:p>
    <w:p>
      <w:pPr>
        <w:spacing w:after="0" w:line="2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Employer Contributions. </w:t>
      </w:r>
      <w:r>
        <w:rPr>
          <w:rFonts w:ascii="Times New Roman" w:cs="Times New Roman" w:eastAsia="Times New Roman" w:hAnsi="Times New Roman"/>
          <w:sz w:val="18"/>
          <w:szCs w:val="18"/>
          <w:color w:val="auto"/>
        </w:rPr>
        <w:t>For the three months ended March 31, 2024, we contributed $25.0 million in cash to the defined benefit pension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($6.5 million for the three months ended March 31, 2023); we do not expect to make additional contributions to our defined benefit pension plans in 2024. For the three months ended March 31, 2024 and 2023, we made no contributions to our other postretirement benefit plans; we do not expect to make any contributions to our other postretirement benefit plans in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BUSINESS SEGMENTS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two reportable segments: Regulated Operations and ALLETE Clean Energy. We measure performance of our operations through budgeting and monitoring of contributions to consolidated net income by each business segment.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New Energy, a renewable energy development company, BNI Energy, our coal mining operations in North Dakota,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BUSINESS SEGMENTS (Continued)</w:t>
            </w:r>
          </w:p>
        </w:tc>
        <w:tc>
          <w:tcPr>
            <w:tcW w:w="3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1"/>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90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29"/>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90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20" w:type="dxa"/>
            <w:vAlign w:val="bottom"/>
          </w:tcPr>
          <w:p>
            <w:pPr>
              <w:spacing w:after="0"/>
              <w:rPr>
                <w:sz w:val="20"/>
                <w:szCs w:val="20"/>
                <w:color w:val="auto"/>
              </w:rPr>
            </w:pPr>
          </w:p>
        </w:tc>
        <w:tc>
          <w:tcPr>
            <w:tcW w:w="63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Regulated Operations</w:t>
            </w:r>
          </w:p>
        </w:tc>
        <w:tc>
          <w:tcPr>
            <w:tcW w:w="3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Regulated Operations</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0" w:type="dxa"/>
            <w:vAlign w:val="bottom"/>
            <w:tcBorders>
              <w:bottom w:val="single" w:sz="8" w:color="auto"/>
            </w:tcBorders>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ALLETE Clean Energy</w:t>
            </w:r>
          </w:p>
        </w:tc>
        <w:tc>
          <w:tcPr>
            <w:tcW w:w="3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PSA</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Wind Energy Facilities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ALLETE Clean Energy</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Borders>
              <w:bottom w:val="single" w:sz="8" w:color="auto"/>
            </w:tcBorders>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3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Contract</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Renewable Development Projects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Corporate and Other</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ALLETE</w:t>
            </w:r>
          </w:p>
        </w:tc>
        <w:tc>
          <w:tcPr>
            <w:tcW w:w="3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Regulated Operations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ALLETE Clean Energy</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Income Attributable to ALLETE</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tcBorders>
              <w:bottom w:val="single" w:sz="8" w:color="auto"/>
            </w:tcBorders>
            <w:shd w:val="clear" w:color="auto" w:fill="CCEEFF"/>
          </w:tcPr>
          <w:p>
            <w:pPr>
              <w:spacing w:after="0"/>
              <w:rPr>
                <w:sz w:val="19"/>
                <w:szCs w:val="19"/>
                <w:color w:val="auto"/>
              </w:rPr>
            </w:pPr>
          </w:p>
        </w:tc>
      </w:tr>
      <w:tr>
        <w:trPr>
          <w:trHeight w:val="520"/>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2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Regulated Operations</w:t>
            </w:r>
          </w:p>
        </w:tc>
        <w:tc>
          <w:tcPr>
            <w:tcW w:w="38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$4,345.1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$4,335.0</w:t>
            </w:r>
          </w:p>
        </w:tc>
        <w:tc>
          <w:tcPr>
            <w:tcW w:w="20" w:type="dxa"/>
            <w:vAlign w:val="bottom"/>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ALLETE Clean Energy</w:t>
            </w:r>
          </w:p>
        </w:tc>
        <w:tc>
          <w:tcPr>
            <w:tcW w:w="38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1,580.0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1,594.1</w:t>
            </w:r>
          </w:p>
        </w:tc>
        <w:tc>
          <w:tcPr>
            <w:tcW w:w="20" w:type="dxa"/>
            <w:vAlign w:val="bottom"/>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6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Corporate and Other</w:t>
            </w:r>
          </w:p>
        </w:tc>
        <w:tc>
          <w:tcPr>
            <w:tcW w:w="38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679.5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63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$6,604.6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11. SUBSEQUENT EVENT – AGREEMENT AND PLAN OF MERGER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2024, ALLETE entered into the Merger Agreement. Pursuant to the Merger Agreement, on the terms and subject to the conditions set forth therein, Alloy Merger Sub will merge with and into ALLETE, with ALLETE continuing as the surviving corporation in the Merger and becoming a subsidiary of Alloy Parent.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which has been unanimously approved by the board of directors of ALLETE, at the effective time of the Merger (Effective Time), each share of common stock, without par value, of ALLETE (ALLETE common stock) issued and outstanding immediately prior to the Effective Time (other than shares of ALLETE common stock held by any holder who properly exercises dissenters’ rights under Minnesota law in respect of such shares and any shares of ALLETE common stock held by an affiliate of Alloy Parent) shall be converted into the right to receive $67.00 in cash, without interest (Merger Consideration). The aggregate equity value of the ALLETE common stock acquired by Parent will be approximately $3.9 billion as calculated as of May 5, 2024.</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at the Effective Time, each restricted stock unit with respect to ALLETE common stock subject to time-based vesting that is outstanding immediately prior to the Effective Time (RSU) will be cancelled and converted into a contingent right to receive an amount in cash, without interest, equal to the Merger Consideration, payable (i) in the case of such right converted from unvested RSUs, upon the same vesting conditions as applied to the corresponding RSU or (ii) in the case of such right converted from vested RSUs, as soon as reasonably practicable following the closing date of the Merger (the Closing Date). Each performance share award with respect to ALLETE common stock that is outstanding and unvested immediately prior to the Effective Time will be cancelled and converted into a right to receive, without interest, the Merger Consideration multiplied by the number of shares of ALLETE common stock subject to the award, determined based on attainment of the greater of target and actual performance as of the last business day immediately preceding the Closing Date. A pro rata portion (based on the elapsed portion of the performance period at that time) of the converted performance share awards will be paid out as soon as reasonably practicable following the Closing Date, with the remainder of the award being subject to time-vesting for the remainder of the applicable performance period. Further, purchase rights accumulated during the offering period in effect under the Company’s Employee Stock Purchase Plan (ESPP) immediately prior to closing will be automatically exercised into shares of ALLETE common stock no later than five business days prior to the Closing Date, and the ESPP will be terminated as of immediately prior to the Closing Date.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Consummation of the Merger is subject to various closing conditions, including: (1) approval of the shareholders of the Company; (2) receipt of all required regulatory approvals without the imposition of a Burdensome Condition (as defined in the Merger Agreement); (3) absence of any law or order prohibiting the consummation of the Merger; (4) subject to materiality qualifiers, the accuracy of each party’s representations and warranties; (5) each party’s compliance in all material respects with its obligations and covenants under the Merger Agreement; and (6) the absence of a material adverse effect</w:t>
      </w:r>
    </w:p>
    <w:p>
      <w:pPr>
        <w:spacing w:after="0" w:line="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Company. The Merger Agreement contains certain termination rights for ALLETE and Alloy Parent, which were described in a Current Report of Form 8-K filed by ALLETE on May 6, 2024. In the Merger Agreement, among other things, ALLETE has agreed, subject to certain exceptions, to, and to cause each of its subsidiaries to conduct its business in the ordinary course, consistent with past practice, from the date of the Merger Agreement until the Effective Time, and not to take certain actions prior to the closing of the Merger without the prior written consent of Alloy Parent (which consent shall not be unreasonably withheld, conditioned or delayed, except where ALLETE seeks Alloy Parent’s consent to enter into a material new line of business or cease operations of an existing material line of business). The Merger Agreement also provides that the Company may request that Alloy Parent purchase up to a total of $300 million of preferred stock of the Company in the second half of 2025, subject to certain parameters. If Alloy Parent declines to purchase the preferred stock, the Company will have the right to issue Company common stock up to certain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notes to those statements, Management’s Discussion and Analysis of Financial Condition and Results of Operations from our 2023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2023 Form 10-K under the headings: “Forward-Looking Statements” located on page 7 and “Risk Factors” located in Part I, Item 1A, beginning on page 25 of our 2023 Form 10-K. The risks and uncertainties described in this Form 10-Q and our 2023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5, 2024, ALLETE entered into the Merger Agreement. (See Note 11. Subsequent Event – Agreement and Plan of Merger.)</w:t>
      </w: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includes our regulated utilities, Minnesota Power and SWL&amp;P, as well as our investment in ATC, a Wisconsin-based regulated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2. Regulatory Matters.)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focuses on developing, acquiring, and operating clean and renewable energy projects. ALLETE Clean Energy currently owns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in seven states, more than 1,200 MW of nameplate capacity wind energy generation with a majority contracted under PSAs of various durations. In addition, ALLETE Clean Energy also engages in the development of wind energy facilities to operate under long-term PSAs or for sale to others upon completion.</w:t>
      </w:r>
    </w:p>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is comprised of New Energy, a renewable development company; our investment in Nobles 2, an entity that owns and operates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is incorporated under the laws of Minnesota. Our corporate headquarters are in Duluth, Minnesota. Statistical information is presented as of March 31, 2024, unless otherwise indicated. All subsidiaries are wholly-owned unless otherwise specifically indicated. References in this report to “we,” “us” and “our” are to ALLETE and its subsidiaries, collectively.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net income discussion summarizes a comparison of the three months ended March 31, 2024, to the three months ended March 31, 2023.</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ALLETE for the three months ended March 31, 2024, was $50.7 million, or $0.88 per diluted share, compared to $58.2 million, or $1.02 per diluted share, for the same period in 2023. Net income in 2024 includes interim rate refund reserves of $3.9 million after-tax, or $0.07 per share, due to Minnesota Power’s rate case settlement. (See Note 2. Regulatory Matters.) Net income in 2024 also includes transaction costs of $1.2 million after-tax, or $0.02 per share, related to the Merger. (See Note 11. Subsequent Event – 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CONDITION AND RESULTS OF OPERATIONS (Continued)</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net income attributable to ALLETE was $44.2 million for the three months ended March 31, 2024, compared to $40.6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in 2023. Net income at Minnesota Power was higher than 2023 primarily due to the implementation of interim rates on January 1, 2024, net of reserves related to Minnesota Power’s rate case settlement. (See Note 2. Regulatory Matters.) This increase was partially offset by higher operating and maintenance and depreciation expenses. Net income at SWL&amp;P and our after-tax equity earnings in ATC were similar to 2023. (See Note 3. Equity Investments.)</w:t>
      </w:r>
    </w:p>
    <w:p>
      <w:pPr>
        <w:spacing w:after="0" w:line="20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net income attributable to ALLETE was $3.8 million for the three months ended March 31, 2024, compared to $8.5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in 2023. Net income in 2024 reflected a forced outage located near its Caddo wind energy facility and a transformer outage at its Diamond Spring wind energy facility resulting in lower earnings. These decreases were partially offset by lower operating and maintenance expense.</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net income attributable to ALLETE was $2.7 million for the three months ended March 31, 2024, compared to $9.1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2023. Net income in 2024 reflects lower earnings from Minnesota solar projects as investment tax credits were recognized in 2023 for the projects. Net income in 2024 also reflects higher income taxes and interest expense compared to 2023. Net income in 2024 also includes transaction costs of $1.2 million after-tax related to the Merger. (See Note 11. Subsequent Event – Agreement and Plan of Merger.) Net income at New Energy was $4.0 million in 2024 compared to $4.1 million in 2023.</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tc>
        <w:tc>
          <w:tcPr>
            <w:tcW w:w="2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10. Business Segments for financial results by segment.)</w:t>
            </w: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Regulated Operations</w:t>
            </w: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94"/>
        </w:trPr>
        <w:tc>
          <w:tcPr>
            <w:tcW w:w="440" w:type="dxa"/>
            <w:vAlign w:val="bottom"/>
          </w:tcPr>
          <w:p>
            <w:pPr>
              <w:spacing w:after="0"/>
              <w:rPr>
                <w:sz w:val="24"/>
                <w:szCs w:val="24"/>
                <w:color w:val="auto"/>
              </w:rPr>
            </w:pPr>
          </w:p>
        </w:tc>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 – Utility</w:t>
            </w:r>
          </w:p>
        </w:tc>
        <w:tc>
          <w:tcPr>
            <w:tcW w:w="2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$338.3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30"/>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133.7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30"/>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66.8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9"/>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15.7</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440" w:type="dxa"/>
            <w:vAlign w:val="bottom"/>
          </w:tcPr>
          <w:p>
            <w:pPr>
              <w:spacing w:after="0"/>
              <w:rPr>
                <w:sz w:val="19"/>
                <w:szCs w:val="19"/>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2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40" w:type="dxa"/>
            <w:vAlign w:val="bottom"/>
          </w:tcPr>
          <w:p>
            <w:pPr>
              <w:spacing w:after="0"/>
              <w:rPr>
                <w:sz w:val="19"/>
                <w:szCs w:val="19"/>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49.1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40" w:type="dxa"/>
            <w:vAlign w:val="bottom"/>
          </w:tcPr>
          <w:p>
            <w:pPr>
              <w:spacing w:after="0"/>
              <w:rPr>
                <w:sz w:val="19"/>
                <w:szCs w:val="19"/>
                <w:color w:val="auto"/>
              </w:rPr>
            </w:pPr>
          </w:p>
        </w:tc>
        <w:tc>
          <w:tcPr>
            <w:tcW w:w="7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30"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Utility </w:t>
      </w:r>
      <w:r>
        <w:rPr>
          <w:rFonts w:ascii="Times New Roman" w:cs="Times New Roman" w:eastAsia="Times New Roman" w:hAnsi="Times New Roman"/>
          <w:sz w:val="18"/>
          <w:szCs w:val="18"/>
          <w:color w:val="auto"/>
        </w:rPr>
        <w:t>increased $25.7 million from 2023 primarily due to the implementation of interim rates on January 1, 2024,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fuel adjustment clause recoveries and kWh sales, partially offset by lower cost recovery rider revenue and gas sales.</w:t>
      </w:r>
    </w:p>
    <w:p>
      <w:pPr>
        <w:spacing w:after="0" w:line="18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Interim retail rates for Minnesota Power, subject to refund, were approved by the MPUC and became effective January 1, 2024, resulting in revenue of $11.2 million, net of reserves related to Minnesota Power’s rate case settlement and rider revenue incorporated into base rates. (See Note 2. Regulatory Matters.)</w:t>
      </w:r>
    </w:p>
    <w:p>
      <w:pPr>
        <w:spacing w:after="0" w:line="20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 xml:space="preserve">Fuel adjustment clause revenue increased $8.4 million due to higher fuel and purchased power costs attributable to retail and municipal customers. (See </w:t>
      </w:r>
      <w:r>
        <w:rPr>
          <w:rFonts w:ascii="Times New Roman" w:cs="Times New Roman" w:eastAsia="Times New Roman" w:hAnsi="Times New Roman"/>
          <w:sz w:val="18"/>
          <w:szCs w:val="18"/>
          <w:i w:val="1"/>
          <w:iCs w:val="1"/>
          <w:color w:val="auto"/>
        </w:rPr>
        <w:t>Fuel, Purchased Power and Gas – Utility.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Higher kWh sales increased revenue by $7.8 million from 2023 reflecting higher sales to industrial customers and other power suppliers as well as higher market prices, partially offset by lower sales to residential, commercial and municipal customers. Sales to industrial customers increased primarily due to higher sales to taconite customers reflecting Cliff’s Northshore mine operating in 2024 compared to being idled in the first quarter of 2023. Sales to other power suppliers, which are sold at market-based prices into the MISO market on a daily basis or through PSAs of various durations, increased reflecting more market sales and higher market prices in 2024 compared to 2023. Sales to residential, commercial and municipal customers decreased from 2023 primarily due to warmer weather in 2024 compared to 2023.</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680" w:type="dxa"/>
            <w:vAlign w:val="bottom"/>
          </w:tcPr>
          <w:p>
            <w:pPr>
              <w:spacing w:after="0"/>
              <w:rPr>
                <w:sz w:val="19"/>
                <w:szCs w:val="19"/>
                <w:color w:val="auto"/>
              </w:rPr>
            </w:pPr>
          </w:p>
        </w:tc>
      </w:tr>
      <w:tr>
        <w:trPr>
          <w:trHeight w:val="23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306</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321</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4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2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338</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347</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1,798</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1,658</w:t>
            </w:r>
          </w:p>
        </w:tc>
        <w:tc>
          <w:tcPr>
            <w:tcW w:w="14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140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0"/>
        </w:trPr>
        <w:tc>
          <w:tcPr>
            <w:tcW w:w="4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125</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128</w:t>
            </w: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4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2,567</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2,454</w:t>
            </w:r>
          </w:p>
        </w:tc>
        <w:tc>
          <w:tcPr>
            <w:tcW w:w="14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113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4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757</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696</w:t>
            </w: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61</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3,324</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3,150</w:t>
            </w:r>
          </w:p>
        </w:tc>
        <w:tc>
          <w:tcPr>
            <w:tcW w:w="148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174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bl>
    <w:p>
      <w:pPr>
        <w:spacing w:after="0" w:line="31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Revenue from electric sales to taconite customers accounted for 32 percent of regulated operating revenue in 2024 (30 percent in 2023). Revenue from electric sales to paper, pulp and secondary wood product customers accounted for 5 percent of regulated operating revenue in 2024 (4 percent in 2023). Revenue from electric sales to pipelines and other industrial customers accounted for 10 percent of regulated operating revenue in 2024 (11 percent in 2023).</w:t>
      </w:r>
    </w:p>
    <w:p>
      <w:pPr>
        <w:spacing w:after="0" w:line="20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 xml:space="preserve">Revenue from gas sales at SWL&amp;P decreased $4.2 million reflecting fewer gas sales resulting from warmer weather and lower gas prices in 2024 compared to 2023. (See </w:t>
      </w:r>
      <w:r>
        <w:rPr>
          <w:rFonts w:ascii="Times New Roman" w:cs="Times New Roman" w:eastAsia="Times New Roman" w:hAnsi="Times New Roman"/>
          <w:sz w:val="18"/>
          <w:szCs w:val="18"/>
          <w:i w:val="1"/>
          <w:iCs w:val="1"/>
          <w:color w:val="auto"/>
        </w:rPr>
        <w:t>Fuel, Purchased Power and Gas – Utility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increased $24.3 million, or 9 percent, from 2023.</w:t>
      </w:r>
    </w:p>
    <w:p>
      <w:pPr>
        <w:spacing w:after="0" w:line="25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Fuel, Purchased Power and Gas – Utility </w:t>
      </w:r>
      <w:r>
        <w:rPr>
          <w:rFonts w:ascii="Times New Roman" w:cs="Times New Roman" w:eastAsia="Times New Roman" w:hAnsi="Times New Roman"/>
          <w:sz w:val="18"/>
          <w:szCs w:val="18"/>
          <w:color w:val="auto"/>
        </w:rPr>
        <w:t>expense increased $15.1 million, or 13 percent, from 2023 primarily due to higher kWh sales,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prices and fuel costs. These increases were partially offset by lower gas sales and prices.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Transmission Services – Utility </w:t>
      </w:r>
      <w:r>
        <w:rPr>
          <w:rFonts w:ascii="Times New Roman" w:cs="Times New Roman" w:eastAsia="Times New Roman" w:hAnsi="Times New Roman"/>
          <w:sz w:val="18"/>
          <w:szCs w:val="18"/>
          <w:color w:val="auto"/>
        </w:rPr>
        <w:t>expense increased $2.6 million, or 13 percent, from 2023 primarily due to higher MISO-related expense.</w:t>
      </w:r>
    </w:p>
    <w:p>
      <w:pPr>
        <w:spacing w:after="0" w:line="252"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w:t>
      </w:r>
      <w:r>
        <w:rPr>
          <w:rFonts w:ascii="Times New Roman" w:cs="Times New Roman" w:eastAsia="Times New Roman" w:hAnsi="Times New Roman"/>
          <w:sz w:val="18"/>
          <w:szCs w:val="18"/>
          <w:color w:val="auto"/>
        </w:rPr>
        <w:t>expense increased $4.9 million, or 8 percent, from 2023 primarily due to higher salaries and wages, benefit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and professional services.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expense increased $1.9 million, or 4 percent, from 2023 primarily due to a higher plant in service balance in 2024.</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increased $3.9 million from 2023 reflecting lower pension and other postretirement benefit plan non-service costs.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increased $0.9 million from 2023 primarily due to higher pre-tax income.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tc>
        <w:tc>
          <w:tcPr>
            <w:tcW w:w="3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3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3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29"/>
        </w:trPr>
        <w:tc>
          <w:tcPr>
            <w:tcW w:w="760" w:type="dxa"/>
            <w:vAlign w:val="bottom"/>
          </w:tcPr>
          <w:p>
            <w:pPr>
              <w:spacing w:after="0"/>
              <w:rPr>
                <w:sz w:val="19"/>
                <w:szCs w:val="19"/>
                <w:color w:val="auto"/>
              </w:rPr>
            </w:pPr>
          </w:p>
        </w:tc>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Other – Non-utility </w:t>
            </w:r>
            <w:r>
              <w:rPr>
                <w:rFonts w:ascii="Times New Roman" w:cs="Times New Roman" w:eastAsia="Times New Roman" w:hAnsi="Times New Roman"/>
                <w:sz w:val="16"/>
                <w:szCs w:val="16"/>
                <w:i w:val="1"/>
                <w:iCs w:val="1"/>
                <w:color w:val="auto"/>
              </w:rPr>
              <w:t>(a)</w:t>
            </w:r>
          </w:p>
        </w:tc>
        <w:tc>
          <w:tcPr>
            <w:tcW w:w="3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Non-utility</w:t>
            </w:r>
          </w:p>
        </w:tc>
        <w:tc>
          <w:tcPr>
            <w:tcW w:w="3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29"/>
        </w:trPr>
        <w:tc>
          <w:tcPr>
            <w:tcW w:w="76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Maintenance</w:t>
            </w:r>
          </w:p>
        </w:tc>
        <w:tc>
          <w:tcPr>
            <w:tcW w:w="3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60" w:type="dxa"/>
            <w:vAlign w:val="bottom"/>
          </w:tcPr>
          <w:p>
            <w:pPr>
              <w:spacing w:after="0"/>
              <w:rPr>
                <w:sz w:val="19"/>
                <w:szCs w:val="19"/>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76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6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60" w:type="dxa"/>
            <w:vAlign w:val="bottom"/>
          </w:tcPr>
          <w:p>
            <w:pPr>
              <w:spacing w:after="0"/>
              <w:rPr>
                <w:sz w:val="19"/>
                <w:szCs w:val="19"/>
                <w:color w:val="auto"/>
              </w:rPr>
            </w:pPr>
          </w:p>
        </w:tc>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76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7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(a)</w:t>
        <w:tab/>
        <w:t>Represents non-cash amortization of differences between contract prices and estimated market prices on assumed PSAs.</w:t>
      </w:r>
    </w:p>
    <w:p>
      <w:pPr>
        <w:spacing w:after="0" w:line="255"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$182.4 million from 2023. Operating revenue in 2023 reflected the sale of ALLETE Clean Energy’s Northern Wind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project. In addition, operating revenue in 2024 was negatively impacted by a network outage located near ALLETE Clean Energy’s Caddo wind energy facility. The network outage began in the fourth quarter of 2023 resulting from a forced outage of a substation and the transmission lines feeding that substation. This forced outage increased congestion experienced by the Caddo wind energy facility resulting in lower kWh sales and pricing. (S</w:t>
      </w:r>
      <w:r>
        <w:rPr>
          <w:rFonts w:ascii="Times New Roman" w:cs="Times New Roman" w:eastAsia="Times New Roman" w:hAnsi="Times New Roman"/>
          <w:sz w:val="18"/>
          <w:szCs w:val="18"/>
          <w:i w:val="1"/>
          <w:iCs w:val="1"/>
          <w:color w:val="auto"/>
        </w:rPr>
        <w:t>ee Outlook - ALLETE Clean Energy.</w:t>
      </w:r>
      <w:r>
        <w:rPr>
          <w:rFonts w:ascii="Times New Roman" w:cs="Times New Roman" w:eastAsia="Times New Roman" w:hAnsi="Times New Roman"/>
          <w:sz w:val="18"/>
          <w:szCs w:val="18"/>
          <w:color w:val="auto"/>
        </w:rPr>
        <w:t>)</w:t>
      </w: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40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 and Operating Revenue</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kWh</w:t>
            </w: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 Energy Regions</w:t>
            </w:r>
          </w:p>
        </w:tc>
        <w:tc>
          <w:tcPr>
            <w:tcW w:w="14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73.4</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79.4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Midwest</w:t>
            </w:r>
          </w:p>
        </w:tc>
        <w:tc>
          <w:tcPr>
            <w:tcW w:w="1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163.1</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155.2</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284.1</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618.9</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w:t>
            </w:r>
          </w:p>
        </w:tc>
        <w:tc>
          <w:tcPr>
            <w:tcW w:w="1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186.9</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197.1</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 of Wind Energy Facility</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Production and Operating Revenue</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707.5</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$19.1</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1,050.6</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Non-utility </w:t>
      </w:r>
      <w:r>
        <w:rPr>
          <w:rFonts w:ascii="Times New Roman" w:cs="Times New Roman" w:eastAsia="Times New Roman" w:hAnsi="Times New Roman"/>
          <w:sz w:val="18"/>
          <w:szCs w:val="18"/>
          <w:color w:val="auto"/>
        </w:rPr>
        <w:t>decreased $181.6 million from 2023. Cost of sales – Non-utility in 2023 reflected the sale of ALLETE Clean Energy’s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Northern Wind project.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increased $1.4 million from 2023 primarily due to higher interest income in 2024 compared to 2023.</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w:t>
      </w:r>
      <w:r>
        <w:rPr>
          <w:rFonts w:ascii="Times New Roman" w:cs="Times New Roman" w:eastAsia="Times New Roman" w:hAnsi="Times New Roman"/>
          <w:sz w:val="18"/>
          <w:szCs w:val="18"/>
          <w:color w:val="auto"/>
        </w:rPr>
        <w:t>increased $2.5 million from 2023 primarily due to lower net losses attributable to non-controlling interest.</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 (Continued)</w:t>
      </w:r>
    </w:p>
    <w:p>
      <w:pPr>
        <w:spacing w:after="0" w:line="230"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Attributable to Non-Controlling Interest </w:t>
      </w:r>
      <w:r>
        <w:rPr>
          <w:rFonts w:ascii="Times New Roman" w:cs="Times New Roman" w:eastAsia="Times New Roman" w:hAnsi="Times New Roman"/>
          <w:sz w:val="18"/>
          <w:szCs w:val="18"/>
          <w:color w:val="auto"/>
        </w:rPr>
        <w:t>decreased $9.4 million from 2023 reflecting lower availability at ALLETE Clean Energy’s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financed wind energy facilities resulting from the impacts of a network outage near the Caddo wind energy facility and a transformer outage at the Diamond Spring wind energy facility.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$4.9 million, or 10 percent, from 2023 primarily due to lower revenue from sales of renewable energy projects at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 2024 compared to 2023 reflecting the timing of project closings.</w:t>
      </w:r>
    </w:p>
    <w:p>
      <w:pPr>
        <w:spacing w:after="0" w:line="182"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ALLETE </w:t>
      </w:r>
      <w:r>
        <w:rPr>
          <w:rFonts w:ascii="Times New Roman" w:cs="Times New Roman" w:eastAsia="Times New Roman" w:hAnsi="Times New Roman"/>
          <w:sz w:val="18"/>
          <w:szCs w:val="18"/>
          <w:color w:val="auto"/>
        </w:rPr>
        <w:t>was $2.7 million in 2024 compared to $9.1 million in 2023. Net income in 2024 reflects lower earnings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Minnesota solar projects as investment tax credits were recognized in 2023 for the projects. Net income in 2024 also reflects higher income taxes and interest expense compared to 2023. Net income in 2024 also includes transaction costs of $1.2 million after-tax related to the Merger. (See Note 11. Subsequent Event – Agreement and Plan of Merger.) Net income at New Energy was $4.0 million in 2024 compared to $4.1 million in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Consolidated</w:t>
      </w:r>
    </w:p>
    <w:p>
      <w:pPr>
        <w:spacing w:after="0" w:line="24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effective tax rate was an expense of 9.7 percent (3.8 percent for the three months ended March 31, 2023) primarily due to higher pre-tax income.</w:t>
      </w:r>
    </w:p>
    <w:p>
      <w:pPr>
        <w:spacing w:after="0" w:line="189"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8"/>
          <w:szCs w:val="18"/>
          <w:color w:val="auto"/>
        </w:rPr>
        <w:t>We expect our annual effective tax rate in 2024 to be lower than 2023 primarily due to lower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goodwill, impairment of long-lived assets, and taxation. These policies are reviewed with the Audit Committee of our Board of Directors on a regular basis and summarized in Part II, Item 7. Management’s Discussion and Analysis of Financial Condition and Results of Operations of our 2023 Form 10-K.</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our 2023 Form 10-K.</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5, 2024, ALLETE entered into the Merger Agreement. (See Note 11. Subsequent Event – Agreement and Plan of Merger.) As a result of the Merger, transaction costs are expected to be material for the remainder of 2024.</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2024. ALLETE expects its businesses to generally provide regulated, contracted or recurring revenues, and to support sustained growth in net income and cash flow.</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Minnesota Carbon-Free Legislation. </w:t>
      </w:r>
      <w:r>
        <w:rPr>
          <w:rFonts w:ascii="Times New Roman" w:cs="Times New Roman" w:eastAsia="Times New Roman" w:hAnsi="Times New Roman"/>
          <w:sz w:val="18"/>
          <w:szCs w:val="18"/>
          <w:color w:val="auto"/>
        </w:rPr>
        <w:t>On February 7, 2023, the Minnesota Governor signed into law legislation that updates the state’s renewable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The Company is evaluating the law to identify challenges and opportunities it could present.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Minnesota Power’s long-term strategy is to be the leading electric energy provider in northeastern Minnesota by providing safe,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In 2021, Minnesota Power announced its vision of delivering 100 percent carbon-free energy by 2050.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2024 Minnesota General Rate Case. </w:t>
      </w:r>
      <w:r>
        <w:rPr>
          <w:rFonts w:ascii="Times New Roman" w:cs="Times New Roman" w:eastAsia="Times New Roman" w:hAnsi="Times New Roman"/>
          <w:sz w:val="18"/>
          <w:szCs w:val="18"/>
          <w:color w:val="auto"/>
        </w:rPr>
        <w:t>On November 1, 2023, Minnesota Power filed a retail rate increase request with the MPUC seeking an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approximately 12.00 percent for retail customers, net of rider revenue incorporated into base rates. The rate filing seeks a return on equity of 10.30 percent and a 53.00 percent equity ratio. On an annualized basis, the requested final rate increase would generate approximately $89 million in additional revenue. In separate orders dated December 19, 2023, the MPUC accepted the filing as complete and approved an annual interim rate increase of approximately $64 million, net of rider revenue, beginning January 1, 2024, subject to refund. We cannot predict the level of final rates that may be authorized by the MPUC.</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 2024, Minnesota Power entered into a settlement agreement with the Minnesota Department of Commerce, Minnesota Office of the Attorney General, Residential Utilities Division, and Large Power Intervenors to settle the retail rate increase request. The settlement agreement is subject to approval by the MPUC. As part of the settlement agreement, the parties have agreed on all issues, including an overall rate increase of $33.97 million, net of rider revenue and amounts transferring to the fuel adjustment clause, a return on equity of 9.78 percent, all non-financial items and cost allocation. As a result of the settlement, Minnesota Power recorded a reserve for an interim rate refund of $5.5 million pre-tax as of March 31, 2024, which is subject to MPUC approval of the settlement agreement and Minnesota Power’s refund calculation. We expect estimated reserves for interim rate refunds for the full year in 2024 to be approximately $24 million pre-tax.</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Wisconsin General Rate Case. </w:t>
      </w:r>
      <w:r>
        <w:rPr>
          <w:rFonts w:ascii="Times New Roman" w:cs="Times New Roman" w:eastAsia="Times New Roman" w:hAnsi="Times New Roman"/>
          <w:sz w:val="18"/>
          <w:szCs w:val="18"/>
          <w:color w:val="auto"/>
        </w:rPr>
        <w:t>On March 29, 2024, SWL&amp;P filed a rate increase request for its electric, gas and water utilities with the PSCW.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seeks an overall return on equity of 10.00 percent and a 55.00 percent equity ratio. On an annualized basis, the requested change would increase revenue by approximately 5.90 percent for retail customers and generate an estimated $7.3 million of additional revenue. The change to SWL&amp;P customers’ rates will be determined by the PSCW later this year. Any rate adjustments are anticipated to become effective in January 2025.</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Solar Energy Request For Proposals. </w:t>
      </w:r>
      <w:r>
        <w:rPr>
          <w:rFonts w:ascii="Times New Roman" w:cs="Times New Roman" w:eastAsia="Times New Roman" w:hAnsi="Times New Roman"/>
          <w:sz w:val="18"/>
          <w:szCs w:val="18"/>
          <w:color w:val="auto"/>
        </w:rPr>
        <w:t>On October 2, 2023, Minnesota Power filed a notice with the MPUC of its intent to issue a request for proposals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300 MW of solar energy resources. Minnesota Power issued the request for proposals on November 15, 2023, which were accepted through January 17, 2024. The proposals are currently being evaluated.</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Wind Energy Request For Proposals. </w:t>
      </w:r>
      <w:r>
        <w:rPr>
          <w:rFonts w:ascii="Times New Roman" w:cs="Times New Roman" w:eastAsia="Times New Roman" w:hAnsi="Times New Roman"/>
          <w:sz w:val="18"/>
          <w:szCs w:val="18"/>
          <w:color w:val="auto"/>
        </w:rPr>
        <w:t>On December 15, 2023, Minnesota Power filed a notice with the MPUC of its intent to issue a request for proposals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up to 400 MW of wind energy resources. Minnesota Power issued the request for proposals on February 15, 2024, which were accepted through April 11, 2024.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Customers.</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Industrial Customers. </w:t>
      </w:r>
      <w:r>
        <w:rPr>
          <w:rFonts w:ascii="Times New Roman" w:cs="Times New Roman" w:eastAsia="Times New Roman" w:hAnsi="Times New Roman"/>
          <w:sz w:val="18"/>
          <w:szCs w:val="18"/>
          <w:color w:val="auto"/>
        </w:rPr>
        <w:t>Electric power is one of several key inputs in the taconite mining, paper, pulp and secondary wood products, pipeline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Approximately 54 percent of our regulated utility kWh sales in the three months ended March 31, 2024, were made to our industrial customers (53 percent in the three months ended March 31,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Taconite</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USS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USS Corporation’s Minntac and Keetac plants are large power industrial customers of Minnesota Power. These plants have the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to produce approximately 22 million tons of iron ore pellets annually which includes 4 million tons of direct-reduced grade pellets.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December 18, 2023, USS Corporation announced it entered into a definitive agreement in which Nippon Steel will acquire all of the shares of USS Corporation. On April 12, 2024, USS Corporation shareholders approved the proposed acquisition. USS Corporation expects the transaction to close in the second half of 2024, subject to regulatory approvals, at which time USS Corporation stated it will continue to operate under the U.S. Steel brand name and will maintain its headquarters in Pittsburgh, Pennsylvania.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Paper, Pulp and Secondary Wood Products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ST Paper</w:t>
      </w:r>
      <w:r>
        <w:rPr>
          <w:rFonts w:ascii="Times New Roman" w:cs="Times New Roman" w:eastAsia="Times New Roman" w:hAnsi="Times New Roman"/>
          <w:sz w:val="18"/>
          <w:szCs w:val="18"/>
          <w:color w:val="auto"/>
        </w:rPr>
        <w:t>. ST Paper, a Large Power Customer of Minnesota Power, announced on January 3, 2024, that it had entered into an agreement to sell the Duluth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 to Sofidel, a privately held Italian multinational company that is currently the seventh largest manufacturer of tissue paper in the world. Sofidel completed the acquisition of the Duluth Mill in the first quarter of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Transmission.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in ATC. </w:t>
      </w:r>
      <w:r>
        <w:rPr>
          <w:rFonts w:ascii="Times New Roman" w:cs="Times New Roman" w:eastAsia="Times New Roman" w:hAnsi="Times New Roman"/>
          <w:sz w:val="18"/>
          <w:szCs w:val="18"/>
          <w:color w:val="auto"/>
        </w:rPr>
        <w:t>ATC’s most recent 10-year transmission assessment, which covers the years 2023 through 2032, identifies a need for between $6.6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and $8.1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North Plains Connector Development Agreement. </w:t>
      </w:r>
      <w:r>
        <w:rPr>
          <w:rFonts w:ascii="Times New Roman" w:cs="Times New Roman" w:eastAsia="Times New Roman" w:hAnsi="Times New Roman"/>
          <w:sz w:val="18"/>
          <w:szCs w:val="18"/>
          <w:color w:val="auto"/>
        </w:rPr>
        <w:t>In December 2023, ALLETE and Grid United LLC, an independent transmission company,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agreements for the North Plains Connector project. The project is a new, approximately 400-mile high-voltage direct-current (HVDC) transmission line from central North Dakota, to Colstrip, Montana that will be the first transmission connection between three regional U.S. electric energy markets: MISO, the Western Interconnection and the Southwest Power Pool. This new link, open to all sources of electric generation, would create 3,000 MW of transfer capacity between the middle of the country and the West Coast, easing congestion on the transmission system, increasing resiliency and reliability in all three energy markets, and enabling fast sharing of renewable energy across a vast area with diverse weather patterns. The project capital cost is expected to be approximately $3.2 billion. ALLETE expects to pursue up to 35 percent ownership and would oversee the line’s operation. The companies began project permitting in 2023 as they work toward a planned in-service date as early as 2029, pending regulatory and other necessary approvals.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Duluth Loop Reliability Project. </w:t>
      </w:r>
      <w:r>
        <w:rPr>
          <w:rFonts w:ascii="Times New Roman" w:cs="Times New Roman" w:eastAsia="Times New Roman" w:hAnsi="Times New Roman"/>
          <w:sz w:val="18"/>
          <w:szCs w:val="18"/>
          <w:color w:val="auto"/>
        </w:rPr>
        <w:t>In October 2021, Minnesota Power submitted an application for a certificate of need for the Duluth Loop Reliability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This transmission project was proposed to enhance reliability in and around Duluth, Minnesota. The project includes the construction of a new 115-kV transmission line; construction of an approximately one-mile extension of an existing 230-kV transmission line; and upgrades to several substations. A certificate of need was granted and a route permit was issued by the MPUC on April 3, 2023. The Duluth Loop Reliability Project is expected to be completed and in service by late 2026 to early 2027, with an estimated cost of $50 million to $70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Transmission (Continued)</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HVDC Transmission System Project. </w:t>
      </w:r>
      <w:r>
        <w:rPr>
          <w:rFonts w:ascii="Times New Roman" w:cs="Times New Roman" w:eastAsia="Times New Roman" w:hAnsi="Times New Roman"/>
          <w:sz w:val="18"/>
          <w:szCs w:val="18"/>
          <w:color w:val="auto"/>
        </w:rPr>
        <w:t>On June 1, 2023, Minnesota Power submitted an application for a certificate of need and route permit with the MPUC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replace aging critical infrastructure and modernize the terminal stations of its HVDC transmission line. Minnesota Power uses the 465-mile, 250-kV HVDC transmission line that runs from Center, North Dakota, to Duluth, Minnesota, to transport wind energy from North Dakota while gradually phasing out coal-based electricity delivered to its system over this transmission line from Square Butte’s lignite coal-fired generating unit. The HVDC transmission system project is expected to improve reliability of the transmission system, improve system resiliency, expand the operating capacity of the HVDC terminals, and replace critical infrastructure. Pending regulatory approvals in Minnesota and North Dakota, construction could begin as early as 2024, with an in-service date expected between 2028 and 2030. The project is estimated to cost between $800 million and $900 million. On October 18, 2023, the U.S. Department of Energy awarded a $50 million grant to Minnesota Power for this project, which will be used to prepare the HVDC transmission system for future expansion and help reduce project costs to customers. In addition, this project was awarded $15 million in state funding as part of an energy and climate budget bill passed by the Minnesota Legislature in 2023. Further, Minnesota Power’s application to the Minnesota Department of Commerce (DOC) State Competitiveness Fund Match Program received notification the DOC is reserving $10 million as a cost share for the project. In total, Minnesota Power has been awarded $75 million in federal and state dollars in support of the project.</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Northland Reliability Project</w:t>
      </w:r>
      <w:r>
        <w:rPr>
          <w:rFonts w:ascii="Times New Roman" w:cs="Times New Roman" w:eastAsia="Times New Roman" w:hAnsi="Times New Roman"/>
          <w:sz w:val="18"/>
          <w:szCs w:val="18"/>
          <w:color w:val="auto"/>
        </w:rPr>
        <w:t>. Minnesota Power and Great River Energy announced in July 2022 their intent to build a 150-mile, 345-kV transmission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connecting northern Minnesota to central Minnesota to support continued reliability in the Upper Midwest. Great River Energy, a wholesale electric power cooperative, and Minnesota Power filed a Notice of Intent to Construct, Own and Maintain the transmission line with the MPUC in August 2022. This joint project is part of a portfolio of transmission projects approved in July 2022 by MISO as part of the first phase of its Long Range Transmission Plan. Planning for the approximately $970 million to $1,350 million transmission line is in its early stages with the route anticipated to generally follow existing rights of way in an established power line corridor. The MPUC will determine the final route as well as cost recovery for Minnesota Power’s approximately 50 percent estimated share of the project. On August 4, 2023, Minnesota Power and Great River Energy submitted an application for a certificate of need and route permit with the MPUC. On March 13, 2024, Minnesota Power submitted a filing with the FERC requesting to recover on construction work in progress related to this project from Minnesota Power’s wholesale customers. Subject to regulatory approvals, the transmission line is expected to be in service in 2030.</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Big Stone South Transmission Project. </w:t>
      </w:r>
      <w:r>
        <w:rPr>
          <w:rFonts w:ascii="Times New Roman" w:cs="Times New Roman" w:eastAsia="Times New Roman" w:hAnsi="Times New Roman"/>
          <w:sz w:val="18"/>
          <w:szCs w:val="18"/>
          <w:color w:val="auto"/>
        </w:rPr>
        <w:t>Northern States Power, Great River Energy, Minnesota Power, Otter Tail Power Company, and Missouri 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Resources (Project Developers) announced in July 2022 their intent to build a 150-mile, 345-kV transmission line to improve reliability in North Dakota and South Dakota, and western and central Minnesota. This joint project is part of a portfolio of transmission projects approved in July 2022 by MISO as part of the first phase of its Long Range Transmission Plan. A Notice of Intent to Construct, Own and Maintain the transmission line was filed with the MPUC in October 2022. On September 29, 2023, the Project Developers submitted an application for a certificate of need and route permit with the MPUC. The project is in its early stages and is expected to cost between $600 million and $700 million. The MPUC will determine the final route for the Minnesota portion as well as cost recovery for Minnesota Power’s approximately $20 million estimated share of the project. On March 13, 2024, Minnesota Power submitted a filing with the FERC requesting to recover on construction work in progress related to this project from Minnesota Power’s wholesale customers. Subject to regulatory approvals, the transmission line is expected to be in service in 2027.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September 20, 2023, a substation and the transmission lines feeding that substation located near ALLETE Clean Energy’s Caddo wind energy facility, and operated by another party, have experienced a forced outage. This forced outage has increased congestion experienced by the Caddo wind energy facility and is expected to have a negative impact on ALLETE Clean Energy’s results in the first half of 2024. We will continue to monitor this development for timing of repairs and impact going forward.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and Other includes New Energy, a renewable energy development company,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Liquidity Position. </w:t>
      </w:r>
      <w:r>
        <w:rPr>
          <w:rFonts w:ascii="Times New Roman" w:cs="Times New Roman" w:eastAsia="Times New Roman" w:hAnsi="Times New Roman"/>
          <w:sz w:val="18"/>
          <w:szCs w:val="18"/>
          <w:color w:val="auto"/>
        </w:rPr>
        <w:t>ALLETE is well-positioned to meet the Company’s liquidity needs. As of March 31, 2024, we had cash and cash equivalents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$32.0 million, $248.6 million in available consolidated lines of credit, 2.1 million original issue shares of common stock available for issuance through a distribution agreement with Lampert Capital Markets and a debt-to-capital ratio of 35 percent. Pursuant to the Merger Agreement, ALLETE has agreed, subject to certain exceptions, to, and to cause each of its subsidiaries to, conduct its business in the ordinary course, consistent with past practice, from the date of the Merger Agreement until the effective time of the Merger, and not to take certain actions prior to the closing of the Merger without the prior written consent of Alloy Parent (which consent shall not be unreasonably withheld, conditioned or delayed, except where ALLETE seeks Alloy Parent’s consent to enter into a material new line of business or cease operations of an existing material line of business). (See Note 11. Subsequent Event – Agreement and Plan of Merger.)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Capital Structure. </w:t>
            </w:r>
            <w:r>
              <w:rPr>
                <w:rFonts w:ascii="Times New Roman" w:cs="Times New Roman" w:eastAsia="Times New Roman" w:hAnsi="Times New Roman"/>
                <w:sz w:val="18"/>
                <w:szCs w:val="18"/>
                <w:color w:val="auto"/>
              </w:rPr>
              <w:t>ALLETE’s capital structure is as follows:</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660" w:type="dxa"/>
            <w:vAlign w:val="bottom"/>
          </w:tcPr>
          <w:p>
            <w:pPr>
              <w:spacing w:after="0"/>
              <w:rPr>
                <w:sz w:val="24"/>
                <w:szCs w:val="24"/>
                <w:color w:val="auto"/>
              </w:rPr>
            </w:pPr>
          </w:p>
        </w:tc>
        <w:tc>
          <w:tcPr>
            <w:tcW w:w="2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ALLETE Equity</w:t>
            </w:r>
          </w:p>
        </w:tc>
        <w:tc>
          <w:tcPr>
            <w:tcW w:w="2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$2,823.0</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54</w:t>
            </w:r>
          </w:p>
        </w:tc>
        <w:tc>
          <w:tcPr>
            <w:tcW w:w="1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$2,809.6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2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585.5</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597.0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Short-Term and Long-Term Debt </w:t>
            </w:r>
            <w:r>
              <w:rPr>
                <w:rFonts w:ascii="Times New Roman" w:cs="Times New Roman" w:eastAsia="Times New Roman" w:hAnsi="Times New Roman"/>
                <w:sz w:val="16"/>
                <w:szCs w:val="16"/>
                <w:i w:val="1"/>
                <w:iCs w:val="1"/>
                <w:color w:val="auto"/>
              </w:rPr>
              <w:t>(a)</w:t>
            </w:r>
          </w:p>
        </w:tc>
        <w:tc>
          <w:tcPr>
            <w:tcW w:w="2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1,797.3</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w:t>
            </w:r>
          </w:p>
        </w:tc>
        <w:tc>
          <w:tcPr>
            <w:tcW w:w="1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1,799.4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0.5</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$5,206.3</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$5,206.5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Excludes unamortized debt issuance costs.</w:t>
            </w: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52"/>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Selected information from the Consolidated Statement of Cash Flows is as follows:</w:t>
            </w: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1"/>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2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$79.4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60.1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(60.8)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30"/>
        </w:trPr>
        <w:tc>
          <w:tcPr>
            <w:tcW w:w="8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1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(38.4)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8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(39.1)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1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$40.3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bl>
    <w:p>
      <w:pPr>
        <w:spacing w:after="0" w:line="33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was lower in 2024 compared to 2023 reflecting higher cash contributions to defined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pension in 2024, and also decreased due to the timing of recovery under Minnesota Power’s fuel adjustment clause.</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was lower in 2024 compared to 2023 reflecting fewer payments for additions to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compared to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in 2024 reflected lower proceeds from the issuance of long-term debt compared to 2023.</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(Continued)</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Working Capital. </w:t>
      </w:r>
      <w:r>
        <w:rPr>
          <w:rFonts w:ascii="Times New Roman" w:cs="Times New Roman" w:eastAsia="Times New Roman" w:hAnsi="Times New Roman"/>
          <w:sz w:val="18"/>
          <w:szCs w:val="18"/>
          <w:color w:val="auto"/>
        </w:rPr>
        <w:t>Additional working capital, if and when needed, generally is provided by consolidated bank lines of credit and the issuance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long-term debt, common stock and commercial paper. As of March 31, 2024, we had consolidated bank lines of credit aggregating $362.0 million ($423.1 million as of December 31, 2023), the majority of which expire in January 2027. (See Note 5. Short-Term and Long-Term Debt.) We had $19.4 million outstanding in standby letters of credit and $94.0 million outstanding draws under our lines of credit as of March 31, 2024 ($19.4 million in standby letters of credit and $34.1 million outstanding draws as of December 31, 2023). As of March 31, 2024, we also had $130.7 million outstanding in standby letters of credit under other credit facility agreements.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as of March 31, 2024, we had 2.6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The amount and timing of future sales of our securities will depend upon market conditions and our specific needs.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During the three months ended March 31, 2024, we issued 0.1 million shares of common stock through Invest Direct, the Employee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Plan, and the Retirement Savings and Stock Ownership Plan, resulting in net proceeds of $2.0 million (0.1 million shares were issued for the three months ended March 31, 2023, resulting in net proceeds of $3.3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Covenants. </w:t>
      </w:r>
      <w:r>
        <w:rPr>
          <w:rFonts w:ascii="Times New Roman" w:cs="Times New Roman" w:eastAsia="Times New Roman" w:hAnsi="Times New Roman"/>
          <w:sz w:val="18"/>
          <w:szCs w:val="18"/>
          <w:color w:val="auto"/>
        </w:rPr>
        <w:t>See Note 5. Short-Term and Long-Term Debt for information regarding our financial covenants.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Pension and Other Postretirement Benefit Plans. </w:t>
      </w:r>
      <w:r>
        <w:rPr>
          <w:rFonts w:ascii="Times New Roman" w:cs="Times New Roman" w:eastAsia="Times New Roman" w:hAnsi="Times New Roman"/>
          <w:sz w:val="18"/>
          <w:szCs w:val="18"/>
          <w:color w:val="auto"/>
        </w:rPr>
        <w:t>Management considers various factors when making funding decisions, such as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Off-Balance Sheet Arrangements. </w:t>
      </w:r>
      <w:r>
        <w:rPr>
          <w:rFonts w:ascii="Times New Roman" w:cs="Times New Roman" w:eastAsia="Times New Roman" w:hAnsi="Times New Roman"/>
          <w:sz w:val="18"/>
          <w:szCs w:val="18"/>
          <w:color w:val="auto"/>
        </w:rPr>
        <w:t>Off-balance sheet arrangements are summarized in our 2023 Form 10-K, with additional disclosure in Note 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Guarantees and Contingencies.</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Credit Ratings</w:t>
      </w:r>
      <w:r>
        <w:rPr>
          <w:rFonts w:ascii="Times New Roman" w:cs="Times New Roman" w:eastAsia="Times New Roman" w:hAnsi="Times New Roman"/>
          <w:sz w:val="18"/>
          <w:szCs w:val="18"/>
          <w:color w:val="auto"/>
        </w:rPr>
        <w:t>. Access to reasonably priced capital markets is dependent in part on credit and ratings. Our securities have been rated by S&amp;P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4780" w:type="dxa"/>
            <w:vAlign w:val="bottom"/>
          </w:tcPr>
          <w:p>
            <w:pPr>
              <w:jc w:val="center"/>
              <w:ind w:left="3232"/>
              <w:spacing w:after="0"/>
              <w:rPr>
                <w:sz w:val="20"/>
                <w:szCs w:val="20"/>
                <w:color w:val="auto"/>
              </w:rPr>
            </w:pPr>
            <w:r>
              <w:rPr>
                <w:rFonts w:ascii="Times New Roman" w:cs="Times New Roman" w:eastAsia="Times New Roman" w:hAnsi="Times New Roman"/>
                <w:sz w:val="18"/>
                <w:szCs w:val="18"/>
                <w:b w:val="1"/>
                <w:bCs w:val="1"/>
                <w:color w:val="auto"/>
              </w:rPr>
              <w:t>S&amp;P Global</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auto"/>
            </w:tcBorders>
            <w:vMerge w:val="continue"/>
          </w:tcPr>
          <w:p>
            <w:pPr>
              <w:spacing w:after="0"/>
              <w:rPr>
                <w:sz w:val="21"/>
                <w:szCs w:val="21"/>
                <w:color w:val="auto"/>
              </w:rPr>
            </w:pPr>
          </w:p>
        </w:tc>
        <w:tc>
          <w:tcPr>
            <w:tcW w:w="4780" w:type="dxa"/>
            <w:vAlign w:val="bottom"/>
            <w:tcBorders>
              <w:bottom w:val="single" w:sz="8" w:color="auto"/>
            </w:tcBorders>
          </w:tcPr>
          <w:p>
            <w:pPr>
              <w:jc w:val="center"/>
              <w:ind w:left="3232"/>
              <w:spacing w:after="0"/>
              <w:rPr>
                <w:sz w:val="20"/>
                <w:szCs w:val="20"/>
                <w:color w:val="auto"/>
              </w:rPr>
            </w:pPr>
            <w:r>
              <w:rPr>
                <w:rFonts w:ascii="Times New Roman" w:cs="Times New Roman" w:eastAsia="Times New Roman" w:hAnsi="Times New Roman"/>
                <w:sz w:val="18"/>
                <w:szCs w:val="18"/>
                <w:b w:val="1"/>
                <w:bCs w:val="1"/>
                <w:color w:val="auto"/>
                <w:w w:val="99"/>
              </w:rPr>
              <w:t xml:space="preserve">Ratings </w:t>
            </w:r>
            <w:r>
              <w:rPr>
                <w:rFonts w:ascii="Times New Roman" w:cs="Times New Roman" w:eastAsia="Times New Roman" w:hAnsi="Times New Roman"/>
                <w:sz w:val="16"/>
                <w:szCs w:val="16"/>
                <w:i w:val="1"/>
                <w:iCs w:val="1"/>
                <w:color w:val="auto"/>
                <w:w w:val="99"/>
              </w:rPr>
              <w:t>(a)</w:t>
            </w: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Issuer Credit Rating</w:t>
            </w:r>
          </w:p>
        </w:tc>
        <w:tc>
          <w:tcPr>
            <w:tcW w:w="4780" w:type="dxa"/>
            <w:vAlign w:val="bottom"/>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Baa1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780" w:type="dxa"/>
            <w:vAlign w:val="bottom"/>
          </w:tcPr>
          <w:p>
            <w:pPr>
              <w:jc w:val="center"/>
              <w:ind w:left="3212"/>
              <w:spacing w:after="0"/>
              <w:rPr>
                <w:sz w:val="20"/>
                <w:szCs w:val="20"/>
                <w:color w:val="auto"/>
              </w:rPr>
            </w:pPr>
            <w:r>
              <w:rPr>
                <w:rFonts w:ascii="Times New Roman" w:cs="Times New Roman" w:eastAsia="Times New Roman" w:hAnsi="Times New Roman"/>
                <w:sz w:val="18"/>
                <w:szCs w:val="18"/>
                <w:color w:val="auto"/>
                <w:w w:val="99"/>
              </w:rPr>
              <w:t>A-2</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P-2</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Mortgage Bonds</w:t>
            </w:r>
          </w:p>
        </w:tc>
        <w:tc>
          <w:tcPr>
            <w:tcW w:w="4780" w:type="dxa"/>
            <w:vAlign w:val="bottom"/>
            <w:tcBorders>
              <w:bottom w:val="single" w:sz="8" w:color="auto"/>
            </w:tcBorders>
            <w:shd w:val="clear" w:color="auto" w:fill="CCEEFF"/>
          </w:tcPr>
          <w:p>
            <w:pPr>
              <w:jc w:val="center"/>
              <w:ind w:left="3232"/>
              <w:spacing w:after="0"/>
              <w:rPr>
                <w:sz w:val="20"/>
                <w:szCs w:val="20"/>
                <w:color w:val="auto"/>
              </w:rPr>
            </w:pPr>
            <w:r>
              <w:rPr>
                <w:rFonts w:ascii="Times New Roman" w:cs="Times New Roman" w:eastAsia="Times New Roman" w:hAnsi="Times New Roman"/>
                <w:sz w:val="16"/>
                <w:szCs w:val="16"/>
                <w:i w:val="1"/>
                <w:iCs w:val="1"/>
                <w:color w:val="auto"/>
                <w:w w:val="96"/>
              </w:rPr>
              <w:t>(b)</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59" w:lineRule="auto"/>
        <w:tabs>
          <w:tab w:leader="none" w:pos="379"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May 7, 2024, S&amp;P Global Ratings revised its outlook on ALLETE to negative from stable and affirmed all of its ratings on ALLETE. S&amp;P Global Ratings cited the possibility for higher leverage and weaker financial measures because of the Merger as its rationale for issuing the negative outlook.</w:t>
      </w:r>
    </w:p>
    <w:p>
      <w:pPr>
        <w:ind w:left="360" w:hanging="352"/>
        <w:spacing w:after="0"/>
        <w:tabs>
          <w:tab w:leader="none" w:pos="36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Not rated by S&amp;P Global Ratings.</w:t>
      </w: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 Requirements. </w:t>
      </w:r>
      <w:r>
        <w:rPr>
          <w:rFonts w:ascii="Times New Roman" w:cs="Times New Roman" w:eastAsia="Times New Roman" w:hAnsi="Times New Roman"/>
          <w:sz w:val="18"/>
          <w:szCs w:val="18"/>
          <w:color w:val="auto"/>
        </w:rPr>
        <w:t>For the three months ended March 31, 2024, capital expenditures totaled $51.8 million ($58.4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2023). The expenditures were primarily made in the Regulated Operations segment.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ALLETE had 1,583 employees, of which 1,544 were full-time.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and SWL&amp;P have an aggregate of 492 employees covered under collective bargaining agreements, of which most are members of International Brotherhood of Electrical Workers (IBEW) Local 31. The current labor agreements with IBEW Local 31 expire on April 30, 2026, for Minnesota Power and January 31, 2027, for SWL&amp;P.</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BNI Energy has 179 employees, of which 129 are subject to a labor agreement with IBEW Local 1593. The current labor agreement with IBEW Local 1593 expires on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INVESTMENTS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Available-for-Sale Securities</w:t>
      </w:r>
      <w:r>
        <w:rPr>
          <w:rFonts w:ascii="Times New Roman" w:cs="Times New Roman" w:eastAsia="Times New Roman" w:hAnsi="Times New Roman"/>
          <w:sz w:val="18"/>
          <w:szCs w:val="18"/>
          <w:color w:val="auto"/>
        </w:rPr>
        <w:t>. As of March 31, 2024, our available-for-sale securities portfolio consisted primarily of securities held in other postretirement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to fund employee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MARKETING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March 31, 2024, an increase of 100 basis points in interest rates would impact the amount of pre-tax interest expense by $1.2 million. This amount was determined by considering the impact of a hypothetical 100 basis point increase to the average variable interest rate on the variable rate debt outstanding as of March 31,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As of March 31, 2024, evaluations were performed, under the supervision and with the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Controls. </w:t>
      </w:r>
      <w:r>
        <w:rPr>
          <w:rFonts w:ascii="Times New Roman" w:cs="Times New Roman" w:eastAsia="Times New Roman" w:hAnsi="Times New Roman"/>
          <w:sz w:val="18"/>
          <w:szCs w:val="18"/>
          <w:color w:val="auto"/>
        </w:rPr>
        <w:t>There has been no change in our internal control over financial reporting that occurred during our most recent fiscal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has materially affected, or is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material legal and regulatory proceedings, see Note 4. Regulatory Matters and Note 9. Commitments, Guarantees and Contingencies to the Consolidated Financial Statements in our 2023 Form 10-K and Note 2. Regulatory Matters and Note 6. Commitments, Guarantees and Contingencies herein. Such information is incorporated herein by reference.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2023 Form 10-K includes a detailed discussion of our risk factors. The information presented below updates, and should be read in conjunction with, the risk factors disclosed in Part I, Item 1A. Risk Factors of our 2023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the Merger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5, 2024, ALLETE entered into the Merger Agreement. (See Note 11. Subsequent Event – 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when or if the Merger will be completed.</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Consummation of the Merger is subject to various closing conditions, including: (1) approval of the shareholders of ALLETE; (2) receipt of all required regulatory approvals without the imposition of a Burdensome Condition; (3) absence of any law or order prohibiting the consummation of the Merger; (4) subject to materiality qualifiers, the accuracy of each party’s representations and warranties; (5) each party’s compliance in all material respects with its obligations and covenants under the Merger Agreement; and (6) the absence of a material adverse effect with respect to the Company. The Merger Agreement also contains certain termination rights for both ALLETE and Alloy Parent, including if the Merger is not consummated by August 5, 2025 (subject to extension for an additional two successive three-month periods if all of the conditions to closing, other than the conditions related to obtaining regulatory approvals, have been satisfied). There can be no assurance that the conditions to completion of the Merger will be satisfied or waived or that other events will not intervene to delay or result in the failure to close the proposed Merger. The Merger Agreement also provides for certain termination rights for each of ALLETE and Alloy Parent. If the Merger Agreement is terminated, there may be various material, adverse consequences to the Company, including that the Company could be required to pay Alloy Parent a termination fee of $116 million under certain specified circumstances.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Merger, during which the Company is subject to certain operating restrictions, could have an adverse effect on the Company’s businesses, results of operations, financial condition or cash flows.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announcement and pendency of the Merger could disrupt the Company’s businesses, and uncertainty about the effect of the Merger may have an adverse effect on the Company. These uncertainties could affect existing employee relationships, disrupt the business of the Company, and could cause suppliers, vendors, partners, lenders and others that deal with the Company to: (1) defer entering into contracts with the Company; or (2) making other decisions concerning the Company or seek to change or cancel existing business relationships with the Company.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also requires the Company to obtain Parent’s consent prior to taking certain specified actions while the Merger is pending. These restrictions may prevent the Company from pursuing otherwise attractive business opportunities or making other changes to its business prior to the completion of the Merger.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will incur substantial transaction fees and costs in connection with the Merger.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transaction costs of $1.2 million after-tax through March 31, 2024, and expects to incur additional material expenses in connection with the Merger and completion of the transactions contemplated by the Merger Agreement. Further, even if the proposed Merger is not completed, the Company will need to pay certain costs relating to the proposed Merger incurred prior to the date the proposed Merger was abandoned, such as legal, accounting, financial advisory, filing and printing fees.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the target of securities class action and derivative lawsuits which could result in substantial costs and may delay or prevent the Merger from being completed.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to us and divert management time and resources. Additionally, if a plaintiff is successful in obtaining an injunction prohibiting consummation of the Merger, then that injunction may delay or prevent the Merger from being completed.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Trading Plans. </w:t>
      </w:r>
      <w:r>
        <w:rPr>
          <w:rFonts w:ascii="Times New Roman" w:cs="Times New Roman" w:eastAsia="Times New Roman" w:hAnsi="Times New Roman"/>
          <w:sz w:val="18"/>
          <w:szCs w:val="18"/>
          <w:color w:val="auto"/>
        </w:rPr>
        <w:t>During the quarter ended March 31, 2024, no director or officer of the Company adopted or terminated a “Rule 10b5-1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or “non-Rule 10b5-1 trading arrangement,” as each term is defined in Item 408(a)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214745"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14745" cy="274320"/>
                    </a:xfrm>
                    <a:prstGeom prst="rect">
                      <a:avLst/>
                    </a:prstGeom>
                    <a:noFill/>
                  </pic:spPr>
                </pic:pic>
              </a:graphicData>
            </a:graphic>
          </wp:anchor>
        </w:drawing>
      </w:r>
    </w:p>
    <w:p>
      <w:pPr>
        <w:spacing w:after="0" w:line="20" w:lineRule="exact"/>
        <w:rPr>
          <w:sz w:val="20"/>
          <w:szCs w:val="20"/>
          <w:color w:val="auto"/>
        </w:rPr>
      </w:pPr>
    </w:p>
    <w:p>
      <w:pPr>
        <w:ind w:left="1080" w:right="1480" w:hanging="1054"/>
        <w:spacing w:after="0" w:line="245" w:lineRule="auto"/>
        <w:tabs>
          <w:tab w:leader="none" w:pos="1080" w:val="left"/>
        </w:tabs>
        <w:numPr>
          <w:ilvl w:val="0"/>
          <w:numId w:val="13"/>
        </w:numPr>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Agreement and Plan of Merger by and among ALLETE, Inc., Alloy Parent LLC and Alloy Merger Sub LLC, dated as of</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May 5, 2024 (filed as Exhibit 2.1 to the May 6, 2024, Form 8-K, File No. 1-3548).*</w:t>
        </w:r>
      </w:hyperlink>
    </w:p>
    <w:p>
      <w:pPr>
        <w:spacing w:after="0" w:line="1" w:lineRule="exact"/>
        <w:rPr>
          <w:rFonts w:ascii="Times New Roman" w:cs="Times New Roman" w:eastAsia="Times New Roman" w:hAnsi="Times New Roman"/>
          <w:sz w:val="18"/>
          <w:szCs w:val="18"/>
          <w:u w:val="single" w:color="auto"/>
          <w:color w:val="0000FF"/>
        </w:rPr>
      </w:pPr>
    </w:p>
    <w:p>
      <w:pPr>
        <w:ind w:left="1080" w:right="1480" w:hanging="1054"/>
        <w:spacing w:after="0" w:line="242" w:lineRule="auto"/>
        <w:tabs>
          <w:tab w:leader="none" w:pos="1080" w:val="left"/>
        </w:tabs>
        <w:numPr>
          <w:ilvl w:val="0"/>
          <w:numId w:val="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Forty-Fifth Supplemental Indenture, dated as of April 1, 2024, between ALLETE, Inc. and The Bank of New York Mellon, as corporate trustee, and Sherma Thomas, as co-trustee.</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14745" cy="265430"/>
                    </a:xfrm>
                    <a:prstGeom prst="rect">
                      <a:avLst/>
                    </a:prstGeom>
                    <a:noFill/>
                  </pic:spPr>
                </pic:pic>
              </a:graphicData>
            </a:graphic>
          </wp:anchor>
        </w:drawing>
      </w:r>
    </w:p>
    <w:p>
      <w:pPr>
        <w:ind w:left="1080" w:right="1480" w:hanging="1059"/>
        <w:spacing w:after="0" w:line="242" w:lineRule="auto"/>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31(a)</w:t>
      </w:r>
      <w:r>
        <w:rPr>
          <w:sz w:val="20"/>
          <w:szCs w:val="20"/>
          <w:color w:val="auto"/>
        </w:rPr>
        <w:tab/>
      </w:r>
      <w:r>
        <w:rPr>
          <w:rFonts w:ascii="Times New Roman" w:cs="Times New Roman" w:eastAsia="Times New Roman" w:hAnsi="Times New Roman"/>
          <w:sz w:val="18"/>
          <w:szCs w:val="18"/>
          <w:u w:val="single" w:color="auto"/>
          <w:color w:val="0000FF"/>
        </w:rPr>
        <w:t>Rule 13a-14(a)/15d-14(a) Certification by the Chief Executive Officer Pursuant to Section 302 of the Sarbanes-Oxley Act of 2002.</w:t>
      </w:r>
    </w:p>
    <w:p>
      <w:pPr>
        <w:spacing w:after="0" w:line="1" w:lineRule="exact"/>
        <w:rPr>
          <w:rFonts w:ascii="Times New Roman" w:cs="Times New Roman" w:eastAsia="Times New Roman" w:hAnsi="Times New Roman"/>
          <w:sz w:val="18"/>
          <w:szCs w:val="18"/>
          <w:u w:val="single" w:color="auto"/>
          <w:color w:val="0000FF"/>
        </w:rPr>
      </w:pPr>
    </w:p>
    <w:p>
      <w:pPr>
        <w:ind w:left="1080" w:right="1460" w:hanging="1059"/>
        <w:spacing w:after="0" w:line="242" w:lineRule="auto"/>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31(b)</w:t>
      </w:r>
      <w:r>
        <w:rPr>
          <w:sz w:val="20"/>
          <w:szCs w:val="20"/>
          <w:color w:val="auto"/>
        </w:rPr>
        <w:tab/>
      </w:r>
      <w:r>
        <w:rPr>
          <w:rFonts w:ascii="Times New Roman" w:cs="Times New Roman" w:eastAsia="Times New Roman" w:hAnsi="Times New Roman"/>
          <w:sz w:val="18"/>
          <w:szCs w:val="18"/>
          <w:u w:val="single" w:color="auto"/>
          <w:color w:val="0000FF"/>
        </w:rPr>
        <w:t>Rule 13a-14(a)/15d-14(a) Certification by the Chief Financial Officer Pursuant to Section 302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265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14745" cy="265430"/>
                    </a:xfrm>
                    <a:prstGeom prst="rect">
                      <a:avLst/>
                    </a:prstGeom>
                    <a:noFill/>
                  </pic:spPr>
                </pic:pic>
              </a:graphicData>
            </a:graphic>
          </wp:anchor>
        </w:drawing>
      </w:r>
    </w:p>
    <w:p>
      <w:pPr>
        <w:ind w:left="1080" w:right="1460" w:hanging="1054"/>
        <w:spacing w:after="0" w:line="242" w:lineRule="auto"/>
        <w:tabs>
          <w:tab w:leader="none" w:pos="1080" w:val="left"/>
        </w:tabs>
        <w:numPr>
          <w:ilvl w:val="0"/>
          <w:numId w:val="1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Section 1350 Certification of Periodic Report by the Chief Executive Officer and the Chief Financial Officer Pursuant to Section 906 of the Sarbanes-Oxley Act of 2002.</w:t>
      </w:r>
    </w:p>
    <w:p>
      <w:pPr>
        <w:spacing w:after="0" w:line="1" w:lineRule="exact"/>
        <w:rPr>
          <w:rFonts w:ascii="Times New Roman" w:cs="Times New Roman" w:eastAsia="Times New Roman" w:hAnsi="Times New Roman"/>
          <w:sz w:val="18"/>
          <w:szCs w:val="18"/>
          <w:u w:val="single" w:color="auto"/>
          <w:color w:val="0000FF"/>
        </w:rPr>
      </w:pPr>
    </w:p>
    <w:p>
      <w:pPr>
        <w:ind w:left="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95</w:t>
      </w:r>
      <w:r>
        <w:rPr>
          <w:sz w:val="20"/>
          <w:szCs w:val="20"/>
          <w:color w:val="auto"/>
        </w:rPr>
        <w:tab/>
      </w:r>
      <w:r>
        <w:rPr>
          <w:rFonts w:ascii="Times New Roman" w:cs="Times New Roman" w:eastAsia="Times New Roman" w:hAnsi="Times New Roman"/>
          <w:sz w:val="18"/>
          <w:szCs w:val="18"/>
          <w:u w:val="single" w:color="auto"/>
          <w:color w:val="0000FF"/>
        </w:rPr>
        <w:t>Mine Safety.</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14745" cy="488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14745" cy="488950"/>
                    </a:xfrm>
                    <a:prstGeom prst="rect">
                      <a:avLst/>
                    </a:prstGeom>
                    <a:noFill/>
                  </pic:spPr>
                </pic:pic>
              </a:graphicData>
            </a:graphic>
          </wp:anchor>
        </w:drawing>
      </w:r>
    </w:p>
    <w:p>
      <w:pPr>
        <w:spacing w:after="0" w:line="3" w:lineRule="exact"/>
        <w:rPr>
          <w:rFonts w:ascii="Times New Roman" w:cs="Times New Roman" w:eastAsia="Times New Roman" w:hAnsi="Times New Roman"/>
          <w:sz w:val="18"/>
          <w:szCs w:val="18"/>
          <w:u w:val="single" w:color="auto"/>
          <w:color w:val="0000FF"/>
        </w:rPr>
      </w:pPr>
    </w:p>
    <w:p>
      <w:pPr>
        <w:jc w:val="both"/>
        <w:ind w:left="1080" w:right="1460" w:hanging="1054"/>
        <w:spacing w:after="0" w:line="223" w:lineRule="auto"/>
        <w:tabs>
          <w:tab w:leader="none" w:pos="1080" w:val="left"/>
        </w:tabs>
        <w:numPr>
          <w:ilvl w:val="0"/>
          <w:numId w:val="1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ALLETE News Release dated May 9, 2024, announcing 2024 first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184"/>
        </w:trPr>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101.INS</w:t>
            </w:r>
          </w:p>
        </w:tc>
        <w:tc>
          <w:tcPr>
            <w:tcW w:w="89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w:t>
            </w:r>
          </w:p>
        </w:tc>
      </w:tr>
      <w:tr>
        <w:trPr>
          <w:trHeight w:val="234"/>
        </w:trPr>
        <w:tc>
          <w:tcPr>
            <w:tcW w:w="880" w:type="dxa"/>
            <w:vAlign w:val="bottom"/>
          </w:tcPr>
          <w:p>
            <w:pPr>
              <w:spacing w:after="0"/>
              <w:rPr>
                <w:sz w:val="20"/>
                <w:szCs w:val="20"/>
                <w:color w:val="auto"/>
              </w:rPr>
            </w:pP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Schema</w:t>
            </w: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Calculation</w:t>
            </w: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Definition</w:t>
            </w: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Label</w:t>
            </w: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Presentation</w:t>
            </w:r>
          </w:p>
        </w:tc>
      </w:tr>
      <w:tr>
        <w:trPr>
          <w:trHeight w:val="229"/>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14" w:lineRule="exact"/>
        <w:rPr>
          <w:rFonts w:ascii="Times New Roman" w:cs="Times New Roman" w:eastAsia="Times New Roman" w:hAnsi="Times New Roman"/>
          <w:sz w:val="18"/>
          <w:szCs w:val="18"/>
          <w:u w:val="single" w:color="auto"/>
          <w:color w:val="0000FF"/>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*Schedules and exhibits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3" w:lineRule="exact"/>
        <w:rPr>
          <w:rFonts w:ascii="Times New Roman" w:cs="Times New Roman" w:eastAsia="Times New Roman" w:hAnsi="Times New Roman"/>
          <w:sz w:val="18"/>
          <w:szCs w:val="18"/>
          <w:u w:val="single" w:color="auto"/>
          <w:color w:val="0000FF"/>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60"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7600" w:val="left"/>
        </w:tabs>
        <w:rPr>
          <w:sz w:val="20"/>
          <w:szCs w:val="20"/>
          <w:color w:val="auto"/>
        </w:rPr>
      </w:pP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175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6"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Steven W. Morris</w:t>
      </w:r>
    </w:p>
    <w:p>
      <w:pPr>
        <w:spacing w:after="0" w:line="27"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First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ALLETE, Inc</w:t>
      </w:r>
      <w:r>
        <w:rPr>
          <w:rFonts w:ascii="Times New Roman" w:cs="Times New Roman" w:eastAsia="Times New Roman" w:hAnsi="Times New Roman"/>
          <w:sz w:val="19"/>
          <w:szCs w:val="19"/>
          <w:b w:val="1"/>
          <w:bCs w:val="1"/>
          <w:color w:val="auto"/>
        </w:rPr>
        <w: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(formerly Minnesota Power &amp; Light Company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formerly Minnesota Power, Inc.)</w:t>
      </w:r>
    </w:p>
    <w:p>
      <w:pPr>
        <w:spacing w:after="0" w:line="8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1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THE BANK OF NEW YORK MELLON</w:t>
      </w:r>
    </w:p>
    <w:p>
      <w:pPr>
        <w:spacing w:after="0" w:line="3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(formerly The Bank of New York</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(formerly Irving Trust Company))</w:t>
      </w:r>
    </w:p>
    <w:p>
      <w:pPr>
        <w:spacing w:after="0" w:line="9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SHERMA THOMAS</w:t>
      </w:r>
    </w:p>
    <w:p>
      <w:pPr>
        <w:spacing w:after="0" w:line="3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(successor to Richard H. West, J. A. Austin, E. J. McCabe, D. W. May, J. A. Vaughan,</w:t>
      </w:r>
    </w:p>
    <w:p>
      <w:pPr>
        <w:spacing w:after="0" w:line="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auto"/>
        </w:rPr>
        <w:t>W. T. Cunningham, Douglas J. MacInnes, Ming Ryan, Philip L. Watson, Andres Serrano, Eva Waite</w:t>
      </w:r>
    </w:p>
    <w:p>
      <w:pPr>
        <w:spacing w:after="0" w:line="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and Janet Lee)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 Trustees under ALLETE, Inc.’s Mortgage and Deed of Trust dated as of September 1, 1945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Forty-fifth Supplemental Indenture</w:t>
      </w:r>
    </w:p>
    <w:p>
      <w:pPr>
        <w:spacing w:after="0" w:line="3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Providing, among other things, for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Mortgage Bonds, 5.72% Series due April 30, 2039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(Sixty-fifth Series),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Dated as of 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86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FORTY-FIFTH SUPPLEMENTAL INDENTURE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INDENTURE, </w:t>
      </w:r>
      <w:r>
        <w:rPr>
          <w:rFonts w:ascii="Times New Roman" w:cs="Times New Roman" w:eastAsia="Times New Roman" w:hAnsi="Times New Roman"/>
          <w:sz w:val="20"/>
          <w:szCs w:val="20"/>
          <w:color w:val="auto"/>
        </w:rPr>
        <w:t>dated as of April 1, 2024, by and between ALLETE, Inc. (formerly Minnesota Power &amp; Light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240 Greenwich Street, New York, New York 10286 (hereinafter sometimes called the “Corporate Trustee”), and Sherma Thomas (successor to Richard H. West, J. A. Austin, E. J. McCabe, D. W. May, J. A. Vaughan, W. T. Cunningham, Douglas J. MacInnes, Ming Ryan, Philip L. Watson, Andres Serrano, Eva Waite and Janet Lee), whose post office address is c/o The Bank of New York Mellon, 240 Greenwich Street, New York, New York 10286 (said Sherma Thomas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“Forty-fifth Supplemental Indenture”) being supplemental thereto:</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Mortgage was filed and recorded in various official records in the State of Minnesota; and</w:t>
      </w:r>
    </w:p>
    <w:p>
      <w:pPr>
        <w:spacing w:after="0" w:line="21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under the Sixth Supplemental Indenture, dated as of August 1, 1975, to which reference is hereinafter made, D. W. May in turn succeeded E. J. McCabe as Co-Trustee under the Mortgage; and</w:t>
      </w:r>
    </w:p>
    <w:p>
      <w:pPr>
        <w:spacing w:after="0" w:line="14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2"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on May 8, 2001, the Company filed Amended and Restated Articles of Incorporation with the Secretary of State of the State of Minnesota changing its name from Minnesota Power, Inc. to ALLETE, Inc.; and</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under the Thirty-second Supplemental Indenture, dated as of August 1, 2010, to which reference is hereinafter made, Ming Ryan in turn succeeded Douglas J. MacInnes as Co-Trustee under the Mortgage; and</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 the State of North Dakota; and</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an instrument, dated as of July 31, 2015, was executed and delivered under which Andres Serrano in turn succeeded Philip L. Watson as Co-Trustee under the Mortgage effective at the close of business on August 14, 2015, and such instrument was filed and recorded in various official records in the State of Minnesota and the State of North Dakota; and</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an instrument, dated as of July 29, 2021, was executed and delivered under which Eva Waite in turn succeeded Andres Serrano as Co-Trustee under the Mortgage effective at the close of business on July 29, 2021, and such instrument was filed and recorded in various official records in the State of Minnesota and the State of North Dakota; and</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an instrument, dated as of April 27, 2022, was executed and delivered under which Janet Lee in turn succeeded Eva Waite as Co-Trustee under the Mortgage effective at the close of business on April 27, 2022, and such instrument was filed and recorded in various official records in the State of Minnesota and the State of North Dakota; and</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an instrument, dated as of March 25, 2024, was executed and delivered under which Sherma Thomas in turn succeeded Janet Lee as Co-Trustee under the Mortgage effective at the close of business on March 25, 2024, and such instrument was filed and recorded in various official records in the State of Minnesota and the State of North Dakota; and</w:t>
      </w:r>
    </w:p>
    <w:p>
      <w:pPr>
        <w:spacing w:after="0" w:line="1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for said purposes, among others, the Company executed and delivered the following indentures supplemental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Mortgage:</w:t>
      </w:r>
    </w:p>
    <w:p>
      <w:pPr>
        <w:spacing w:after="0" w:line="155" w:lineRule="exact"/>
        <w:rPr>
          <w:sz w:val="20"/>
          <w:szCs w:val="20"/>
          <w:color w:val="auto"/>
        </w:rPr>
      </w:pPr>
    </w:p>
    <w:tbl>
      <w:tblPr>
        <w:tblLayout w:type="fixed"/>
        <w:tblInd w:w="700" w:type="dxa"/>
        <w:tblCellMar>
          <w:top w:w="0" w:type="dxa"/>
          <w:left w:w="0" w:type="dxa"/>
          <w:bottom w:w="0" w:type="dxa"/>
          <w:right w:w="0" w:type="dxa"/>
        </w:tblCellMar>
      </w:tblPr>
      <w:tr>
        <w:trPr>
          <w:trHeight w:val="250"/>
        </w:trPr>
        <w:tc>
          <w:tcPr>
            <w:tcW w:w="68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6"/>
              </w:rPr>
              <w:t>Designation</w:t>
            </w:r>
          </w:p>
        </w:tc>
        <w:tc>
          <w:tcPr>
            <w:tcW w:w="3260" w:type="dxa"/>
            <w:vAlign w:val="bottom"/>
          </w:tcPr>
          <w:p>
            <w:pPr>
              <w:spacing w:after="0"/>
              <w:rPr>
                <w:sz w:val="21"/>
                <w:szCs w:val="21"/>
                <w:color w:val="auto"/>
              </w:rPr>
            </w:pPr>
          </w:p>
        </w:tc>
        <w:tc>
          <w:tcPr>
            <w:tcW w:w="3840" w:type="dxa"/>
            <w:vAlign w:val="bottom"/>
            <w:gridSpan w:val="3"/>
          </w:tcPr>
          <w:p>
            <w:pPr>
              <w:ind w:left="2360"/>
              <w:spacing w:after="0"/>
              <w:rPr>
                <w:sz w:val="20"/>
                <w:szCs w:val="20"/>
                <w:color w:val="auto"/>
              </w:rPr>
            </w:pPr>
            <w:r>
              <w:rPr>
                <w:rFonts w:ascii="Times New Roman" w:cs="Times New Roman" w:eastAsia="Times New Roman" w:hAnsi="Times New Roman"/>
                <w:sz w:val="20"/>
                <w:szCs w:val="20"/>
                <w:b w:val="1"/>
                <w:bCs w:val="1"/>
                <w:color w:val="auto"/>
              </w:rPr>
              <w:t>Dated as of</w:t>
            </w:r>
          </w:p>
        </w:tc>
      </w:tr>
      <w:tr>
        <w:trPr>
          <w:trHeight w:val="27"/>
        </w:trPr>
        <w:tc>
          <w:tcPr>
            <w:tcW w:w="6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r>
      <w:tr>
        <w:trPr>
          <w:trHeight w:val="315"/>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First Supplemental Indenture</w:t>
            </w:r>
          </w:p>
        </w:tc>
        <w:tc>
          <w:tcPr>
            <w:tcW w:w="3840" w:type="dxa"/>
            <w:vAlign w:val="bottom"/>
            <w:gridSpan w:val="3"/>
          </w:tcPr>
          <w:p>
            <w:pPr>
              <w:ind w:left="2360"/>
              <w:spacing w:after="0"/>
              <w:rPr>
                <w:sz w:val="20"/>
                <w:szCs w:val="20"/>
                <w:color w:val="auto"/>
              </w:rPr>
            </w:pPr>
            <w:r>
              <w:rPr>
                <w:rFonts w:ascii="Times New Roman" w:cs="Times New Roman" w:eastAsia="Times New Roman" w:hAnsi="Times New Roman"/>
                <w:sz w:val="20"/>
                <w:szCs w:val="20"/>
                <w:color w:val="auto"/>
              </w:rPr>
              <w:t>March 1, 1949</w:t>
            </w:r>
          </w:p>
        </w:tc>
      </w:tr>
      <w:tr>
        <w:trPr>
          <w:trHeight w:val="256"/>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Second Supplemental Indenture</w:t>
            </w:r>
          </w:p>
        </w:tc>
        <w:tc>
          <w:tcPr>
            <w:tcW w:w="3840" w:type="dxa"/>
            <w:vAlign w:val="bottom"/>
            <w:gridSpan w:val="3"/>
          </w:tcPr>
          <w:p>
            <w:pPr>
              <w:ind w:left="2360"/>
              <w:spacing w:after="0"/>
              <w:rPr>
                <w:sz w:val="20"/>
                <w:szCs w:val="20"/>
                <w:color w:val="auto"/>
              </w:rPr>
            </w:pPr>
            <w:r>
              <w:rPr>
                <w:rFonts w:ascii="Times New Roman" w:cs="Times New Roman" w:eastAsia="Times New Roman" w:hAnsi="Times New Roman"/>
                <w:sz w:val="20"/>
                <w:szCs w:val="20"/>
                <w:color w:val="auto"/>
              </w:rPr>
              <w:t>July 1, 1951</w:t>
            </w:r>
          </w:p>
        </w:tc>
      </w:tr>
      <w:tr>
        <w:trPr>
          <w:trHeight w:val="257"/>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Third Supplemental Indenture</w:t>
            </w:r>
          </w:p>
        </w:tc>
        <w:tc>
          <w:tcPr>
            <w:tcW w:w="3840" w:type="dxa"/>
            <w:vAlign w:val="bottom"/>
            <w:gridSpan w:val="3"/>
          </w:tcPr>
          <w:p>
            <w:pPr>
              <w:ind w:left="2360"/>
              <w:spacing w:after="0"/>
              <w:rPr>
                <w:sz w:val="20"/>
                <w:szCs w:val="20"/>
                <w:color w:val="auto"/>
              </w:rPr>
            </w:pPr>
            <w:r>
              <w:rPr>
                <w:rFonts w:ascii="Times New Roman" w:cs="Times New Roman" w:eastAsia="Times New Roman" w:hAnsi="Times New Roman"/>
                <w:sz w:val="20"/>
                <w:szCs w:val="20"/>
                <w:color w:val="auto"/>
              </w:rPr>
              <w:t>March 1, 1957</w:t>
            </w:r>
          </w:p>
        </w:tc>
      </w:tr>
      <w:tr>
        <w:trPr>
          <w:trHeight w:val="256"/>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Fourth Supplemental Indenture</w:t>
            </w:r>
          </w:p>
        </w:tc>
        <w:tc>
          <w:tcPr>
            <w:tcW w:w="3840" w:type="dxa"/>
            <w:vAlign w:val="bottom"/>
            <w:gridSpan w:val="3"/>
          </w:tcPr>
          <w:p>
            <w:pPr>
              <w:ind w:left="2360"/>
              <w:spacing w:after="0"/>
              <w:rPr>
                <w:sz w:val="20"/>
                <w:szCs w:val="20"/>
                <w:color w:val="auto"/>
              </w:rPr>
            </w:pPr>
            <w:r>
              <w:rPr>
                <w:rFonts w:ascii="Times New Roman" w:cs="Times New Roman" w:eastAsia="Times New Roman" w:hAnsi="Times New Roman"/>
                <w:sz w:val="20"/>
                <w:szCs w:val="20"/>
                <w:color w:val="auto"/>
              </w:rPr>
              <w:t>January 1, 1968</w:t>
            </w:r>
          </w:p>
        </w:tc>
      </w:tr>
      <w:tr>
        <w:trPr>
          <w:trHeight w:val="257"/>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Fifth Supplemental Indenture</w:t>
            </w:r>
          </w:p>
        </w:tc>
        <w:tc>
          <w:tcPr>
            <w:tcW w:w="3840" w:type="dxa"/>
            <w:vAlign w:val="bottom"/>
            <w:gridSpan w:val="3"/>
          </w:tcPr>
          <w:p>
            <w:pPr>
              <w:ind w:left="2360"/>
              <w:spacing w:after="0"/>
              <w:rPr>
                <w:sz w:val="20"/>
                <w:szCs w:val="20"/>
                <w:color w:val="auto"/>
              </w:rPr>
            </w:pPr>
            <w:r>
              <w:rPr>
                <w:rFonts w:ascii="Times New Roman" w:cs="Times New Roman" w:eastAsia="Times New Roman" w:hAnsi="Times New Roman"/>
                <w:sz w:val="20"/>
                <w:szCs w:val="20"/>
                <w:color w:val="auto"/>
              </w:rPr>
              <w:t>April 1, 1971</w:t>
            </w:r>
          </w:p>
        </w:tc>
      </w:tr>
      <w:tr>
        <w:trPr>
          <w:trHeight w:val="256"/>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Sixth Supplemental Indenture</w:t>
            </w:r>
          </w:p>
        </w:tc>
        <w:tc>
          <w:tcPr>
            <w:tcW w:w="3840" w:type="dxa"/>
            <w:vAlign w:val="bottom"/>
            <w:gridSpan w:val="3"/>
          </w:tcPr>
          <w:p>
            <w:pPr>
              <w:ind w:left="2360"/>
              <w:spacing w:after="0"/>
              <w:rPr>
                <w:sz w:val="20"/>
                <w:szCs w:val="20"/>
                <w:color w:val="auto"/>
              </w:rPr>
            </w:pPr>
            <w:r>
              <w:rPr>
                <w:rFonts w:ascii="Times New Roman" w:cs="Times New Roman" w:eastAsia="Times New Roman" w:hAnsi="Times New Roman"/>
                <w:sz w:val="20"/>
                <w:szCs w:val="20"/>
                <w:color w:val="auto"/>
              </w:rPr>
              <w:t>August 1, 1975</w:t>
            </w:r>
          </w:p>
        </w:tc>
      </w:tr>
      <w:tr>
        <w:trPr>
          <w:trHeight w:val="257"/>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Seventh Supplemental Indenture</w:t>
            </w:r>
          </w:p>
        </w:tc>
        <w:tc>
          <w:tcPr>
            <w:tcW w:w="3840" w:type="dxa"/>
            <w:vAlign w:val="bottom"/>
            <w:gridSpan w:val="3"/>
          </w:tcPr>
          <w:p>
            <w:pPr>
              <w:ind w:left="2360"/>
              <w:spacing w:after="0"/>
              <w:rPr>
                <w:sz w:val="20"/>
                <w:szCs w:val="20"/>
                <w:color w:val="auto"/>
              </w:rPr>
            </w:pPr>
            <w:r>
              <w:rPr>
                <w:rFonts w:ascii="Times New Roman" w:cs="Times New Roman" w:eastAsia="Times New Roman" w:hAnsi="Times New Roman"/>
                <w:sz w:val="20"/>
                <w:szCs w:val="20"/>
                <w:color w:val="auto"/>
                <w:w w:val="96"/>
              </w:rPr>
              <w:t>September 1, 1976</w:t>
            </w:r>
          </w:p>
        </w:tc>
      </w:tr>
      <w:tr>
        <w:trPr>
          <w:trHeight w:val="258"/>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Eighth Supplemental Indenture</w:t>
            </w:r>
          </w:p>
        </w:tc>
        <w:tc>
          <w:tcPr>
            <w:tcW w:w="3840" w:type="dxa"/>
            <w:vAlign w:val="bottom"/>
            <w:gridSpan w:val="3"/>
          </w:tcPr>
          <w:p>
            <w:pPr>
              <w:ind w:left="2360"/>
              <w:spacing w:after="0"/>
              <w:rPr>
                <w:sz w:val="20"/>
                <w:szCs w:val="20"/>
                <w:color w:val="auto"/>
              </w:rPr>
            </w:pPr>
            <w:r>
              <w:rPr>
                <w:rFonts w:ascii="Times New Roman" w:cs="Times New Roman" w:eastAsia="Times New Roman" w:hAnsi="Times New Roman"/>
                <w:sz w:val="20"/>
                <w:szCs w:val="20"/>
                <w:color w:val="auto"/>
                <w:w w:val="96"/>
              </w:rPr>
              <w:t>September 1, 1977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700" w:type="dxa"/>
        <w:tblCellMar>
          <w:top w:w="0" w:type="dxa"/>
          <w:left w:w="0" w:type="dxa"/>
          <w:bottom w:w="0" w:type="dxa"/>
          <w:right w:w="0" w:type="dxa"/>
        </w:tblCellMar>
      </w:tblPr>
      <w:tr>
        <w:trPr>
          <w:trHeight w:val="250"/>
        </w:trPr>
        <w:tc>
          <w:tcPr>
            <w:tcW w:w="68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6"/>
              </w:rPr>
              <w:t>Designation</w:t>
            </w:r>
          </w:p>
        </w:tc>
        <w:tc>
          <w:tcPr>
            <w:tcW w:w="3560" w:type="dxa"/>
            <w:vAlign w:val="bottom"/>
          </w:tcPr>
          <w:p>
            <w:pPr>
              <w:spacing w:after="0"/>
              <w:rPr>
                <w:sz w:val="21"/>
                <w:szCs w:val="21"/>
                <w:color w:val="auto"/>
              </w:rPr>
            </w:pP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b w:val="1"/>
                <w:bCs w:val="1"/>
                <w:color w:val="auto"/>
              </w:rPr>
              <w:t>Dated as of</w:t>
            </w:r>
          </w:p>
        </w:tc>
      </w:tr>
      <w:tr>
        <w:trPr>
          <w:trHeight w:val="27"/>
        </w:trPr>
        <w:tc>
          <w:tcPr>
            <w:tcW w:w="6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5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r>
      <w:tr>
        <w:trPr>
          <w:trHeight w:val="315"/>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Ninth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April 1, 1978</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Tenth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August 1, 1978</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Eleventh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December 1, 1982</w:t>
            </w: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Twelfth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April 1, 1987</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Thirteenth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March 1, 1992</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Fourteenth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June 1, 1992</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Fifteenth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July 1, 1992</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Sixteenth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July 1, 1992</w:t>
            </w: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Seventeenth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February 1, 1993</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Eighteenth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July 1, 1993</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Nineteenth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February 1, 1997</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Twentieth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November 1, 1997</w:t>
            </w: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Twenty-first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October 1, 2000</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Twenty-second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July 1, 2003</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Twenty-third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August 1, 2004</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Twenty-fourth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March 1, 2005</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Twenty-fifth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December 1, 2005</w:t>
            </w: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Twenty-sixth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October 1, 2006</w:t>
            </w: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Twenty-seventh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February 1, 2008</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Twenty-eighth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May 1, 2008</w:t>
            </w: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Twenty-ninth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November 1, 2008</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Thirtieth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January 1, 2009</w:t>
            </w: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Thirty-first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February 1, 2010</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Thirty-second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August 1, 2010</w:t>
            </w: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Thirty-third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July 1, 2012</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Thirty-fourth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April 1, 2013</w:t>
            </w: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Thirty-fifth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March 1, 2014</w:t>
            </w: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Thirty-sixth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June 1, 2014</w:t>
            </w:r>
          </w:p>
        </w:tc>
      </w:tr>
      <w:tr>
        <w:trPr>
          <w:trHeight w:val="258"/>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Thirty-seventh Supplemental Indenture</w:t>
            </w:r>
          </w:p>
        </w:tc>
        <w:tc>
          <w:tcPr>
            <w:tcW w:w="360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September 1, 2014</w:t>
            </w:r>
          </w:p>
        </w:tc>
      </w:tr>
      <w:tr>
        <w:trPr>
          <w:trHeight w:val="255"/>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Thirty-eighth Supplemental Indenture</w:t>
            </w:r>
          </w:p>
        </w:tc>
        <w:tc>
          <w:tcPr>
            <w:tcW w:w="20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September 1, 2015</w:t>
            </w:r>
          </w:p>
        </w:tc>
      </w:tr>
      <w:tr>
        <w:trPr>
          <w:trHeight w:val="230"/>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Thirty-ninth Supplemental Indenture</w:t>
            </w:r>
          </w:p>
        </w:tc>
        <w:tc>
          <w:tcPr>
            <w:tcW w:w="20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April 1, 2018</w:t>
            </w: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Fortieth Supplemental Indenture</w:t>
            </w:r>
          </w:p>
        </w:tc>
        <w:tc>
          <w:tcPr>
            <w:tcW w:w="2060" w:type="dxa"/>
            <w:vAlign w:val="bottom"/>
          </w:tcPr>
          <w:p>
            <w:pPr>
              <w:spacing w:after="0"/>
              <w:rPr>
                <w:sz w:val="21"/>
                <w:szCs w:val="21"/>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March 1, 2019</w:t>
            </w:r>
          </w:p>
        </w:tc>
      </w:tr>
      <w:tr>
        <w:trPr>
          <w:trHeight w:val="230"/>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Forty-first Supplemental Indenture</w:t>
            </w:r>
          </w:p>
        </w:tc>
        <w:tc>
          <w:tcPr>
            <w:tcW w:w="20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August 1, 2020</w:t>
            </w: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Forty-second Supplemental Indenture</w:t>
            </w:r>
          </w:p>
        </w:tc>
        <w:tc>
          <w:tcPr>
            <w:tcW w:w="2060" w:type="dxa"/>
            <w:vAlign w:val="bottom"/>
          </w:tcPr>
          <w:p>
            <w:pPr>
              <w:spacing w:after="0"/>
              <w:rPr>
                <w:sz w:val="21"/>
                <w:szCs w:val="21"/>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September 1, 2021</w:t>
            </w: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Forty-third Supplemental Indenture</w:t>
            </w:r>
          </w:p>
        </w:tc>
        <w:tc>
          <w:tcPr>
            <w:tcW w:w="2060" w:type="dxa"/>
            <w:vAlign w:val="bottom"/>
          </w:tcPr>
          <w:p>
            <w:pPr>
              <w:spacing w:after="0"/>
              <w:rPr>
                <w:sz w:val="21"/>
                <w:szCs w:val="21"/>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August 1, 2022</w:t>
            </w:r>
          </w:p>
        </w:tc>
      </w:tr>
      <w:tr>
        <w:trPr>
          <w:trHeight w:val="258"/>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Forty-fourth Supplemental Indenture</w:t>
            </w:r>
          </w:p>
        </w:tc>
        <w:tc>
          <w:tcPr>
            <w:tcW w:w="20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April 1, 2023</w:t>
            </w:r>
          </w:p>
        </w:tc>
      </w:tr>
    </w:tbl>
    <w:p>
      <w:pPr>
        <w:spacing w:after="0" w:line="9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which supplemental indentures were filed and recorded in various official records in the State of Minnesota and the State of North Dakota; and</w:t>
      </w:r>
    </w:p>
    <w:p>
      <w:pPr>
        <w:spacing w:after="0" w:line="5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heretofore issued, in accordance with the provisions of the Mortgage, as heretofore supplemented, the following series of First Mortgage Bonds: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620" w:type="dxa"/>
            <w:vAlign w:val="bottom"/>
            <w:gridSpan w:val="3"/>
          </w:tcPr>
          <w:p>
            <w:pPr>
              <w:jc w:val="center"/>
              <w:ind w:left="2581"/>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340" w:type="dxa"/>
            <w:vAlign w:val="bottom"/>
            <w:gridSpan w:val="2"/>
          </w:tcPr>
          <w:p>
            <w:pPr>
              <w:jc w:val="center"/>
              <w:ind w:right="60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7"/>
              </w:rPr>
              <w:t>Series</w:t>
            </w:r>
          </w:p>
        </w:tc>
        <w:tc>
          <w:tcPr>
            <w:tcW w:w="398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340" w:type="dxa"/>
            <w:vAlign w:val="bottom"/>
            <w:gridSpan w:val="2"/>
          </w:tcPr>
          <w:p>
            <w:pPr>
              <w:jc w:val="center"/>
              <w:ind w:right="600"/>
              <w:spacing w:after="0" w:line="216" w:lineRule="exact"/>
              <w:rPr>
                <w:sz w:val="20"/>
                <w:szCs w:val="20"/>
                <w:color w:val="auto"/>
              </w:rPr>
            </w:pPr>
            <w:r>
              <w:rPr>
                <w:rFonts w:ascii="Times New Roman" w:cs="Times New Roman" w:eastAsia="Times New Roman" w:hAnsi="Times New Roman"/>
                <w:sz w:val="20"/>
                <w:szCs w:val="20"/>
                <w:b w:val="1"/>
                <w:bCs w:val="1"/>
                <w:color w:val="auto"/>
                <w:w w:val="99"/>
              </w:rPr>
              <w:t>Issued</w:t>
            </w:r>
          </w:p>
        </w:tc>
        <w:tc>
          <w:tcPr>
            <w:tcW w:w="1620" w:type="dxa"/>
            <w:vAlign w:val="bottom"/>
            <w:gridSpan w:val="2"/>
          </w:tcPr>
          <w:p>
            <w:pPr>
              <w:jc w:val="center"/>
              <w:ind w:left="461"/>
              <w:spacing w:after="0" w:line="216" w:lineRule="exact"/>
              <w:rPr>
                <w:sz w:val="20"/>
                <w:szCs w:val="20"/>
                <w:color w:val="auto"/>
              </w:rPr>
            </w:pPr>
            <w:r>
              <w:rPr>
                <w:rFonts w:ascii="Times New Roman" w:cs="Times New Roman" w:eastAsia="Times New Roman" w:hAnsi="Times New Roman"/>
                <w:sz w:val="20"/>
                <w:szCs w:val="20"/>
                <w:b w:val="1"/>
                <w:bCs w:val="1"/>
                <w:color w:val="auto"/>
                <w:w w:val="99"/>
              </w:rPr>
              <w:t>Outstanding</w:t>
            </w:r>
          </w:p>
        </w:tc>
        <w:tc>
          <w:tcPr>
            <w:tcW w:w="0" w:type="dxa"/>
            <w:vAlign w:val="bottom"/>
          </w:tcPr>
          <w:p>
            <w:pPr>
              <w:spacing w:after="0"/>
              <w:rPr>
                <w:sz w:val="1"/>
                <w:szCs w:val="1"/>
                <w:color w:val="auto"/>
              </w:rPr>
            </w:pPr>
          </w:p>
        </w:tc>
      </w:tr>
      <w:tr>
        <w:trPr>
          <w:trHeight w:val="215"/>
        </w:trPr>
        <w:tc>
          <w:tcPr>
            <w:tcW w:w="520" w:type="dxa"/>
            <w:vAlign w:val="bottom"/>
            <w:tcBorders>
              <w:bottom w:val="single" w:sz="8" w:color="auto"/>
            </w:tcBorders>
            <w:vMerge w:val="continue"/>
          </w:tcPr>
          <w:p>
            <w:pPr>
              <w:spacing w:after="0"/>
              <w:rPr>
                <w:sz w:val="18"/>
                <w:szCs w:val="18"/>
                <w:color w:val="auto"/>
              </w:rPr>
            </w:pPr>
          </w:p>
        </w:tc>
        <w:tc>
          <w:tcPr>
            <w:tcW w:w="3980" w:type="dxa"/>
            <w:vAlign w:val="bottom"/>
            <w:vMerge w:val="continue"/>
          </w:tcPr>
          <w:p>
            <w:pPr>
              <w:spacing w:after="0"/>
              <w:rPr>
                <w:sz w:val="18"/>
                <w:szCs w:val="18"/>
                <w:color w:val="auto"/>
              </w:rPr>
            </w:pPr>
          </w:p>
        </w:tc>
        <w:tc>
          <w:tcPr>
            <w:tcW w:w="3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3-1/8% Series due 1975</w:t>
            </w:r>
          </w:p>
        </w:tc>
        <w:tc>
          <w:tcPr>
            <w:tcW w:w="4020" w:type="dxa"/>
            <w:vAlign w:val="bottom"/>
            <w:gridSpan w:val="2"/>
          </w:tcPr>
          <w:p>
            <w:pPr>
              <w:ind w:left="2600"/>
              <w:spacing w:after="0"/>
              <w:rPr>
                <w:sz w:val="20"/>
                <w:szCs w:val="20"/>
                <w:color w:val="auto"/>
              </w:rPr>
            </w:pPr>
            <w:r>
              <w:rPr>
                <w:rFonts w:ascii="Times New Roman" w:cs="Times New Roman" w:eastAsia="Times New Roman" w:hAnsi="Times New Roman"/>
                <w:sz w:val="20"/>
                <w:szCs w:val="20"/>
                <w:color w:val="auto"/>
              </w:rPr>
              <w:t>$26,000,000</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3-1/8% Series due 1979</w:t>
            </w:r>
          </w:p>
        </w:tc>
        <w:tc>
          <w:tcPr>
            <w:tcW w:w="4020" w:type="dxa"/>
            <w:vAlign w:val="bottom"/>
            <w:gridSpan w:val="2"/>
          </w:tcPr>
          <w:p>
            <w:pPr>
              <w:ind w:left="2600"/>
              <w:spacing w:after="0"/>
              <w:rPr>
                <w:sz w:val="20"/>
                <w:szCs w:val="20"/>
                <w:color w:val="auto"/>
              </w:rPr>
            </w:pPr>
            <w:r>
              <w:rPr>
                <w:rFonts w:ascii="Times New Roman" w:cs="Times New Roman" w:eastAsia="Times New Roman" w:hAnsi="Times New Roman"/>
                <w:sz w:val="20"/>
                <w:szCs w:val="20"/>
                <w:color w:val="auto"/>
              </w:rPr>
              <w:t>4,000,000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8"/>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3-5/8% Series due 1981</w:t>
            </w:r>
          </w:p>
        </w:tc>
        <w:tc>
          <w:tcPr>
            <w:tcW w:w="4020" w:type="dxa"/>
            <w:vAlign w:val="bottom"/>
            <w:gridSpan w:val="2"/>
          </w:tcPr>
          <w:p>
            <w:pPr>
              <w:ind w:left="2600"/>
              <w:spacing w:after="0"/>
              <w:rPr>
                <w:sz w:val="20"/>
                <w:szCs w:val="20"/>
                <w:color w:val="auto"/>
              </w:rPr>
            </w:pPr>
            <w:r>
              <w:rPr>
                <w:rFonts w:ascii="Times New Roman" w:cs="Times New Roman" w:eastAsia="Times New Roman" w:hAnsi="Times New Roman"/>
                <w:sz w:val="20"/>
                <w:szCs w:val="20"/>
                <w:color w:val="auto"/>
              </w:rPr>
              <w:t>10,000,000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0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22" w:right="339" w:bottom="1025" w:gutter="0" w:footer="0" w:header="0"/>
          <w:type w:val="continuous"/>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880" w:type="dxa"/>
            <w:vAlign w:val="bottom"/>
            <w:gridSpan w:val="3"/>
          </w:tcPr>
          <w:p>
            <w:pPr>
              <w:jc w:val="center"/>
              <w:ind w:left="1841"/>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5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340" w:type="dxa"/>
            <w:vAlign w:val="bottom"/>
            <w:gridSpan w:val="2"/>
          </w:tcPr>
          <w:p>
            <w:pPr>
              <w:jc w:val="center"/>
              <w:ind w:right="60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5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7"/>
              </w:rPr>
              <w:t>Series</w:t>
            </w:r>
          </w:p>
        </w:tc>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40" w:type="dxa"/>
            <w:vAlign w:val="bottom"/>
            <w:gridSpan w:val="2"/>
          </w:tcPr>
          <w:p>
            <w:pPr>
              <w:jc w:val="center"/>
              <w:ind w:right="600"/>
              <w:spacing w:after="0" w:line="216" w:lineRule="exact"/>
              <w:rPr>
                <w:sz w:val="20"/>
                <w:szCs w:val="20"/>
                <w:color w:val="auto"/>
              </w:rPr>
            </w:pPr>
            <w:r>
              <w:rPr>
                <w:rFonts w:ascii="Times New Roman" w:cs="Times New Roman" w:eastAsia="Times New Roman" w:hAnsi="Times New Roman"/>
                <w:sz w:val="20"/>
                <w:szCs w:val="20"/>
                <w:b w:val="1"/>
                <w:bCs w:val="1"/>
                <w:color w:val="auto"/>
                <w:w w:val="99"/>
              </w:rPr>
              <w:t>Issued</w:t>
            </w:r>
          </w:p>
        </w:tc>
        <w:tc>
          <w:tcPr>
            <w:tcW w:w="1620" w:type="dxa"/>
            <w:vAlign w:val="bottom"/>
            <w:gridSpan w:val="2"/>
          </w:tcPr>
          <w:p>
            <w:pPr>
              <w:jc w:val="center"/>
              <w:ind w:left="461"/>
              <w:spacing w:after="0" w:line="216" w:lineRule="exact"/>
              <w:rPr>
                <w:sz w:val="20"/>
                <w:szCs w:val="20"/>
                <w:color w:val="auto"/>
              </w:rPr>
            </w:pPr>
            <w:r>
              <w:rPr>
                <w:rFonts w:ascii="Times New Roman" w:cs="Times New Roman" w:eastAsia="Times New Roman" w:hAnsi="Times New Roman"/>
                <w:sz w:val="20"/>
                <w:szCs w:val="20"/>
                <w:b w:val="1"/>
                <w:bCs w:val="1"/>
                <w:color w:val="auto"/>
                <w:w w:val="99"/>
              </w:rPr>
              <w:t>Outstanding</w:t>
            </w:r>
          </w:p>
        </w:tc>
        <w:tc>
          <w:tcPr>
            <w:tcW w:w="0" w:type="dxa"/>
            <w:vAlign w:val="bottom"/>
          </w:tcPr>
          <w:p>
            <w:pPr>
              <w:spacing w:after="0"/>
              <w:rPr>
                <w:sz w:val="1"/>
                <w:szCs w:val="1"/>
                <w:color w:val="auto"/>
              </w:rPr>
            </w:pPr>
          </w:p>
        </w:tc>
      </w:tr>
      <w:tr>
        <w:trPr>
          <w:trHeight w:val="228"/>
        </w:trPr>
        <w:tc>
          <w:tcPr>
            <w:tcW w:w="52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4-3/4% Series due 1987</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12,000,000</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6-1/2% Series due 1998</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18,000,000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8-1/8% Series due 2001</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23,000,000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10-1/2% Series due 2005</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35,000,000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8.70%</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2006</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35,000,000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8.35%</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2007</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50,000,000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9-1/4% Series due 2008</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50,000,000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Pollution Control Series A</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111,000,000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Industrial Development Series A</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2,500,000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Industrial Development Series B</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1,800,000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Industrial Development Series C</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1,150,000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Pollution Control Series B</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13,500,000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Pollution Control Series C</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2,000,000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Pollution Control Series D</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3,600,000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7-3/4% Series due 1994</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55,000,000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7-3/8% Series due March 1, 1997</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60,000,000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7-3/4% Series due June 1, 2007</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55,000,000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7-1/2% Series due August 1, 2007</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35,000,000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Pollution Control Series E</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111,000,000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 Series due March 1, 2008</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50,000,000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6-1/4% Series due July 1, 2003</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25,000,000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 Series due February 15, 2007</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60,000,000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6.68%</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November 15, 2007</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20,000,000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Floating Rate Series due October 20, 2003</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250,000,000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Collateral Series A</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255,000,000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5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Pollution Control Series F</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111,000,000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5.28%</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August 1, 2020</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35,000,000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5.69%</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March 1, 2036</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50,000,000</w:t>
            </w:r>
          </w:p>
        </w:tc>
        <w:tc>
          <w:tcPr>
            <w:tcW w:w="600" w:type="dxa"/>
            <w:vAlign w:val="bottom"/>
          </w:tcPr>
          <w:p>
            <w:pPr>
              <w:spacing w:after="0"/>
              <w:rPr>
                <w:sz w:val="22"/>
                <w:szCs w:val="22"/>
                <w:color w:val="auto"/>
              </w:rPr>
            </w:pPr>
          </w:p>
        </w:tc>
        <w:tc>
          <w:tcPr>
            <w:tcW w:w="1620" w:type="dxa"/>
            <w:vAlign w:val="bottom"/>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97"/>
              </w:rPr>
              <w:t>50,000,000</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5.99%</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February 1, 2027</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60,000,000</w:t>
            </w:r>
          </w:p>
        </w:tc>
        <w:tc>
          <w:tcPr>
            <w:tcW w:w="600" w:type="dxa"/>
            <w:vAlign w:val="bottom"/>
          </w:tcPr>
          <w:p>
            <w:pPr>
              <w:spacing w:after="0"/>
              <w:rPr>
                <w:sz w:val="22"/>
                <w:szCs w:val="22"/>
                <w:color w:val="auto"/>
              </w:rPr>
            </w:pPr>
          </w:p>
        </w:tc>
        <w:tc>
          <w:tcPr>
            <w:tcW w:w="1620" w:type="dxa"/>
            <w:vAlign w:val="bottom"/>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97"/>
              </w:rPr>
              <w:t>60,000,000</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4.86%</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April 1, 2013</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60,000,000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6.02%</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May 1, 2023</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75,000,000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6.94%</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January 15, 2014</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18,000,000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7.70%</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January 15, 2016</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20,000,000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8.17%</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January 15, 2019</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42,000,000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4.85%</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April 15, 2021</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15,000,000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5.10%</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April 15, 2025</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30,000,000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30,000,000</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6.00%</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April 15, 2040</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35,000,000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35,000,000</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4.90%</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October 15, 2025</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30,000,000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30,000,000</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5.82%</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April 15, 2040</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45,000,000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45,000,000</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3.20%</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July 15, 2026</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75,000,000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75,000,000</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4.08%</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July 15, 2042</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85,000,000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85,000,000</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1.83%</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April 15, 2018</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50,000,000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3.30%</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October 15, 2028</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40,000,000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40,000,000</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4.21%</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October 15, 2043</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60,000,000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60,000,000</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3.69%</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March 15, 2024</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60,000,000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4.95%</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March 15, 2044</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40,000,000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40,000,000</w:t>
            </w:r>
          </w:p>
        </w:tc>
        <w:tc>
          <w:tcPr>
            <w:tcW w:w="0" w:type="dxa"/>
            <w:vAlign w:val="bottom"/>
          </w:tcPr>
          <w:p>
            <w:pPr>
              <w:spacing w:after="0"/>
              <w:rPr>
                <w:sz w:val="1"/>
                <w:szCs w:val="1"/>
                <w:color w:val="auto"/>
              </w:rPr>
            </w:pPr>
          </w:p>
        </w:tc>
      </w:tr>
      <w:tr>
        <w:trPr>
          <w:trHeight w:val="258"/>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3.40%</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July 15, 2022</w:t>
            </w:r>
          </w:p>
        </w:tc>
        <w:tc>
          <w:tcPr>
            <w:tcW w:w="328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75,000,000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2" w:right="339" w:bottom="4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20"/>
          </w:cols>
          <w:pgMar w:left="340" w:top="122" w:right="339" w:bottom="445"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040" w:type="dxa"/>
            <w:vAlign w:val="bottom"/>
            <w:gridSpan w:val="3"/>
          </w:tcPr>
          <w:p>
            <w:pPr>
              <w:jc w:val="center"/>
              <w:ind w:left="2001"/>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560" w:type="dxa"/>
            <w:vAlign w:val="bottom"/>
          </w:tcPr>
          <w:p>
            <w:pPr>
              <w:spacing w:after="0"/>
              <w:rPr>
                <w:sz w:val="21"/>
                <w:szCs w:val="21"/>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340" w:type="dxa"/>
            <w:vAlign w:val="bottom"/>
            <w:gridSpan w:val="2"/>
          </w:tcPr>
          <w:p>
            <w:pPr>
              <w:jc w:val="center"/>
              <w:ind w:right="60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560" w:type="dxa"/>
            <w:vAlign w:val="bottom"/>
          </w:tcPr>
          <w:p>
            <w:pPr>
              <w:spacing w:after="0"/>
              <w:rPr>
                <w:sz w:val="19"/>
                <w:szCs w:val="19"/>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7"/>
              </w:rPr>
              <w:t>Series</w:t>
            </w:r>
          </w:p>
        </w:tc>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40" w:type="dxa"/>
            <w:vAlign w:val="bottom"/>
            <w:gridSpan w:val="2"/>
          </w:tcPr>
          <w:p>
            <w:pPr>
              <w:jc w:val="center"/>
              <w:ind w:right="600"/>
              <w:spacing w:after="0" w:line="216" w:lineRule="exact"/>
              <w:rPr>
                <w:sz w:val="20"/>
                <w:szCs w:val="20"/>
                <w:color w:val="auto"/>
              </w:rPr>
            </w:pPr>
            <w:r>
              <w:rPr>
                <w:rFonts w:ascii="Times New Roman" w:cs="Times New Roman" w:eastAsia="Times New Roman" w:hAnsi="Times New Roman"/>
                <w:sz w:val="20"/>
                <w:szCs w:val="20"/>
                <w:b w:val="1"/>
                <w:bCs w:val="1"/>
                <w:color w:val="auto"/>
                <w:w w:val="99"/>
              </w:rPr>
              <w:t>Issued</w:t>
            </w:r>
          </w:p>
        </w:tc>
        <w:tc>
          <w:tcPr>
            <w:tcW w:w="1660" w:type="dxa"/>
            <w:vAlign w:val="bottom"/>
            <w:gridSpan w:val="3"/>
          </w:tcPr>
          <w:p>
            <w:pPr>
              <w:jc w:val="center"/>
              <w:ind w:left="421"/>
              <w:spacing w:after="0" w:line="216" w:lineRule="exact"/>
              <w:rPr>
                <w:sz w:val="20"/>
                <w:szCs w:val="20"/>
                <w:color w:val="auto"/>
              </w:rPr>
            </w:pPr>
            <w:r>
              <w:rPr>
                <w:rFonts w:ascii="Times New Roman" w:cs="Times New Roman" w:eastAsia="Times New Roman" w:hAnsi="Times New Roman"/>
                <w:sz w:val="20"/>
                <w:szCs w:val="20"/>
                <w:b w:val="1"/>
                <w:bCs w:val="1"/>
                <w:color w:val="auto"/>
                <w:w w:val="99"/>
              </w:rPr>
              <w:t>Outstanding</w:t>
            </w:r>
          </w:p>
        </w:tc>
        <w:tc>
          <w:tcPr>
            <w:tcW w:w="0" w:type="dxa"/>
            <w:vAlign w:val="bottom"/>
          </w:tcPr>
          <w:p>
            <w:pPr>
              <w:spacing w:after="0"/>
              <w:rPr>
                <w:sz w:val="1"/>
                <w:szCs w:val="1"/>
                <w:color w:val="auto"/>
              </w:rPr>
            </w:pPr>
          </w:p>
        </w:tc>
      </w:tr>
      <w:tr>
        <w:trPr>
          <w:trHeight w:val="228"/>
        </w:trPr>
        <w:tc>
          <w:tcPr>
            <w:tcW w:w="52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5.05%</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Series due July 15, 2044</w:t>
            </w:r>
          </w:p>
        </w:tc>
        <w:tc>
          <w:tcPr>
            <w:tcW w:w="3440" w:type="dxa"/>
            <w:vAlign w:val="bottom"/>
            <w:gridSpan w:val="2"/>
          </w:tcPr>
          <w:p>
            <w:pPr>
              <w:ind w:left="2020"/>
              <w:spacing w:after="0"/>
              <w:rPr>
                <w:sz w:val="20"/>
                <w:szCs w:val="20"/>
                <w:color w:val="auto"/>
              </w:rPr>
            </w:pPr>
            <w:r>
              <w:rPr>
                <w:rFonts w:ascii="Times New Roman" w:cs="Times New Roman" w:eastAsia="Times New Roman" w:hAnsi="Times New Roman"/>
                <w:sz w:val="20"/>
                <w:szCs w:val="20"/>
                <w:color w:val="auto"/>
              </w:rPr>
              <w:t>40,000,000</w:t>
            </w:r>
          </w:p>
        </w:tc>
        <w:tc>
          <w:tcPr>
            <w:tcW w:w="600" w:type="dxa"/>
            <w:vAlign w:val="bottom"/>
          </w:tcPr>
          <w:p>
            <w:pPr>
              <w:spacing w:after="0"/>
              <w:rPr>
                <w:sz w:val="24"/>
                <w:szCs w:val="24"/>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40,000,000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3.02%</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Series due September 15, 2021</w:t>
            </w:r>
          </w:p>
        </w:tc>
        <w:tc>
          <w:tcPr>
            <w:tcW w:w="3440" w:type="dxa"/>
            <w:vAlign w:val="bottom"/>
            <w:gridSpan w:val="2"/>
          </w:tcPr>
          <w:p>
            <w:pPr>
              <w:ind w:left="2020"/>
              <w:spacing w:after="0"/>
              <w:rPr>
                <w:sz w:val="20"/>
                <w:szCs w:val="20"/>
                <w:color w:val="auto"/>
              </w:rPr>
            </w:pPr>
            <w:r>
              <w:rPr>
                <w:rFonts w:ascii="Times New Roman" w:cs="Times New Roman" w:eastAsia="Times New Roman" w:hAnsi="Times New Roman"/>
                <w:sz w:val="20"/>
                <w:szCs w:val="20"/>
                <w:color w:val="auto"/>
              </w:rPr>
              <w:t>60,000,000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7"/>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3.74%</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Series due September 15, 2029</w:t>
            </w:r>
          </w:p>
        </w:tc>
        <w:tc>
          <w:tcPr>
            <w:tcW w:w="3440" w:type="dxa"/>
            <w:vAlign w:val="bottom"/>
            <w:gridSpan w:val="2"/>
          </w:tcPr>
          <w:p>
            <w:pPr>
              <w:ind w:left="2020"/>
              <w:spacing w:after="0"/>
              <w:rPr>
                <w:sz w:val="20"/>
                <w:szCs w:val="20"/>
                <w:color w:val="auto"/>
              </w:rPr>
            </w:pPr>
            <w:r>
              <w:rPr>
                <w:rFonts w:ascii="Times New Roman" w:cs="Times New Roman" w:eastAsia="Times New Roman" w:hAnsi="Times New Roman"/>
                <w:sz w:val="20"/>
                <w:szCs w:val="20"/>
                <w:color w:val="auto"/>
              </w:rPr>
              <w:t>50,000,000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50,000,000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4.39%</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Series due September 15, 2044</w:t>
            </w:r>
          </w:p>
        </w:tc>
        <w:tc>
          <w:tcPr>
            <w:tcW w:w="3440" w:type="dxa"/>
            <w:vAlign w:val="bottom"/>
            <w:gridSpan w:val="2"/>
          </w:tcPr>
          <w:p>
            <w:pPr>
              <w:ind w:left="2020"/>
              <w:spacing w:after="0"/>
              <w:rPr>
                <w:sz w:val="20"/>
                <w:szCs w:val="20"/>
                <w:color w:val="auto"/>
              </w:rPr>
            </w:pPr>
            <w:r>
              <w:rPr>
                <w:rFonts w:ascii="Times New Roman" w:cs="Times New Roman" w:eastAsia="Times New Roman" w:hAnsi="Times New Roman"/>
                <w:sz w:val="20"/>
                <w:szCs w:val="20"/>
                <w:color w:val="auto"/>
              </w:rPr>
              <w:t>50,000,000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50,000,000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2.80%</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Series due September 15, 2020</w:t>
            </w:r>
          </w:p>
        </w:tc>
        <w:tc>
          <w:tcPr>
            <w:tcW w:w="3440" w:type="dxa"/>
            <w:vAlign w:val="bottom"/>
            <w:gridSpan w:val="2"/>
          </w:tcPr>
          <w:p>
            <w:pPr>
              <w:ind w:left="2020"/>
              <w:spacing w:after="0"/>
              <w:rPr>
                <w:sz w:val="20"/>
                <w:szCs w:val="20"/>
                <w:color w:val="auto"/>
              </w:rPr>
            </w:pPr>
            <w:r>
              <w:rPr>
                <w:rFonts w:ascii="Times New Roman" w:cs="Times New Roman" w:eastAsia="Times New Roman" w:hAnsi="Times New Roman"/>
                <w:sz w:val="20"/>
                <w:szCs w:val="20"/>
                <w:color w:val="auto"/>
              </w:rPr>
              <w:t>40,000,000</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r>
        <w:trPr>
          <w:trHeight w:val="255"/>
        </w:trPr>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4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September 16, 2030</w:t>
            </w:r>
          </w:p>
        </w:tc>
        <w:tc>
          <w:tcPr>
            <w:tcW w:w="34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60,000,000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60,000,000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4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April 16, 2048</w:t>
            </w:r>
          </w:p>
        </w:tc>
        <w:tc>
          <w:tcPr>
            <w:tcW w:w="34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60,000,000</w:t>
            </w:r>
          </w:p>
        </w:tc>
        <w:tc>
          <w:tcPr>
            <w:tcW w:w="600" w:type="dxa"/>
            <w:vAlign w:val="bottom"/>
          </w:tcPr>
          <w:p>
            <w:pPr>
              <w:spacing w:after="0"/>
              <w:rPr>
                <w:sz w:val="19"/>
                <w:szCs w:val="19"/>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60,000,000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4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March 1, 2029</w:t>
            </w:r>
          </w:p>
        </w:tc>
        <w:tc>
          <w:tcPr>
            <w:tcW w:w="34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70,000,000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70,000,000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4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March 1, 2049</w:t>
            </w:r>
          </w:p>
        </w:tc>
        <w:tc>
          <w:tcPr>
            <w:tcW w:w="34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30,000,000</w:t>
            </w:r>
          </w:p>
        </w:tc>
        <w:tc>
          <w:tcPr>
            <w:tcW w:w="600" w:type="dxa"/>
            <w:vAlign w:val="bottom"/>
          </w:tcPr>
          <w:p>
            <w:pPr>
              <w:spacing w:after="0"/>
              <w:rPr>
                <w:sz w:val="19"/>
                <w:szCs w:val="19"/>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30,000,000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4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August 1, 2030</w:t>
            </w:r>
          </w:p>
        </w:tc>
        <w:tc>
          <w:tcPr>
            <w:tcW w:w="34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46,000,000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46,000,000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4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August 1, 2050</w:t>
            </w:r>
          </w:p>
        </w:tc>
        <w:tc>
          <w:tcPr>
            <w:tcW w:w="34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94,000,000</w:t>
            </w:r>
          </w:p>
        </w:tc>
        <w:tc>
          <w:tcPr>
            <w:tcW w:w="600" w:type="dxa"/>
            <w:vAlign w:val="bottom"/>
          </w:tcPr>
          <w:p>
            <w:pPr>
              <w:spacing w:after="0"/>
              <w:rPr>
                <w:sz w:val="21"/>
                <w:szCs w:val="21"/>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94,000,000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4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September 1, 2031</w:t>
            </w:r>
          </w:p>
        </w:tc>
        <w:tc>
          <w:tcPr>
            <w:tcW w:w="34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100,000,000</w:t>
            </w:r>
          </w:p>
        </w:tc>
        <w:tc>
          <w:tcPr>
            <w:tcW w:w="600" w:type="dxa"/>
            <w:vAlign w:val="bottom"/>
          </w:tcPr>
          <w:p>
            <w:pPr>
              <w:spacing w:after="0"/>
              <w:rPr>
                <w:sz w:val="19"/>
                <w:szCs w:val="19"/>
                <w:color w:val="auto"/>
              </w:rPr>
            </w:pPr>
          </w:p>
        </w:tc>
        <w:tc>
          <w:tcPr>
            <w:tcW w:w="166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w w:val="95"/>
              </w:rPr>
              <w:t>100,000,000</w:t>
            </w:r>
          </w:p>
        </w:tc>
        <w:tc>
          <w:tcPr>
            <w:tcW w:w="0" w:type="dxa"/>
            <w:vAlign w:val="bottom"/>
          </w:tcPr>
          <w:p>
            <w:pPr>
              <w:spacing w:after="0"/>
              <w:rPr>
                <w:sz w:val="1"/>
                <w:szCs w:val="1"/>
                <w:color w:val="auto"/>
              </w:rPr>
            </w:pPr>
          </w:p>
        </w:tc>
      </w:tr>
      <w:tr>
        <w:trPr>
          <w:trHeight w:val="243"/>
        </w:trPr>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4.54%</w:t>
            </w:r>
          </w:p>
        </w:tc>
        <w:tc>
          <w:tcPr>
            <w:tcW w:w="4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August 9, 2032</w:t>
            </w:r>
          </w:p>
        </w:tc>
        <w:tc>
          <w:tcPr>
            <w:tcW w:w="34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75,000,000</w:t>
            </w:r>
          </w:p>
        </w:tc>
        <w:tc>
          <w:tcPr>
            <w:tcW w:w="600" w:type="dxa"/>
            <w:vAlign w:val="bottom"/>
          </w:tcPr>
          <w:p>
            <w:pPr>
              <w:spacing w:after="0"/>
              <w:rPr>
                <w:sz w:val="21"/>
                <w:szCs w:val="21"/>
                <w:color w:val="auto"/>
              </w:rPr>
            </w:pPr>
          </w:p>
        </w:tc>
        <w:tc>
          <w:tcPr>
            <w:tcW w:w="162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75,000,000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4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due April 27, 2033</w:t>
            </w:r>
          </w:p>
        </w:tc>
        <w:tc>
          <w:tcPr>
            <w:tcW w:w="34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auto"/>
              </w:rPr>
              <w:t>125,000,000</w:t>
            </w:r>
          </w:p>
        </w:tc>
        <w:tc>
          <w:tcPr>
            <w:tcW w:w="600" w:type="dxa"/>
            <w:vAlign w:val="bottom"/>
          </w:tcPr>
          <w:p>
            <w:pPr>
              <w:spacing w:after="0"/>
              <w:rPr>
                <w:sz w:val="22"/>
                <w:szCs w:val="22"/>
                <w:color w:val="auto"/>
              </w:rPr>
            </w:pPr>
          </w:p>
        </w:tc>
        <w:tc>
          <w:tcPr>
            <w:tcW w:w="1620" w:type="dxa"/>
            <w:vAlign w:val="bottom"/>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7"/>
              </w:rPr>
              <w:t>125,000,000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bonds are also hereinafter sometimes called bonds of the First through Sixty-fourth Series, respectively; and</w:t>
      </w:r>
    </w:p>
    <w:p>
      <w:pPr>
        <w:spacing w:after="0" w:line="162" w:lineRule="exact"/>
        <w:rPr>
          <w:sz w:val="20"/>
          <w:szCs w:val="20"/>
          <w:color w:val="auto"/>
        </w:rPr>
      </w:pPr>
    </w:p>
    <w:p>
      <w:pPr>
        <w:jc w:val="both"/>
        <w:ind w:firstLine="621"/>
        <w:spacing w:after="0" w:line="253" w:lineRule="auto"/>
        <w:rPr>
          <w:sz w:val="20"/>
          <w:szCs w:val="20"/>
          <w:color w:val="auto"/>
        </w:rPr>
      </w:pPr>
      <w:r>
        <w:rPr>
          <w:rFonts w:ascii="Times New Roman" w:cs="Times New Roman" w:eastAsia="Times New Roman" w:hAnsi="Times New Roman"/>
          <w:sz w:val="20"/>
          <w:szCs w:val="20"/>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38" w:lineRule="exact"/>
        <w:rPr>
          <w:sz w:val="20"/>
          <w:szCs w:val="20"/>
          <w:color w:val="auto"/>
        </w:rPr>
      </w:pPr>
    </w:p>
    <w:p>
      <w:pPr>
        <w:jc w:val="both"/>
        <w:ind w:firstLine="621"/>
        <w:spacing w:after="0" w:line="252" w:lineRule="auto"/>
        <w:rPr>
          <w:sz w:val="20"/>
          <w:szCs w:val="20"/>
          <w:color w:val="auto"/>
        </w:rPr>
      </w:pPr>
      <w:r>
        <w:rPr>
          <w:rFonts w:ascii="Times New Roman" w:cs="Times New Roman" w:eastAsia="Times New Roman" w:hAnsi="Times New Roman"/>
          <w:sz w:val="20"/>
          <w:szCs w:val="20"/>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22"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20"/>
          <w:szCs w:val="20"/>
          <w:color w:val="auto"/>
        </w:rPr>
        <w:t>Whereas, the Company now desires to create one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3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20"/>
          <w:szCs w:val="20"/>
          <w:color w:val="auto"/>
        </w:rPr>
        <w:t>Whereas, the execution and delivery by the Company of this Forty-fifth Supplemental Indenture, and the terms of the bonds of the Sixty-fifth Series, hereinafter referred to, have been duly authorized by the Board of Directors of the Company by appropriate resolutions of said Board of Directors;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22" w:right="33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Now, Therefore, This Indenture Witnesseth:</w:t>
      </w:r>
    </w:p>
    <w:p>
      <w:pPr>
        <w:spacing w:after="0" w:line="216" w:lineRule="exact"/>
        <w:rPr>
          <w:sz w:val="20"/>
          <w:szCs w:val="20"/>
          <w:color w:val="auto"/>
        </w:rPr>
      </w:pPr>
    </w:p>
    <w:p>
      <w:pPr>
        <w:jc w:val="both"/>
        <w:ind w:firstLine="621"/>
        <w:spacing w:after="0" w:line="238" w:lineRule="auto"/>
        <w:rPr>
          <w:sz w:val="20"/>
          <w:szCs w:val="20"/>
          <w:color w:val="auto"/>
        </w:rPr>
      </w:pPr>
      <w:r>
        <w:rPr>
          <w:rFonts w:ascii="Times New Roman" w:cs="Times New Roman" w:eastAsia="Times New Roman" w:hAnsi="Times New Roman"/>
          <w:sz w:val="20"/>
          <w:szCs w:val="20"/>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Sherma Thomas,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Forty-fifth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204" w:lineRule="exact"/>
        <w:rPr>
          <w:sz w:val="20"/>
          <w:szCs w:val="20"/>
          <w:color w:val="auto"/>
        </w:rPr>
      </w:pPr>
    </w:p>
    <w:p>
      <w:pPr>
        <w:jc w:val="both"/>
        <w:ind w:firstLine="621"/>
        <w:spacing w:after="0" w:line="243" w:lineRule="auto"/>
        <w:rPr>
          <w:sz w:val="20"/>
          <w:szCs w:val="20"/>
          <w:color w:val="auto"/>
        </w:rPr>
      </w:pPr>
      <w:r>
        <w:rPr>
          <w:rFonts w:ascii="Times New Roman" w:cs="Times New Roman" w:eastAsia="Times New Roman" w:hAnsi="Times New Roman"/>
          <w:sz w:val="20"/>
          <w:szCs w:val="20"/>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86" w:lineRule="exact"/>
        <w:rPr>
          <w:sz w:val="20"/>
          <w:szCs w:val="20"/>
          <w:color w:val="auto"/>
        </w:rPr>
      </w:pPr>
    </w:p>
    <w:p>
      <w:pPr>
        <w:jc w:val="both"/>
        <w:ind w:right="20" w:firstLine="621"/>
        <w:spacing w:after="0" w:line="283" w:lineRule="auto"/>
        <w:rPr>
          <w:sz w:val="20"/>
          <w:szCs w:val="20"/>
          <w:color w:val="auto"/>
        </w:rPr>
      </w:pPr>
      <w:r>
        <w:rPr>
          <w:rFonts w:ascii="Times New Roman" w:cs="Times New Roman" w:eastAsia="Times New Roman" w:hAnsi="Times New Roman"/>
          <w:sz w:val="20"/>
          <w:szCs w:val="20"/>
          <w:color w:val="auto"/>
        </w:rPr>
        <w:t>It is hereby agreed by the Company that, subject to the provisions of subsection (I) of Section 87 of the Mortgage, all the property, rights, and franchises acquired by the Company (by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2" w:right="339" w:bottom="1440" w:gutter="0" w:footer="0" w:header="0"/>
        </w:sectPr>
      </w:pPr>
    </w:p>
    <w:bookmarkStart w:id="51" w:name="page52"/>
    <w:bookmarkEnd w:id="51"/>
    <w:p>
      <w:pPr>
        <w:ind w:left="10400"/>
        <w:spacing w:after="0"/>
        <w:rPr>
          <w:sz w:val="20"/>
          <w:szCs w:val="20"/>
          <w:color w:val="auto"/>
        </w:rPr>
      </w:pPr>
      <w:r>
        <w:rPr>
          <w:rFonts w:ascii="Times New Roman" w:cs="Times New Roman" w:eastAsia="Times New Roman" w:hAnsi="Times New Roman"/>
          <w:sz w:val="21"/>
          <w:szCs w:val="21"/>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172" w:lineRule="exact"/>
        <w:rPr>
          <w:sz w:val="20"/>
          <w:szCs w:val="20"/>
          <w:color w:val="auto"/>
        </w:rPr>
      </w:pPr>
    </w:p>
    <w:p>
      <w:pPr>
        <w:jc w:val="both"/>
        <w:ind w:firstLine="621"/>
        <w:spacing w:after="0" w:line="249" w:lineRule="auto"/>
        <w:rPr>
          <w:sz w:val="20"/>
          <w:szCs w:val="20"/>
          <w:color w:val="auto"/>
        </w:rPr>
      </w:pPr>
      <w:r>
        <w:rPr>
          <w:rFonts w:ascii="Times New Roman" w:cs="Times New Roman" w:eastAsia="Times New Roman" w:hAnsi="Times New Roman"/>
          <w:sz w:val="20"/>
          <w:szCs w:val="20"/>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Forty-fifth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(6) the Company’s franchise to be a corporation; and (7) any property heretofore released pursuant to any provisions of the Mortgage; provided, however, that the property and rights expressly excepted from the lien and operation of this Forty-fifth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20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20"/>
          <w:szCs w:val="20"/>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81" w:lineRule="exact"/>
        <w:rPr>
          <w:sz w:val="20"/>
          <w:szCs w:val="20"/>
          <w:color w:val="auto"/>
        </w:rPr>
      </w:pPr>
    </w:p>
    <w:p>
      <w:pPr>
        <w:jc w:val="both"/>
        <w:ind w:firstLine="621"/>
        <w:spacing w:after="0" w:line="295" w:lineRule="auto"/>
        <w:rPr>
          <w:sz w:val="20"/>
          <w:szCs w:val="20"/>
          <w:color w:val="auto"/>
        </w:rPr>
      </w:pPr>
      <w:r>
        <w:rPr>
          <w:rFonts w:ascii="Times New Roman" w:cs="Times New Roman" w:eastAsia="Times New Roman" w:hAnsi="Times New Roman"/>
          <w:sz w:val="19"/>
          <w:szCs w:val="19"/>
          <w:color w:val="auto"/>
        </w:rPr>
        <w:t>In trust nevertheless, for the same purposes and upon the same terms, trusts and conditions and subject to and with the same provisos and covenants as are set forth in the Mortgage, as supplemented, this Forty-fifth Supplemental Indenture being supplemental thereto.</w:t>
      </w:r>
    </w:p>
    <w:p>
      <w:pPr>
        <w:spacing w:after="0" w:line="151" w:lineRule="exact"/>
        <w:rPr>
          <w:sz w:val="20"/>
          <w:szCs w:val="20"/>
          <w:color w:val="auto"/>
        </w:rPr>
      </w:pPr>
    </w:p>
    <w:p>
      <w:pPr>
        <w:jc w:val="both"/>
        <w:ind w:firstLine="621"/>
        <w:spacing w:after="0" w:line="253" w:lineRule="auto"/>
        <w:rPr>
          <w:sz w:val="20"/>
          <w:szCs w:val="20"/>
          <w:color w:val="auto"/>
        </w:rPr>
      </w:pPr>
      <w:r>
        <w:rPr>
          <w:rFonts w:ascii="Times New Roman" w:cs="Times New Roman" w:eastAsia="Times New Roman" w:hAnsi="Times New Roman"/>
          <w:sz w:val="20"/>
          <w:szCs w:val="20"/>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2" w:right="339" w:bottom="1440" w:gutter="0" w:footer="0" w:header="0"/>
        </w:sectPr>
      </w:pPr>
    </w:p>
    <w:bookmarkStart w:id="52" w:name="page53"/>
    <w:bookmarkEnd w:id="52"/>
    <w:p>
      <w:pPr>
        <w:ind w:left="10400"/>
        <w:spacing w:after="0"/>
        <w:rPr>
          <w:sz w:val="20"/>
          <w:szCs w:val="20"/>
          <w:color w:val="auto"/>
        </w:rPr>
      </w:pPr>
      <w:r>
        <w:rPr>
          <w:rFonts w:ascii="Times New Roman" w:cs="Times New Roman" w:eastAsia="Times New Roman" w:hAnsi="Times New Roman"/>
          <w:sz w:val="21"/>
          <w:szCs w:val="21"/>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Sixty-fifth Series of Bonds</w:t>
      </w:r>
    </w:p>
    <w:p>
      <w:pPr>
        <w:spacing w:after="0" w:line="200" w:lineRule="exact"/>
        <w:rPr>
          <w:sz w:val="20"/>
          <w:szCs w:val="20"/>
          <w:color w:val="auto"/>
        </w:rPr>
      </w:pPr>
    </w:p>
    <w:p>
      <w:pPr>
        <w:spacing w:after="0" w:line="216" w:lineRule="exact"/>
        <w:rPr>
          <w:sz w:val="20"/>
          <w:szCs w:val="20"/>
          <w:color w:val="auto"/>
        </w:rPr>
      </w:pPr>
    </w:p>
    <w:p>
      <w:pPr>
        <w:jc w:val="both"/>
        <w:ind w:firstLine="621"/>
        <w:spacing w:after="0" w:line="241" w:lineRule="auto"/>
        <w:rPr>
          <w:sz w:val="20"/>
          <w:szCs w:val="20"/>
          <w:color w:val="auto"/>
        </w:rPr>
      </w:pPr>
      <w:r>
        <w:rPr>
          <w:rFonts w:ascii="Times New Roman" w:cs="Times New Roman" w:eastAsia="Times New Roman" w:hAnsi="Times New Roman"/>
          <w:sz w:val="20"/>
          <w:szCs w:val="20"/>
          <w:color w:val="auto"/>
        </w:rPr>
        <w:t>Section 1. There shall be a series of bonds designated “5.72% Series due April 30, 2039” (herein sometimes referred to as the “Sixty-fifth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Sixty-fifth Series shall be dated as in Section 10 of the Mortgage provided, mature on April 30, 2039 (the “Sixty-fifth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April 23, 2024 (computed on the basis of a 360-day year of twelve thirty-day months) at the rate of 5.72% per annum, payable semi-annually on April 30 and October 30 of each year, commencing October 30, 2024,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07" w:lineRule="exact"/>
        <w:rPr>
          <w:sz w:val="20"/>
          <w:szCs w:val="20"/>
          <w:color w:val="auto"/>
        </w:rPr>
      </w:pPr>
    </w:p>
    <w:p>
      <w:pPr>
        <w:jc w:val="both"/>
        <w:ind w:firstLine="621"/>
        <w:spacing w:after="0" w:line="246" w:lineRule="auto"/>
        <w:rPr>
          <w:sz w:val="20"/>
          <w:szCs w:val="20"/>
          <w:color w:val="auto"/>
        </w:rPr>
      </w:pPr>
      <w:r>
        <w:rPr>
          <w:rFonts w:ascii="Times New Roman" w:cs="Times New Roman" w:eastAsia="Times New Roman" w:hAnsi="Times New Roman"/>
          <w:sz w:val="20"/>
          <w:szCs w:val="20"/>
          <w:color w:val="auto"/>
        </w:rPr>
        <w:t>Any payment of principal of or interest on any bond of the Sixty-fifth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Sixty-fifth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00" w:lineRule="exact"/>
        <w:rPr>
          <w:sz w:val="20"/>
          <w:szCs w:val="20"/>
          <w:color w:val="auto"/>
        </w:rPr>
      </w:pPr>
    </w:p>
    <w:p>
      <w:pPr>
        <w:jc w:val="both"/>
        <w:ind w:firstLine="629"/>
        <w:spacing w:after="0" w:line="239" w:lineRule="auto"/>
        <w:tabs>
          <w:tab w:leader="none" w:pos="10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Optional Prepayment. </w:t>
      </w:r>
      <w:r>
        <w:rPr>
          <w:rFonts w:ascii="Times New Roman" w:cs="Times New Roman" w:eastAsia="Times New Roman" w:hAnsi="Times New Roman"/>
          <w:sz w:val="20"/>
          <w:szCs w:val="20"/>
          <w:color w:val="auto"/>
        </w:rPr>
        <w:t>At any time prior to January 30, 2039 (three months prior to the Sixty-fifth Series Stated Maturity)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may, at its option, upon notice as provided below, prepay at any time all, or from time to time any part of, the bonds of the Sixty-fifth Series at 100% of the principal amount so prepaid, and the Make-Whole Amount determined for the Settlement Date specified by the Company in such notice with respect to such principal amount. The Company will give each registered owner of bonds of the Sixty-fifth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Sixty-fifth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Sixty-fifth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2" w:right="339" w:bottom="1440" w:gutter="0" w:footer="0" w:header="0"/>
        </w:sectPr>
      </w:pPr>
    </w:p>
    <w:bookmarkStart w:id="53" w:name="page54"/>
    <w:bookmarkEnd w:id="53"/>
    <w:p>
      <w:pPr>
        <w:ind w:left="10400"/>
        <w:spacing w:after="0"/>
        <w:rPr>
          <w:sz w:val="20"/>
          <w:szCs w:val="20"/>
          <w:color w:val="auto"/>
        </w:rPr>
      </w:pPr>
      <w:r>
        <w:rPr>
          <w:rFonts w:ascii="Times New Roman" w:cs="Times New Roman" w:eastAsia="Times New Roman" w:hAnsi="Times New Roman"/>
          <w:sz w:val="21"/>
          <w:szCs w:val="21"/>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20"/>
          <w:szCs w:val="20"/>
          <w:color w:val="auto"/>
        </w:rPr>
        <w:t>At any time on or after January 30, 2039, the bonds of the Sixty-fifth Series will be redeemable at the option of the Company, in whole or in part, on not less than 30 nor more than 60 days’ notice prior to the Settlement Date, at a redemption price equal to 100% of the principal amount of the bonds of the Sixty-fifth Series to be redeemed, plus accrued and unpaid interest thereon to the Settlement Date.</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bonds of the Sixty-fifth Series are not otherwise subject to voluntary or optional prepayment.</w:t>
      </w:r>
    </w:p>
    <w:p>
      <w:pPr>
        <w:spacing w:after="0" w:line="158" w:lineRule="exact"/>
        <w:rPr>
          <w:sz w:val="20"/>
          <w:szCs w:val="20"/>
          <w:color w:val="auto"/>
        </w:rPr>
      </w:pPr>
    </w:p>
    <w:p>
      <w:pPr>
        <w:jc w:val="both"/>
        <w:ind w:firstLine="928"/>
        <w:spacing w:after="0" w:line="260" w:lineRule="auto"/>
        <w:tabs>
          <w:tab w:leader="none" w:pos="148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Allocation of Partial Prepayments. </w:t>
      </w:r>
      <w:r>
        <w:rPr>
          <w:rFonts w:ascii="Times New Roman" w:cs="Times New Roman" w:eastAsia="Times New Roman" w:hAnsi="Times New Roman"/>
          <w:sz w:val="20"/>
          <w:szCs w:val="20"/>
          <w:color w:val="auto"/>
        </w:rPr>
        <w:t>In the case of each partial prepayment of the bonds of the Sixty-fifth Series,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principal amount of the bonds of the Sixty-fifth Series to be prepaid shall be allocated by the Company among all of the bonds of the Sixty-fifth Series at the time outstanding in proportion, as nearly as practicable, to the respective unpaid principal amounts thereof not theretofore called for prepayment.</w:t>
      </w:r>
    </w:p>
    <w:p>
      <w:pPr>
        <w:spacing w:after="0" w:line="124" w:lineRule="exact"/>
        <w:rPr>
          <w:sz w:val="20"/>
          <w:szCs w:val="20"/>
          <w:color w:val="auto"/>
        </w:rPr>
      </w:pPr>
    </w:p>
    <w:p>
      <w:pPr>
        <w:jc w:val="both"/>
        <w:ind w:firstLine="863"/>
        <w:spacing w:after="0" w:line="249" w:lineRule="auto"/>
        <w:tabs>
          <w:tab w:leader="none" w:pos="147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Maturity; Surrender, Etc. </w:t>
      </w:r>
      <w:r>
        <w:rPr>
          <w:rFonts w:ascii="Times New Roman" w:cs="Times New Roman" w:eastAsia="Times New Roman" w:hAnsi="Times New Roman"/>
          <w:sz w:val="20"/>
          <w:szCs w:val="20"/>
          <w:color w:val="auto"/>
        </w:rPr>
        <w:t>In the case of each notice of prepayment of bonds of the Sixty-fifth Series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Sixty-fifth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42" w:lineRule="exact"/>
        <w:rPr>
          <w:sz w:val="20"/>
          <w:szCs w:val="20"/>
          <w:color w:val="auto"/>
        </w:rPr>
      </w:pPr>
    </w:p>
    <w:p>
      <w:pPr>
        <w:ind w:left="820"/>
        <w:spacing w:after="0"/>
        <w:tabs>
          <w:tab w:leader="none" w:pos="1340" w:val="left"/>
        </w:tabs>
        <w:rPr>
          <w:sz w:val="20"/>
          <w:szCs w:val="20"/>
          <w:color w:val="auto"/>
        </w:rPr>
      </w:pPr>
      <w:r>
        <w:rPr>
          <w:rFonts w:ascii="Times New Roman" w:cs="Times New Roman" w:eastAsia="Times New Roman" w:hAnsi="Times New Roman"/>
          <w:sz w:val="20"/>
          <w:szCs w:val="20"/>
          <w:color w:val="auto"/>
        </w:rPr>
        <w:t>(IV)</w:t>
      </w:r>
      <w:r>
        <w:rPr>
          <w:sz w:val="20"/>
          <w:szCs w:val="20"/>
          <w:color w:val="auto"/>
        </w:rPr>
        <w:tab/>
      </w:r>
      <w:r>
        <w:rPr>
          <w:rFonts w:ascii="Times New Roman" w:cs="Times New Roman" w:eastAsia="Times New Roman" w:hAnsi="Times New Roman"/>
          <w:sz w:val="19"/>
          <w:szCs w:val="19"/>
          <w:b w:val="1"/>
          <w:bCs w:val="1"/>
          <w:color w:val="auto"/>
        </w:rPr>
        <w:t>Make-Whole Amount.</w:t>
      </w:r>
    </w:p>
    <w:p>
      <w:pPr>
        <w:spacing w:after="0" w:line="166"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20"/>
          <w:szCs w:val="20"/>
          <w:color w:val="auto"/>
        </w:rPr>
        <w:t>The term “Make-Whole Amount” means, with respect to any bond of the Sixty-fifth Series, an amount equal to the excess, if any, of the Discounted Value of the Remaining Scheduled Payments with respect to the Called Principal of such bond of the Sixty-fifth Series over the amount of such Called Principal, provided that the Make-Whole Amount may in no event be less than zero. For the purposes of determining the Make-Whole Amount, the following terms have the following meanings:</w:t>
      </w:r>
    </w:p>
    <w:p>
      <w:pPr>
        <w:spacing w:after="0" w:line="132" w:lineRule="exact"/>
        <w:rPr>
          <w:sz w:val="20"/>
          <w:szCs w:val="20"/>
          <w:color w:val="auto"/>
        </w:rPr>
      </w:pPr>
    </w:p>
    <w:p>
      <w:pPr>
        <w:jc w:val="both"/>
        <w:ind w:right="20" w:firstLine="621"/>
        <w:spacing w:after="0" w:line="269" w:lineRule="auto"/>
        <w:rPr>
          <w:sz w:val="20"/>
          <w:szCs w:val="20"/>
          <w:color w:val="auto"/>
        </w:rPr>
      </w:pPr>
      <w:r>
        <w:rPr>
          <w:rFonts w:ascii="Times New Roman" w:cs="Times New Roman" w:eastAsia="Times New Roman" w:hAnsi="Times New Roman"/>
          <w:sz w:val="20"/>
          <w:szCs w:val="20"/>
          <w:color w:val="auto"/>
        </w:rPr>
        <w:t>“Business Day” means any day other than a Saturday, a Sunday or a day on which commercial banks in New York City are required or authorized to be closed.</w:t>
      </w:r>
    </w:p>
    <w:p>
      <w:pPr>
        <w:spacing w:after="0" w:line="119" w:lineRule="exact"/>
        <w:rPr>
          <w:sz w:val="20"/>
          <w:szCs w:val="20"/>
          <w:color w:val="auto"/>
        </w:rPr>
      </w:pPr>
    </w:p>
    <w:p>
      <w:pPr>
        <w:jc w:val="both"/>
        <w:ind w:firstLine="621"/>
        <w:spacing w:after="0" w:line="283" w:lineRule="auto"/>
        <w:rPr>
          <w:sz w:val="20"/>
          <w:szCs w:val="20"/>
          <w:color w:val="auto"/>
        </w:rPr>
      </w:pPr>
      <w:r>
        <w:rPr>
          <w:rFonts w:ascii="Times New Roman" w:cs="Times New Roman" w:eastAsia="Times New Roman" w:hAnsi="Times New Roman"/>
          <w:sz w:val="20"/>
          <w:szCs w:val="20"/>
          <w:color w:val="auto"/>
        </w:rPr>
        <w:t>“Called Principal” means, with respect to any bond of the Sixty-fifth Series, the principal of such bond that is to be prepaid pursuant to subsection (I)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21"/>
        <w:spacing w:after="0" w:line="253" w:lineRule="auto"/>
        <w:rPr>
          <w:sz w:val="20"/>
          <w:szCs w:val="20"/>
          <w:color w:val="auto"/>
        </w:rPr>
      </w:pPr>
      <w:r>
        <w:rPr>
          <w:rFonts w:ascii="Times New Roman" w:cs="Times New Roman" w:eastAsia="Times New Roman" w:hAnsi="Times New Roman"/>
          <w:sz w:val="20"/>
          <w:szCs w:val="20"/>
          <w:color w:val="auto"/>
        </w:rPr>
        <w:t>“Discounted Value” means, with respect to the Called Principal of any bond of the Sixty-fifth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Sixty-fifth Series is payable) equal to the Reinvestment Yield with respect to such Called Principal.</w:t>
      </w:r>
    </w:p>
    <w:p>
      <w:pPr>
        <w:spacing w:after="0" w:line="151"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9"/>
          <w:szCs w:val="19"/>
          <w:color w:val="auto"/>
        </w:rPr>
        <w:t>“Reinvestment Yield” means, with respect to the Called Principal of any bond of the Sixty-fifth Series,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w:t>
      </w:r>
    </w:p>
    <w:p>
      <w:pPr>
        <w:jc w:val="both"/>
        <w:ind w:firstLine="8"/>
        <w:spacing w:after="0" w:line="251" w:lineRule="auto"/>
        <w:tabs>
          <w:tab w:leader="none" w:pos="30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Sixty-fifth Series.</w:t>
      </w:r>
    </w:p>
    <w:p>
      <w:pPr>
        <w:spacing w:after="0" w:line="150" w:lineRule="exact"/>
        <w:rPr>
          <w:sz w:val="20"/>
          <w:szCs w:val="20"/>
          <w:color w:val="auto"/>
        </w:rPr>
      </w:pPr>
    </w:p>
    <w:p>
      <w:pPr>
        <w:jc w:val="both"/>
        <w:ind w:firstLine="621"/>
        <w:spacing w:after="0" w:line="252" w:lineRule="auto"/>
        <w:rPr>
          <w:sz w:val="20"/>
          <w:szCs w:val="20"/>
          <w:color w:val="auto"/>
        </w:rPr>
      </w:pPr>
      <w:r>
        <w:rPr>
          <w:rFonts w:ascii="Times New Roman" w:cs="Times New Roman" w:eastAsia="Times New Roman" w:hAnsi="Times New Roman"/>
          <w:sz w:val="20"/>
          <w:szCs w:val="20"/>
          <w:color w:val="auto"/>
        </w:rPr>
        <w:t>If such yields are not Reported or the yields Reported as of such time are not ascertainable (including by way of interpolation), then “Reinvestment Yield” means, with respect to the Called Principal of any bond of the Sixty-fifth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 of the Sixty-fifth Series.</w:t>
      </w:r>
    </w:p>
    <w:p>
      <w:pPr>
        <w:spacing w:after="0" w:line="137"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20"/>
          <w:szCs w:val="20"/>
          <w:color w:val="auto"/>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w:t>
      </w:r>
    </w:p>
    <w:p>
      <w:pPr>
        <w:spacing w:after="0" w:line="146" w:lineRule="exact"/>
        <w:rPr>
          <w:sz w:val="20"/>
          <w:szCs w:val="20"/>
          <w:color w:val="auto"/>
        </w:rPr>
      </w:pPr>
    </w:p>
    <w:p>
      <w:pPr>
        <w:jc w:val="both"/>
        <w:ind w:firstLine="621"/>
        <w:spacing w:after="0" w:line="253" w:lineRule="auto"/>
        <w:rPr>
          <w:sz w:val="20"/>
          <w:szCs w:val="20"/>
          <w:color w:val="auto"/>
        </w:rPr>
      </w:pPr>
      <w:r>
        <w:rPr>
          <w:rFonts w:ascii="Times New Roman" w:cs="Times New Roman" w:eastAsia="Times New Roman" w:hAnsi="Times New Roman"/>
          <w:sz w:val="20"/>
          <w:szCs w:val="20"/>
          <w:color w:val="auto"/>
        </w:rPr>
        <w:t>“Remaining Scheduled Payments” means, with respect to the Called Principal of any bond of the Sixty-fifth Series, all payments of such Called Principal and interest thereon that would be due after the Settlement Date with respect to such Called Principal if no payment of such Called Principal were made prior to its scheduled due, provided that if such Settlement Date is not a date on which interest payments are due to be made under the terms of the bonds of the Sixty-fifth Series, then the amount of the next succeeding scheduled interest payment will be reduced by the amount of interest accrued to such Settlement Date and required to be paid on such Settlement Date pursuant to subsection (I)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21"/>
        <w:spacing w:after="0" w:line="283" w:lineRule="auto"/>
        <w:rPr>
          <w:sz w:val="20"/>
          <w:szCs w:val="20"/>
          <w:color w:val="auto"/>
        </w:rPr>
      </w:pPr>
      <w:r>
        <w:rPr>
          <w:rFonts w:ascii="Times New Roman" w:cs="Times New Roman" w:eastAsia="Times New Roman" w:hAnsi="Times New Roman"/>
          <w:sz w:val="20"/>
          <w:szCs w:val="20"/>
          <w:color w:val="auto"/>
        </w:rPr>
        <w:t>“Settlement Date” means, with respect to the Called Principal of any bond of the Sixty-fifth Series, the date on which such Called Principal is to be prepaid pursuant to subsection (I) of this section.</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“Senior Financial Officer” means the chief financial officer, principal accounting officer, treasurer or comptroller of the Company.</w:t>
      </w:r>
    </w:p>
    <w:p>
      <w:pPr>
        <w:spacing w:after="0" w:line="175" w:lineRule="exact"/>
        <w:rPr>
          <w:sz w:val="20"/>
          <w:szCs w:val="20"/>
          <w:color w:val="auto"/>
        </w:rPr>
      </w:pPr>
    </w:p>
    <w:p>
      <w:pPr>
        <w:jc w:val="both"/>
        <w:ind w:firstLine="629"/>
        <w:spacing w:after="0" w:line="257" w:lineRule="auto"/>
        <w:tabs>
          <w:tab w:leader="none" w:pos="108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option of the registered owner, any bonds of the Sixty-fifth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46" w:lineRule="exact"/>
        <w:rPr>
          <w:sz w:val="20"/>
          <w:szCs w:val="20"/>
          <w:color w:val="auto"/>
        </w:rPr>
      </w:pPr>
    </w:p>
    <w:p>
      <w:pPr>
        <w:jc w:val="both"/>
        <w:ind w:firstLine="621"/>
        <w:spacing w:after="0" w:line="253" w:lineRule="auto"/>
        <w:rPr>
          <w:sz w:val="20"/>
          <w:szCs w:val="20"/>
          <w:color w:val="auto"/>
        </w:rPr>
      </w:pPr>
      <w:r>
        <w:rPr>
          <w:rFonts w:ascii="Times New Roman" w:cs="Times New Roman" w:eastAsia="Times New Roman" w:hAnsi="Times New Roman"/>
          <w:sz w:val="20"/>
          <w:szCs w:val="20"/>
          <w:color w:val="auto"/>
        </w:rPr>
        <w:t>Bonds of the Sixty-fifth Series shall be transferable (subject to the provisions of Section 12 of the Mortgage) at the office or agency of the Company in the Borough of Manhattan, The City of New York. The Company shall not be required to make transfers or exchanges of bonds of the Sixty-fifth Series for a period of ten (10) days next preceding any interest payment date for bonds of such series, or next preceding any designation of bonds of said series to be prepaid, and the Company shall not be required to make transfers or exchanges of any bonds of said series designated in whole or in part for prepayment.</w:t>
      </w:r>
    </w:p>
    <w:p>
      <w:pPr>
        <w:spacing w:after="0" w:line="15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20"/>
          <w:szCs w:val="20"/>
          <w:color w:val="auto"/>
        </w:rPr>
        <w:t>Upon any exchange or transfer of bonds of the Sixty-fifth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Sixty-fifth Series.</w:t>
      </w:r>
    </w:p>
    <w:p>
      <w:pPr>
        <w:spacing w:after="0" w:line="141"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20"/>
          <w:szCs w:val="20"/>
          <w:color w:val="auto"/>
        </w:rPr>
        <w:t>After the delivery of this Forty-fifth Supplemental Indenture and upon compliance with the applicable provisions of the Mortgage and receipt of consideration therefor by the Company, there shall be an initial issue of bonds of the Sixty-fifth Series for the aggregate principal amount of $100,000,000.</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to Amendments</w:t>
      </w:r>
    </w:p>
    <w:p>
      <w:pPr>
        <w:spacing w:after="0" w:line="200" w:lineRule="exact"/>
        <w:rPr>
          <w:sz w:val="20"/>
          <w:szCs w:val="20"/>
          <w:color w:val="auto"/>
        </w:rPr>
      </w:pPr>
    </w:p>
    <w:p>
      <w:pPr>
        <w:spacing w:after="0" w:line="270" w:lineRule="exact"/>
        <w:rPr>
          <w:sz w:val="20"/>
          <w:szCs w:val="20"/>
          <w:color w:val="auto"/>
        </w:rPr>
      </w:pPr>
    </w:p>
    <w:p>
      <w:pPr>
        <w:jc w:val="both"/>
        <w:ind w:firstLine="621"/>
        <w:spacing w:after="0" w:line="25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Consent to Amendments</w:t>
      </w:r>
      <w:r>
        <w:rPr>
          <w:rFonts w:ascii="Times New Roman" w:cs="Times New Roman" w:eastAsia="Times New Roman" w:hAnsi="Times New Roman"/>
          <w:sz w:val="20"/>
          <w:szCs w:val="20"/>
          <w:color w:val="auto"/>
        </w:rPr>
        <w:t xml:space="preserve"> Each initial and future holder of bonds of the Sixty-fifth Series, by its acquisition of an interest in such bonds, irrevocably (a) consents to the amendments set forth in Article IV of the Thirty-first Supplemental Indenture, dated as of February 1, 2010, and Article III of this Forty-fifth Supplemental Indenture,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Reservation of Right to Amend Sections 35(a), 99, 101 and 102 of the Mortgage</w:t>
      </w:r>
    </w:p>
    <w:p>
      <w:pPr>
        <w:spacing w:after="0" w:line="200" w:lineRule="exact"/>
        <w:rPr>
          <w:sz w:val="20"/>
          <w:szCs w:val="20"/>
          <w:color w:val="auto"/>
        </w:rPr>
      </w:pPr>
    </w:p>
    <w:p>
      <w:pPr>
        <w:spacing w:after="0" w:line="250" w:lineRule="exact"/>
        <w:rPr>
          <w:sz w:val="20"/>
          <w:szCs w:val="20"/>
          <w:color w:val="auto"/>
        </w:rPr>
      </w:pPr>
    </w:p>
    <w:p>
      <w:pPr>
        <w:jc w:val="both"/>
        <w:ind w:firstLine="622"/>
        <w:spacing w:after="0" w:line="269" w:lineRule="auto"/>
        <w:rPr>
          <w:sz w:val="20"/>
          <w:szCs w:val="20"/>
          <w:color w:val="auto"/>
        </w:rPr>
      </w:pPr>
      <w:r>
        <w:rPr>
          <w:rFonts w:ascii="Times New Roman" w:cs="Times New Roman" w:eastAsia="Times New Roman" w:hAnsi="Times New Roman"/>
          <w:sz w:val="20"/>
          <w:szCs w:val="20"/>
          <w:color w:val="auto"/>
        </w:rPr>
        <w:t>Section 1. The Company reserves the right, without any vote, consent or other action by the holders of bonds of the Sixty-fifth Series, or any subsequent series, to amend the Mortgage, as herein or heretofore supplemented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2"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1069"/>
        <w:spacing w:after="0" w:line="283" w:lineRule="auto"/>
        <w:tabs>
          <w:tab w:leader="none" w:pos="139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Section 35(a) to delete the phrase “having its principal office and place of business in the Borough of Manhattan, The City of New York” and the word “such” at the location in said Section 35(a) at which such word first appears; and</w:t>
      </w:r>
    </w:p>
    <w:p>
      <w:pPr>
        <w:spacing w:after="0" w:line="362" w:lineRule="exact"/>
        <w:rPr>
          <w:rFonts w:ascii="Times New Roman" w:cs="Times New Roman" w:eastAsia="Times New Roman" w:hAnsi="Times New Roman"/>
          <w:sz w:val="20"/>
          <w:szCs w:val="20"/>
          <w:color w:val="auto"/>
        </w:rPr>
      </w:pPr>
    </w:p>
    <w:p>
      <w:pPr>
        <w:jc w:val="both"/>
        <w:ind w:firstLine="1099"/>
        <w:spacing w:after="0" w:line="261" w:lineRule="auto"/>
        <w:tabs>
          <w:tab w:leader="none" w:pos="141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Sections 99, 101 and 102 to remove all requirements for the publishing of notices of the resignation, removal or appointment of any Trustee and to delete all references to the publication of such notices in the Mortgage, as herein or heretofore supplemented, including deletion of words “the first publication of notice of” in the last sentence of the first paragraph of Section 102.</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200" w:lineRule="exact"/>
        <w:rPr>
          <w:sz w:val="20"/>
          <w:szCs w:val="20"/>
          <w:color w:val="auto"/>
        </w:rPr>
      </w:pPr>
    </w:p>
    <w:p>
      <w:pPr>
        <w:spacing w:after="0" w:line="216" w:lineRule="exact"/>
        <w:rPr>
          <w:sz w:val="20"/>
          <w:szCs w:val="20"/>
          <w:color w:val="auto"/>
        </w:rPr>
      </w:pPr>
    </w:p>
    <w:p>
      <w:pPr>
        <w:jc w:val="both"/>
        <w:ind w:right="20" w:firstLine="621"/>
        <w:spacing w:after="0" w:line="283" w:lineRule="auto"/>
        <w:rPr>
          <w:sz w:val="20"/>
          <w:szCs w:val="20"/>
          <w:color w:val="auto"/>
        </w:rPr>
      </w:pPr>
      <w:r>
        <w:rPr>
          <w:rFonts w:ascii="Times New Roman" w:cs="Times New Roman" w:eastAsia="Times New Roman" w:hAnsi="Times New Roman"/>
          <w:sz w:val="20"/>
          <w:szCs w:val="20"/>
          <w:color w:val="auto"/>
        </w:rPr>
        <w:t>Section 1. Section 126 of the Mortgage, as heretofore amended, is hereby further amended by adding the words “and April 30, 2039” after the words “and April 27, 2033”.</w:t>
      </w:r>
    </w:p>
    <w:p>
      <w:pPr>
        <w:spacing w:after="0" w:line="146" w:lineRule="exact"/>
        <w:rPr>
          <w:sz w:val="20"/>
          <w:szCs w:val="20"/>
          <w:color w:val="auto"/>
        </w:rPr>
      </w:pPr>
    </w:p>
    <w:p>
      <w:pPr>
        <w:jc w:val="both"/>
        <w:ind w:firstLine="621"/>
        <w:spacing w:after="0" w:line="268" w:lineRule="auto"/>
        <w:rPr>
          <w:sz w:val="20"/>
          <w:szCs w:val="20"/>
          <w:color w:val="auto"/>
        </w:rPr>
      </w:pPr>
      <w:r>
        <w:rPr>
          <w:rFonts w:ascii="Times New Roman" w:cs="Times New Roman" w:eastAsia="Times New Roman" w:hAnsi="Times New Roman"/>
          <w:sz w:val="20"/>
          <w:szCs w:val="20"/>
          <w:color w:val="auto"/>
        </w:rPr>
        <w:t>Section 2. Subject to the amendments provided for in this Forty-fifth Supplemental Indenture, the terms defined in the Mortgage, as heretofore supplemented, shall, for all purposes of this Forty-fifth Supplemental Indenture, have the meanings specified in the Mortgage, as heretofore supplemented.</w:t>
      </w:r>
    </w:p>
    <w:p>
      <w:pPr>
        <w:spacing w:after="0" w:line="161" w:lineRule="exact"/>
        <w:rPr>
          <w:sz w:val="20"/>
          <w:szCs w:val="20"/>
          <w:color w:val="auto"/>
        </w:rPr>
      </w:pPr>
    </w:p>
    <w:p>
      <w:pPr>
        <w:jc w:val="both"/>
        <w:ind w:firstLine="621"/>
        <w:spacing w:after="0" w:line="274" w:lineRule="auto"/>
        <w:rPr>
          <w:sz w:val="20"/>
          <w:szCs w:val="20"/>
          <w:color w:val="auto"/>
        </w:rPr>
      </w:pPr>
      <w:r>
        <w:rPr>
          <w:rFonts w:ascii="Times New Roman" w:cs="Times New Roman" w:eastAsia="Times New Roman" w:hAnsi="Times New Roman"/>
          <w:sz w:val="19"/>
          <w:szCs w:val="19"/>
          <w:color w:val="auto"/>
        </w:rPr>
        <w:t>Section 3. The holders of bonds of the Sixty-fifth Series consent that the Company may, but shall not be obligated to, fix a record date for the purpose of determining the holders of bonds of the Sixty-fifth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57" w:lineRule="exact"/>
        <w:rPr>
          <w:sz w:val="20"/>
          <w:szCs w:val="20"/>
          <w:color w:val="auto"/>
        </w:rPr>
      </w:pPr>
    </w:p>
    <w:p>
      <w:pPr>
        <w:jc w:val="both"/>
        <w:ind w:firstLine="621"/>
        <w:spacing w:after="0" w:line="283" w:lineRule="auto"/>
        <w:rPr>
          <w:sz w:val="20"/>
          <w:szCs w:val="20"/>
          <w:color w:val="auto"/>
        </w:rPr>
      </w:pPr>
      <w:r>
        <w:rPr>
          <w:rFonts w:ascii="Times New Roman" w:cs="Times New Roman" w:eastAsia="Times New Roman" w:hAnsi="Times New Roman"/>
          <w:sz w:val="20"/>
          <w:szCs w:val="20"/>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46"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20"/>
          <w:szCs w:val="20"/>
          <w:color w:val="auto"/>
        </w:rPr>
        <w:t>The Trustees shall not be responsible in any manner whatsoever for or in respect of the validity or sufficiency of this Forty-fifth Supplemental Indenture or for or in respect of the recitals contained herein, all of which recitals are made by the Company solely. In general, each and every term and condition contained in Article XVII of the Mortgage shall apply to and form part of this Forty-fifth Supplemental Indenture with the same force and effect as if the same were herein set forth in full with such omissions, variations and insertions, if any, as may be appropriate to make the same conform to the provisions of this Forty-fifth Supplemental Indenture.</w:t>
      </w:r>
    </w:p>
    <w:p>
      <w:pPr>
        <w:spacing w:after="0" w:line="173"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20"/>
          <w:szCs w:val="20"/>
          <w:color w:val="auto"/>
        </w:rPr>
        <w:t>Section 5. Whenever in this Forty-fifth Supplemental Indenture any party hereto is named or referred to, this shall, subject to the provisions of Articles XVI and XVII of the Mortgage, as heretofore supplemented, be deemed to include the successors or assigns of such party, and all the covenants and agreements in this Forty-fifth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2"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21"/>
        <w:spacing w:after="0" w:line="253" w:lineRule="auto"/>
        <w:rPr>
          <w:sz w:val="20"/>
          <w:szCs w:val="20"/>
          <w:color w:val="auto"/>
        </w:rPr>
      </w:pPr>
      <w:r>
        <w:rPr>
          <w:rFonts w:ascii="Times New Roman" w:cs="Times New Roman" w:eastAsia="Times New Roman" w:hAnsi="Times New Roman"/>
          <w:sz w:val="20"/>
          <w:szCs w:val="20"/>
          <w:color w:val="auto"/>
        </w:rPr>
        <w:t>Section 6. Nothing in this Forty-fifth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Forty-fifth Supplemental Indenture or any covenant, condition, stipulation, promise or agreement hereof, and all the covenants, conditions, stipulations, promises and agreements in this Forty-fifth Supplemental Indenture contained by and on behalf of the Company shall be for the sole and exclusive benefit of the parties hereto, and of the holders of the bonds and of the coupons Outstanding under the Mortgage.</w:t>
      </w:r>
    </w:p>
    <w:p>
      <w:pPr>
        <w:spacing w:after="0" w:line="192"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20"/>
          <w:szCs w:val="20"/>
          <w:color w:val="auto"/>
        </w:rPr>
        <w:t>Section 7. This Forty-fifth Supplemental Indenture shall be executed in several counterparts, each of which shall be an original and all of which shall constitute but one and the same instrument.</w:t>
      </w:r>
    </w:p>
    <w:p>
      <w:pPr>
        <w:spacing w:after="0" w:line="173"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20"/>
          <w:szCs w:val="20"/>
          <w:color w:val="auto"/>
        </w:rPr>
        <w:t>Section 8. The Company, the mortgagor named herein, by its execution hereof acknowledges receipt of a full, true and complete copy of this Forty-fifth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by one of its Vice Presidents or one of its Assistant Vice Presidents, and Sherma Thomas has hereunto set her hand, all in The City of New York, as of the day and year first above written.</w:t>
      </w:r>
    </w:p>
    <w:p>
      <w:pPr>
        <w:spacing w:after="0" w:line="1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ALLETE, Inc.</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-10795</wp:posOffset>
            </wp:positionV>
            <wp:extent cx="1257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Patrick L. Cutshall</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Vice President and Corporate Treasurer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3771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Margaret A. Thickens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Chief Legal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Trustees’ Signature Pages Follow</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2" w:right="339" w:bottom="1440" w:gutter="0" w:footer="0" w:header="0"/>
          <w:type w:val="continuous"/>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The Bank of New York Mellon,</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-10795</wp:posOffset>
            </wp:positionV>
            <wp:extent cx="1257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Stacey B. Poindexter</w:t>
      </w:r>
    </w:p>
    <w:p>
      <w:pPr>
        <w:spacing w:after="0" w:line="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Forty-fifth Supplemental Indenture dated as of April 1, 2024</w:t>
      </w:r>
    </w:p>
    <w:p>
      <w:pPr>
        <w:spacing w:after="0" w:line="2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Corporate Trustee’s Signature Page</w:t>
      </w:r>
    </w:p>
    <w:p>
      <w:pPr>
        <w:sectPr>
          <w:pgSz w:w="11900" w:h="16838" w:orient="portrait"/>
          <w:cols w:equalWidth="0" w:num="1">
            <w:col w:w="10120"/>
          </w:cols>
          <w:pgMar w:left="14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120"/>
          </w:cols>
          <w:pgMar w:left="1440" w:top="122" w:right="339" w:bottom="1440" w:gutter="0" w:footer="0" w:header="0"/>
          <w:type w:val="continuous"/>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793750</wp:posOffset>
            </wp:positionV>
            <wp:extent cx="1257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SHERMA THOMAS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Forty-fifth Supplemental Indenture dated as of April 1, 2024</w:t>
      </w:r>
    </w:p>
    <w:p>
      <w:pPr>
        <w:spacing w:after="0" w:line="2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Co-Trustee’s Signature Page</w:t>
      </w:r>
    </w:p>
    <w:p>
      <w:pPr>
        <w:sectPr>
          <w:pgSz w:w="11900" w:h="16838" w:orient="portrait"/>
          <w:cols w:equalWidth="0" w:num="1">
            <w:col w:w="10120"/>
          </w:cols>
          <w:pgMar w:left="14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120"/>
          </w:cols>
          <w:pgMar w:left="1440" w:top="122" w:right="339" w:bottom="1440" w:gutter="0" w:footer="0" w:header="0"/>
          <w:type w:val="continuous"/>
        </w:sectPr>
      </w:pPr>
    </w:p>
    <w:bookmarkStart w:id="61" w:name="page62"/>
    <w:bookmarkEnd w:id="61"/>
    <w:p>
      <w:pPr>
        <w:ind w:left="10400"/>
        <w:spacing w:after="0"/>
        <w:rPr>
          <w:sz w:val="20"/>
          <w:szCs w:val="20"/>
          <w:color w:val="auto"/>
        </w:rPr>
      </w:pPr>
      <w:r>
        <w:rPr>
          <w:rFonts w:ascii="Times New Roman" w:cs="Times New Roman" w:eastAsia="Times New Roman" w:hAnsi="Times New Roman"/>
          <w:sz w:val="21"/>
          <w:szCs w:val="21"/>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MINNESOTA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ST. LOUIS )</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780" w:firstLine="198"/>
        <w:spacing w:after="0" w:line="232" w:lineRule="auto"/>
        <w:rPr>
          <w:sz w:val="20"/>
          <w:szCs w:val="20"/>
          <w:color w:val="auto"/>
        </w:rPr>
      </w:pPr>
      <w:r>
        <w:rPr>
          <w:rFonts w:ascii="Times New Roman" w:cs="Times New Roman" w:eastAsia="Times New Roman" w:hAnsi="Times New Roman"/>
          <w:sz w:val="20"/>
          <w:szCs w:val="20"/>
          <w:color w:val="auto"/>
        </w:rPr>
        <w:t>On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April, 2024, the foregoing instrument was acknowledged before me by Patrick L. Cutshall, Vice President and Corporate Treasurer of ALLETE, Inc., a Minnesota corporation, on behalf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NOTARIAL STAMP OR SEAL</w:t>
      </w:r>
    </w:p>
    <w:p>
      <w:pPr>
        <w:spacing w:after="0" w:line="24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9"/>
          <w:szCs w:val="19"/>
          <w:color w:val="auto"/>
        </w:rPr>
        <w:t>________________________________________</w:t>
      </w:r>
    </w:p>
    <w:p>
      <w:pPr>
        <w:spacing w:after="0" w:line="4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Jodi Lumberg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MINNESOTA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SS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ST. LOUIS )</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40" w:firstLine="198"/>
        <w:spacing w:after="0" w:line="226" w:lineRule="auto"/>
        <w:rPr>
          <w:sz w:val="20"/>
          <w:szCs w:val="20"/>
          <w:color w:val="auto"/>
        </w:rPr>
      </w:pPr>
      <w:r>
        <w:rPr>
          <w:rFonts w:ascii="Times New Roman" w:cs="Times New Roman" w:eastAsia="Times New Roman" w:hAnsi="Times New Roman"/>
          <w:sz w:val="20"/>
          <w:szCs w:val="20"/>
          <w:color w:val="auto"/>
        </w:rPr>
        <w:t>On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April, 2024, the foregoing instrument was acknowledged before me by Margaret A. Thickens, Vice President, Chief Legal Officer, and Corporate Secretary of ALLETE, Inc., a Minnesota corporation, on behalf of the Company.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NOTARIAL STAMP OR SEAL</w:t>
      </w:r>
    </w:p>
    <w:p>
      <w:pPr>
        <w:spacing w:after="0" w:line="25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9"/>
          <w:szCs w:val="19"/>
          <w:color w:val="auto"/>
        </w:rPr>
        <w:t>________________________________________</w:t>
      </w:r>
    </w:p>
    <w:p>
      <w:pPr>
        <w:spacing w:after="0" w:line="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Jodi Lumberg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1"/>
          <w:szCs w:val="21"/>
          <w:b w:val="1"/>
          <w:bCs w:val="1"/>
          <w:color w:val="auto"/>
        </w:rPr>
        <w:t>Exhibit 4</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1" w:lineRule="exact"/>
        <w:rPr>
          <w:sz w:val="20"/>
          <w:szCs w:val="20"/>
          <w:color w:val="auto"/>
        </w:rPr>
      </w:pPr>
    </w:p>
    <w:p>
      <w:pPr>
        <w:sectPr>
          <w:pgSz w:w="11900" w:h="16838" w:orient="portrait"/>
          <w:cols w:equalWidth="0" w:num="2">
            <w:col w:w="1480" w:space="400"/>
            <w:col w:w="9360"/>
          </w:cols>
          <w:pgMar w:left="320" w:top="122" w:right="339" w:bottom="1440" w:gutter="0" w:footer="0" w:header="0"/>
          <w:type w:val="continuous"/>
        </w:sectPr>
      </w:pPr>
    </w:p>
    <w:p>
      <w:pPr>
        <w:ind w:left="2580"/>
        <w:spacing w:after="0"/>
        <w:rPr>
          <w:sz w:val="20"/>
          <w:szCs w:val="20"/>
          <w:color w:val="auto"/>
        </w:rPr>
      </w:pPr>
      <w:r>
        <w:rPr>
          <w:rFonts w:ascii="Times New Roman" w:cs="Times New Roman" w:eastAsia="Times New Roman" w:hAnsi="Times New Roman"/>
          <w:sz w:val="20"/>
          <w:szCs w:val="20"/>
          <w:color w:val="auto"/>
        </w:rPr>
        <w:t>) ss:</w:t>
      </w:r>
    </w:p>
    <w:p>
      <w:pPr>
        <w:sectPr>
          <w:pgSz w:w="11900" w:h="16838" w:orient="portrait"/>
          <w:cols w:equalWidth="0" w:num="1">
            <w:col w:w="11240"/>
          </w:cols>
          <w:pgMar w:left="320" w:top="122" w:right="3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sectPr>
          <w:pgSz w:w="11900" w:h="16838" w:orient="portrait"/>
          <w:cols w:equalWidth="0" w:num="2">
            <w:col w:w="1660" w:space="400"/>
            <w:col w:w="9180"/>
          </w:cols>
          <w:pgMar w:left="320" w:top="122" w:right="339" w:bottom="1440" w:gutter="0" w:footer="0" w:header="0"/>
          <w:type w:val="continuous"/>
        </w:sectPr>
      </w:pPr>
    </w:p>
    <w:p>
      <w:pPr>
        <w:spacing w:after="0" w:line="228" w:lineRule="exact"/>
        <w:rPr>
          <w:sz w:val="20"/>
          <w:szCs w:val="20"/>
          <w:color w:val="auto"/>
        </w:rPr>
      </w:pPr>
    </w:p>
    <w:p>
      <w:pPr>
        <w:ind w:right="20" w:firstLine="621"/>
        <w:spacing w:after="0" w:line="269" w:lineRule="auto"/>
        <w:rPr>
          <w:sz w:val="20"/>
          <w:szCs w:val="20"/>
          <w:color w:val="auto"/>
        </w:rPr>
      </w:pPr>
      <w:r>
        <w:rPr>
          <w:rFonts w:ascii="Times New Roman" w:cs="Times New Roman" w:eastAsia="Times New Roman" w:hAnsi="Times New Roman"/>
          <w:sz w:val="20"/>
          <w:szCs w:val="20"/>
          <w:color w:val="auto"/>
        </w:rPr>
        <w:t>On this 15th day of April, 2024, the foregoing instrument was acknowledged before me by Stacey B. Poindexter, a Vice President of The Bank of New York Mellon, the corporation named in the foregoing instrument.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Given under my hand and notarial seal this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April,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3508375</wp:posOffset>
            </wp:positionH>
            <wp:positionV relativeFrom="paragraph">
              <wp:posOffset>380365</wp:posOffset>
            </wp:positionV>
            <wp:extent cx="1257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Rafal Bar</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Notary Public, State of New York</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No. 01BA6293822</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Qualified in Kings County</w:t>
      </w:r>
    </w:p>
    <w:p>
      <w:pPr>
        <w:ind w:left="5040"/>
        <w:spacing w:after="0"/>
        <w:rPr>
          <w:sz w:val="20"/>
          <w:szCs w:val="20"/>
          <w:color w:val="auto"/>
        </w:rPr>
      </w:pPr>
      <w:r>
        <w:rPr>
          <w:rFonts w:ascii="Times New Roman" w:cs="Times New Roman" w:eastAsia="Times New Roman" w:hAnsi="Times New Roman"/>
          <w:sz w:val="20"/>
          <w:szCs w:val="20"/>
          <w:color w:val="auto"/>
        </w:rPr>
        <w:t>Commission Expires January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22" w:right="339" w:bottom="1440" w:gutter="0" w:footer="0" w:header="0"/>
          <w:type w:val="continuous"/>
        </w:sectPr>
      </w:pPr>
    </w:p>
    <w:bookmarkStart w:id="63" w:name="page64"/>
    <w:bookmarkEnd w:id="63"/>
    <w:p>
      <w:pPr>
        <w:jc w:val="right"/>
        <w:spacing w:after="0"/>
        <w:rPr>
          <w:sz w:val="20"/>
          <w:szCs w:val="20"/>
          <w:color w:val="auto"/>
        </w:rPr>
      </w:pPr>
      <w:r>
        <w:rPr>
          <w:rFonts w:ascii="Times New Roman" w:cs="Times New Roman" w:eastAsia="Times New Roman" w:hAnsi="Times New Roman"/>
          <w:sz w:val="21"/>
          <w:szCs w:val="21"/>
          <w:b w:val="1"/>
          <w:bCs w:val="1"/>
          <w:color w:val="auto"/>
        </w:rPr>
        <w:t>Exhibit 4</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1" w:lineRule="exact"/>
        <w:rPr>
          <w:sz w:val="20"/>
          <w:szCs w:val="20"/>
          <w:color w:val="auto"/>
        </w:rPr>
      </w:pPr>
    </w:p>
    <w:p>
      <w:pPr>
        <w:sectPr>
          <w:pgSz w:w="11900" w:h="16838" w:orient="portrait"/>
          <w:cols w:equalWidth="0" w:num="2">
            <w:col w:w="1480" w:space="400"/>
            <w:col w:w="9360"/>
          </w:cols>
          <w:pgMar w:left="320" w:top="122" w:right="33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20"/>
          <w:szCs w:val="20"/>
          <w:color w:val="auto"/>
        </w:rPr>
        <w:t>) ss:</w:t>
      </w:r>
    </w:p>
    <w:p>
      <w:pPr>
        <w:sectPr>
          <w:pgSz w:w="11900" w:h="16838" w:orient="portrait"/>
          <w:cols w:equalWidth="0" w:num="1">
            <w:col w:w="11240"/>
          </w:cols>
          <w:pgMar w:left="320" w:top="122" w:right="3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sectPr>
          <w:pgSz w:w="11900" w:h="16838" w:orient="portrait"/>
          <w:cols w:equalWidth="0" w:num="2">
            <w:col w:w="1660" w:space="400"/>
            <w:col w:w="9180"/>
          </w:cols>
          <w:pgMar w:left="320" w:top="122" w:right="339" w:bottom="1440" w:gutter="0" w:footer="0" w:header="0"/>
          <w:type w:val="continuous"/>
        </w:sectPr>
      </w:pPr>
    </w:p>
    <w:p>
      <w:pPr>
        <w:spacing w:after="0" w:line="228" w:lineRule="exact"/>
        <w:rPr>
          <w:sz w:val="20"/>
          <w:szCs w:val="20"/>
          <w:color w:val="auto"/>
        </w:rPr>
      </w:pPr>
    </w:p>
    <w:p>
      <w:pPr>
        <w:ind w:firstLine="621"/>
        <w:spacing w:after="0" w:line="226" w:lineRule="auto"/>
        <w:rPr>
          <w:sz w:val="20"/>
          <w:szCs w:val="20"/>
          <w:color w:val="auto"/>
        </w:rPr>
      </w:pPr>
      <w:r>
        <w:rPr>
          <w:rFonts w:ascii="Times New Roman" w:cs="Times New Roman" w:eastAsia="Times New Roman" w:hAnsi="Times New Roman"/>
          <w:sz w:val="20"/>
          <w:szCs w:val="20"/>
          <w:color w:val="auto"/>
        </w:rPr>
        <w:t>On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April, 2024, the foregoing instrument was acknowledged before me by Sherma Thomas, the person described in and who executed the foregoing instrument.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Given under my hand and notarial seal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April,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3508375</wp:posOffset>
            </wp:positionH>
            <wp:positionV relativeFrom="paragraph">
              <wp:posOffset>380365</wp:posOffset>
            </wp:positionV>
            <wp:extent cx="125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Rafal Bar</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Notary Public, State of New York</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No. 01BA6293822</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Qualified in Kings County</w:t>
      </w:r>
    </w:p>
    <w:p>
      <w:pPr>
        <w:ind w:left="5040"/>
        <w:spacing w:after="0"/>
        <w:rPr>
          <w:sz w:val="20"/>
          <w:szCs w:val="20"/>
          <w:color w:val="auto"/>
        </w:rPr>
      </w:pPr>
      <w:r>
        <w:rPr>
          <w:rFonts w:ascii="Times New Roman" w:cs="Times New Roman" w:eastAsia="Times New Roman" w:hAnsi="Times New Roman"/>
          <w:sz w:val="20"/>
          <w:szCs w:val="20"/>
          <w:color w:val="auto"/>
        </w:rPr>
        <w:t>Commission Expires January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22" w:right="339" w:bottom="1440" w:gutter="0" w:footer="0" w:header="0"/>
          <w:type w:val="continuous"/>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ALLETE;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Bethany M. Owen</w:t>
            </w:r>
          </w:p>
        </w:tc>
      </w:tr>
      <w:tr>
        <w:trPr>
          <w:trHeight w:val="218"/>
        </w:trPr>
        <w:tc>
          <w:tcPr>
            <w:tcW w:w="44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Bethany M. Owen</w:t>
            </w:r>
          </w:p>
        </w:tc>
      </w:tr>
      <w:tr>
        <w:trPr>
          <w:trHeight w:val="234"/>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tc>
      </w:tr>
    </w:tbl>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W. Morris, of ALLETE, Inc. (ALLETE), certify that:</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ALLETE;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W. Morris</w:t>
            </w:r>
          </w:p>
        </w:tc>
      </w:tr>
      <w:tr>
        <w:trPr>
          <w:trHeight w:val="218"/>
        </w:trPr>
        <w:tc>
          <w:tcPr>
            <w:tcW w:w="402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W. Morris</w:t>
            </w:r>
          </w:p>
        </w:tc>
      </w:tr>
      <w:tr>
        <w:trPr>
          <w:trHeight w:val="234"/>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each of the undersigned officers of ALLETE, Inc. (ALLETE), does hereby certify that:</w:t>
      </w:r>
    </w:p>
    <w:p>
      <w:pPr>
        <w:spacing w:after="0" w:line="189" w:lineRule="exact"/>
        <w:rPr>
          <w:sz w:val="20"/>
          <w:szCs w:val="20"/>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ALLETE for the period ended March 31, 2024, (Report) fully complies with the requirements of Section 13(a) of the Securities Exchange Act of 1934 (15 U.S.C. 78m); and</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9, 2024</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Bethany M. Owen</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9, 2024</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1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Steven W. Morris</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38" w:lineRule="exact"/>
        <w:rPr>
          <w:sz w:val="20"/>
          <w:szCs w:val="20"/>
          <w:color w:val="auto"/>
        </w:rPr>
      </w:pPr>
    </w:p>
    <w:tbl>
      <w:tblPr>
        <w:tblLayout w:type="fixed"/>
        <w:tblInd w:w="30" w:type="dxa"/>
        <w:tblCellMar>
          <w:top w:w="0" w:type="dxa"/>
          <w:left w:w="0" w:type="dxa"/>
          <w:bottom w:w="0" w:type="dxa"/>
          <w:right w:w="0" w:type="dxa"/>
        </w:tblCellMar>
      </w:tblPr>
      <w:tr>
        <w:trPr>
          <w:trHeight w:val="558"/>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Notice of</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Received</w:t>
            </w: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Pattern of</w:t>
            </w:r>
          </w:p>
        </w:tc>
        <w:tc>
          <w:tcPr>
            <w:tcW w:w="9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Mine or Operating</w:t>
            </w: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 Dollar</w:t>
            </w:r>
          </w:p>
        </w:tc>
        <w:tc>
          <w:tcPr>
            <w:tcW w:w="8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Violation</w:t>
            </w:r>
          </w:p>
        </w:tc>
        <w:tc>
          <w:tcPr>
            <w:tcW w:w="9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Notice of</w:t>
            </w:r>
          </w:p>
        </w:tc>
        <w:tc>
          <w:tcPr>
            <w:tcW w:w="8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 Actions</w:t>
            </w: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10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 to</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Resolved</w:t>
            </w: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Identification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S&amp;S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Orders</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110(b)(2)</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104(e)</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Section</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Last Day of</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98"/>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0" w:type="dxa"/>
            <w:vAlign w:val="bottom"/>
          </w:tcPr>
          <w:p>
            <w:pPr>
              <w:spacing w:after="0"/>
              <w:rPr>
                <w:sz w:val="1"/>
                <w:szCs w:val="1"/>
                <w:color w:val="auto"/>
              </w:rPr>
            </w:pPr>
          </w:p>
        </w:tc>
      </w:tr>
      <w:tr>
        <w:trPr>
          <w:trHeight w:val="138"/>
        </w:trPr>
        <w:tc>
          <w:tcPr>
            <w:tcW w:w="1240" w:type="dxa"/>
            <w:vAlign w:val="bottom"/>
            <w:tcBorders>
              <w:left w:val="single" w:sz="8" w:color="auto"/>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quarter ended March 31, 2024, BNI Energy, owner of Center Mine, received eight citations under Section 104(a) of the Mine Safety Act, two of which were Section 104 significant and substantial (S&amp;S) citations. For the quarter ended March 31, 2024, BNI Energy paid no penalties for citations closed during the period. For the quarter ended March 31, 2024, there were no citations, orders, violations or notices under Sections 104(b), 104(d), 107(a), 104(e) or 110(b)(2) of the Mine Safety Act and there were no fatalities.</w:t>
      </w:r>
    </w:p>
    <w:p>
      <w:pPr>
        <w:sectPr>
          <w:pgSz w:w="11900" w:h="16838" w:orient="portrait"/>
          <w:cols w:equalWidth="0" w:num="1">
            <w:col w:w="11240"/>
          </w:cols>
          <w:pgMar w:left="320" w:top="887" w:right="339" w:bottom="1440" w:gutter="0" w:footer="0" w:header="0"/>
        </w:sectPr>
      </w:pPr>
    </w:p>
    <w:bookmarkStart w:id="68" w:name="page69"/>
    <w:bookmarkEnd w:id="68"/>
    <w:tbl>
      <w:tblPr>
        <w:tblLayout w:type="fixed"/>
        <w:tblInd w:w="2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99</w:t>
            </w:r>
          </w:p>
        </w:tc>
        <w:tc>
          <w:tcPr>
            <w:tcW w:w="0" w:type="dxa"/>
            <w:vAlign w:val="bottom"/>
          </w:tcPr>
          <w:p>
            <w:pPr>
              <w:spacing w:after="0"/>
              <w:rPr>
                <w:sz w:val="1"/>
                <w:szCs w:val="1"/>
                <w:color w:val="auto"/>
              </w:rPr>
            </w:pPr>
          </w:p>
        </w:tc>
      </w:tr>
      <w:tr>
        <w:trPr>
          <w:trHeight w:val="243"/>
        </w:trPr>
        <w:tc>
          <w:tcPr>
            <w:tcW w:w="9260" w:type="dxa"/>
            <w:vAlign w:val="bottom"/>
          </w:tcPr>
          <w:p>
            <w:pPr>
              <w:jc w:val="right"/>
              <w:ind w:right="325"/>
              <w:spacing w:after="0"/>
              <w:rPr>
                <w:sz w:val="20"/>
                <w:szCs w:val="20"/>
                <w:color w:val="auto"/>
              </w:rPr>
            </w:pPr>
            <w:r>
              <w:rPr>
                <w:rFonts w:ascii="Times New Roman" w:cs="Times New Roman" w:eastAsia="Times New Roman" w:hAnsi="Times New Roman"/>
                <w:sz w:val="18"/>
                <w:szCs w:val="18"/>
                <w:color w:val="auto"/>
              </w:rPr>
              <w:t>For Release: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9, 2024</w:t>
            </w:r>
          </w:p>
        </w:tc>
        <w:tc>
          <w:tcPr>
            <w:tcW w:w="0" w:type="dxa"/>
            <w:vAlign w:val="bottom"/>
          </w:tcPr>
          <w:p>
            <w:pPr>
              <w:spacing w:after="0"/>
              <w:rPr>
                <w:sz w:val="1"/>
                <w:szCs w:val="1"/>
                <w:color w:val="auto"/>
              </w:rPr>
            </w:pPr>
          </w:p>
        </w:tc>
      </w:tr>
      <w:tr>
        <w:trPr>
          <w:trHeight w:val="486"/>
        </w:trPr>
        <w:tc>
          <w:tcPr>
            <w:tcW w:w="9260" w:type="dxa"/>
            <w:vAlign w:val="bottom"/>
          </w:tcPr>
          <w:p>
            <w:pPr>
              <w:jc w:val="right"/>
              <w:ind w:right="325"/>
              <w:spacing w:after="0"/>
              <w:rPr>
                <w:sz w:val="20"/>
                <w:szCs w:val="20"/>
                <w:color w:val="auto"/>
              </w:rPr>
            </w:pPr>
            <w:r>
              <w:rPr>
                <w:rFonts w:ascii="Times New Roman" w:cs="Times New Roman" w:eastAsia="Times New Roman" w:hAnsi="Times New Roman"/>
                <w:sz w:val="18"/>
                <w:szCs w:val="18"/>
                <w:color w:val="auto"/>
              </w:rPr>
              <w:t>Investor Contact: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Vince Meyer</w:t>
            </w:r>
          </w:p>
        </w:tc>
        <w:tc>
          <w:tcPr>
            <w:tcW w:w="0" w:type="dxa"/>
            <w:vAlign w:val="bottom"/>
          </w:tcPr>
          <w:p>
            <w:pPr>
              <w:spacing w:after="0"/>
              <w:rPr>
                <w:sz w:val="1"/>
                <w:szCs w:val="1"/>
                <w:color w:val="auto"/>
              </w:rPr>
            </w:pPr>
          </w:p>
        </w:tc>
      </w:tr>
      <w:tr>
        <w:trPr>
          <w:trHeight w:val="270"/>
        </w:trPr>
        <w:tc>
          <w:tcPr>
            <w:tcW w:w="9260" w:type="dxa"/>
            <w:vAlign w:val="bottom"/>
            <w:vMerge w:val="restart"/>
          </w:tcPr>
          <w:p>
            <w:pPr>
              <w:jc w:val="right"/>
              <w:ind w:right="6645"/>
              <w:spacing w:after="0" w:line="498" w:lineRule="exact"/>
              <w:rPr>
                <w:sz w:val="20"/>
                <w:szCs w:val="20"/>
                <w:color w:val="auto"/>
              </w:rPr>
            </w:pPr>
            <w:r>
              <w:rPr>
                <w:rFonts w:ascii="Times New Roman" w:cs="Times New Roman" w:eastAsia="Times New Roman" w:hAnsi="Times New Roman"/>
                <w:sz w:val="57"/>
                <w:szCs w:val="57"/>
                <w:b w:val="1"/>
                <w:bCs w:val="1"/>
                <w:i w:val="1"/>
                <w:iCs w:val="1"/>
                <w:color w:val="auto"/>
              </w:rPr>
              <w:t>NEWS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218-723-3952</w:t>
            </w:r>
          </w:p>
        </w:tc>
        <w:tc>
          <w:tcPr>
            <w:tcW w:w="0" w:type="dxa"/>
            <w:vAlign w:val="bottom"/>
          </w:tcPr>
          <w:p>
            <w:pPr>
              <w:spacing w:after="0"/>
              <w:rPr>
                <w:sz w:val="1"/>
                <w:szCs w:val="1"/>
                <w:color w:val="auto"/>
              </w:rPr>
            </w:pPr>
          </w:p>
        </w:tc>
      </w:tr>
      <w:tr>
        <w:trPr>
          <w:trHeight w:val="229"/>
        </w:trPr>
        <w:tc>
          <w:tcPr>
            <w:tcW w:w="9260" w:type="dxa"/>
            <w:vAlign w:val="bottom"/>
            <w:vMerge w:val="continue"/>
          </w:tcPr>
          <w:p>
            <w:pPr>
              <w:spacing w:after="0"/>
              <w:rPr>
                <w:sz w:val="19"/>
                <w:szCs w:val="19"/>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vmeyer@allete.com</w:t>
            </w:r>
          </w:p>
        </w:tc>
        <w:tc>
          <w:tcPr>
            <w:tcW w:w="0" w:type="dxa"/>
            <w:vAlign w:val="bottom"/>
          </w:tcPr>
          <w:p>
            <w:pPr>
              <w:spacing w:after="0"/>
              <w:rPr>
                <w:sz w:val="1"/>
                <w:szCs w:val="1"/>
                <w:color w:val="auto"/>
              </w:rPr>
            </w:pPr>
          </w:p>
        </w:tc>
      </w:tr>
      <w:tr>
        <w:trPr>
          <w:trHeight w:val="54"/>
        </w:trPr>
        <w:tc>
          <w:tcPr>
            <w:tcW w:w="9260" w:type="dxa"/>
            <w:vAlign w:val="bottom"/>
          </w:tcPr>
          <w:p>
            <w:pPr>
              <w:spacing w:after="0"/>
              <w:rPr>
                <w:sz w:val="4"/>
                <w:szCs w:val="4"/>
                <w:color w:val="auto"/>
              </w:rPr>
            </w:pPr>
          </w:p>
        </w:tc>
        <w:tc>
          <w:tcPr>
            <w:tcW w:w="1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-916940</wp:posOffset>
            </wp:positionV>
            <wp:extent cx="1371600" cy="626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ALLETE, Inc. reports first quarter 2024 earnings</w:t>
      </w:r>
    </w:p>
    <w:p>
      <w:pPr>
        <w:spacing w:after="0" w:line="2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DULUTH, Minn. - ALLETE, Inc. (NYSE: ALE) today reported first quarter 2024 earnings of 88 cents per share on net income of $50.7 million. Last year’s first quarter results were $1.02 per share on net income of $58.2 million. Net income in 2024 includes interim rate refund reserves of 7 cents per share due to Minnesota Power’s rate case settlement, a 6 cent per share negative impact due to warmer winter weather, and 2 cents per share of transaction expenses related to the recently announced merger.</w:t>
      </w:r>
    </w:p>
    <w:p>
      <w:pPr>
        <w:spacing w:after="0" w:line="19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 am proud of our entire ALLETE team, working diligently on many fronts to execute our Sustainability in Action strategy. We are pleased that Minnesota Power worked collaboratively to reach a balanced resolution to settle the current rate case with all intervening parties, which is subject to approval by the Minnesota Public Utilities Commission,” said ALLETE Chair, President, and Chief Executive Officer Bethany Owen. “In addition, Minnesota Power’s requests for proposals for new solar and wind projects are progressing as planned, ALLETE Clean Energy has begun taking advantage of the Inflation Reduction Act with the sale of production tax credits in the second quarter, and New Energy Equity is executing on its strategy and robust pipeline of projects.”</w:t>
      </w:r>
    </w:p>
    <w:p>
      <w:pPr>
        <w:spacing w:after="0" w:line="2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ALLETE’s Regulated Operations segment, which includes Minnesota Power, Superior Water, Light and Power and the Company’s investment in the American Transmission Company, recorded first quarter 2024 net income of $44.2 million, compared to $40.6 million in the first quarter a year ago. Net income at Minnesota Power was higher primarily due to the implementation of interim rates, net of reserves. Interim rates went into effect on January 1, 2024, and as a result of the rate case settlement, Minnesota Power recorded a reserve of $3.9 million after-tax for the interim rate refund.</w:t>
      </w:r>
    </w:p>
    <w:p>
      <w:pPr>
        <w:spacing w:after="0" w:line="21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ALLETE Clean Energy recorded first quarter 2024 net income of $3.8 million compared to $8.5 million in 2023. Earnings in 2024 reflect impacts from a forced network outage near its Caddo wind energy facility as well as a transformer outage at its Diamond Springs wind energy facility. These decreases were partially offset by lower operating and maintenance expense.</w:t>
      </w:r>
    </w:p>
    <w:p>
      <w:pPr>
        <w:spacing w:after="0" w:line="208"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9"/>
          <w:szCs w:val="19"/>
          <w:color w:val="auto"/>
        </w:rPr>
        <w:t>Corporate and Other businesses, which include New Energy, BNI Energy, ALLETE Properties and our investments in renewable energy facilities, recorded net income of $2.7 million in the first quarter of 2024, compared to net income of $9.1 million in 2023. Net income in 2024 reflects lower earnings from Minnesota solar projects as investment tax credits were recognized in 2023, as well as higher income tax and interest expense as compared to 2023. Net income in 2024 also included transaction expenses of $1.2 million after-tax, or 2 cents per share, related to the merger entered into on May 5, 2024, with Canada Pension Plan Investment Board and Global Infrastructure Partners.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1 of 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p>
      <w:pPr>
        <w:sectPr>
          <w:pgSz w:w="11900" w:h="16838" w:orient="portrait"/>
          <w:cols w:equalWidth="0" w:num="1">
            <w:col w:w="11220"/>
          </w:cols>
          <w:pgMar w:left="320" w:top="999" w:right="359" w:bottom="1440" w:gutter="0" w:footer="0" w:header="0"/>
        </w:sectPr>
      </w:pPr>
    </w:p>
    <w:bookmarkStart w:id="69" w:name="page70"/>
    <w:bookmarkEnd w:id="69"/>
    <w:p>
      <w:pPr>
        <w:ind w:right="100"/>
        <w:spacing w:after="0" w:line="251" w:lineRule="auto"/>
        <w:rPr>
          <w:sz w:val="20"/>
          <w:szCs w:val="20"/>
          <w:color w:val="auto"/>
        </w:rPr>
      </w:pPr>
      <w:r>
        <w:rPr>
          <w:rFonts w:ascii="Times New Roman" w:cs="Times New Roman" w:eastAsia="Times New Roman" w:hAnsi="Times New Roman"/>
          <w:sz w:val="20"/>
          <w:szCs w:val="20"/>
          <w:color w:val="auto"/>
        </w:rPr>
        <w:t>“Results for the first quarter of 2024 reflect several items not in our original 2024 guidance, including warmer weather negatively impacting sales to residential and commercial customers and the implementation of interim rate reserves as a result of the rate case settlement," said ALLETE Senior Vice President and Chief Financial Officer Steve Morris. “Excluding these items, results for our Regulated Operations segment were well ahead of our internal expectations. New Energy's financial results were as expected in the first quarter of 2024. ALLETE Clean Energy’s results were lower than our expectations due to lower wind resources and availability, as well as an extended third-party network outage and a transformer outage at ALLETE Clean Energy’s wind energy facilities in Oklahoma.”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Cancellation of Q1 Earnings Conference Call</w:t>
      </w:r>
    </w:p>
    <w:p>
      <w:pPr>
        <w:spacing w:after="0" w:line="260"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In light of the announced merger agreement with Canada Pension Plan Investment Board and Global Infrastructure Partners, ALLETE has cancelled its earnings conference call previously scheduled for May 9, 2024, at 10 a.m. Eastern time.</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 xml:space="preserve">ALLETE is an energy company headquartered in Duluth, Minn. In addition to its electric utilities, Minnesota Power and Superior Water, Light and Power of Wisconsin, ALLETE owns ALLETE Clean Energy, based in Duluth, BNI Energy in Bismarck, N.D., New Energy Equity in Annapolis, MD, and has an eight percent equity interest in the American Transmission Co. More information about ALLETE is available at www.allete.com. </w:t>
      </w:r>
      <w:r>
        <w:rPr>
          <w:rFonts w:ascii="Times New Roman" w:cs="Times New Roman" w:eastAsia="Times New Roman" w:hAnsi="Times New Roman"/>
          <w:sz w:val="20"/>
          <w:szCs w:val="20"/>
          <w:i w:val="1"/>
          <w:iCs w:val="1"/>
          <w:color w:val="auto"/>
        </w:rPr>
        <w:t>ALE-CORP</w:t>
      </w:r>
    </w:p>
    <w:p>
      <w:pPr>
        <w:spacing w:after="0" w:line="19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0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20"/>
          <w:szCs w:val="20"/>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2 of 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p>
      <w:pPr>
        <w:sectPr>
          <w:pgSz w:w="11900" w:h="16838" w:orient="portrait"/>
          <w:cols w:equalWidth="0" w:num="1">
            <w:col w:w="11220"/>
          </w:cols>
          <w:pgMar w:left="320" w:top="927" w:right="3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Millions Except Per Share Amounts - 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60" w:type="dxa"/>
            <w:vAlign w:val="bottom"/>
          </w:tcPr>
          <w:p>
            <w:pPr>
              <w:spacing w:after="0"/>
              <w:rPr>
                <w:sz w:val="19"/>
                <w:szCs w:val="19"/>
                <w:color w:val="auto"/>
              </w:rPr>
            </w:pPr>
          </w:p>
        </w:tc>
        <w:tc>
          <w:tcPr>
            <w:tcW w:w="4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9"/>
        </w:trPr>
        <w:tc>
          <w:tcPr>
            <w:tcW w:w="6660" w:type="dxa"/>
            <w:vAlign w:val="bottom"/>
          </w:tcPr>
          <w:p>
            <w:pPr>
              <w:spacing w:after="0"/>
              <w:rPr>
                <w:sz w:val="19"/>
                <w:szCs w:val="19"/>
                <w:color w:val="auto"/>
              </w:rPr>
            </w:pPr>
          </w:p>
        </w:tc>
        <w:tc>
          <w:tcPr>
            <w:tcW w:w="45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6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3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$338.3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30"/>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3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29"/>
        </w:trPr>
        <w:tc>
          <w:tcPr>
            <w:tcW w:w="66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 Non-utility</w:t>
            </w:r>
          </w:p>
        </w:tc>
        <w:tc>
          <w:tcPr>
            <w:tcW w:w="3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Operating Revenue</w:t>
            </w:r>
          </w:p>
        </w:tc>
        <w:tc>
          <w:tcPr>
            <w:tcW w:w="3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403.3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3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30"/>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3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3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30"/>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3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9"/>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66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6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356.0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w:t>
            </w:r>
          </w:p>
        </w:tc>
      </w:tr>
      <w:tr>
        <w:trPr>
          <w:trHeight w:val="223"/>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Earnings</w:t>
            </w:r>
          </w:p>
        </w:tc>
        <w:tc>
          <w:tcPr>
            <w:tcW w:w="3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6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Other Expense</w:t>
            </w:r>
          </w:p>
        </w:tc>
        <w:tc>
          <w:tcPr>
            <w:tcW w:w="3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6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ALLETE</w:t>
            </w:r>
          </w:p>
        </w:tc>
        <w:tc>
          <w:tcPr>
            <w:tcW w:w="3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3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6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3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3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Share of Common Stock</w:t>
            </w:r>
          </w:p>
        </w:tc>
        <w:tc>
          <w:tcPr>
            <w:tcW w:w="3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$0.705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rPr>
          <w:sz w:val="20"/>
          <w:szCs w:val="20"/>
          <w:color w:val="auto"/>
        </w:rPr>
      </w:pPr>
      <w:r>
        <w:rPr>
          <w:rFonts w:ascii="Times New Roman" w:cs="Times New Roman" w:eastAsia="Times New Roman" w:hAnsi="Times New Roman"/>
          <w:sz w:val="18"/>
          <w:szCs w:val="18"/>
          <w:color w:val="auto"/>
        </w:rPr>
        <w:t>Millions - 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39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0" w:type="dxa"/>
            <w:vAlign w:val="bottom"/>
          </w:tcPr>
          <w:p>
            <w:pPr>
              <w:spacing w:after="0"/>
              <w:rPr>
                <w:sz w:val="1"/>
                <w:szCs w:val="1"/>
                <w:color w:val="auto"/>
              </w:rPr>
            </w:pPr>
          </w:p>
        </w:tc>
      </w:tr>
      <w:tr>
        <w:trPr>
          <w:trHeight w:val="238"/>
        </w:trPr>
        <w:tc>
          <w:tcPr>
            <w:tcW w:w="30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5,013.4</w:t>
            </w: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176"/>
        </w:trPr>
        <w:tc>
          <w:tcPr>
            <w:tcW w:w="3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333.1</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39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Defined Benefit Pension and Other Postretirement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43"/>
        </w:trPr>
        <w:tc>
          <w:tcPr>
            <w:tcW w:w="308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 Plans</w:t>
            </w:r>
          </w:p>
        </w:tc>
        <w:tc>
          <w:tcPr>
            <w:tcW w:w="1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Intangibles – Net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3,406.6</w:t>
            </w:r>
          </w:p>
        </w:tc>
        <w:tc>
          <w:tcPr>
            <w:tcW w:w="0" w:type="dxa"/>
            <w:vAlign w:val="bottom"/>
          </w:tcPr>
          <w:p>
            <w:pPr>
              <w:spacing w:after="0"/>
              <w:rPr>
                <w:sz w:val="1"/>
                <w:szCs w:val="1"/>
                <w:color w:val="auto"/>
              </w:rPr>
            </w:pPr>
          </w:p>
        </w:tc>
      </w:tr>
      <w:tr>
        <w:trPr>
          <w:trHeight w:val="169"/>
        </w:trPr>
        <w:tc>
          <w:tcPr>
            <w:tcW w:w="3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$6,604.6</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c>
          <w:tcPr>
            <w:tcW w:w="398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Total Liabilities, Redeemable Non-Controlling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$6,604.6</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c>
          <w:tcPr>
            <w:tcW w:w="0" w:type="dxa"/>
            <w:vAlign w:val="bottom"/>
          </w:tcPr>
          <w:p>
            <w:pPr>
              <w:spacing w:after="0"/>
              <w:rPr>
                <w:sz w:val="1"/>
                <w:szCs w:val="1"/>
                <w:color w:val="auto"/>
              </w:rPr>
            </w:pPr>
          </w:p>
        </w:tc>
      </w:tr>
      <w:tr>
        <w:trPr>
          <w:trHeight w:val="241"/>
        </w:trPr>
        <w:tc>
          <w:tcPr>
            <w:tcW w:w="30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9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and Equity</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927" w:right="3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3 of 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p>
      <w:pPr>
        <w:sectPr>
          <w:pgSz w:w="11900" w:h="16838" w:orient="portrait"/>
          <w:cols w:equalWidth="0" w:num="1">
            <w:col w:w="11200"/>
          </w:cols>
          <w:pgMar w:left="340" w:top="927" w:right="359" w:bottom="1440" w:gutter="0" w:footer="0" w:header="0"/>
          <w:type w:val="continuous"/>
        </w:sectPr>
      </w:pPr>
    </w:p>
    <w:bookmarkStart w:id="71" w:name="page72"/>
    <w:bookmarkEnd w:id="71"/>
    <w:tbl>
      <w:tblPr>
        <w:tblLayout w:type="fixed"/>
        <w:tblInd w:w="4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49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ALLETE, Inc.</w:t>
            </w:r>
          </w:p>
        </w:tc>
        <w:tc>
          <w:tcPr>
            <w:tcW w:w="3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19"/>
                <w:szCs w:val="19"/>
                <w:color w:val="auto"/>
              </w:rPr>
            </w:pPr>
          </w:p>
        </w:tc>
      </w:tr>
      <w:tr>
        <w:trPr>
          <w:trHeight w:val="238"/>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392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Regulated Operations</w:t>
            </w:r>
          </w:p>
        </w:tc>
        <w:tc>
          <w:tcPr>
            <w:tcW w:w="39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$44.2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9"/>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ALLETE Clean Energy</w:t>
            </w:r>
          </w:p>
        </w:tc>
        <w:tc>
          <w:tcPr>
            <w:tcW w:w="39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62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and Other</w:t>
            </w:r>
          </w:p>
        </w:tc>
        <w:tc>
          <w:tcPr>
            <w:tcW w:w="39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62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$50.7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3"/>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9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$0.88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601"/>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Statistical Data</w:t>
            </w:r>
          </w:p>
        </w:tc>
        <w:tc>
          <w:tcPr>
            <w:tcW w:w="3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3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High</w:t>
            </w:r>
          </w:p>
        </w:tc>
        <w:tc>
          <w:tcPr>
            <w:tcW w:w="3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$63.69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w:t>
            </w:r>
          </w:p>
        </w:tc>
      </w:tr>
      <w:tr>
        <w:trPr>
          <w:trHeight w:val="229"/>
        </w:trPr>
        <w:tc>
          <w:tcPr>
            <w:tcW w:w="6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Low</w:t>
            </w:r>
          </w:p>
        </w:tc>
        <w:tc>
          <w:tcPr>
            <w:tcW w:w="39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$55.86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r>
      <w:tr>
        <w:trPr>
          <w:trHeight w:val="230"/>
        </w:trPr>
        <w:tc>
          <w:tcPr>
            <w:tcW w:w="6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Close</w:t>
            </w:r>
          </w:p>
        </w:tc>
        <w:tc>
          <w:tcPr>
            <w:tcW w:w="3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$59.64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r>
      <w:tr>
        <w:trPr>
          <w:trHeight w:val="229"/>
        </w:trPr>
        <w:tc>
          <w:tcPr>
            <w:tcW w:w="62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Book Value</w:t>
            </w:r>
          </w:p>
        </w:tc>
        <w:tc>
          <w:tcPr>
            <w:tcW w:w="39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$48.95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r>
      <w:tr>
        <w:trPr>
          <w:trHeight w:val="588"/>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3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Regulated Utility</w:t>
            </w:r>
          </w:p>
        </w:tc>
        <w:tc>
          <w:tcPr>
            <w:tcW w:w="3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Retail and Municipal</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Residential</w:t>
            </w:r>
          </w:p>
        </w:tc>
        <w:tc>
          <w:tcPr>
            <w:tcW w:w="39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306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9"/>
        </w:trPr>
        <w:tc>
          <w:tcPr>
            <w:tcW w:w="6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Commercial</w:t>
            </w:r>
          </w:p>
        </w:tc>
        <w:tc>
          <w:tcPr>
            <w:tcW w:w="3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338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6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Industrial</w:t>
            </w:r>
          </w:p>
        </w:tc>
        <w:tc>
          <w:tcPr>
            <w:tcW w:w="39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1,798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30"/>
        </w:trPr>
        <w:tc>
          <w:tcPr>
            <w:tcW w:w="6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Municipal</w:t>
            </w:r>
          </w:p>
        </w:tc>
        <w:tc>
          <w:tcPr>
            <w:tcW w:w="3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6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39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2,567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30"/>
        </w:trPr>
        <w:tc>
          <w:tcPr>
            <w:tcW w:w="6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Other Power Suppliers</w:t>
            </w:r>
          </w:p>
        </w:tc>
        <w:tc>
          <w:tcPr>
            <w:tcW w:w="3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757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3"/>
        </w:trPr>
        <w:tc>
          <w:tcPr>
            <w:tcW w:w="62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39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3,324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56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Regulated Utility Revenue</w:t>
            </w:r>
          </w:p>
        </w:tc>
        <w:tc>
          <w:tcPr>
            <w:tcW w:w="3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Regulated Utility Revenue</w:t>
            </w:r>
          </w:p>
        </w:tc>
        <w:tc>
          <w:tcPr>
            <w:tcW w:w="3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Retail and Municipal Electric Revenue</w:t>
            </w:r>
          </w:p>
        </w:tc>
        <w:tc>
          <w:tcPr>
            <w:tcW w:w="3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Residential</w:t>
            </w:r>
          </w:p>
        </w:tc>
        <w:tc>
          <w:tcPr>
            <w:tcW w:w="39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$46.7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6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Commercial</w:t>
            </w:r>
          </w:p>
        </w:tc>
        <w:tc>
          <w:tcPr>
            <w:tcW w:w="3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47.4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6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Industrial</w:t>
            </w:r>
          </w:p>
        </w:tc>
        <w:tc>
          <w:tcPr>
            <w:tcW w:w="39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158.5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30"/>
        </w:trPr>
        <w:tc>
          <w:tcPr>
            <w:tcW w:w="6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Municipal</w:t>
            </w:r>
          </w:p>
        </w:tc>
        <w:tc>
          <w:tcPr>
            <w:tcW w:w="3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9.0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6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Retail and Municipal Electric Revenue</w:t>
            </w:r>
          </w:p>
        </w:tc>
        <w:tc>
          <w:tcPr>
            <w:tcW w:w="39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261.6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r>
      <w:tr>
        <w:trPr>
          <w:trHeight w:val="230"/>
        </w:trPr>
        <w:tc>
          <w:tcPr>
            <w:tcW w:w="6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Power Suppliers</w:t>
            </w:r>
          </w:p>
        </w:tc>
        <w:tc>
          <w:tcPr>
            <w:tcW w:w="3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62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(Includes Water and Gas Revenue)</w:t>
            </w:r>
          </w:p>
        </w:tc>
        <w:tc>
          <w:tcPr>
            <w:tcW w:w="39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36.7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6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Regulated Utility Revenue</w:t>
            </w:r>
          </w:p>
        </w:tc>
        <w:tc>
          <w:tcPr>
            <w:tcW w:w="3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$338.3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r>
    </w:tbl>
    <w:p>
      <w:pPr>
        <w:spacing w:after="0" w:line="2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4 of 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sectPr>
      <w:pgSz w:w="11900" w:h="16838" w:orient="portrait"/>
      <w:cols w:equalWidth="0" w:num="1">
        <w:col w:w="11240"/>
      </w:cols>
      <w:pgMar w:left="320" w:top="9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2"/>
      <w:numFmt w:val="bullet"/>
      <w:start w:val="1"/>
    </w:lvl>
  </w:abstractNum>
  <w:abstractNum w:abstractNumId="13">
    <w:nsid w:val="257130A3"/>
    <w:multiLevelType w:val="hybridMultilevel"/>
    <w:lvl w:ilvl="0">
      <w:lvlJc w:val="left"/>
      <w:lvlText w:val="4"/>
      <w:numFmt w:val="bullet"/>
      <w:start w:val="1"/>
    </w:lvl>
  </w:abstractNum>
  <w:abstractNum w:abstractNumId="14">
    <w:nsid w:val="62BBD95A"/>
    <w:multiLevelType w:val="hybridMultilevel"/>
    <w:lvl w:ilvl="0">
      <w:lvlJc w:val="left"/>
      <w:lvlText w:val="%1"/>
      <w:numFmt w:val="decimal"/>
      <w:start w:val="32"/>
    </w:lvl>
  </w:abstractNum>
  <w:abstractNum w:abstractNumId="15">
    <w:nsid w:val="436C6125"/>
    <w:multiLevelType w:val="hybridMultilevel"/>
    <w:lvl w:ilvl="0">
      <w:lvlJc w:val="left"/>
      <w:lvlText w:val="%1"/>
      <w:numFmt w:val="decimal"/>
      <w:start w:val="99"/>
    </w:lvl>
  </w:abstractNum>
  <w:abstractNum w:abstractNumId="16">
    <w:nsid w:val="628C895D"/>
    <w:multiLevelType w:val="hybridMultilevel"/>
    <w:lvl w:ilvl="0">
      <w:lvlJc w:val="left"/>
      <w:lvlText w:val="(%1)"/>
      <w:numFmt w:val="upperLetter"/>
      <w:start w:val="9"/>
    </w:lvl>
  </w:abstractNum>
  <w:abstractNum w:abstractNumId="17">
    <w:nsid w:val="333AB105"/>
    <w:multiLevelType w:val="hybridMultilevel"/>
    <w:lvl w:ilvl="0">
      <w:lvlJc w:val="left"/>
      <w:lvlText w:val="(%1)"/>
      <w:numFmt w:val="upperLetter"/>
      <w:start w:val="35"/>
    </w:lvl>
  </w:abstractNum>
  <w:abstractNum w:abstractNumId="18">
    <w:nsid w:val="721DA317"/>
    <w:multiLevelType w:val="hybridMultilevel"/>
    <w:lvl w:ilvl="0">
      <w:lvlJc w:val="left"/>
      <w:lvlText w:val="(%1)"/>
      <w:numFmt w:val="upperLetter"/>
      <w:start w:val="61"/>
    </w:lvl>
  </w:abstractNum>
  <w:abstractNum w:abstractNumId="19">
    <w:nsid w:val="2443A858"/>
    <w:multiLevelType w:val="hybridMultilevel"/>
    <w:lvl w:ilvl="0">
      <w:lvlJc w:val="left"/>
      <w:lvlText w:val="(%1)"/>
      <w:numFmt w:val="lowerRoman"/>
      <w:start w:val="2"/>
    </w:lvl>
  </w:abstractNum>
  <w:abstractNum w:abstractNumId="20">
    <w:nsid w:val="2D1D5AE9"/>
    <w:multiLevelType w:val="hybridMultilevel"/>
    <w:lvl w:ilvl="0">
      <w:lvlJc w:val="left"/>
      <w:lvlText w:val="(%1)"/>
      <w:numFmt w:val="upperLetter"/>
      <w:start w:val="22"/>
    </w:lvl>
  </w:abstractNum>
  <w:abstractNum w:abstractNumId="21">
    <w:nsid w:val="6763845E"/>
    <w:multiLevelType w:val="hybridMultilevel"/>
    <w:lvl w:ilvl="0">
      <w:lvlJc w:val="left"/>
      <w:lvlText w:val="(%1)"/>
      <w:numFmt w:val="upperLetter"/>
      <w:start w:val="1"/>
    </w:lvl>
    <w:lvl w:ilvl="1">
      <w:lvlJc w:val="left"/>
      <w:lvlText w:val="(%2)"/>
      <w:numFmt w:val="upperLetter"/>
      <w:start w:val="2"/>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jpeg"/><Relationship Id="rId52" Type="http://schemas.openxmlformats.org/officeDocument/2006/relationships/hyperlink" Target="https://www.sec.gov/Archives/edgar/data/66756/000006675624000034/exhibit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2024-05-09T05:35:20Z</dcterms:created>
  <dcterms:modified xsi:type="dcterms:W3CDTF">2024-05-09T05:35:20Z</dcterms:modified>
</cp:coreProperties>
</file>