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(Mark One)</w:t>
      </w:r>
    </w:p>
    <w:p>
      <w:pPr>
        <w:spacing w:after="0" w:line="86" w:lineRule="exact"/>
        <w:rPr>
          <w:sz w:val="24"/>
          <w:szCs w:val="24"/>
          <w:color w:val="auto"/>
        </w:rPr>
      </w:pPr>
    </w:p>
    <w:p>
      <w:pPr>
        <w:ind w:left="1360" w:right="4440" w:hanging="825"/>
        <w:spacing w:after="0" w:line="363" w:lineRule="auto"/>
        <w:tabs>
          <w:tab w:leader="none" w:pos="1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December 31, 2014</w:t>
      </w:r>
    </w:p>
    <w:p>
      <w:pPr>
        <w:spacing w:after="0" w:line="159" w:lineRule="exact"/>
        <w:rPr>
          <w:sz w:val="24"/>
          <w:szCs w:val="24"/>
          <w:color w:val="auto"/>
        </w:rPr>
      </w:pPr>
    </w:p>
    <w:p>
      <w:pPr>
        <w:ind w:left="1360" w:right="4260" w:hanging="825"/>
        <w:spacing w:after="0" w:line="381" w:lineRule="auto"/>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1-3548</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481" w:right="239" w:bottom="1440" w:gutter="0" w:footer="0" w:header="0"/>
        </w:sectPr>
      </w:pPr>
    </w:p>
    <w:p>
      <w:pPr>
        <w:spacing w:after="0" w:line="240"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41-0418150</w:t>
      </w:r>
    </w:p>
    <w:p>
      <w:pPr>
        <w:spacing w:after="0" w:line="100" w:lineRule="exact"/>
        <w:rPr>
          <w:sz w:val="24"/>
          <w:szCs w:val="24"/>
          <w:color w:val="auto"/>
        </w:rPr>
      </w:pPr>
    </w:p>
    <w:p>
      <w:pPr>
        <w:sectPr>
          <w:pgSz w:w="11900" w:h="16838" w:orient="portrait"/>
          <w:cols w:equalWidth="0" w:num="2">
            <w:col w:w="7900" w:space="720"/>
            <w:col w:w="2800"/>
          </w:cols>
          <w:pgMar w:left="240" w:top="481" w:right="239" w:bottom="1440" w:gutter="0" w:footer="0" w:header="0"/>
          <w:type w:val="continuous"/>
        </w:sectPr>
      </w:pPr>
    </w:p>
    <w:p>
      <w:pPr>
        <w:ind w:left="7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100" w:space="720"/>
            <w:col w:w="3600"/>
          </w:cols>
          <w:pgMar w:left="240" w:top="481" w:right="239" w:bottom="1440" w:gutter="0" w:footer="0" w:header="0"/>
          <w:type w:val="continuous"/>
        </w:sectPr>
      </w:pP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30 West Superior Street, Duluth, Minnesota 55802-2093</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(218) 279-5000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481" w:right="239" w:bottom="1440" w:gutter="0" w:footer="0" w:header="0"/>
          <w:type w:val="continuous"/>
        </w:sectPr>
      </w:pPr>
    </w:p>
    <w:p>
      <w:pPr>
        <w:spacing w:after="0" w:line="248"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96" w:lineRule="exact"/>
        <w:rPr>
          <w:sz w:val="24"/>
          <w:szCs w:val="24"/>
          <w:color w:val="auto"/>
        </w:rPr>
      </w:pPr>
    </w:p>
    <w:p>
      <w:pPr>
        <w:sectPr>
          <w:pgSz w:w="11900" w:h="16838" w:orient="portrait"/>
          <w:cols w:equalWidth="0" w:num="2">
            <w:col w:w="6840" w:space="720"/>
            <w:col w:w="3860"/>
          </w:cols>
          <w:pgMar w:left="240" w:top="481" w:right="239" w:bottom="1440" w:gutter="0" w:footer="0" w:header="0"/>
          <w:type w:val="continuous"/>
        </w:sectPr>
      </w:pPr>
    </w:p>
    <w:p>
      <w:pPr>
        <w:ind w:left="1340"/>
        <w:spacing w:after="0"/>
        <w:rPr>
          <w:sz w:val="20"/>
          <w:szCs w:val="20"/>
          <w:color w:val="auto"/>
        </w:rPr>
      </w:pPr>
      <w:r>
        <w:rPr>
          <w:rFonts w:ascii="Arial" w:cs="Arial" w:eastAsia="Arial" w:hAnsi="Arial"/>
          <w:sz w:val="14"/>
          <w:szCs w:val="14"/>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00" w:lineRule="exact"/>
        <w:rPr>
          <w:sz w:val="24"/>
          <w:szCs w:val="24"/>
          <w:color w:val="auto"/>
        </w:rPr>
      </w:pPr>
    </w:p>
    <w:p>
      <w:pPr>
        <w:sectPr>
          <w:pgSz w:w="11900" w:h="16838" w:orient="portrait"/>
          <w:cols w:equalWidth="0" w:num="2">
            <w:col w:w="7400" w:space="720"/>
            <w:col w:w="3300"/>
          </w:cols>
          <w:pgMar w:left="240" w:top="481" w:right="239" w:bottom="1440" w:gutter="0" w:footer="0" w:header="0"/>
          <w:type w:val="continuous"/>
        </w:sectPr>
      </w:pP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481" w:right="239" w:bottom="1440" w:gutter="0" w:footer="0" w:header="0"/>
          <w:type w:val="continuous"/>
        </w:sectPr>
      </w:pP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Yes </w:t>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7620" w:space="200"/>
            <w:col w:w="360" w:space="200"/>
            <w:col w:w="3040"/>
          </w:cols>
          <w:pgMar w:left="240" w:top="481" w:right="239" w:bottom="1440" w:gutter="0" w:footer="0" w:header="0"/>
          <w:type w:val="continuous"/>
        </w:sectPr>
      </w:pPr>
    </w:p>
    <w:p>
      <w:pPr>
        <w:spacing w:after="0" w:line="184"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No </w:t>
      </w:r>
      <w:r>
        <w:rPr>
          <w:rFonts w:ascii="Arial" w:cs="Arial" w:eastAsia="Arial" w:hAnsi="Arial"/>
          <w:sz w:val="17"/>
          <w:szCs w:val="17"/>
          <w:color w:val="auto"/>
        </w:rPr>
        <w:t>x</w:t>
      </w:r>
    </w:p>
    <w:p>
      <w:pPr>
        <w:spacing w:after="0" w:line="200" w:lineRule="exact"/>
        <w:rPr>
          <w:sz w:val="24"/>
          <w:szCs w:val="24"/>
          <w:color w:val="auto"/>
        </w:rPr>
      </w:pPr>
    </w:p>
    <w:p>
      <w:pPr>
        <w:sectPr>
          <w:pgSz w:w="11900" w:h="16838" w:orient="portrait"/>
          <w:cols w:equalWidth="0" w:num="2">
            <w:col w:w="8240" w:space="200"/>
            <w:col w:w="2980"/>
          </w:cols>
          <w:pgMar w:left="240" w:top="481" w:right="239" w:bottom="1440" w:gutter="0" w:footer="0" w:header="0"/>
          <w:type w:val="continuous"/>
        </w:sectPr>
      </w:pPr>
    </w:p>
    <w:p>
      <w:pPr>
        <w:spacing w:after="0" w:line="28" w:lineRule="exact"/>
        <w:rPr>
          <w:sz w:val="24"/>
          <w:szCs w:val="24"/>
          <w:color w:val="auto"/>
        </w:rPr>
      </w:pPr>
    </w:p>
    <w:p>
      <w:pPr>
        <w:spacing w:after="0" w:line="276" w:lineRule="auto"/>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p>
    <w:p>
      <w:pPr>
        <w:ind w:left="180"/>
        <w:spacing w:after="0" w:line="207"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line="314"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300" w:hanging="292"/>
        <w:spacing w:after="0" w:line="207" w:lineRule="exact"/>
        <w:tabs>
          <w:tab w:leader="none" w:pos="300" w:val="left"/>
        </w:tabs>
        <w:numPr>
          <w:ilvl w:val="0"/>
          <w:numId w:val="3"/>
        </w:numPr>
        <w:rPr>
          <w:rFonts w:ascii="Arial" w:cs="Arial" w:eastAsia="Arial" w:hAnsi="Arial"/>
          <w:sz w:val="18"/>
          <w:szCs w:val="18"/>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208" w:lineRule="exact"/>
        <w:rPr>
          <w:sz w:val="24"/>
          <w:szCs w:val="24"/>
          <w:color w:val="auto"/>
        </w:rPr>
      </w:pPr>
    </w:p>
    <w:p>
      <w:pPr>
        <w:ind w:right="20"/>
        <w:spacing w:after="0" w:line="314" w:lineRule="auto"/>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7"/>
          <w:szCs w:val="17"/>
          <w:color w:val="auto"/>
        </w:rPr>
        <w:t>x</w:t>
      </w:r>
    </w:p>
    <w:p>
      <w:pPr>
        <w:spacing w:after="0" w:line="126" w:lineRule="exact"/>
        <w:rPr>
          <w:sz w:val="24"/>
          <w:szCs w:val="24"/>
          <w:color w:val="auto"/>
        </w:rPr>
      </w:pPr>
    </w:p>
    <w:p>
      <w:pPr>
        <w:spacing w:after="0" w:line="24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jc w:val="center"/>
        <w:ind w:right="2880"/>
        <w:spacing w:after="0" w:line="207" w:lineRule="exact"/>
        <w:tabs>
          <w:tab w:leader="none" w:pos="140" w:val="left"/>
          <w:tab w:leader="none" w:pos="160" w:val="left"/>
          <w:tab w:leader="none" w:pos="16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x</w:t>
      </w:r>
      <w:r>
        <w:rPr>
          <w:rFonts w:ascii="Arial" w:cs="Arial" w:eastAsia="Arial" w:hAnsi="Arial"/>
          <w:sz w:val="16"/>
          <w:szCs w:val="16"/>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6"/>
          <w:szCs w:val="16"/>
          <w:color w:val="auto"/>
        </w:rPr>
        <w:t>☐</w:t>
      </w:r>
    </w:p>
    <w:p>
      <w:pPr>
        <w:spacing w:after="0" w:line="156" w:lineRule="exact"/>
        <w:rPr>
          <w:sz w:val="24"/>
          <w:szCs w:val="24"/>
          <w:color w:val="auto"/>
        </w:rPr>
      </w:pPr>
    </w:p>
    <w:p>
      <w:pPr>
        <w:jc w:val="center"/>
        <w:ind w:right="2880"/>
        <w:spacing w:after="0" w:line="207" w:lineRule="exact"/>
        <w:tabs>
          <w:tab w:leader="none" w:pos="160" w:val="left"/>
          <w:tab w:leader="none" w:pos="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Arial" w:cs="Arial" w:eastAsia="Arial" w:hAnsi="Arial"/>
          <w:sz w:val="18"/>
          <w:szCs w:val="18"/>
          <w:color w:val="auto"/>
        </w:rPr>
        <w:t>x</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voting stock held by nonaffiliates on June 30, 2014, was $2,175,249,161.</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2015, there were 45,953,851 shares of ALLETE Common Stock, without par value, outstanding.</w:t>
      </w:r>
    </w:p>
    <w:p>
      <w:pPr>
        <w:spacing w:after="0" w:line="190"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2015 Annual Meeting of Shareholders are incorporated by reference in Part III.</w:t>
      </w:r>
    </w:p>
    <w:p>
      <w:pPr>
        <w:sectPr>
          <w:pgSz w:w="11900" w:h="16838" w:orient="portrait"/>
          <w:cols w:equalWidth="0" w:num="1">
            <w:col w:w="11420"/>
          </w:cols>
          <w:pgMar w:left="240" w:top="48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80" w:type="dxa"/>
            <w:vAlign w:val="bottom"/>
            <w:gridSpan w:val="3"/>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Definitions</w:t>
              </w:r>
            </w:hyperlink>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0" w:type="dxa"/>
            <w:vAlign w:val="bottom"/>
            <w:tcBorders>
              <w:right w:val="single" w:sz="8" w:color="CCEEFF"/>
            </w:tcBorders>
            <w:gridSpan w:val="3"/>
            <w:shd w:val="clear" w:color="auto" w:fill="CCEEFF"/>
          </w:tcPr>
          <w:p>
            <w:pPr>
              <w:ind w:left="1220"/>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c>
          <w:tcPr>
            <w:tcW w:w="126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40" w:type="dxa"/>
            <w:vAlign w:val="bottom"/>
            <w:tcBorders>
              <w:top w:val="single" w:sz="8" w:color="CCEEFF"/>
            </w:tcBorders>
            <w:gridSpan w:val="2"/>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8760" w:type="dxa"/>
            <w:vAlign w:val="bottom"/>
            <w:gridSpan w:val="44"/>
            <w:shd w:val="clear" w:color="auto" w:fill="CCEEFF"/>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Forward-Looking Statements</w:t>
              </w:r>
            </w:hyperlink>
          </w:p>
        </w:tc>
        <w:tc>
          <w:tcPr>
            <w:tcW w:w="1400" w:type="dxa"/>
            <w:vAlign w:val="bottom"/>
            <w:tcBorders>
              <w:right w:val="single" w:sz="8" w:color="CCEEFF"/>
            </w:tcBorders>
            <w:gridSpan w:val="3"/>
            <w:shd w:val="clear" w:color="auto" w:fill="CCEEFF"/>
          </w:tcPr>
          <w:p>
            <w:pPr>
              <w:ind w:left="12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6</w:t>
              </w:r>
            </w:hyperlink>
          </w:p>
        </w:tc>
        <w:tc>
          <w:tcPr>
            <w:tcW w:w="126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12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1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w:t>
            </w:r>
          </w:p>
        </w:tc>
        <w:tc>
          <w:tcPr>
            <w:tcW w:w="7680" w:type="dxa"/>
            <w:vAlign w:val="bottom"/>
            <w:gridSpan w:val="41"/>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1400" w:type="dxa"/>
            <w:vAlign w:val="bottom"/>
            <w:gridSpan w:val="3"/>
          </w:tcPr>
          <w:p>
            <w:pPr>
              <w:ind w:left="12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13"/>
            <w:shd w:val="clear" w:color="auto" w:fill="CCEEFF"/>
          </w:tcPr>
          <w:p>
            <w:pPr>
              <w:spacing w:after="0" w:line="20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Regulated Operations</w:t>
              </w:r>
            </w:hyperlink>
          </w:p>
        </w:tc>
        <w:tc>
          <w:tcPr>
            <w:tcW w:w="6120" w:type="dxa"/>
            <w:vAlign w:val="bottom"/>
            <w:gridSpan w:val="28"/>
            <w:shd w:val="clear" w:color="auto" w:fill="CCEEFF"/>
          </w:tcPr>
          <w:p>
            <w:pPr>
              <w:spacing w:after="0"/>
              <w:rPr>
                <w:sz w:val="17"/>
                <w:szCs w:val="17"/>
                <w:color w:val="auto"/>
              </w:rPr>
            </w:pPr>
          </w:p>
        </w:tc>
        <w:tc>
          <w:tcPr>
            <w:tcW w:w="1400" w:type="dxa"/>
            <w:vAlign w:val="bottom"/>
            <w:tcBorders>
              <w:right w:val="single" w:sz="8" w:color="CCEEFF"/>
            </w:tcBorders>
            <w:gridSpan w:val="3"/>
            <w:shd w:val="clear" w:color="auto" w:fill="CCEEFF"/>
          </w:tcPr>
          <w:p>
            <w:pPr>
              <w:ind w:left="12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35"/>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Electric Sales / Customers</w:t>
              </w:r>
            </w:hyperlink>
          </w:p>
        </w:tc>
        <w:tc>
          <w:tcPr>
            <w:tcW w:w="1400" w:type="dxa"/>
            <w:vAlign w:val="bottom"/>
            <w:gridSpan w:val="3"/>
          </w:tcPr>
          <w:p>
            <w:pPr>
              <w:ind w:left="12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10"/>
            <w:shd w:val="clear" w:color="auto" w:fill="CCEEFF"/>
          </w:tcPr>
          <w:p>
            <w:pPr>
              <w:spacing w:after="0" w:line="202"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Seasonality</w:t>
              </w:r>
            </w:hyperlink>
          </w:p>
        </w:tc>
        <w:tc>
          <w:tcPr>
            <w:tcW w:w="6040" w:type="dxa"/>
            <w:vAlign w:val="bottom"/>
            <w:gridSpan w:val="25"/>
            <w:shd w:val="clear" w:color="auto" w:fill="CCEEFF"/>
          </w:tcPr>
          <w:p>
            <w:pPr>
              <w:spacing w:after="0"/>
              <w:rPr>
                <w:sz w:val="17"/>
                <w:szCs w:val="17"/>
                <w:color w:val="auto"/>
              </w:rPr>
            </w:pPr>
          </w:p>
        </w:tc>
        <w:tc>
          <w:tcPr>
            <w:tcW w:w="1400" w:type="dxa"/>
            <w:vAlign w:val="bottom"/>
            <w:tcBorders>
              <w:right w:val="single" w:sz="8" w:color="CCEEFF"/>
            </w:tcBorders>
            <w:gridSpan w:val="3"/>
            <w:shd w:val="clear" w:color="auto" w:fill="CCEEFF"/>
          </w:tcPr>
          <w:p>
            <w:pPr>
              <w:ind w:left="1220"/>
              <w:spacing w:after="0"/>
              <w:rPr>
                <w:rFonts w:ascii="Arial" w:cs="Arial" w:eastAsia="Arial" w:hAnsi="Arial"/>
                <w:sz w:val="17"/>
                <w:szCs w:val="17"/>
                <w:color w:val="0000EE"/>
                <w:w w:val="73"/>
              </w:rPr>
            </w:pPr>
            <w:hyperlink w:anchor="page10">
              <w:r>
                <w:rPr>
                  <w:rFonts w:ascii="Arial" w:cs="Arial" w:eastAsia="Arial" w:hAnsi="Arial"/>
                  <w:sz w:val="17"/>
                  <w:szCs w:val="17"/>
                  <w:color w:val="0000EE"/>
                  <w:w w:val="73"/>
                </w:rPr>
                <w:t>11</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35"/>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Power Supply</w:t>
              </w:r>
            </w:hyperlink>
          </w:p>
        </w:tc>
        <w:tc>
          <w:tcPr>
            <w:tcW w:w="1400" w:type="dxa"/>
            <w:vAlign w:val="bottom"/>
            <w:gridSpan w:val="3"/>
          </w:tcPr>
          <w:p>
            <w:pPr>
              <w:ind w:left="1220"/>
              <w:spacing w:after="0"/>
              <w:rPr>
                <w:rFonts w:ascii="Arial" w:cs="Arial" w:eastAsia="Arial" w:hAnsi="Arial"/>
                <w:sz w:val="17"/>
                <w:szCs w:val="17"/>
                <w:color w:val="0000EE"/>
                <w:w w:val="73"/>
              </w:rPr>
            </w:pPr>
            <w:hyperlink w:anchor="page11">
              <w:r>
                <w:rPr>
                  <w:rFonts w:ascii="Arial" w:cs="Arial" w:eastAsia="Arial" w:hAnsi="Arial"/>
                  <w:sz w:val="17"/>
                  <w:szCs w:val="17"/>
                  <w:color w:val="0000EE"/>
                  <w:w w:val="73"/>
                </w:rPr>
                <w:t>11</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80" w:type="dxa"/>
            <w:vAlign w:val="bottom"/>
            <w:gridSpan w:val="35"/>
            <w:shd w:val="clear" w:color="auto" w:fill="CCEEFF"/>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Transmission and Distribution</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29"/>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Investment in ATC</w:t>
              </w:r>
            </w:hyperlink>
          </w:p>
        </w:tc>
        <w:tc>
          <w:tcPr>
            <w:tcW w:w="4700" w:type="dxa"/>
            <w:vAlign w:val="bottom"/>
            <w:gridSpan w:val="6"/>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6"/>
            <w:shd w:val="clear" w:color="auto" w:fill="CCEEFF"/>
          </w:tcPr>
          <w:p>
            <w:pPr>
              <w:spacing w:after="0" w:line="202"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Properties</w:t>
              </w:r>
            </w:hyperlink>
          </w:p>
        </w:tc>
        <w:tc>
          <w:tcPr>
            <w:tcW w:w="6140" w:type="dxa"/>
            <w:vAlign w:val="bottom"/>
            <w:gridSpan w:val="29"/>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35"/>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Regulatory Matters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80" w:type="dxa"/>
            <w:vAlign w:val="bottom"/>
            <w:gridSpan w:val="35"/>
            <w:shd w:val="clear" w:color="auto" w:fill="CCEEFF"/>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Regional Organizations</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2"/>
          </w:tcPr>
          <w:p>
            <w:pPr>
              <w:spacing w:after="0" w:line="202"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Minnesota Legislation</w:t>
              </w:r>
            </w:hyperlink>
          </w:p>
        </w:tc>
        <w:tc>
          <w:tcPr>
            <w:tcW w:w="5180" w:type="dxa"/>
            <w:vAlign w:val="bottom"/>
            <w:gridSpan w:val="13"/>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80" w:type="dxa"/>
            <w:vAlign w:val="bottom"/>
            <w:gridSpan w:val="35"/>
            <w:shd w:val="clear" w:color="auto" w:fill="CCEEFF"/>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Competition</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12"/>
          </w:tcPr>
          <w:p>
            <w:pPr>
              <w:spacing w:after="0" w:line="20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Franchises</w:t>
              </w:r>
            </w:hyperlink>
          </w:p>
        </w:tc>
        <w:tc>
          <w:tcPr>
            <w:tcW w:w="5980" w:type="dxa"/>
            <w:vAlign w:val="bottom"/>
            <w:gridSpan w:val="23"/>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80" w:type="dxa"/>
            <w:vAlign w:val="bottom"/>
            <w:gridSpan w:val="41"/>
            <w:shd w:val="clear" w:color="auto" w:fill="CCEEFF"/>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Investments and Other</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35"/>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ALLETE Clean Energy</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80" w:type="dxa"/>
            <w:vAlign w:val="bottom"/>
            <w:gridSpan w:val="35"/>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BNI Coal</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35"/>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ALLETE Properties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80" w:type="dxa"/>
            <w:vAlign w:val="bottom"/>
            <w:gridSpan w:val="35"/>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Non-Rate Base Generation</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1"/>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Environmental Matters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6"/>
            <w:shd w:val="clear" w:color="auto" w:fill="CCEEFF"/>
          </w:tcPr>
          <w:p>
            <w:pPr>
              <w:spacing w:after="0" w:line="20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Employees</w:t>
              </w:r>
            </w:hyperlink>
          </w:p>
        </w:tc>
        <w:tc>
          <w:tcPr>
            <w:tcW w:w="6880" w:type="dxa"/>
            <w:vAlign w:val="bottom"/>
            <w:gridSpan w:val="35"/>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1"/>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Availability of Information</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0" w:type="dxa"/>
            <w:vAlign w:val="bottom"/>
            <w:gridSpan w:val="30"/>
            <w:shd w:val="clear" w:color="auto" w:fill="CCEEFF"/>
          </w:tcPr>
          <w:p>
            <w:pPr>
              <w:spacing w:after="0" w:line="202"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Executive Officers of the Registrant</w:t>
              </w:r>
            </w:hyperlink>
          </w:p>
        </w:tc>
        <w:tc>
          <w:tcPr>
            <w:tcW w:w="5080" w:type="dxa"/>
            <w:vAlign w:val="bottom"/>
            <w:gridSpan w:val="11"/>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1A.</w:t>
            </w:r>
          </w:p>
        </w:tc>
        <w:tc>
          <w:tcPr>
            <w:tcW w:w="2600" w:type="dxa"/>
            <w:vAlign w:val="bottom"/>
            <w:gridSpan w:val="30"/>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5080" w:type="dxa"/>
            <w:vAlign w:val="bottom"/>
            <w:gridSpan w:val="11"/>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7680" w:type="dxa"/>
            <w:vAlign w:val="bottom"/>
            <w:gridSpan w:val="41"/>
            <w:shd w:val="clear" w:color="auto" w:fill="CCEEFF"/>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22"/>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5640" w:type="dxa"/>
            <w:vAlign w:val="bottom"/>
            <w:gridSpan w:val="19"/>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7680" w:type="dxa"/>
            <w:vAlign w:val="bottom"/>
            <w:gridSpan w:val="41"/>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4.</w:t>
            </w:r>
          </w:p>
        </w:tc>
        <w:tc>
          <w:tcPr>
            <w:tcW w:w="7680" w:type="dxa"/>
            <w:vAlign w:val="bottom"/>
            <w:gridSpan w:val="41"/>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5.</w:t>
            </w:r>
          </w:p>
        </w:tc>
        <w:tc>
          <w:tcPr>
            <w:tcW w:w="5360" w:type="dxa"/>
            <w:vAlign w:val="bottom"/>
            <w:tcBorders>
              <w:bottom w:val="single" w:sz="8" w:color="0000EE"/>
            </w:tcBorders>
            <w:gridSpan w:val="38"/>
          </w:tcPr>
          <w:p>
            <w:pPr>
              <w:spacing w:after="0" w:line="202"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Market for Registrant’s Common Equity, Related Stockholder Matters and</w:t>
              </w:r>
            </w:hyperlink>
          </w:p>
        </w:tc>
        <w:tc>
          <w:tcPr>
            <w:tcW w:w="232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1"/>
          </w:tcPr>
          <w:p>
            <w:pPr>
              <w:ind w:left="24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Issuer Purchases of Equity Securities</w:t>
              </w:r>
            </w:hyperlink>
          </w:p>
        </w:tc>
        <w:tc>
          <w:tcPr>
            <w:tcW w:w="2660" w:type="dxa"/>
            <w:vAlign w:val="bottom"/>
            <w:gridSpan w:val="4"/>
          </w:tcPr>
          <w:p>
            <w:pPr>
              <w:ind w:left="12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7680" w:type="dxa"/>
            <w:vAlign w:val="bottom"/>
            <w:gridSpan w:val="41"/>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7.</w:t>
            </w:r>
          </w:p>
        </w:tc>
        <w:tc>
          <w:tcPr>
            <w:tcW w:w="7680" w:type="dxa"/>
            <w:vAlign w:val="bottom"/>
            <w:gridSpan w:val="41"/>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36</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80" w:type="dxa"/>
            <w:vAlign w:val="bottom"/>
            <w:gridSpan w:val="41"/>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Overview</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1"/>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2014 Compared to 2013</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37</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tcBorders>
              <w:right w:val="single" w:sz="8" w:color="CCEEFF"/>
            </w:tcBorders>
            <w:gridSpan w:val="19"/>
            <w:shd w:val="clear" w:color="auto" w:fill="CCEEFF"/>
          </w:tcPr>
          <w:p>
            <w:pPr>
              <w:spacing w:after="0" w:line="202" w:lineRule="exact"/>
              <w:rPr>
                <w:rFonts w:ascii="Arial" w:cs="Arial" w:eastAsia="Arial" w:hAnsi="Arial"/>
                <w:sz w:val="18"/>
                <w:szCs w:val="18"/>
                <w:color w:val="0000EE"/>
                <w:w w:val="88"/>
                <w:shd w:val="clear" w:color="auto" w:fill="CCEEFF"/>
              </w:rPr>
            </w:pPr>
            <w:hyperlink w:anchor="page38">
              <w:r>
                <w:rPr>
                  <w:rFonts w:ascii="Arial" w:cs="Arial" w:eastAsia="Arial" w:hAnsi="Arial"/>
                  <w:sz w:val="18"/>
                  <w:szCs w:val="18"/>
                  <w:color w:val="0000EE"/>
                  <w:w w:val="88"/>
                  <w:shd w:val="clear" w:color="auto" w:fill="CCEEFF"/>
                </w:rPr>
                <w:t>2013 Compared to 2012</w:t>
              </w:r>
            </w:hyperlink>
          </w:p>
        </w:tc>
        <w:tc>
          <w:tcPr>
            <w:tcW w:w="280" w:type="dxa"/>
            <w:vAlign w:val="bottom"/>
            <w:gridSpan w:val="3"/>
            <w:shd w:val="clear" w:color="auto" w:fill="CCEEFF"/>
          </w:tcPr>
          <w:p>
            <w:pPr>
              <w:spacing w:after="0"/>
              <w:rPr>
                <w:sz w:val="17"/>
                <w:szCs w:val="17"/>
                <w:color w:val="auto"/>
              </w:rPr>
            </w:pPr>
          </w:p>
        </w:tc>
        <w:tc>
          <w:tcPr>
            <w:tcW w:w="280" w:type="dxa"/>
            <w:vAlign w:val="bottom"/>
            <w:gridSpan w:val="4"/>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7"/>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1"/>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Critical Accounting Policies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80" w:type="dxa"/>
            <w:vAlign w:val="bottom"/>
            <w:gridSpan w:val="41"/>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Outlook</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1"/>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Liquidity and Capital Resources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13"/>
            <w:shd w:val="clear" w:color="auto" w:fill="CCEEFF"/>
          </w:tcPr>
          <w:p>
            <w:pPr>
              <w:spacing w:after="0" w:line="202"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Capital Requirements</w:t>
              </w:r>
            </w:hyperlink>
          </w:p>
        </w:tc>
        <w:tc>
          <w:tcPr>
            <w:tcW w:w="6120" w:type="dxa"/>
            <w:vAlign w:val="bottom"/>
            <w:gridSpan w:val="28"/>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1"/>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Environmental and Other Matters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80" w:type="dxa"/>
            <w:vAlign w:val="bottom"/>
            <w:gridSpan w:val="41"/>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Market Risk</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gridSpan w:val="41"/>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Recently Adopted Accounting Standards</w:t>
              </w:r>
            </w:hyperlink>
          </w:p>
        </w:tc>
        <w:tc>
          <w:tcPr>
            <w:tcW w:w="2660" w:type="dxa"/>
            <w:vAlign w:val="bottom"/>
            <w:gridSpan w:val="4"/>
          </w:tcPr>
          <w:p>
            <w:pPr>
              <w:ind w:left="12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7680" w:type="dxa"/>
            <w:vAlign w:val="bottom"/>
            <w:gridSpan w:val="41"/>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8.</w:t>
            </w:r>
          </w:p>
        </w:tc>
        <w:tc>
          <w:tcPr>
            <w:tcW w:w="4300" w:type="dxa"/>
            <w:vAlign w:val="bottom"/>
            <w:gridSpan w:val="37"/>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3380" w:type="dxa"/>
            <w:vAlign w:val="bottom"/>
            <w:gridSpan w:val="4"/>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6480" w:type="dxa"/>
            <w:vAlign w:val="bottom"/>
            <w:gridSpan w:val="40"/>
            <w:shd w:val="clear" w:color="auto" w:fill="CCEEFF"/>
          </w:tcPr>
          <w:p>
            <w:pPr>
              <w:spacing w:after="0" w:line="202"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Changes in and Disagreements with Accountants on Accounting and Financial Disclosure</w:t>
              </w:r>
            </w:hyperlink>
          </w:p>
        </w:tc>
        <w:tc>
          <w:tcPr>
            <w:tcW w:w="1200" w:type="dxa"/>
            <w:vAlign w:val="bottom"/>
            <w:shd w:val="clear" w:color="auto" w:fill="CCEEFF"/>
          </w:tcPr>
          <w:p>
            <w:pPr>
              <w:spacing w:after="0"/>
              <w:rPr>
                <w:sz w:val="17"/>
                <w:szCs w:val="17"/>
                <w:color w:val="auto"/>
              </w:rPr>
            </w:pPr>
          </w:p>
        </w:tc>
        <w:tc>
          <w:tcPr>
            <w:tcW w:w="2660" w:type="dxa"/>
            <w:vAlign w:val="bottom"/>
            <w:gridSpan w:val="4"/>
            <w:shd w:val="clear" w:color="auto" w:fill="CCEEFF"/>
          </w:tcPr>
          <w:p>
            <w:pPr>
              <w:ind w:left="12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9A.</w:t>
            </w:r>
          </w:p>
        </w:tc>
        <w:tc>
          <w:tcPr>
            <w:tcW w:w="6480" w:type="dxa"/>
            <w:vAlign w:val="bottom"/>
            <w:gridSpan w:val="40"/>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1200" w:type="dxa"/>
            <w:vAlign w:val="bottom"/>
          </w:tcPr>
          <w:p>
            <w:pPr>
              <w:spacing w:after="0"/>
              <w:rPr>
                <w:sz w:val="17"/>
                <w:szCs w:val="17"/>
                <w:color w:val="auto"/>
              </w:rPr>
            </w:pPr>
          </w:p>
        </w:tc>
        <w:tc>
          <w:tcPr>
            <w:tcW w:w="2660" w:type="dxa"/>
            <w:vAlign w:val="bottom"/>
            <w:gridSpan w:val="4"/>
          </w:tcPr>
          <w:p>
            <w:pPr>
              <w:ind w:left="12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936"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Item 9B.</w:t>
            </w: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0000EE"/>
              </w:rPr>
              <w:t>Other Information</w:t>
            </w:r>
          </w:p>
        </w:tc>
        <w:tc>
          <w:tcPr>
            <w:tcW w:w="2240" w:type="dxa"/>
            <w:vAlign w:val="bottom"/>
            <w:gridSpan w:val="3"/>
            <w:shd w:val="clear" w:color="auto" w:fill="CCEEFF"/>
          </w:tcPr>
          <w:p>
            <w:pPr>
              <w:jc w:val="right"/>
              <w:ind w:right="126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43"/>
        </w:trPr>
        <w:tc>
          <w:tcPr>
            <w:tcW w:w="108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Part III</w:t>
            </w:r>
          </w:p>
        </w:tc>
        <w:tc>
          <w:tcPr>
            <w:tcW w:w="1300" w:type="dxa"/>
            <w:vAlign w:val="bottom"/>
            <w:tcBorders>
              <w:top w:val="single" w:sz="8" w:color="0000EE"/>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18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8100" w:type="dxa"/>
            <w:vAlign w:val="bottom"/>
            <w:gridSpan w:val="9"/>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Directors, Executive Officers and Corporate Governance</w:t>
              </w:r>
            </w:hyperlink>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11.</w:t>
            </w:r>
          </w:p>
        </w:tc>
        <w:tc>
          <w:tcPr>
            <w:tcW w:w="4080" w:type="dxa"/>
            <w:vAlign w:val="bottom"/>
            <w:gridSpan w:val="6"/>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4020" w:type="dxa"/>
            <w:vAlign w:val="bottom"/>
            <w:gridSpan w:val="3"/>
          </w:tcPr>
          <w:p>
            <w:pPr>
              <w:spacing w:after="0"/>
              <w:rPr>
                <w:sz w:val="17"/>
                <w:szCs w:val="17"/>
                <w:color w:val="auto"/>
              </w:rPr>
            </w:pPr>
          </w:p>
        </w:tc>
        <w:tc>
          <w:tcPr>
            <w:tcW w:w="2240" w:type="dxa"/>
            <w:vAlign w:val="bottom"/>
            <w:gridSpan w:val="3"/>
          </w:tcPr>
          <w:p>
            <w:pPr>
              <w:jc w:val="right"/>
              <w:ind w:right="126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8100" w:type="dxa"/>
            <w:vAlign w:val="bottom"/>
            <w:gridSpan w:val="9"/>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Security Ownership of Certain Beneficial Owners and Management and Related Stockholder Matters</w:t>
              </w:r>
            </w:hyperlink>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13.</w:t>
            </w:r>
          </w:p>
        </w:tc>
        <w:tc>
          <w:tcPr>
            <w:tcW w:w="7280" w:type="dxa"/>
            <w:vAlign w:val="bottom"/>
            <w:gridSpan w:val="8"/>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Certain Relationships and Related Transactions, and Director Independence</w:t>
              </w:r>
            </w:hyperlink>
          </w:p>
        </w:tc>
        <w:tc>
          <w:tcPr>
            <w:tcW w:w="820" w:type="dxa"/>
            <w:vAlign w:val="bottom"/>
          </w:tcPr>
          <w:p>
            <w:pPr>
              <w:spacing w:after="0"/>
              <w:rPr>
                <w:sz w:val="17"/>
                <w:szCs w:val="17"/>
                <w:color w:val="auto"/>
              </w:rPr>
            </w:pPr>
          </w:p>
        </w:tc>
        <w:tc>
          <w:tcPr>
            <w:tcW w:w="2240" w:type="dxa"/>
            <w:vAlign w:val="bottom"/>
            <w:gridSpan w:val="3"/>
          </w:tcPr>
          <w:p>
            <w:pPr>
              <w:jc w:val="right"/>
              <w:ind w:right="126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58</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8100" w:type="dxa"/>
            <w:vAlign w:val="bottom"/>
            <w:gridSpan w:val="9"/>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Accounting Fees and Services</w:t>
              </w:r>
            </w:hyperlink>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43"/>
        </w:trPr>
        <w:tc>
          <w:tcPr>
            <w:tcW w:w="108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Part IV</w:t>
            </w:r>
          </w:p>
        </w:tc>
        <w:tc>
          <w:tcPr>
            <w:tcW w:w="13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06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18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8100" w:type="dxa"/>
            <w:vAlign w:val="bottom"/>
            <w:gridSpan w:val="9"/>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Exhibits and Financial Statement Schedules</w:t>
              </w:r>
            </w:hyperlink>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70"/>
        </w:trPr>
        <w:tc>
          <w:tcPr>
            <w:tcW w:w="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3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0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3"/>
            <w:shd w:val="clear" w:color="auto" w:fill="CCEEFF"/>
          </w:tcPr>
          <w:p>
            <w:pPr>
              <w:ind w:left="40"/>
              <w:spacing w:after="0" w:line="202"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Signatures</w:t>
              </w:r>
            </w:hyperlink>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64</w:t>
              </w:r>
            </w:hyperlink>
          </w:p>
        </w:tc>
      </w:tr>
      <w:tr>
        <w:trPr>
          <w:trHeight w:val="270"/>
        </w:trPr>
        <w:tc>
          <w:tcPr>
            <w:tcW w:w="40" w:type="dxa"/>
            <w:vAlign w:val="bottom"/>
            <w:tcBorders>
              <w:top w:val="single" w:sz="8" w:color="CCEEFF"/>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1520" w:type="dxa"/>
            <w:vAlign w:val="bottom"/>
            <w:tcBorders>
              <w:top w:val="single" w:sz="8" w:color="CCEEFF"/>
            </w:tcBorders>
            <w:gridSpan w:val="2"/>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03"/>
        </w:trPr>
        <w:tc>
          <w:tcPr>
            <w:tcW w:w="9180" w:type="dxa"/>
            <w:vAlign w:val="bottom"/>
            <w:gridSpan w:val="12"/>
            <w:shd w:val="clear" w:color="auto" w:fill="CCEEFF"/>
          </w:tcPr>
          <w:p>
            <w:pPr>
              <w:ind w:left="40"/>
              <w:spacing w:after="0" w:line="20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Consolidated Financial Statements</w:t>
              </w:r>
            </w:hyperlink>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3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Term</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2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90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Allowance for Funds Used During Construction - the cost of both debt and equity funds used to finance utility plant</w:t>
            </w:r>
          </w:p>
        </w:tc>
      </w:tr>
      <w:tr>
        <w:trPr>
          <w:trHeight w:val="237"/>
        </w:trPr>
        <w:tc>
          <w:tcPr>
            <w:tcW w:w="2340" w:type="dxa"/>
            <w:vAlign w:val="bottom"/>
            <w:tcBorders>
              <w:bottom w:val="single" w:sz="8" w:color="CCEEFF"/>
            </w:tcBorders>
            <w:shd w:val="clear" w:color="auto" w:fill="CCEEFF"/>
          </w:tcPr>
          <w:p>
            <w:pPr>
              <w:spacing w:after="0"/>
              <w:rPr>
                <w:sz w:val="20"/>
                <w:szCs w:val="20"/>
                <w:color w:val="auto"/>
              </w:rPr>
            </w:pP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additions during construction periods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ALLETE</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Inc.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ALLETE Properties</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ArcelorMittal</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ArcelorMittal USA, Inc.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ATC</w:t>
            </w:r>
          </w:p>
        </w:tc>
        <w:tc>
          <w:tcPr>
            <w:tcW w:w="9080" w:type="dxa"/>
            <w:vAlign w:val="bottom"/>
          </w:tcPr>
          <w:p>
            <w:pPr>
              <w:ind w:left="320"/>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Basin Electric Power Cooperative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Bison Wind Energy Center</w:t>
            </w:r>
          </w:p>
        </w:tc>
        <w:tc>
          <w:tcPr>
            <w:tcW w:w="9080" w:type="dxa"/>
            <w:vAlign w:val="bottom"/>
          </w:tcPr>
          <w:p>
            <w:pPr>
              <w:ind w:left="320"/>
              <w:spacing w:after="0"/>
              <w:rPr>
                <w:sz w:val="20"/>
                <w:szCs w:val="20"/>
                <w:color w:val="auto"/>
              </w:rPr>
            </w:pPr>
            <w:r>
              <w:rPr>
                <w:rFonts w:ascii="Arial" w:cs="Arial" w:eastAsia="Arial" w:hAnsi="Arial"/>
                <w:sz w:val="18"/>
                <w:szCs w:val="18"/>
                <w:color w:val="auto"/>
              </w:rPr>
              <w:t>Bison 1, 2, 3 &amp; 4 Wind Facilities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 4</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Bison 4 Wind Facility</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BNI Coal</w:t>
            </w:r>
          </w:p>
        </w:tc>
        <w:tc>
          <w:tcPr>
            <w:tcW w:w="9080" w:type="dxa"/>
            <w:vAlign w:val="bottom"/>
          </w:tcPr>
          <w:p>
            <w:pPr>
              <w:ind w:left="320"/>
              <w:spacing w:after="0"/>
              <w:rPr>
                <w:sz w:val="20"/>
                <w:szCs w:val="20"/>
                <w:color w:val="auto"/>
              </w:rPr>
            </w:pPr>
            <w:r>
              <w:rPr>
                <w:rFonts w:ascii="Arial" w:cs="Arial" w:eastAsia="Arial" w:hAnsi="Arial"/>
                <w:sz w:val="18"/>
                <w:szCs w:val="18"/>
                <w:color w:val="auto"/>
              </w:rPr>
              <w:t>BNI Coal, Ltd.</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Boswell Energy Center</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9080" w:type="dxa"/>
            <w:vAlign w:val="bottom"/>
          </w:tcPr>
          <w:p>
            <w:pPr>
              <w:ind w:left="320"/>
              <w:spacing w:after="0"/>
              <w:rPr>
                <w:sz w:val="20"/>
                <w:szCs w:val="20"/>
                <w:color w:val="auto"/>
              </w:rPr>
            </w:pPr>
            <w:r>
              <w:rPr>
                <w:rFonts w:ascii="Arial" w:cs="Arial" w:eastAsia="Arial" w:hAnsi="Arial"/>
                <w:sz w:val="18"/>
                <w:szCs w:val="18"/>
                <w:color w:val="auto"/>
              </w:rPr>
              <w:t>Carbon Dioxide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CSAPR</w:t>
            </w:r>
          </w:p>
        </w:tc>
        <w:tc>
          <w:tcPr>
            <w:tcW w:w="9080" w:type="dxa"/>
            <w:vAlign w:val="bottom"/>
          </w:tcPr>
          <w:p>
            <w:pPr>
              <w:ind w:left="320"/>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 Current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EPA</w:t>
            </w:r>
          </w:p>
        </w:tc>
        <w:tc>
          <w:tcPr>
            <w:tcW w:w="9080" w:type="dxa"/>
            <w:vAlign w:val="bottom"/>
          </w:tcPr>
          <w:p>
            <w:pPr>
              <w:ind w:left="320"/>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FASB</w:t>
            </w:r>
          </w:p>
        </w:tc>
        <w:tc>
          <w:tcPr>
            <w:tcW w:w="9080" w:type="dxa"/>
            <w:vAlign w:val="bottom"/>
          </w:tcPr>
          <w:p>
            <w:pPr>
              <w:ind w:left="32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Form 8-K</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Current Report on Form 8-K</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Form 10-Q</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GHG</w:t>
            </w:r>
          </w:p>
        </w:tc>
        <w:tc>
          <w:tcPr>
            <w:tcW w:w="9080" w:type="dxa"/>
            <w:vAlign w:val="bottom"/>
          </w:tcPr>
          <w:p>
            <w:pPr>
              <w:ind w:left="320"/>
              <w:spacing w:after="0"/>
              <w:rPr>
                <w:sz w:val="20"/>
                <w:szCs w:val="20"/>
                <w:color w:val="auto"/>
              </w:rPr>
            </w:pPr>
            <w:r>
              <w:rPr>
                <w:rFonts w:ascii="Arial" w:cs="Arial" w:eastAsia="Arial" w:hAnsi="Arial"/>
                <w:sz w:val="18"/>
                <w:szCs w:val="18"/>
                <w:color w:val="auto"/>
              </w:rPr>
              <w:t>Greenhouse Gases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IBEW</w:t>
            </w:r>
          </w:p>
        </w:tc>
        <w:tc>
          <w:tcPr>
            <w:tcW w:w="9080" w:type="dxa"/>
            <w:vAlign w:val="bottom"/>
          </w:tcPr>
          <w:p>
            <w:pPr>
              <w:ind w:left="320"/>
              <w:spacing w:after="0"/>
              <w:rPr>
                <w:sz w:val="20"/>
                <w:szCs w:val="20"/>
                <w:color w:val="auto"/>
              </w:rPr>
            </w:pPr>
            <w:r>
              <w:rPr>
                <w:rFonts w:ascii="Arial" w:cs="Arial" w:eastAsia="Arial" w:hAnsi="Arial"/>
                <w:sz w:val="18"/>
                <w:szCs w:val="18"/>
                <w:color w:val="auto"/>
              </w:rPr>
              <w:t>International Brotherhood of Electrical Workers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Item ___</w:t>
            </w:r>
          </w:p>
        </w:tc>
        <w:tc>
          <w:tcPr>
            <w:tcW w:w="9080" w:type="dxa"/>
            <w:vAlign w:val="bottom"/>
          </w:tcPr>
          <w:p>
            <w:pPr>
              <w:ind w:left="320"/>
              <w:spacing w:after="0"/>
              <w:rPr>
                <w:sz w:val="20"/>
                <w:szCs w:val="20"/>
                <w:color w:val="auto"/>
              </w:rPr>
            </w:pPr>
            <w:r>
              <w:rPr>
                <w:rFonts w:ascii="Arial" w:cs="Arial" w:eastAsia="Arial" w:hAnsi="Arial"/>
                <w:sz w:val="18"/>
                <w:szCs w:val="18"/>
                <w:color w:val="auto"/>
              </w:rPr>
              <w:t>Item ___ of this Form 10-K</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Kilovolt(s)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kWh</w:t>
            </w:r>
          </w:p>
        </w:tc>
        <w:tc>
          <w:tcPr>
            <w:tcW w:w="9080" w:type="dxa"/>
            <w:vAlign w:val="bottom"/>
          </w:tcPr>
          <w:p>
            <w:pPr>
              <w:ind w:left="320"/>
              <w:spacing w:after="0"/>
              <w:rPr>
                <w:sz w:val="20"/>
                <w:szCs w:val="20"/>
                <w:color w:val="auto"/>
              </w:rPr>
            </w:pPr>
            <w:r>
              <w:rPr>
                <w:rFonts w:ascii="Arial" w:cs="Arial" w:eastAsia="Arial" w:hAnsi="Arial"/>
                <w:sz w:val="18"/>
                <w:szCs w:val="18"/>
                <w:color w:val="auto"/>
              </w:rPr>
              <w:t>Kilowatt-hour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Laskin Energy Center</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LIBOR</w:t>
            </w:r>
          </w:p>
        </w:tc>
        <w:tc>
          <w:tcPr>
            <w:tcW w:w="9080" w:type="dxa"/>
            <w:vAlign w:val="bottom"/>
          </w:tcPr>
          <w:p>
            <w:pPr>
              <w:ind w:left="320"/>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MACT</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Maximum Achievable Control Technology</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Magnetation</w:t>
            </w:r>
          </w:p>
        </w:tc>
        <w:tc>
          <w:tcPr>
            <w:tcW w:w="9080" w:type="dxa"/>
            <w:vAlign w:val="bottom"/>
          </w:tcPr>
          <w:p>
            <w:pPr>
              <w:ind w:left="320"/>
              <w:spacing w:after="0"/>
              <w:rPr>
                <w:sz w:val="20"/>
                <w:szCs w:val="20"/>
                <w:color w:val="auto"/>
              </w:rPr>
            </w:pPr>
            <w:r>
              <w:rPr>
                <w:rFonts w:ascii="Arial" w:cs="Arial" w:eastAsia="Arial" w:hAnsi="Arial"/>
                <w:sz w:val="18"/>
                <w:szCs w:val="18"/>
                <w:color w:val="auto"/>
              </w:rPr>
              <w:t>Magnetation, LLC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MATS</w:t>
            </w:r>
          </w:p>
        </w:tc>
        <w:tc>
          <w:tcPr>
            <w:tcW w:w="9080" w:type="dxa"/>
            <w:vAlign w:val="bottom"/>
          </w:tcPr>
          <w:p>
            <w:pPr>
              <w:ind w:left="320"/>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MBtu</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Million British thermal units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Mesabi Nugget</w:t>
            </w:r>
          </w:p>
        </w:tc>
        <w:tc>
          <w:tcPr>
            <w:tcW w:w="9080" w:type="dxa"/>
            <w:vAlign w:val="bottom"/>
          </w:tcPr>
          <w:p>
            <w:pPr>
              <w:ind w:left="320"/>
              <w:spacing w:after="0"/>
              <w:rPr>
                <w:sz w:val="20"/>
                <w:szCs w:val="20"/>
                <w:color w:val="auto"/>
              </w:rPr>
            </w:pPr>
            <w:r>
              <w:rPr>
                <w:rFonts w:ascii="Arial" w:cs="Arial" w:eastAsia="Arial" w:hAnsi="Arial"/>
                <w:sz w:val="18"/>
                <w:szCs w:val="18"/>
                <w:color w:val="auto"/>
              </w:rPr>
              <w:t>Mesabi Nugget Delaware, LLC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Minnkota Power</w:t>
            </w:r>
          </w:p>
        </w:tc>
        <w:tc>
          <w:tcPr>
            <w:tcW w:w="9080" w:type="dxa"/>
            <w:vAlign w:val="bottom"/>
          </w:tcPr>
          <w:p>
            <w:pPr>
              <w:ind w:left="320"/>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Midcontinent Independent System Operator, Inc.</w:t>
            </w:r>
          </w:p>
        </w:tc>
      </w:tr>
      <w:tr>
        <w:trPr>
          <w:trHeight w:val="445"/>
        </w:trPr>
        <w:tc>
          <w:tcPr>
            <w:tcW w:w="2340" w:type="dxa"/>
            <w:vAlign w:val="bottom"/>
          </w:tcPr>
          <w:p>
            <w:pPr>
              <w:spacing w:after="0"/>
              <w:rPr>
                <w:sz w:val="24"/>
                <w:szCs w:val="24"/>
                <w:color w:val="auto"/>
              </w:rPr>
            </w:pPr>
          </w:p>
        </w:tc>
        <w:tc>
          <w:tcPr>
            <w:tcW w:w="9080" w:type="dxa"/>
            <w:vAlign w:val="bottom"/>
          </w:tcPr>
          <w:p>
            <w:pPr>
              <w:ind w:left="2220"/>
              <w:spacing w:after="0"/>
              <w:rPr>
                <w:sz w:val="20"/>
                <w:szCs w:val="20"/>
                <w:color w:val="auto"/>
              </w:rPr>
            </w:pPr>
            <w:r>
              <w:rPr>
                <w:rFonts w:ascii="Arial" w:cs="Arial" w:eastAsia="Arial" w:hAnsi="Arial"/>
                <w:sz w:val="18"/>
                <w:szCs w:val="18"/>
                <w:color w:val="auto"/>
              </w:rPr>
              <w:t>ALLETE, Inc. 2014 Form 10-K</w:t>
            </w:r>
          </w:p>
        </w:tc>
      </w:tr>
      <w:tr>
        <w:trPr>
          <w:trHeight w:val="230"/>
        </w:trPr>
        <w:tc>
          <w:tcPr>
            <w:tcW w:w="2340" w:type="dxa"/>
            <w:vAlign w:val="bottom"/>
          </w:tcPr>
          <w:p>
            <w:pPr>
              <w:spacing w:after="0"/>
              <w:rPr>
                <w:sz w:val="20"/>
                <w:szCs w:val="20"/>
                <w:color w:val="auto"/>
              </w:rPr>
            </w:pPr>
          </w:p>
        </w:tc>
        <w:tc>
          <w:tcPr>
            <w:tcW w:w="9080" w:type="dxa"/>
            <w:vAlign w:val="bottom"/>
          </w:tcPr>
          <w:p>
            <w:pPr>
              <w:ind w:left="33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9240" w:type="dxa"/>
            <w:vAlign w:val="bottom"/>
          </w:tcPr>
          <w:p>
            <w:pPr>
              <w:jc w:val="center"/>
              <w:ind w:right="2070"/>
              <w:spacing w:after="0"/>
              <w:rPr>
                <w:sz w:val="20"/>
                <w:szCs w:val="20"/>
                <w:color w:val="auto"/>
              </w:rPr>
            </w:pPr>
            <w:r>
              <w:rPr>
                <w:rFonts w:ascii="Arial" w:cs="Arial" w:eastAsia="Arial" w:hAnsi="Arial"/>
                <w:sz w:val="18"/>
                <w:szCs w:val="18"/>
                <w:b w:val="1"/>
                <w:bCs w:val="1"/>
                <w:color w:val="auto"/>
                <w:w w:val="89"/>
              </w:rPr>
              <w:t>Definitions (continued)</w:t>
            </w:r>
          </w:p>
        </w:tc>
      </w:tr>
      <w:tr>
        <w:trPr>
          <w:trHeight w:val="351"/>
        </w:trPr>
        <w:tc>
          <w:tcPr>
            <w:tcW w:w="218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MPCA</w:t>
            </w:r>
          </w:p>
        </w:tc>
        <w:tc>
          <w:tcPr>
            <w:tcW w:w="9240" w:type="dxa"/>
            <w:vAlign w:val="bottom"/>
          </w:tcPr>
          <w:p>
            <w:pPr>
              <w:ind w:left="360"/>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MW / MWh</w:t>
            </w:r>
          </w:p>
        </w:tc>
        <w:tc>
          <w:tcPr>
            <w:tcW w:w="9240" w:type="dxa"/>
            <w:vAlign w:val="bottom"/>
          </w:tcPr>
          <w:p>
            <w:pPr>
              <w:ind w:left="360"/>
              <w:spacing w:after="0"/>
              <w:rPr>
                <w:sz w:val="20"/>
                <w:szCs w:val="20"/>
                <w:color w:val="auto"/>
              </w:rPr>
            </w:pPr>
            <w:r>
              <w:rPr>
                <w:rFonts w:ascii="Arial" w:cs="Arial" w:eastAsia="Arial" w:hAnsi="Arial"/>
                <w:sz w:val="18"/>
                <w:szCs w:val="18"/>
                <w:color w:val="auto"/>
              </w:rPr>
              <w:t>Megawatt(s) / Megawatt-hour(s)</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NDPSC</w:t>
            </w:r>
          </w:p>
        </w:tc>
        <w:tc>
          <w:tcPr>
            <w:tcW w:w="9240" w:type="dxa"/>
            <w:vAlign w:val="bottom"/>
          </w:tcPr>
          <w:p>
            <w:pPr>
              <w:ind w:left="360"/>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NERC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North American Electric Reliability Corporation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NOL</w:t>
            </w:r>
          </w:p>
        </w:tc>
        <w:tc>
          <w:tcPr>
            <w:tcW w:w="9240" w:type="dxa"/>
            <w:vAlign w:val="bottom"/>
          </w:tcPr>
          <w:p>
            <w:pPr>
              <w:ind w:left="360"/>
              <w:spacing w:after="0"/>
              <w:rPr>
                <w:sz w:val="20"/>
                <w:szCs w:val="20"/>
                <w:color w:val="auto"/>
              </w:rPr>
            </w:pPr>
            <w:r>
              <w:rPr>
                <w:rFonts w:ascii="Arial" w:cs="Arial" w:eastAsia="Arial" w:hAnsi="Arial"/>
                <w:sz w:val="18"/>
                <w:szCs w:val="18"/>
                <w:color w:val="auto"/>
              </w:rPr>
              <w:t>Net Operating Loss</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9240" w:type="dxa"/>
            <w:vAlign w:val="bottom"/>
          </w:tcPr>
          <w:p>
            <w:pPr>
              <w:ind w:left="360"/>
              <w:spacing w:after="0"/>
              <w:rPr>
                <w:sz w:val="20"/>
                <w:szCs w:val="20"/>
                <w:color w:val="auto"/>
              </w:rPr>
            </w:pPr>
            <w:r>
              <w:rPr>
                <w:rFonts w:ascii="Arial" w:cs="Arial" w:eastAsia="Arial" w:hAnsi="Arial"/>
                <w:sz w:val="18"/>
                <w:szCs w:val="18"/>
                <w:color w:val="auto"/>
              </w:rPr>
              <w:t>Nitrogen Dioxide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Nitrogen Oxides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Note ___</w:t>
            </w:r>
          </w:p>
        </w:tc>
        <w:tc>
          <w:tcPr>
            <w:tcW w:w="9240" w:type="dxa"/>
            <w:vAlign w:val="bottom"/>
          </w:tcPr>
          <w:p>
            <w:pPr>
              <w:ind w:left="360"/>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NYSE</w:t>
            </w:r>
          </w:p>
        </w:tc>
        <w:tc>
          <w:tcPr>
            <w:tcW w:w="9240" w:type="dxa"/>
            <w:vAlign w:val="bottom"/>
          </w:tcPr>
          <w:p>
            <w:pPr>
              <w:ind w:left="360"/>
              <w:spacing w:after="0"/>
              <w:rPr>
                <w:sz w:val="20"/>
                <w:szCs w:val="20"/>
                <w:color w:val="auto"/>
              </w:rPr>
            </w:pPr>
            <w:r>
              <w:rPr>
                <w:rFonts w:ascii="Arial" w:cs="Arial" w:eastAsia="Arial" w:hAnsi="Arial"/>
                <w:sz w:val="18"/>
                <w:szCs w:val="18"/>
                <w:color w:val="auto"/>
              </w:rPr>
              <w:t>New York Stock Exchange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Oliver Wind I Energy Center</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Oliver Wind II</w:t>
            </w:r>
          </w:p>
        </w:tc>
        <w:tc>
          <w:tcPr>
            <w:tcW w:w="9240" w:type="dxa"/>
            <w:vAlign w:val="bottom"/>
          </w:tcPr>
          <w:p>
            <w:pPr>
              <w:ind w:left="360"/>
              <w:spacing w:after="0"/>
              <w:rPr>
                <w:sz w:val="20"/>
                <w:szCs w:val="20"/>
                <w:color w:val="auto"/>
              </w:rPr>
            </w:pPr>
            <w:r>
              <w:rPr>
                <w:rFonts w:ascii="Arial" w:cs="Arial" w:eastAsia="Arial" w:hAnsi="Arial"/>
                <w:sz w:val="18"/>
                <w:szCs w:val="18"/>
                <w:color w:val="auto"/>
              </w:rPr>
              <w:t>Oliver Wind II Energy Center</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Palm Coast Park</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Palm Coast Park development project in Florida</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Palm Coast Park District</w:t>
            </w:r>
          </w:p>
        </w:tc>
        <w:tc>
          <w:tcPr>
            <w:tcW w:w="9240" w:type="dxa"/>
            <w:vAlign w:val="bottom"/>
          </w:tcPr>
          <w:p>
            <w:pPr>
              <w:ind w:left="360"/>
              <w:spacing w:after="0"/>
              <w:rPr>
                <w:sz w:val="20"/>
                <w:szCs w:val="20"/>
                <w:color w:val="auto"/>
              </w:rPr>
            </w:pPr>
            <w:r>
              <w:rPr>
                <w:rFonts w:ascii="Arial" w:cs="Arial" w:eastAsia="Arial" w:hAnsi="Arial"/>
                <w:sz w:val="18"/>
                <w:szCs w:val="18"/>
                <w:color w:val="auto"/>
              </w:rPr>
              <w:t>Palm Coast Park Community Development District</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PolyMet Mining Corporation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PPA</w:t>
            </w:r>
          </w:p>
        </w:tc>
        <w:tc>
          <w:tcPr>
            <w:tcW w:w="9240" w:type="dxa"/>
            <w:vAlign w:val="bottom"/>
          </w:tcPr>
          <w:p>
            <w:pPr>
              <w:ind w:left="360"/>
              <w:spacing w:after="0"/>
              <w:rPr>
                <w:sz w:val="20"/>
                <w:szCs w:val="20"/>
                <w:color w:val="auto"/>
              </w:rPr>
            </w:pPr>
            <w:r>
              <w:rPr>
                <w:rFonts w:ascii="Arial" w:cs="Arial" w:eastAsia="Arial" w:hAnsi="Arial"/>
                <w:sz w:val="18"/>
                <w:szCs w:val="18"/>
                <w:color w:val="auto"/>
              </w:rPr>
              <w:t>Power Purchase Agreement</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PSCW</w:t>
            </w:r>
          </w:p>
        </w:tc>
        <w:tc>
          <w:tcPr>
            <w:tcW w:w="9240" w:type="dxa"/>
            <w:vAlign w:val="bottom"/>
          </w:tcPr>
          <w:p>
            <w:pPr>
              <w:ind w:left="360"/>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RSOP</w:t>
            </w:r>
          </w:p>
        </w:tc>
        <w:tc>
          <w:tcPr>
            <w:tcW w:w="9240" w:type="dxa"/>
            <w:vAlign w:val="bottom"/>
          </w:tcPr>
          <w:p>
            <w:pPr>
              <w:ind w:left="360"/>
              <w:spacing w:after="0"/>
              <w:rPr>
                <w:sz w:val="20"/>
                <w:szCs w:val="20"/>
                <w:color w:val="auto"/>
              </w:rPr>
            </w:pPr>
            <w:r>
              <w:rPr>
                <w:rFonts w:ascii="Arial" w:cs="Arial" w:eastAsia="Arial" w:hAnsi="Arial"/>
                <w:sz w:val="18"/>
                <w:szCs w:val="18"/>
                <w:color w:val="auto"/>
              </w:rPr>
              <w:t>Retirement Savings and Stock Ownership Plan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SIP</w:t>
            </w:r>
          </w:p>
        </w:tc>
        <w:tc>
          <w:tcPr>
            <w:tcW w:w="9240" w:type="dxa"/>
            <w:vAlign w:val="bottom"/>
          </w:tcPr>
          <w:p>
            <w:pPr>
              <w:ind w:left="360"/>
              <w:spacing w:after="0"/>
              <w:rPr>
                <w:sz w:val="20"/>
                <w:szCs w:val="20"/>
                <w:color w:val="auto"/>
              </w:rPr>
            </w:pPr>
            <w:r>
              <w:rPr>
                <w:rFonts w:ascii="Arial" w:cs="Arial" w:eastAsia="Arial" w:hAnsi="Arial"/>
                <w:sz w:val="18"/>
                <w:szCs w:val="18"/>
                <w:color w:val="auto"/>
              </w:rPr>
              <w:t>State Implementation Plan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Sulfur Dioxide</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Square Butte</w:t>
            </w:r>
          </w:p>
        </w:tc>
        <w:tc>
          <w:tcPr>
            <w:tcW w:w="9240" w:type="dxa"/>
            <w:vAlign w:val="bottom"/>
          </w:tcPr>
          <w:p>
            <w:pPr>
              <w:ind w:left="360"/>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Standard &amp; Poor’s Ratings Services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SWL&amp;P</w:t>
            </w:r>
          </w:p>
        </w:tc>
        <w:tc>
          <w:tcPr>
            <w:tcW w:w="9240" w:type="dxa"/>
            <w:vAlign w:val="bottom"/>
          </w:tcPr>
          <w:p>
            <w:pPr>
              <w:ind w:left="360"/>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Taconite Ridge</w:t>
            </w:r>
          </w:p>
        </w:tc>
        <w:tc>
          <w:tcPr>
            <w:tcW w:w="9240" w:type="dxa"/>
            <w:vAlign w:val="bottom"/>
          </w:tcPr>
          <w:p>
            <w:pPr>
              <w:ind w:left="360"/>
              <w:spacing w:after="0"/>
              <w:rPr>
                <w:sz w:val="20"/>
                <w:szCs w:val="20"/>
                <w:color w:val="auto"/>
              </w:rPr>
            </w:pPr>
            <w:r>
              <w:rPr>
                <w:rFonts w:ascii="Arial" w:cs="Arial" w:eastAsia="Arial" w:hAnsi="Arial"/>
                <w:sz w:val="18"/>
                <w:szCs w:val="18"/>
                <w:color w:val="auto"/>
              </w:rPr>
              <w:t>Taconite Ridge Energy Center</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Thomson</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Thomson Energy Center</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Town Center</w:t>
            </w:r>
          </w:p>
        </w:tc>
        <w:tc>
          <w:tcPr>
            <w:tcW w:w="9240" w:type="dxa"/>
            <w:vAlign w:val="bottom"/>
          </w:tcPr>
          <w:p>
            <w:pPr>
              <w:ind w:left="36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U.S.</w:t>
            </w:r>
          </w:p>
        </w:tc>
        <w:tc>
          <w:tcPr>
            <w:tcW w:w="92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Water Services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Water Services, Inc.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9240" w:type="dxa"/>
            <w:vAlign w:val="bottom"/>
          </w:tcPr>
          <w:p>
            <w:pPr>
              <w:ind w:left="360"/>
              <w:spacing w:after="0"/>
              <w:rPr>
                <w:sz w:val="20"/>
                <w:szCs w:val="20"/>
                <w:color w:val="auto"/>
              </w:rPr>
            </w:pPr>
            <w:r>
              <w:rPr>
                <w:rFonts w:ascii="Arial" w:cs="Arial" w:eastAsia="Arial" w:hAnsi="Arial"/>
                <w:sz w:val="18"/>
                <w:szCs w:val="18"/>
                <w:color w:val="auto"/>
              </w:rPr>
              <w:t>United States Steel Corporation</w:t>
            </w:r>
          </w:p>
        </w:tc>
      </w:tr>
      <w:tr>
        <w:trPr>
          <w:trHeight w:val="472"/>
        </w:trPr>
        <w:tc>
          <w:tcPr>
            <w:tcW w:w="2180" w:type="dxa"/>
            <w:vAlign w:val="bottom"/>
          </w:tcPr>
          <w:p>
            <w:pPr>
              <w:spacing w:after="0"/>
              <w:rPr>
                <w:sz w:val="24"/>
                <w:szCs w:val="24"/>
                <w:color w:val="auto"/>
              </w:rPr>
            </w:pPr>
          </w:p>
        </w:tc>
        <w:tc>
          <w:tcPr>
            <w:tcW w:w="9240" w:type="dxa"/>
            <w:vAlign w:val="bottom"/>
          </w:tcPr>
          <w:p>
            <w:pPr>
              <w:jc w:val="center"/>
              <w:ind w:right="2090"/>
              <w:spacing w:after="0"/>
              <w:rPr>
                <w:sz w:val="20"/>
                <w:szCs w:val="20"/>
                <w:color w:val="auto"/>
              </w:rPr>
            </w:pPr>
            <w:r>
              <w:rPr>
                <w:rFonts w:ascii="Arial" w:cs="Arial" w:eastAsia="Arial" w:hAnsi="Arial"/>
                <w:sz w:val="18"/>
                <w:szCs w:val="18"/>
                <w:color w:val="auto"/>
                <w:w w:val="95"/>
              </w:rPr>
              <w:t>ALLETE, Inc. 2014 Form 10-K</w:t>
            </w:r>
          </w:p>
        </w:tc>
      </w:tr>
      <w:tr>
        <w:trPr>
          <w:trHeight w:val="230"/>
        </w:trPr>
        <w:tc>
          <w:tcPr>
            <w:tcW w:w="2180" w:type="dxa"/>
            <w:vAlign w:val="bottom"/>
          </w:tcPr>
          <w:p>
            <w:pPr>
              <w:spacing w:after="0"/>
              <w:rPr>
                <w:sz w:val="20"/>
                <w:szCs w:val="20"/>
                <w:color w:val="auto"/>
              </w:rPr>
            </w:pPr>
          </w:p>
        </w:tc>
        <w:tc>
          <w:tcPr>
            <w:tcW w:w="9240" w:type="dxa"/>
            <w:vAlign w:val="bottom"/>
          </w:tcPr>
          <w:p>
            <w:pPr>
              <w:jc w:val="center"/>
              <w:ind w:right="2090"/>
              <w:spacing w:after="0"/>
              <w:rPr>
                <w:sz w:val="20"/>
                <w:szCs w:val="20"/>
                <w:color w:val="auto"/>
              </w:rPr>
            </w:pPr>
            <w:r>
              <w:rPr>
                <w:rFonts w:ascii="Arial" w:cs="Arial" w:eastAsia="Arial" w:hAnsi="Arial"/>
                <w:sz w:val="18"/>
                <w:szCs w:val="18"/>
                <w:color w:val="auto"/>
                <w:w w:val="99"/>
              </w:rPr>
              <w:t>5</w:t>
            </w:r>
          </w:p>
        </w:tc>
      </w:tr>
    </w:tbl>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recover these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population growth rates and demographic patterns;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Item 1A under the heading “Risk Factors” beginning on page 29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identify the risks and uncertainties that may affect our business.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144,000 retail customers. Minnesota Power also has 16 non-affiliated municipal customers in Minnesota. SWL&amp;P is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our Energy Infrastructure and Related Services businesses; ALLETE Clean Energy, our business which</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four wind energy facilities in 2014 and is developing a wind facility to be sold in 2015, and BNI Coal, our coal mining operations in North Dakota. Investments and Other also includes ALLETE Properties, our Florida real estate investment, and other business development and corporate expenditures, unallocated interest expense, a small amount of non-rate base generation, approximately 5,000 acres of land in Minnesota, and earnings on cash and investments. Our Energy Infrastructure and Related Services businesses will also include U.S. Water Services, which we acquired in February 2015. (See Outlook – Investments and Other.)</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2014, unless otherwise indicated. All subsidiaries are wholly-owned unless otherwise specifically indicated. References in this report to “we,” “us” and “our” are to ALLETE and its subsidiaries, collectively.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532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Consolidated Operating Revenue – Millions</w:t>
            </w:r>
          </w:p>
        </w:tc>
        <w:tc>
          <w:tcPr>
            <w:tcW w:w="3080" w:type="dxa"/>
            <w:vAlign w:val="bottom"/>
          </w:tcPr>
          <w:p>
            <w:pPr>
              <w:jc w:val="right"/>
              <w:ind w:right="490"/>
              <w:spacing w:after="0"/>
              <w:rPr>
                <w:sz w:val="20"/>
                <w:szCs w:val="20"/>
                <w:color w:val="auto"/>
              </w:rPr>
            </w:pPr>
            <w:r>
              <w:rPr>
                <w:rFonts w:ascii="Arial" w:cs="Arial" w:eastAsia="Arial" w:hAnsi="Arial"/>
                <w:sz w:val="18"/>
                <w:szCs w:val="18"/>
                <w:color w:val="auto"/>
              </w:rPr>
              <w:t>$1,136.8</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$1,018.4</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$961.2</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532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Percentage of Consolidated Operating Revenue</w:t>
            </w:r>
          </w:p>
        </w:tc>
        <w:tc>
          <w:tcPr>
            <w:tcW w:w="30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88%</w:t>
            </w:r>
          </w:p>
        </w:tc>
        <w:tc>
          <w:tcPr>
            <w:tcW w:w="1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91%</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Investments and Other</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0"/>
        </w:trPr>
        <w:tc>
          <w:tcPr>
            <w:tcW w:w="532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2. Business Segments.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Sales / Customers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Regulated Utility Electric Sales</w:t>
            </w: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Millions of Kilowatt-hours</w:t>
            </w: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Municipal</w:t>
            </w:r>
          </w:p>
        </w:tc>
        <w:tc>
          <w:tcPr>
            <w:tcW w:w="18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1,204</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9</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1,177</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1,132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1,468</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1,455</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1,436</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7,487</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54</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7,338</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55</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7,502</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57</w:t>
            </w:r>
          </w:p>
        </w:tc>
      </w:tr>
      <w:tr>
        <w:trPr>
          <w:trHeight w:val="27"/>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864</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999</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1,020</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Retail and Municipal</w:t>
            </w:r>
          </w:p>
        </w:tc>
        <w:tc>
          <w:tcPr>
            <w:tcW w:w="1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11,023</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79</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10,969</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83</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11,090</w:t>
            </w: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85</w:t>
            </w:r>
          </w:p>
        </w:tc>
      </w:tr>
      <w:tr>
        <w:trPr>
          <w:trHeight w:val="27"/>
        </w:trPr>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Power Suppliers</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2,904</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2,278</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1,999</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r>
      <w:tr>
        <w:trPr>
          <w:trHeight w:val="237"/>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Regulated Utility Electric Sales</w:t>
            </w:r>
          </w:p>
        </w:tc>
        <w:tc>
          <w:tcPr>
            <w:tcW w:w="1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13,927</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13,247</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13,089</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2014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2014, our industrial customers represented 54 percent of total Regulated Utility kilowatt-hour sales. Our industrial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in the taconite mining, iron concentrate, paper, pulp and secondary wood products, and pipeline industries.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Industrial Customer Electric Sales</w:t>
            </w: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r>
      <w:tr>
        <w:trPr>
          <w:trHeight w:val="27"/>
        </w:trPr>
        <w:tc>
          <w:tcPr>
            <w:tcW w:w="4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Millions of Kilowatt-hours</w:t>
            </w: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Taconite/Iron Concentrate</w:t>
            </w:r>
          </w:p>
        </w:tc>
        <w:tc>
          <w:tcPr>
            <w:tcW w:w="18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4,880</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65</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4,851</w:t>
            </w:r>
          </w:p>
        </w:tc>
        <w:tc>
          <w:tcPr>
            <w:tcW w:w="1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66</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4,968</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Paper, Pulp and Secondary Wood Products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1,499</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1,505</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1,571</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
        </w:trPr>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Pipelines and Other Industrial</w:t>
            </w:r>
          </w:p>
        </w:tc>
        <w:tc>
          <w:tcPr>
            <w:tcW w:w="18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1,108</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982</w:t>
            </w:r>
          </w:p>
        </w:tc>
        <w:tc>
          <w:tcPr>
            <w:tcW w:w="1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963</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37"/>
        </w:trPr>
        <w:tc>
          <w:tcPr>
            <w:tcW w:w="4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Industrial Customer Electric Sales</w:t>
            </w:r>
          </w:p>
        </w:tc>
        <w:tc>
          <w:tcPr>
            <w:tcW w:w="18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7,487</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7,338</w:t>
            </w:r>
          </w:p>
        </w:tc>
        <w:tc>
          <w:tcPr>
            <w:tcW w:w="10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7,502</w:t>
            </w: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r>
      <w:tr>
        <w:trPr>
          <w:trHeight w:val="27"/>
        </w:trPr>
        <w:tc>
          <w:tcPr>
            <w:tcW w:w="4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Seven Minnesota Power taconite and iron concentrate customers produce approximately 77 percent of the iron ore produced in the U.S. according to the U.S. Geological Survey’s 2012 Minerals Yearbook published in September 2014. Sales to taconite customers and iron concentrate customers represented 4,880 million kilowatt-hours, or 65 percent, of our total industrial sales in 2014. Taconite, an iron-bearing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Five of Minnesota Power’s taconite customers have the capability to produce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 Also, two of Minnesota Power’s iron concentrate customers have the capability to produce up to approximately 2 million metric tons of iron concentrate per year. Iron concentrate is used in the production of taconite pellets.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2014, the domestic steel industry’s production levels enabled Minnesota taconite producers to operate at, or near, full capacity for the entire year. According to the American Iron and Steel Institute (AISI), an association of North American steel producers, U.S. raw steel production operated at approximately 77 percent of capacity in 2014 (77 percent in 2013 and 75 percent in 2012).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past four years, annual taconite production in Minnesota has remained strong at, or near, full production. 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203200</wp:posOffset>
            </wp:positionV>
            <wp:extent cx="4253865" cy="2418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53865" cy="2418080"/>
                    </a:xfrm>
                    <a:prstGeom prst="rect">
                      <a:avLst/>
                    </a:prstGeom>
                    <a:noFill/>
                  </pic:spPr>
                </pic:pic>
              </a:graphicData>
            </a:graphic>
          </wp:anchor>
        </w:drawing>
      </w:r>
    </w:p>
    <w:p>
      <w:pPr>
        <w:spacing w:after="0" w:line="309" w:lineRule="exact"/>
        <w:rPr>
          <w:sz w:val="20"/>
          <w:szCs w:val="20"/>
          <w:color w:val="auto"/>
        </w:rPr>
      </w:pPr>
    </w:p>
    <w:tbl>
      <w:tblPr>
        <w:tblLayout w:type="fixed"/>
        <w:tblInd w:w="2380" w:type="dxa"/>
        <w:tblCellMar>
          <w:top w:w="0" w:type="dxa"/>
          <w:left w:w="0" w:type="dxa"/>
          <w:bottom w:w="0" w:type="dxa"/>
          <w:right w:w="0" w:type="dxa"/>
        </w:tblCellMar>
      </w:tblPr>
      <w:tr>
        <w:trPr>
          <w:trHeight w:val="207"/>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Minnesota Power Taconite Customer Production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1"/>
        </w:trPr>
        <w:tc>
          <w:tcPr>
            <w:tcW w:w="1440" w:type="dxa"/>
            <w:vAlign w:val="bottom"/>
          </w:tcPr>
          <w:p>
            <w:pPr>
              <w:ind w:left="960"/>
              <w:spacing w:after="0"/>
              <w:rPr>
                <w:sz w:val="20"/>
                <w:szCs w:val="20"/>
                <w:color w:val="auto"/>
              </w:rPr>
            </w:pPr>
            <w:r>
              <w:rPr>
                <w:rFonts w:ascii="Arial" w:cs="Arial" w:eastAsia="Arial" w:hAnsi="Arial"/>
                <w:sz w:val="18"/>
                <w:szCs w:val="18"/>
                <w:b w:val="1"/>
                <w:bCs w:val="1"/>
                <w:color w:val="auto"/>
              </w:rPr>
              <w:t>Year</w:t>
            </w:r>
          </w:p>
        </w:tc>
        <w:tc>
          <w:tcPr>
            <w:tcW w:w="20" w:type="dxa"/>
            <w:vAlign w:val="bottom"/>
          </w:tcPr>
          <w:p>
            <w:pPr>
              <w:spacing w:after="0"/>
              <w:rPr>
                <w:sz w:val="24"/>
                <w:szCs w:val="24"/>
                <w:color w:val="auto"/>
              </w:rPr>
            </w:pPr>
          </w:p>
        </w:tc>
        <w:tc>
          <w:tcPr>
            <w:tcW w:w="522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1"/>
              </w:rPr>
              <w:t>Tons (Millions)</w:t>
            </w:r>
          </w:p>
        </w:tc>
        <w:tc>
          <w:tcPr>
            <w:tcW w:w="20" w:type="dxa"/>
            <w:vAlign w:val="bottom"/>
          </w:tcPr>
          <w:p>
            <w:pPr>
              <w:spacing w:after="0"/>
              <w:rPr>
                <w:sz w:val="24"/>
                <w:szCs w:val="24"/>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4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93"/>
              </w:rPr>
              <w:t>2014*</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2013</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37</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2012</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2011</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2010</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2009</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2008</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2007</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2006</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2005</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21"/>
                <w:szCs w:val="21"/>
                <w:color w:val="auto"/>
              </w:rPr>
            </w:pPr>
          </w:p>
        </w:tc>
      </w:tr>
    </w:tbl>
    <w:p>
      <w:pPr>
        <w:spacing w:after="0" w:line="58" w:lineRule="exact"/>
        <w:rPr>
          <w:sz w:val="20"/>
          <w:szCs w:val="20"/>
          <w:color w:val="auto"/>
        </w:rPr>
      </w:pPr>
    </w:p>
    <w:p>
      <w:pPr>
        <w:ind w:left="2420"/>
        <w:spacing w:after="0"/>
        <w:rPr>
          <w:sz w:val="20"/>
          <w:szCs w:val="20"/>
          <w:color w:val="auto"/>
        </w:rPr>
      </w:pPr>
      <w:r>
        <w:rPr>
          <w:rFonts w:ascii="Arial" w:cs="Arial" w:eastAsia="Arial" w:hAnsi="Arial"/>
          <w:sz w:val="16"/>
          <w:szCs w:val="16"/>
          <w:i w:val="1"/>
          <w:iCs w:val="1"/>
          <w:color w:val="auto"/>
        </w:rPr>
        <w:t>Source: Minnesota Department of Revenue 2014 Mining Tax Guide for years 2005 - 2013.</w:t>
      </w:r>
    </w:p>
    <w:p>
      <w:pPr>
        <w:spacing w:after="0" w:line="73" w:lineRule="exact"/>
        <w:rPr>
          <w:sz w:val="20"/>
          <w:szCs w:val="20"/>
          <w:color w:val="auto"/>
        </w:rPr>
      </w:pPr>
    </w:p>
    <w:p>
      <w:pPr>
        <w:ind w:left="2420"/>
        <w:spacing w:after="0"/>
        <w:rPr>
          <w:sz w:val="20"/>
          <w:szCs w:val="20"/>
          <w:color w:val="auto"/>
        </w:rPr>
      </w:pPr>
      <w:r>
        <w:rPr>
          <w:rFonts w:ascii="Arial" w:cs="Arial" w:eastAsia="Arial" w:hAnsi="Arial"/>
          <w:sz w:val="16"/>
          <w:szCs w:val="16"/>
          <w:i w:val="1"/>
          <w:iCs w:val="1"/>
          <w:color w:val="auto"/>
        </w:rPr>
        <w:t>* Preliminary data from the Minnesota Department of Revenue.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serving the taconite industry, Minnesota Power also serves a number of customers in the paper, pulp and secondary wood products industry, which represented 1,499 million kilowatt-hours, or 20 percent, of our total industrial sales in 2014. Three of the four major paper mills we serve reported operating at, or near, full capacity in 2014. In October 2013, Boise, Inc. (Boise) permanently shut down two paper machines representing approximately 20 percent of its paper making capacity. Boise’s reduction in paper making capacity did not have a material impact on the Company’s consolidated financial position, results of operations, or cash flows. On September 12, 2014, Boise provided the required one-year written notice of its intent to install additional generation at its International Falls, Minnesota, mill in late 2015. Boise’s reduction in demand is not expected to have a material impact on the Company’s consolidated financial position, results of operations, or cash flows.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has 10 Large Power Customer contracts, each serving requirements of 10 MW or more of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load. The customers consist of five taconite producing facilities (two of which are owned by one company and are served under a single contract), one iron nugget plant, one concentrate reclamation facility, and four paper and pulp mills.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term of the agreement. In addition to the demand charge, each Large Power Customer is billed an energy charge for each kilowatt-hour used that recovers the variable costs incurred in generating electricity. Three of the Large Power Customers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contracts with Large Power Customers continue past the contract termination date unless the required advance notice of cancellation has been given. The required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Item 1. Business – Regulated Operations – Regulatory Matters – Electric Rates.)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as permitted by the MPUC, requires its taconite-producing Large Power Customers to pay weekly for electric usage based on monthly energy usage estimates. These customers receive estimated bills based on Minnesota Power’s estimate of the customer’s energy usage, forecasted energy prices, and fuel clause adjustment estimates. Minnesota Power’s four taconite-producing Large Power Customers have generally predictable energy usage on a week-to-week basis, and any differences that occur are trued-up the following month.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February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80" w:type="dxa"/>
            <w:vAlign w:val="bottom"/>
          </w:tcPr>
          <w:p>
            <w:pPr>
              <w:jc w:val="right"/>
              <w:ind w:right="570"/>
              <w:spacing w:after="0"/>
              <w:rPr>
                <w:sz w:val="20"/>
                <w:szCs w:val="20"/>
                <w:color w:val="auto"/>
              </w:rPr>
            </w:pPr>
            <w:r>
              <w:rPr>
                <w:rFonts w:ascii="Arial" w:cs="Arial" w:eastAsia="Arial" w:hAnsi="Arial"/>
                <w:sz w:val="18"/>
                <w:szCs w:val="18"/>
                <w:b w:val="1"/>
                <w:bCs w:val="1"/>
                <w:color w:val="auto"/>
              </w:rPr>
              <w:t>Earliest</w:t>
            </w:r>
          </w:p>
        </w:tc>
      </w:tr>
      <w:tr>
        <w:trPr>
          <w:trHeight w:val="234"/>
        </w:trPr>
        <w:tc>
          <w:tcPr>
            <w:tcW w:w="2380" w:type="dxa"/>
            <w:vAlign w:val="bottom"/>
          </w:tcPr>
          <w:p>
            <w:pPr>
              <w:ind w:left="40"/>
              <w:spacing w:after="0"/>
              <w:rPr>
                <w:sz w:val="20"/>
                <w:szCs w:val="20"/>
                <w:color w:val="auto"/>
              </w:rPr>
            </w:pPr>
            <w:r>
              <w:rPr>
                <w:rFonts w:ascii="Arial" w:cs="Arial" w:eastAsia="Arial" w:hAnsi="Arial"/>
                <w:sz w:val="18"/>
                <w:szCs w:val="18"/>
                <w:b w:val="1"/>
                <w:bCs w:val="1"/>
                <w:color w:val="auto"/>
              </w:rPr>
              <w:t>Customer</w:t>
            </w:r>
          </w:p>
        </w:tc>
        <w:tc>
          <w:tcPr>
            <w:tcW w:w="1360" w:type="dxa"/>
            <w:vAlign w:val="bottom"/>
          </w:tcPr>
          <w:p>
            <w:pPr>
              <w:ind w:left="60"/>
              <w:spacing w:after="0"/>
              <w:rPr>
                <w:sz w:val="20"/>
                <w:szCs w:val="20"/>
                <w:color w:val="auto"/>
              </w:rPr>
            </w:pPr>
            <w:r>
              <w:rPr>
                <w:rFonts w:ascii="Arial" w:cs="Arial" w:eastAsia="Arial" w:hAnsi="Arial"/>
                <w:sz w:val="18"/>
                <w:szCs w:val="18"/>
                <w:b w:val="1"/>
                <w:bCs w:val="1"/>
                <w:color w:val="auto"/>
              </w:rPr>
              <w:t>Industry</w:t>
            </w:r>
          </w:p>
        </w:tc>
        <w:tc>
          <w:tcPr>
            <w:tcW w:w="2240" w:type="dxa"/>
            <w:vAlign w:val="bottom"/>
          </w:tcPr>
          <w:p>
            <w:pPr>
              <w:ind w:left="80"/>
              <w:spacing w:after="0"/>
              <w:rPr>
                <w:sz w:val="20"/>
                <w:szCs w:val="20"/>
                <w:color w:val="auto"/>
              </w:rPr>
            </w:pPr>
            <w:r>
              <w:rPr>
                <w:rFonts w:ascii="Arial" w:cs="Arial" w:eastAsia="Arial" w:hAnsi="Arial"/>
                <w:sz w:val="18"/>
                <w:szCs w:val="18"/>
                <w:b w:val="1"/>
                <w:bCs w:val="1"/>
                <w:color w:val="auto"/>
              </w:rPr>
              <w:t>Location</w:t>
            </w:r>
          </w:p>
        </w:tc>
        <w:tc>
          <w:tcPr>
            <w:tcW w:w="3260" w:type="dxa"/>
            <w:vAlign w:val="bottom"/>
            <w:gridSpan w:val="2"/>
          </w:tcPr>
          <w:p>
            <w:pPr>
              <w:ind w:left="120"/>
              <w:spacing w:after="0"/>
              <w:rPr>
                <w:sz w:val="20"/>
                <w:szCs w:val="20"/>
                <w:color w:val="auto"/>
              </w:rPr>
            </w:pPr>
            <w:r>
              <w:rPr>
                <w:rFonts w:ascii="Arial" w:cs="Arial" w:eastAsia="Arial" w:hAnsi="Arial"/>
                <w:sz w:val="18"/>
                <w:szCs w:val="18"/>
                <w:b w:val="1"/>
                <w:bCs w:val="1"/>
                <w:color w:val="auto"/>
              </w:rPr>
              <w:t>Ownership</w:t>
            </w:r>
          </w:p>
        </w:tc>
        <w:tc>
          <w:tcPr>
            <w:tcW w:w="2180" w:type="dxa"/>
            <w:vAlign w:val="bottom"/>
          </w:tcPr>
          <w:p>
            <w:pPr>
              <w:jc w:val="right"/>
              <w:ind w:right="190"/>
              <w:spacing w:after="0"/>
              <w:rPr>
                <w:sz w:val="20"/>
                <w:szCs w:val="20"/>
                <w:color w:val="auto"/>
              </w:rPr>
            </w:pPr>
            <w:r>
              <w:rPr>
                <w:rFonts w:ascii="Arial" w:cs="Arial" w:eastAsia="Arial" w:hAnsi="Arial"/>
                <w:sz w:val="18"/>
                <w:szCs w:val="18"/>
                <w:b w:val="1"/>
                <w:bCs w:val="1"/>
                <w:color w:val="auto"/>
              </w:rPr>
              <w:t>Termination Date</w:t>
            </w:r>
          </w:p>
        </w:tc>
      </w:tr>
      <w:tr>
        <w:trPr>
          <w:trHeight w:val="27"/>
        </w:trPr>
        <w:tc>
          <w:tcPr>
            <w:tcW w:w="2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2"/>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2"/>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ArcelorMittal USA, Inc. –</w:t>
            </w:r>
          </w:p>
        </w:tc>
        <w:tc>
          <w:tcPr>
            <w:tcW w:w="1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ArcelorMittal S.A.</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2019</w:t>
            </w: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Minorca Mine </w:t>
            </w:r>
            <w:r>
              <w:rPr>
                <w:rFonts w:ascii="Arial" w:cs="Arial" w:eastAsia="Arial" w:hAnsi="Arial"/>
                <w:sz w:val="18"/>
                <w:szCs w:val="18"/>
                <w:i w:val="1"/>
                <w:iCs w:val="1"/>
                <w:color w:val="auto"/>
              </w:rPr>
              <w:t>(a)</w:t>
            </w:r>
          </w:p>
        </w:tc>
        <w:tc>
          <w:tcPr>
            <w:tcW w:w="136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 xml:space="preserve">Hibbing Taconite Co. </w:t>
            </w:r>
            <w:r>
              <w:rPr>
                <w:rFonts w:ascii="Arial" w:cs="Arial" w:eastAsia="Arial" w:hAnsi="Arial"/>
                <w:sz w:val="18"/>
                <w:szCs w:val="18"/>
                <w:i w:val="1"/>
                <w:iCs w:val="1"/>
                <w:color w:val="auto"/>
              </w:rPr>
              <w:t>(a)</w:t>
            </w:r>
          </w:p>
        </w:tc>
        <w:tc>
          <w:tcPr>
            <w:tcW w:w="1360" w:type="dxa"/>
            <w:vAlign w:val="bottom"/>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Pr>
          <w:p>
            <w:pPr>
              <w:ind w:left="80"/>
              <w:spacing w:after="0"/>
              <w:rPr>
                <w:sz w:val="20"/>
                <w:szCs w:val="20"/>
                <w:color w:val="auto"/>
              </w:rPr>
            </w:pPr>
            <w:r>
              <w:rPr>
                <w:rFonts w:ascii="Arial" w:cs="Arial" w:eastAsia="Arial" w:hAnsi="Arial"/>
                <w:sz w:val="18"/>
                <w:szCs w:val="18"/>
                <w:color w:val="auto"/>
              </w:rPr>
              <w:t>Hibbing, MN</w:t>
            </w:r>
          </w:p>
        </w:tc>
        <w:tc>
          <w:tcPr>
            <w:tcW w:w="600" w:type="dxa"/>
            <w:vAlign w:val="bottom"/>
          </w:tcPr>
          <w:p>
            <w:pPr>
              <w:ind w:left="120"/>
              <w:spacing w:after="0"/>
              <w:rPr>
                <w:sz w:val="20"/>
                <w:szCs w:val="20"/>
                <w:color w:val="auto"/>
              </w:rPr>
            </w:pPr>
            <w:r>
              <w:rPr>
                <w:rFonts w:ascii="Arial" w:cs="Arial" w:eastAsia="Arial" w:hAnsi="Arial"/>
                <w:sz w:val="18"/>
                <w:szCs w:val="18"/>
                <w:color w:val="auto"/>
                <w:w w:val="90"/>
              </w:rPr>
              <w:t>62.3%</w:t>
            </w:r>
          </w:p>
        </w:tc>
        <w:tc>
          <w:tcPr>
            <w:tcW w:w="2660" w:type="dxa"/>
            <w:vAlign w:val="bottom"/>
          </w:tcPr>
          <w:p>
            <w:pPr>
              <w:ind w:left="20"/>
              <w:spacing w:after="0"/>
              <w:rPr>
                <w:sz w:val="20"/>
                <w:szCs w:val="20"/>
                <w:color w:val="auto"/>
              </w:rPr>
            </w:pPr>
            <w:r>
              <w:rPr>
                <w:rFonts w:ascii="Arial" w:cs="Arial" w:eastAsia="Arial" w:hAnsi="Arial"/>
                <w:sz w:val="18"/>
                <w:szCs w:val="18"/>
                <w:color w:val="auto"/>
              </w:rPr>
              <w:t>ArcelorMittal S.A.</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2019</w:t>
            </w:r>
          </w:p>
        </w:tc>
      </w:tr>
      <w:tr>
        <w:trPr>
          <w:trHeight w:val="216"/>
        </w:trPr>
        <w:tc>
          <w:tcPr>
            <w:tcW w:w="2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90"/>
              </w:rPr>
              <w:t>23.0%</w:t>
            </w:r>
          </w:p>
        </w:tc>
        <w:tc>
          <w:tcPr>
            <w:tcW w:w="2660" w:type="dxa"/>
            <w:vAlign w:val="bottom"/>
          </w:tcPr>
          <w:p>
            <w:pPr>
              <w:ind w:left="20"/>
              <w:spacing w:after="0"/>
              <w:rPr>
                <w:sz w:val="20"/>
                <w:szCs w:val="20"/>
                <w:color w:val="auto"/>
              </w:rPr>
            </w:pPr>
            <w:r>
              <w:rPr>
                <w:rFonts w:ascii="Arial" w:cs="Arial" w:eastAsia="Arial" w:hAnsi="Arial"/>
                <w:sz w:val="18"/>
                <w:szCs w:val="18"/>
                <w:color w:val="auto"/>
              </w:rPr>
              <w:t>Cliffs Natural Resources Inc.</w:t>
            </w:r>
          </w:p>
        </w:tc>
        <w:tc>
          <w:tcPr>
            <w:tcW w:w="218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90"/>
              </w:rPr>
              <w:t>14.7%</w:t>
            </w:r>
          </w:p>
        </w:tc>
        <w:tc>
          <w:tcPr>
            <w:tcW w:w="2660" w:type="dxa"/>
            <w:vAlign w:val="bottom"/>
          </w:tcPr>
          <w:p>
            <w:pPr>
              <w:ind w:left="20"/>
              <w:spacing w:after="0"/>
              <w:rPr>
                <w:sz w:val="20"/>
                <w:szCs w:val="20"/>
                <w:color w:val="auto"/>
              </w:rPr>
            </w:pPr>
            <w:r>
              <w:rPr>
                <w:rFonts w:ascii="Arial" w:cs="Arial" w:eastAsia="Arial" w:hAnsi="Arial"/>
                <w:sz w:val="18"/>
                <w:szCs w:val="18"/>
                <w:color w:val="auto"/>
              </w:rPr>
              <w:t>USS Corporation</w:t>
            </w:r>
          </w:p>
        </w:tc>
        <w:tc>
          <w:tcPr>
            <w:tcW w:w="218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United Taconite LLC </w:t>
            </w:r>
            <w:r>
              <w:rPr>
                <w:rFonts w:ascii="Arial" w:cs="Arial" w:eastAsia="Arial" w:hAnsi="Arial"/>
                <w:sz w:val="18"/>
                <w:szCs w:val="18"/>
                <w:i w:val="1"/>
                <w:iCs w:val="1"/>
                <w:color w:val="auto"/>
              </w:rPr>
              <w:t>(a)</w:t>
            </w:r>
          </w:p>
        </w:tc>
        <w:tc>
          <w:tcPr>
            <w:tcW w:w="1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Eveleth, MN</w:t>
            </w:r>
          </w:p>
        </w:tc>
        <w:tc>
          <w:tcPr>
            <w:tcW w:w="3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Cliffs Natural Resources Inc.</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2019</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1360" w:type="dxa"/>
            <w:vAlign w:val="bottom"/>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Pr>
          <w:p>
            <w:pPr>
              <w:ind w:left="80"/>
              <w:spacing w:after="0"/>
              <w:rPr>
                <w:sz w:val="20"/>
                <w:szCs w:val="20"/>
                <w:color w:val="auto"/>
              </w:rPr>
            </w:pPr>
            <w:r>
              <w:rPr>
                <w:rFonts w:ascii="Arial" w:cs="Arial" w:eastAsia="Arial" w:hAnsi="Arial"/>
                <w:sz w:val="18"/>
                <w:szCs w:val="18"/>
                <w:color w:val="auto"/>
                <w:w w:val="98"/>
              </w:rPr>
              <w:t>Mt. Iron, MN and Keewatin,</w:t>
            </w: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USS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2019</w:t>
            </w: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8"/>
                <w:szCs w:val="18"/>
                <w:i w:val="1"/>
                <w:iCs w:val="1"/>
                <w:color w:val="auto"/>
              </w:rPr>
              <w:t>(a,b)</w:t>
            </w:r>
          </w:p>
        </w:tc>
        <w:tc>
          <w:tcPr>
            <w:tcW w:w="1360" w:type="dxa"/>
            <w:vAlign w:val="bottom"/>
          </w:tcPr>
          <w:p>
            <w:pPr>
              <w:spacing w:after="0"/>
              <w:rPr>
                <w:sz w:val="20"/>
                <w:szCs w:val="20"/>
                <w:color w:val="auto"/>
              </w:rPr>
            </w:pPr>
          </w:p>
        </w:tc>
        <w:tc>
          <w:tcPr>
            <w:tcW w:w="2240" w:type="dxa"/>
            <w:vAlign w:val="bottom"/>
          </w:tcPr>
          <w:p>
            <w:pPr>
              <w:ind w:left="80"/>
              <w:spacing w:after="0"/>
              <w:rPr>
                <w:sz w:val="20"/>
                <w:szCs w:val="20"/>
                <w:color w:val="auto"/>
              </w:rPr>
            </w:pPr>
            <w:r>
              <w:rPr>
                <w:rFonts w:ascii="Arial" w:cs="Arial" w:eastAsia="Arial" w:hAnsi="Arial"/>
                <w:sz w:val="18"/>
                <w:szCs w:val="18"/>
                <w:color w:val="auto"/>
              </w:rPr>
              <w:t>MN</w:t>
            </w:r>
          </w:p>
        </w:tc>
        <w:tc>
          <w:tcPr>
            <w:tcW w:w="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r>
      <w:tr>
        <w:trPr>
          <w:trHeight w:val="22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Mesabi Nugget Delaware, LLC</w:t>
            </w:r>
          </w:p>
        </w:tc>
        <w:tc>
          <w:tcPr>
            <w:tcW w:w="1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Iron Nugget</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Hoyt Lakes, MN</w:t>
            </w:r>
          </w:p>
        </w:tc>
        <w:tc>
          <w:tcPr>
            <w:tcW w:w="3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 Steel Dynamics, Inc.</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2023</w:t>
            </w:r>
          </w:p>
        </w:tc>
      </w:tr>
      <w:tr>
        <w:trPr>
          <w:trHeight w:val="237"/>
        </w:trPr>
        <w:tc>
          <w:tcPr>
            <w:tcW w:w="2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 Kobe Steel USA, Inc.</w:t>
            </w:r>
          </w:p>
        </w:tc>
        <w:tc>
          <w:tcPr>
            <w:tcW w:w="2180" w:type="dxa"/>
            <w:vAlign w:val="bottom"/>
            <w:tcBorders>
              <w:bottom w:val="single" w:sz="8" w:color="CCEEFF"/>
            </w:tcBorders>
            <w:shd w:val="clear" w:color="auto" w:fill="CCEEFF"/>
          </w:tcPr>
          <w:p>
            <w:pPr>
              <w:spacing w:after="0"/>
              <w:rPr>
                <w:sz w:val="20"/>
                <w:szCs w:val="20"/>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Boise, Inc.</w:t>
            </w:r>
          </w:p>
        </w:tc>
        <w:tc>
          <w:tcPr>
            <w:tcW w:w="1360" w:type="dxa"/>
            <w:vAlign w:val="bottom"/>
          </w:tcPr>
          <w:p>
            <w:pPr>
              <w:ind w:left="60"/>
              <w:spacing w:after="0"/>
              <w:rPr>
                <w:sz w:val="20"/>
                <w:szCs w:val="20"/>
                <w:color w:val="auto"/>
              </w:rPr>
            </w:pPr>
            <w:r>
              <w:rPr>
                <w:rFonts w:ascii="Arial" w:cs="Arial" w:eastAsia="Arial" w:hAnsi="Arial"/>
                <w:sz w:val="18"/>
                <w:szCs w:val="18"/>
                <w:color w:val="auto"/>
              </w:rPr>
              <w:t>Paper</w:t>
            </w:r>
          </w:p>
        </w:tc>
        <w:tc>
          <w:tcPr>
            <w:tcW w:w="2240" w:type="dxa"/>
            <w:vAlign w:val="bottom"/>
          </w:tcPr>
          <w:p>
            <w:pPr>
              <w:ind w:left="80"/>
              <w:spacing w:after="0"/>
              <w:rPr>
                <w:sz w:val="20"/>
                <w:szCs w:val="20"/>
                <w:color w:val="auto"/>
              </w:rPr>
            </w:pPr>
            <w:r>
              <w:rPr>
                <w:rFonts w:ascii="Arial" w:cs="Arial" w:eastAsia="Arial" w:hAnsi="Arial"/>
                <w:sz w:val="18"/>
                <w:szCs w:val="18"/>
                <w:color w:val="auto"/>
              </w:rPr>
              <w:t>International Falls, MN</w:t>
            </w: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Packaging Corporation of America</w:t>
            </w:r>
          </w:p>
        </w:tc>
        <w:tc>
          <w:tcPr>
            <w:tcW w:w="2180" w:type="dxa"/>
            <w:vAlign w:val="bottom"/>
          </w:tcPr>
          <w:p>
            <w:pPr>
              <w:jc w:val="right"/>
              <w:spacing w:after="0"/>
              <w:rPr>
                <w:sz w:val="20"/>
                <w:szCs w:val="20"/>
                <w:color w:val="auto"/>
              </w:rPr>
            </w:pPr>
            <w:r>
              <w:rPr>
                <w:rFonts w:ascii="Arial" w:cs="Arial" w:eastAsia="Arial" w:hAnsi="Arial"/>
                <w:sz w:val="18"/>
                <w:szCs w:val="18"/>
                <w:color w:val="auto"/>
              </w:rPr>
              <w:t>December 31, 2023</w:t>
            </w:r>
          </w:p>
        </w:tc>
      </w:tr>
      <w:tr>
        <w:trPr>
          <w:trHeight w:val="27"/>
        </w:trPr>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UPM, Blandin Paper Mill </w:t>
            </w:r>
            <w:r>
              <w:rPr>
                <w:rFonts w:ascii="Arial" w:cs="Arial" w:eastAsia="Arial" w:hAnsi="Arial"/>
                <w:sz w:val="18"/>
                <w:szCs w:val="18"/>
                <w:i w:val="1"/>
                <w:iCs w:val="1"/>
                <w:color w:val="auto"/>
              </w:rPr>
              <w:t>(a)</w:t>
            </w:r>
          </w:p>
        </w:tc>
        <w:tc>
          <w:tcPr>
            <w:tcW w:w="1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Paper</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Grand Rapids, MN</w:t>
            </w:r>
          </w:p>
        </w:tc>
        <w:tc>
          <w:tcPr>
            <w:tcW w:w="3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UPM-Kymmene Corporation</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2019</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 xml:space="preserve">Verso Corporation </w:t>
            </w:r>
            <w:r>
              <w:rPr>
                <w:rFonts w:ascii="Arial" w:cs="Arial" w:eastAsia="Arial" w:hAnsi="Arial"/>
                <w:sz w:val="18"/>
                <w:szCs w:val="18"/>
                <w:i w:val="1"/>
                <w:iCs w:val="1"/>
                <w:color w:val="auto"/>
              </w:rPr>
              <w:t>(c)</w:t>
            </w:r>
          </w:p>
        </w:tc>
        <w:tc>
          <w:tcPr>
            <w:tcW w:w="1360" w:type="dxa"/>
            <w:vAlign w:val="bottom"/>
          </w:tcPr>
          <w:p>
            <w:pPr>
              <w:ind w:left="60"/>
              <w:spacing w:after="0"/>
              <w:rPr>
                <w:sz w:val="20"/>
                <w:szCs w:val="20"/>
                <w:color w:val="auto"/>
              </w:rPr>
            </w:pPr>
            <w:r>
              <w:rPr>
                <w:rFonts w:ascii="Arial" w:cs="Arial" w:eastAsia="Arial" w:hAnsi="Arial"/>
                <w:sz w:val="18"/>
                <w:szCs w:val="18"/>
                <w:color w:val="auto"/>
              </w:rPr>
              <w:t>Paper and Pulp</w:t>
            </w:r>
          </w:p>
        </w:tc>
        <w:tc>
          <w:tcPr>
            <w:tcW w:w="2240" w:type="dxa"/>
            <w:vAlign w:val="bottom"/>
          </w:tcPr>
          <w:p>
            <w:pPr>
              <w:ind w:left="80"/>
              <w:spacing w:after="0"/>
              <w:rPr>
                <w:sz w:val="20"/>
                <w:szCs w:val="20"/>
                <w:color w:val="auto"/>
              </w:rPr>
            </w:pPr>
            <w:r>
              <w:rPr>
                <w:rFonts w:ascii="Arial" w:cs="Arial" w:eastAsia="Arial" w:hAnsi="Arial"/>
                <w:sz w:val="18"/>
                <w:szCs w:val="18"/>
                <w:color w:val="auto"/>
              </w:rPr>
              <w:t>Duluth, MN</w:t>
            </w: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Verso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December 31, 2022</w:t>
            </w:r>
          </w:p>
        </w:tc>
      </w:tr>
      <w:tr>
        <w:trPr>
          <w:trHeight w:val="27"/>
        </w:trPr>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8"/>
                <w:szCs w:val="18"/>
                <w:i w:val="1"/>
                <w:iCs w:val="1"/>
                <w:color w:val="auto"/>
              </w:rPr>
              <w:t>(a)</w:t>
            </w:r>
          </w:p>
        </w:tc>
        <w:tc>
          <w:tcPr>
            <w:tcW w:w="1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Paper and Pulp</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Cloquet, MN</w:t>
            </w:r>
          </w:p>
        </w:tc>
        <w:tc>
          <w:tcPr>
            <w:tcW w:w="3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Sappi Limited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2019</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 xml:space="preserve">Magnetation, LLC </w:t>
            </w:r>
            <w:r>
              <w:rPr>
                <w:rFonts w:ascii="Arial" w:cs="Arial" w:eastAsia="Arial" w:hAnsi="Arial"/>
                <w:sz w:val="18"/>
                <w:szCs w:val="18"/>
                <w:i w:val="1"/>
                <w:iCs w:val="1"/>
                <w:color w:val="auto"/>
              </w:rPr>
              <w:t>(d)</w:t>
            </w:r>
          </w:p>
        </w:tc>
        <w:tc>
          <w:tcPr>
            <w:tcW w:w="1360" w:type="dxa"/>
            <w:vAlign w:val="bottom"/>
          </w:tcPr>
          <w:p>
            <w:pPr>
              <w:ind w:left="60"/>
              <w:spacing w:after="0"/>
              <w:rPr>
                <w:sz w:val="20"/>
                <w:szCs w:val="20"/>
                <w:color w:val="auto"/>
              </w:rPr>
            </w:pPr>
            <w:r>
              <w:rPr>
                <w:rFonts w:ascii="Arial" w:cs="Arial" w:eastAsia="Arial" w:hAnsi="Arial"/>
                <w:sz w:val="18"/>
                <w:szCs w:val="18"/>
                <w:color w:val="auto"/>
                <w:w w:val="95"/>
              </w:rPr>
              <w:t>Iron Concentrate</w:t>
            </w:r>
          </w:p>
        </w:tc>
        <w:tc>
          <w:tcPr>
            <w:tcW w:w="2240" w:type="dxa"/>
            <w:vAlign w:val="bottom"/>
          </w:tcPr>
          <w:p>
            <w:pPr>
              <w:ind w:left="80"/>
              <w:spacing w:after="0"/>
              <w:rPr>
                <w:sz w:val="20"/>
                <w:szCs w:val="20"/>
                <w:color w:val="auto"/>
              </w:rPr>
            </w:pPr>
            <w:r>
              <w:rPr>
                <w:rFonts w:ascii="Arial" w:cs="Arial" w:eastAsia="Arial" w:hAnsi="Arial"/>
                <w:sz w:val="18"/>
                <w:szCs w:val="18"/>
                <w:color w:val="auto"/>
              </w:rPr>
              <w:t>Coleraine, MN</w:t>
            </w:r>
          </w:p>
        </w:tc>
        <w:tc>
          <w:tcPr>
            <w:tcW w:w="600" w:type="dxa"/>
            <w:vAlign w:val="bottom"/>
          </w:tcPr>
          <w:p>
            <w:pPr>
              <w:ind w:left="120"/>
              <w:spacing w:after="0"/>
              <w:rPr>
                <w:sz w:val="20"/>
                <w:szCs w:val="20"/>
                <w:color w:val="auto"/>
              </w:rPr>
            </w:pPr>
            <w:r>
              <w:rPr>
                <w:rFonts w:ascii="Arial" w:cs="Arial" w:eastAsia="Arial" w:hAnsi="Arial"/>
                <w:sz w:val="18"/>
                <w:szCs w:val="18"/>
                <w:color w:val="auto"/>
                <w:w w:val="90"/>
              </w:rPr>
              <w:t>50.1%</w:t>
            </w:r>
          </w:p>
        </w:tc>
        <w:tc>
          <w:tcPr>
            <w:tcW w:w="2660" w:type="dxa"/>
            <w:vAlign w:val="bottom"/>
          </w:tcPr>
          <w:p>
            <w:pPr>
              <w:ind w:left="20"/>
              <w:spacing w:after="0"/>
              <w:rPr>
                <w:sz w:val="20"/>
                <w:szCs w:val="20"/>
                <w:color w:val="auto"/>
              </w:rPr>
            </w:pPr>
            <w:r>
              <w:rPr>
                <w:rFonts w:ascii="Arial" w:cs="Arial" w:eastAsia="Arial" w:hAnsi="Arial"/>
                <w:sz w:val="18"/>
                <w:szCs w:val="18"/>
                <w:color w:val="auto"/>
              </w:rPr>
              <w:t>Magnetation, Inc.</w:t>
            </w:r>
          </w:p>
        </w:tc>
        <w:tc>
          <w:tcPr>
            <w:tcW w:w="2180" w:type="dxa"/>
            <w:vAlign w:val="bottom"/>
          </w:tcPr>
          <w:p>
            <w:pPr>
              <w:jc w:val="right"/>
              <w:spacing w:after="0"/>
              <w:rPr>
                <w:sz w:val="20"/>
                <w:szCs w:val="20"/>
                <w:color w:val="auto"/>
              </w:rPr>
            </w:pPr>
            <w:r>
              <w:rPr>
                <w:rFonts w:ascii="Arial" w:cs="Arial" w:eastAsia="Arial" w:hAnsi="Arial"/>
                <w:sz w:val="18"/>
                <w:szCs w:val="18"/>
                <w:color w:val="auto"/>
              </w:rPr>
              <w:t>December 31, 2025</w:t>
            </w:r>
          </w:p>
        </w:tc>
      </w:tr>
      <w:tr>
        <w:trPr>
          <w:trHeight w:val="230"/>
        </w:trPr>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90"/>
              </w:rPr>
              <w:t>49.9%</w:t>
            </w:r>
          </w:p>
        </w:tc>
        <w:tc>
          <w:tcPr>
            <w:tcW w:w="2660" w:type="dxa"/>
            <w:vAlign w:val="bottom"/>
          </w:tcPr>
          <w:p>
            <w:pPr>
              <w:ind w:left="20"/>
              <w:spacing w:after="0"/>
              <w:rPr>
                <w:sz w:val="20"/>
                <w:szCs w:val="20"/>
                <w:color w:val="auto"/>
              </w:rPr>
            </w:pPr>
            <w:r>
              <w:rPr>
                <w:rFonts w:ascii="Arial" w:cs="Arial" w:eastAsia="Arial" w:hAnsi="Arial"/>
                <w:sz w:val="18"/>
                <w:szCs w:val="18"/>
                <w:color w:val="auto"/>
              </w:rPr>
              <w:t>AK Steel Corporation</w:t>
            </w:r>
          </w:p>
        </w:tc>
        <w:tc>
          <w:tcPr>
            <w:tcW w:w="2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January 31, 2019.</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USS Corporation owns both the Minntac Plant in Mountain Iron, MN, and the Keewatin Taconite Plant in Keewatin, MN.</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7, 2015, Verso Corporation acquired NewPage Corporation. This acquisition will not impact Minnesota Power’s electric service agreement with NewPage Corporation.</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Production at this facility commenced in December 2014. (See Outlook – Regulated Operations – Industrial Customers and Prospective Additional Loads.)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Residential and Commercial Customers. </w:t>
      </w:r>
      <w:r>
        <w:rPr>
          <w:rFonts w:ascii="Arial" w:cs="Arial" w:eastAsia="Arial" w:hAnsi="Arial"/>
          <w:sz w:val="18"/>
          <w:szCs w:val="18"/>
          <w:color w:val="auto"/>
        </w:rPr>
        <w:t>In 2014, our residential and commercial customers represented 19 percent of total regulated utility kilowatt-hour</w:t>
      </w:r>
      <w:r>
        <w:rPr>
          <w:rFonts w:ascii="Arial" w:cs="Arial" w:eastAsia="Arial" w:hAnsi="Arial"/>
          <w:sz w:val="18"/>
          <w:szCs w:val="18"/>
          <w:b w:val="1"/>
          <w:bCs w:val="1"/>
          <w:color w:val="auto"/>
        </w:rPr>
        <w:t xml:space="preserve"> </w:t>
      </w:r>
      <w:r>
        <w:rPr>
          <w:rFonts w:ascii="Arial" w:cs="Arial" w:eastAsia="Arial" w:hAnsi="Arial"/>
          <w:sz w:val="18"/>
          <w:szCs w:val="18"/>
          <w:color w:val="auto"/>
        </w:rPr>
        <w:t>sales. Minnesota Power provides regulated utility electric service in northeastern Minnesota to approximately 144,000 residential and commercial customers. SWL&amp;P provides regulated electric, natural gas and water service in northwestern Wisconsin to approximately 15,000 electric customers, 12,000 natural gas customers and 10,000 water customers.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Municipal Customers. </w:t>
      </w:r>
      <w:r>
        <w:rPr>
          <w:rFonts w:ascii="Arial" w:cs="Arial" w:eastAsia="Arial" w:hAnsi="Arial"/>
          <w:sz w:val="18"/>
          <w:szCs w:val="18"/>
          <w:color w:val="auto"/>
        </w:rPr>
        <w:t>In 2014, our municipal customers represented 6 percent of total regulated utility kilowatt-hour sales, which included 16 municipals in</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Other Power Suppliers. </w:t>
      </w:r>
      <w:r>
        <w:rPr>
          <w:rFonts w:ascii="Arial" w:cs="Arial" w:eastAsia="Arial" w:hAnsi="Arial"/>
          <w:sz w:val="18"/>
          <w:szCs w:val="18"/>
          <w:color w:val="auto"/>
        </w:rPr>
        <w:t>The Company also enters into off-system sales with Other Power Suppliers. These sales are sold at market-based prices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MISO market on a daily basis or through bilateral agreements of various durations.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Basin Power Sales Agreement. </w:t>
      </w:r>
      <w:r>
        <w:rPr>
          <w:rFonts w:ascii="Arial" w:cs="Arial" w:eastAsia="Arial" w:hAnsi="Arial"/>
          <w:sz w:val="18"/>
          <w:szCs w:val="18"/>
          <w:color w:val="auto"/>
        </w:rPr>
        <w:t>Minnesota Power entered into an agreement to sell 100 MW of capacity and energy to Basin for a ten-year period which</w:t>
      </w:r>
      <w:r>
        <w:rPr>
          <w:rFonts w:ascii="Arial" w:cs="Arial" w:eastAsia="Arial" w:hAnsi="Arial"/>
          <w:sz w:val="18"/>
          <w:szCs w:val="18"/>
          <w:i w:val="1"/>
          <w:iCs w:val="1"/>
          <w:color w:val="auto"/>
        </w:rPr>
        <w:t xml:space="preserve"> </w:t>
      </w:r>
      <w:r>
        <w:rPr>
          <w:rFonts w:ascii="Arial" w:cs="Arial" w:eastAsia="Arial" w:hAnsi="Arial"/>
          <w:sz w:val="18"/>
          <w:szCs w:val="18"/>
          <w:color w:val="auto"/>
        </w:rPr>
        <w:t>expires in April 2020. The capacity charge is based on a fixed monthly schedule with a minimum annual escalation provision. The energy charge is based on a fixed monthly schedule and provides for annual escalation based on our cost of fuel. The agreement allows us to recover a pro rata share of increased costs related to emissions that may occur during the last five years of the contract.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Minnesota Power entered into a power sales agreement with Minnkota Power, which commenced June 1, 2014.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power sales agreement, Minnesota Power is selling a portion of its output from Square Butte to Minnkota Power, resulting in Minnkota Power’s net entitlement increasing and Minnesota Power’s net entitlement decreasing until Minnesota Power’s share is eliminated at the end of 2025. (See Note 12. Commitments, Guarantees and Contingencies.)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operations of our industrial customers, which make up a large portion of our sales portfolio as reflected in the table above, are not typically subject to significant seasonal variations. As a result, Minnesota Power is generally not subject to significant seasonal fluctuations in electric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meet our customers’ electric requirements, we utilize a mix of Company generation and purchased power. At December 31, 2014, the Company’s generation is primarily coal-fired, but also includes approximately 105 MW of hydroelectric generation from ten hydro stations in Minnesota, 522 MW of nameplate capacity wind generation, and 81 MW of biomass co-fired generation. Purchased power consists of long-term coal, wind and hydro PPAs as well as market purchases. The following table reflects the Company’s generating capabilities as of December 31, 2014, and total electrical output for 2014. Minnesota Power had an annual net peak load of 1,637 MW on December 30,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60" w:type="dxa"/>
            <w:vAlign w:val="bottom"/>
          </w:tcPr>
          <w:p>
            <w:pPr>
              <w:jc w:val="center"/>
              <w:ind w:left="813"/>
              <w:spacing w:after="0"/>
              <w:rPr>
                <w:sz w:val="20"/>
                <w:szCs w:val="20"/>
                <w:color w:val="auto"/>
              </w:rPr>
            </w:pPr>
            <w:r>
              <w:rPr>
                <w:rFonts w:ascii="Arial" w:cs="Arial" w:eastAsia="Arial" w:hAnsi="Arial"/>
                <w:sz w:val="18"/>
                <w:szCs w:val="18"/>
                <w:b w:val="1"/>
                <w:bCs w:val="1"/>
                <w:color w:val="auto"/>
                <w:w w:val="92"/>
              </w:rPr>
              <w:t>Year Ended</w:t>
            </w:r>
          </w:p>
        </w:tc>
        <w:tc>
          <w:tcPr>
            <w:tcW w:w="880" w:type="dxa"/>
            <w:vAlign w:val="bottom"/>
          </w:tcPr>
          <w:p>
            <w:pPr>
              <w:spacing w:after="0"/>
              <w:rPr>
                <w:sz w:val="20"/>
                <w:szCs w:val="20"/>
                <w:color w:val="auto"/>
              </w:rPr>
            </w:pPr>
          </w:p>
        </w:tc>
      </w:tr>
      <w:tr>
        <w:trPr>
          <w:trHeight w:val="270"/>
        </w:trPr>
        <w:tc>
          <w:tcPr>
            <w:tcW w:w="50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7"/>
              </w:rPr>
              <w:t>Unit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2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 2014</w:t>
            </w:r>
          </w:p>
        </w:tc>
      </w:tr>
      <w:tr>
        <w:trPr>
          <w:trHeight w:val="270"/>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Regulated Utility Power Supply</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Capability</w:t>
            </w:r>
          </w:p>
        </w:tc>
        <w:tc>
          <w:tcPr>
            <w:tcW w:w="2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Generation and Purchases</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2060" w:type="dxa"/>
            <w:vAlign w:val="bottom"/>
          </w:tcPr>
          <w:p>
            <w:pPr>
              <w:jc w:val="right"/>
              <w:ind w:right="953"/>
              <w:spacing w:after="0"/>
              <w:rPr>
                <w:sz w:val="20"/>
                <w:szCs w:val="20"/>
                <w:color w:val="auto"/>
              </w:rPr>
            </w:pPr>
            <w:r>
              <w:rPr>
                <w:rFonts w:ascii="Arial" w:cs="Arial" w:eastAsia="Arial" w:hAnsi="Arial"/>
                <w:sz w:val="18"/>
                <w:szCs w:val="18"/>
                <w:b w:val="1"/>
                <w:bCs w:val="1"/>
                <w:color w:val="auto"/>
              </w:rPr>
              <w:t>MWh</w:t>
            </w:r>
          </w:p>
        </w:tc>
        <w:tc>
          <w:tcPr>
            <w:tcW w:w="8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Coal-Fired</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Boswell Energy Center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Cohasset, MN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1960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506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2060" w:type="dxa"/>
            <w:vAlign w:val="bottom"/>
            <w:shd w:val="clear" w:color="auto" w:fill="CCEEFF"/>
          </w:tcPr>
          <w:p>
            <w:pPr>
              <w:jc w:val="right"/>
              <w:ind w:right="1773"/>
              <w:spacing w:after="0"/>
              <w:rPr>
                <w:sz w:val="20"/>
                <w:szCs w:val="20"/>
                <w:color w:val="auto"/>
              </w:rPr>
            </w:pPr>
            <w:r>
              <w:rPr>
                <w:rFonts w:ascii="Arial" w:cs="Arial" w:eastAsia="Arial" w:hAnsi="Arial"/>
                <w:sz w:val="14"/>
                <w:szCs w:val="14"/>
                <w:i w:val="1"/>
                <w:iCs w:val="1"/>
                <w:color w:val="auto"/>
              </w:rPr>
              <w:t>(a)</w:t>
            </w:r>
          </w:p>
        </w:tc>
        <w:tc>
          <w:tcPr>
            <w:tcW w:w="880" w:type="dxa"/>
            <w:vAlign w:val="bottom"/>
            <w:shd w:val="clear" w:color="auto" w:fill="CCEEFF"/>
          </w:tcPr>
          <w:p>
            <w:pPr>
              <w:spacing w:after="0"/>
              <w:rPr>
                <w:sz w:val="22"/>
                <w:szCs w:val="22"/>
                <w:color w:val="auto"/>
              </w:rPr>
            </w:pPr>
          </w:p>
        </w:tc>
      </w:tr>
      <w:tr>
        <w:trPr>
          <w:trHeight w:val="243"/>
        </w:trPr>
        <w:tc>
          <w:tcPr>
            <w:tcW w:w="5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6,543,143</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46.3</w:t>
            </w:r>
          </w:p>
        </w:tc>
      </w:tr>
      <w:tr>
        <w:trPr>
          <w:trHeight w:val="27"/>
        </w:trPr>
        <w:tc>
          <w:tcPr>
            <w:tcW w:w="50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Laskin Energy Center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060" w:type="dxa"/>
            <w:vAlign w:val="bottom"/>
            <w:shd w:val="clear" w:color="auto" w:fill="CCEEFF"/>
          </w:tcPr>
          <w:p>
            <w:pPr>
              <w:jc w:val="right"/>
              <w:ind w:right="1773"/>
              <w:spacing w:after="0"/>
              <w:rPr>
                <w:sz w:val="20"/>
                <w:szCs w:val="20"/>
                <w:color w:val="auto"/>
              </w:rPr>
            </w:pPr>
            <w:r>
              <w:rPr>
                <w:rFonts w:ascii="Arial" w:cs="Arial" w:eastAsia="Arial" w:hAnsi="Arial"/>
                <w:sz w:val="14"/>
                <w:szCs w:val="14"/>
                <w:i w:val="1"/>
                <w:iCs w:val="1"/>
                <w:color w:val="auto"/>
              </w:rPr>
              <w:t>(b)</w:t>
            </w:r>
          </w:p>
        </w:tc>
        <w:tc>
          <w:tcPr>
            <w:tcW w:w="880" w:type="dxa"/>
            <w:vAlign w:val="bottom"/>
            <w:shd w:val="clear" w:color="auto" w:fill="CCEEFF"/>
          </w:tcPr>
          <w:p>
            <w:pPr>
              <w:spacing w:after="0"/>
              <w:rPr>
                <w:sz w:val="22"/>
                <w:szCs w:val="22"/>
                <w:color w:val="auto"/>
              </w:rPr>
            </w:pPr>
          </w:p>
        </w:tc>
      </w:tr>
      <w:tr>
        <w:trPr>
          <w:trHeight w:val="264"/>
        </w:trPr>
        <w:tc>
          <w:tcPr>
            <w:tcW w:w="5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 Hoyt Lakes, MN</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2060" w:type="dxa"/>
            <w:vAlign w:val="bottom"/>
            <w:tcBorders>
              <w:bottom w:val="single" w:sz="8" w:color="CCEEFF"/>
            </w:tcBorders>
          </w:tcPr>
          <w:p>
            <w:pPr>
              <w:jc w:val="right"/>
              <w:ind w:right="1773"/>
              <w:spacing w:after="0"/>
              <w:rPr>
                <w:sz w:val="20"/>
                <w:szCs w:val="20"/>
                <w:color w:val="auto"/>
              </w:rPr>
            </w:pPr>
            <w:r>
              <w:rPr>
                <w:rFonts w:ascii="Arial" w:cs="Arial" w:eastAsia="Arial" w:hAnsi="Arial"/>
                <w:sz w:val="14"/>
                <w:szCs w:val="14"/>
                <w:i w:val="1"/>
                <w:iCs w:val="1"/>
                <w:color w:val="auto"/>
              </w:rPr>
              <w:t>(b)</w:t>
            </w:r>
          </w:p>
        </w:tc>
        <w:tc>
          <w:tcPr>
            <w:tcW w:w="880" w:type="dxa"/>
            <w:vAlign w:val="bottom"/>
            <w:tcBorders>
              <w:bottom w:val="single" w:sz="8" w:color="CCEEFF"/>
            </w:tcBorders>
          </w:tcPr>
          <w:p>
            <w:pPr>
              <w:spacing w:after="0"/>
              <w:rPr>
                <w:sz w:val="22"/>
                <w:szCs w:val="22"/>
                <w:color w:val="auto"/>
              </w:rPr>
            </w:pPr>
          </w:p>
        </w:tc>
      </w:tr>
      <w:tr>
        <w:trPr>
          <w:trHeight w:val="270"/>
        </w:trPr>
        <w:tc>
          <w:tcPr>
            <w:tcW w:w="50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347,844</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w:t>
            </w:r>
          </w:p>
        </w:tc>
      </w:tr>
      <w:tr>
        <w:trPr>
          <w:trHeight w:val="237"/>
        </w:trPr>
        <w:tc>
          <w:tcPr>
            <w:tcW w:w="5060" w:type="dxa"/>
            <w:vAlign w:val="bottom"/>
          </w:tcPr>
          <w:p>
            <w:pPr>
              <w:ind w:left="280"/>
              <w:spacing w:after="0"/>
              <w:rPr>
                <w:sz w:val="20"/>
                <w:szCs w:val="20"/>
                <w:color w:val="auto"/>
              </w:rPr>
            </w:pPr>
            <w:r>
              <w:rPr>
                <w:rFonts w:ascii="Arial" w:cs="Arial" w:eastAsia="Arial" w:hAnsi="Arial"/>
                <w:sz w:val="18"/>
                <w:szCs w:val="18"/>
                <w:color w:val="auto"/>
              </w:rPr>
              <w:t>Taconite Harbor Energy Center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Schroeder, MN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64"/>
        </w:trPr>
        <w:tc>
          <w:tcPr>
            <w:tcW w:w="50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1967</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2060" w:type="dxa"/>
            <w:vAlign w:val="bottom"/>
            <w:tcBorders>
              <w:bottom w:val="single" w:sz="8" w:color="CCEEFF"/>
            </w:tcBorders>
          </w:tcPr>
          <w:p>
            <w:pPr>
              <w:jc w:val="right"/>
              <w:ind w:right="1773"/>
              <w:spacing w:after="0"/>
              <w:rPr>
                <w:sz w:val="20"/>
                <w:szCs w:val="20"/>
                <w:color w:val="auto"/>
              </w:rPr>
            </w:pPr>
            <w:r>
              <w:rPr>
                <w:rFonts w:ascii="Arial" w:cs="Arial" w:eastAsia="Arial" w:hAnsi="Arial"/>
                <w:sz w:val="14"/>
                <w:szCs w:val="14"/>
                <w:i w:val="1"/>
                <w:iCs w:val="1"/>
                <w:color w:val="auto"/>
              </w:rPr>
              <w:t>(b)</w:t>
            </w:r>
          </w:p>
        </w:tc>
        <w:tc>
          <w:tcPr>
            <w:tcW w:w="880" w:type="dxa"/>
            <w:vAlign w:val="bottom"/>
            <w:tcBorders>
              <w:bottom w:val="single" w:sz="8" w:color="CCEEFF"/>
            </w:tcBorders>
          </w:tcPr>
          <w:p>
            <w:pPr>
              <w:spacing w:after="0"/>
              <w:rPr>
                <w:sz w:val="22"/>
                <w:szCs w:val="22"/>
                <w:color w:val="auto"/>
              </w:rPr>
            </w:pPr>
          </w:p>
        </w:tc>
      </w:tr>
      <w:tr>
        <w:trPr>
          <w:trHeight w:val="275"/>
        </w:trPr>
        <w:tc>
          <w:tcPr>
            <w:tcW w:w="50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1,089,924</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7.7</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Coal-Fired</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1,277</w:t>
            </w: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7,980,911</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56.4</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Biomass/Coal/Natural Gas</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Hibbard Renewable Energy Center in Duluth,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 &amp; 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1949, 1951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19,635</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Cloquet Energy Center in Cloquet, MN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119,025</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Biomass/Coal/Natural Gas</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138,660</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0.9</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Hydro </w:t>
            </w:r>
            <w:r>
              <w:rPr>
                <w:rFonts w:ascii="Arial" w:cs="Arial" w:eastAsia="Arial" w:hAnsi="Arial"/>
                <w:sz w:val="16"/>
                <w:szCs w:val="16"/>
                <w:i w:val="1"/>
                <w:iCs w:val="1"/>
                <w:color w:val="auto"/>
              </w:rPr>
              <w:t>(c)</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Group consisting of ten stations in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238,293</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1.7</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6"/>
                <w:szCs w:val="16"/>
                <w:i w:val="1"/>
                <w:iCs w:val="1"/>
                <w:color w:val="auto"/>
              </w:rPr>
              <w:t>(d)</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Taconite Ridge Energy Center in Mt. Iron,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66,609</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0.5</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Bison Wind Energy Center in Oliver and Morton Counties, ND</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2010-2014</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962,275</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Wind</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522</w:t>
            </w: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1,028,884</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7.3</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Company Generation</w:t>
            </w:r>
          </w:p>
        </w:tc>
        <w:tc>
          <w:tcPr>
            <w:tcW w:w="10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9,386,748</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66.3</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Purchased Power</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Lignite Coal - Square Butte near Center, ND</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1,378,008</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Wind - Oliver County, ND</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60" w:type="dxa"/>
            <w:vAlign w:val="bottom"/>
          </w:tcPr>
          <w:p>
            <w:pPr>
              <w:jc w:val="right"/>
              <w:ind w:right="513"/>
              <w:spacing w:after="0"/>
              <w:rPr>
                <w:sz w:val="20"/>
                <w:szCs w:val="20"/>
                <w:color w:val="auto"/>
              </w:rPr>
            </w:pPr>
            <w:r>
              <w:rPr>
                <w:rFonts w:ascii="Arial" w:cs="Arial" w:eastAsia="Arial" w:hAnsi="Arial"/>
                <w:sz w:val="18"/>
                <w:szCs w:val="18"/>
                <w:color w:val="auto"/>
              </w:rPr>
              <w:t>365,940</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2.6</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Hydro - Manitoba Hydro in Manitoba, Canada</w:t>
            </w:r>
          </w:p>
        </w:tc>
        <w:tc>
          <w:tcPr>
            <w:tcW w:w="10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320,609</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Long-Term Purchased Power</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2,064,557</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14.6</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(e</w:t>
            </w:r>
            <w:r>
              <w:rPr>
                <w:rFonts w:ascii="Arial" w:cs="Arial" w:eastAsia="Arial" w:hAnsi="Arial"/>
                <w:sz w:val="14"/>
                <w:szCs w:val="14"/>
                <w:i w:val="1"/>
                <w:iCs w:val="1"/>
                <w:color w:val="auto"/>
              </w:rPr>
              <w:t>)</w:t>
            </w:r>
          </w:p>
        </w:tc>
        <w:tc>
          <w:tcPr>
            <w:tcW w:w="10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2,705,942</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19.1</w:t>
            </w:r>
          </w:p>
        </w:tc>
      </w:tr>
      <w:tr>
        <w:trPr>
          <w:trHeight w:val="237"/>
        </w:trPr>
        <w:tc>
          <w:tcPr>
            <w:tcW w:w="50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 Purchased Power</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4,770,499</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33.7</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20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14,157,247</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r>
      <w:tr>
        <w:trPr>
          <w:trHeight w:val="20"/>
        </w:trPr>
        <w:tc>
          <w:tcPr>
            <w:tcW w:w="50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ind w:left="340" w:hanging="332"/>
        <w:spacing w:after="0" w:line="251"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Boswell Unit 4 net capability shown above reflects Minnesota Power’s ownership percentage of 80 percent. WPPI Energy owns 20 percent of Boswell Unit 4. (See Note 4. Jointly-Owned Facilities and Projects.)</w:t>
      </w:r>
    </w:p>
    <w:p>
      <w:pPr>
        <w:jc w:val="both"/>
        <w:ind w:left="340" w:hanging="332"/>
        <w:spacing w:after="0" w:line="269"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Future plans for our Laskin Energy Center and Taconite Harbor Unit 3 are included in our “EnergyForward” plan which includes the conversion of Laskin from coal to natural gas in the second quarter of 2015 and the retiring of Taconite Harbor Unit 3 in the second quarter of 2015. (See Item 7. Management’s Discussion and Analysis of Financial Condition and Results of Operations </w:t>
      </w:r>
      <w:r>
        <w:rPr>
          <w:rFonts w:ascii="Arial" w:cs="Arial" w:eastAsia="Arial" w:hAnsi="Arial"/>
          <w:sz w:val="18"/>
          <w:szCs w:val="18"/>
          <w:color w:val="auto"/>
        </w:rPr>
        <w:t>–</w:t>
      </w:r>
      <w:r>
        <w:rPr>
          <w:rFonts w:ascii="Arial" w:cs="Arial" w:eastAsia="Arial" w:hAnsi="Arial"/>
          <w:sz w:val="16"/>
          <w:szCs w:val="16"/>
          <w:i w:val="1"/>
          <w:iCs w:val="1"/>
          <w:color w:val="auto"/>
        </w:rPr>
        <w:t xml:space="preserve"> Outlook </w:t>
      </w:r>
      <w:r>
        <w:rPr>
          <w:rFonts w:ascii="Arial" w:cs="Arial" w:eastAsia="Arial" w:hAnsi="Arial"/>
          <w:sz w:val="18"/>
          <w:szCs w:val="18"/>
          <w:color w:val="auto"/>
        </w:rPr>
        <w:t>–</w:t>
      </w:r>
      <w:r>
        <w:rPr>
          <w:rFonts w:ascii="Arial" w:cs="Arial" w:eastAsia="Arial" w:hAnsi="Arial"/>
          <w:sz w:val="16"/>
          <w:szCs w:val="16"/>
          <w:i w:val="1"/>
          <w:iCs w:val="1"/>
          <w:color w:val="auto"/>
        </w:rPr>
        <w:t xml:space="preserve"> EnergyForward.)</w:t>
      </w:r>
    </w:p>
    <w:p>
      <w:pPr>
        <w:ind w:left="340" w:hanging="332"/>
        <w:spacing w:after="0" w:line="263"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Thomson Energy Center returned to partial generation in the fourth quarter of 2014. (See Item 7. Management’s Discussion and Analysis of Financial Condition and Results of Operations </w:t>
      </w:r>
      <w:r>
        <w:rPr>
          <w:rFonts w:ascii="Arial" w:cs="Arial" w:eastAsia="Arial" w:hAnsi="Arial"/>
          <w:sz w:val="18"/>
          <w:szCs w:val="18"/>
          <w:color w:val="auto"/>
        </w:rPr>
        <w:t>–</w:t>
      </w:r>
      <w:r>
        <w:rPr>
          <w:rFonts w:ascii="Arial" w:cs="Arial" w:eastAsia="Arial" w:hAnsi="Arial"/>
          <w:sz w:val="16"/>
          <w:szCs w:val="16"/>
          <w:i w:val="1"/>
          <w:iCs w:val="1"/>
          <w:color w:val="auto"/>
        </w:rPr>
        <w:t xml:space="preserve"> Outlook </w:t>
      </w:r>
      <w:r>
        <w:rPr>
          <w:rFonts w:ascii="Arial" w:cs="Arial" w:eastAsia="Arial" w:hAnsi="Arial"/>
          <w:sz w:val="18"/>
          <w:szCs w:val="18"/>
          <w:color w:val="auto"/>
        </w:rPr>
        <w:t>–</w:t>
      </w:r>
      <w:r>
        <w:rPr>
          <w:rFonts w:ascii="Arial" w:cs="Arial" w:eastAsia="Arial" w:hAnsi="Arial"/>
          <w:sz w:val="16"/>
          <w:szCs w:val="16"/>
          <w:i w:val="1"/>
          <w:iCs w:val="1"/>
          <w:color w:val="auto"/>
        </w:rPr>
        <w:t xml:space="preserve"> Hydro Operations.)</w:t>
      </w:r>
    </w:p>
    <w:p>
      <w:pPr>
        <w:jc w:val="both"/>
        <w:ind w:left="340" w:hanging="332"/>
        <w:spacing w:after="0" w:line="247"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Taconite Ridge consists of 10 wind turbine generator units with a total nameplate capacity of 25 MW. The Bison Wind Energy Center consists of 165 wind turbine generator units, with a total nameplate capacity of 497 MW. Bison 4 was placed in service in the fourth quarter of 2014 and approximately 45,000 MWh generated by Bison 4 is included in the table above. The net capability reflected in the table is the actual accredited capacity of the facility, which is the amount of net generating capability associated with the facility for which capacity credit was obtained using limited historical data. As more data is collected, actual accredited capacity may change.</w:t>
      </w:r>
    </w:p>
    <w:p>
      <w:pPr>
        <w:spacing w:after="0" w:line="2"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ectPr>
          <w:pgSz w:w="11900" w:h="16838" w:orient="portrait"/>
          <w:cols w:equalWidth="0" w:num="1">
            <w:col w:w="11420"/>
          </w:cols>
          <w:pgMar w:left="240" w:top="526"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2014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6"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Fuel</w:t>
      </w:r>
      <w:r>
        <w:rPr>
          <w:rFonts w:ascii="Arial" w:cs="Arial" w:eastAsia="Arial" w:hAnsi="Arial"/>
          <w:sz w:val="16"/>
          <w:szCs w:val="16"/>
          <w:color w:val="auto"/>
        </w:rPr>
        <w:t>. Minnesota Power purchases low-sulfur, sub-bituminous coal from the Powder River Basin region located in Montana and Wyoming. Coal consumption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2014 for electric generation at Minnesota Power’s coal-fired generating stations was 4.8 million tons. As of December 31, 2014, Minnesota Power had a coal inventory of 1.0 million tons (0.4 million tons as of December 31, 2013). Fuel inventory was low throughout much of 2014 due to rail service delays. Minnesota Power filed a notice of fuel supply emergency with the U.S. Department of Energy on September 22, 2014, in response to inadequate rail deliveries. Rail deliveries increased late in 2014, building inventories to normal levels by year end 2014. Minnesota Power’s coal supply agreements have expiration dates through 2015. In 2015, Minnesota Power expects to obtain coal under these coal supply agreements and in the spot market. Minnesota Power also continues to explore other future coal supply options. We believe that adequate supplies of low-sulfur, sub-bituminous coal will continue to be available.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also has transportation agreements in place for the delivery of a significant portion of its coal requirements. These transportation agreements have expiration dates through 2015. Minnesota Power is currently in discussions regarding the extension of our coal supply and transportation contracts beyond 2015. The delivered costs of fuel for Minnesota Power’s generation are recoverable from Minnesota Power’s utility customers through the fuel adjustment clause.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Coal Delivered to Minnesota Power</w:t>
            </w:r>
          </w:p>
        </w:tc>
        <w:tc>
          <w:tcPr>
            <w:tcW w:w="3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6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Ton</w:t>
            </w:r>
          </w:p>
        </w:tc>
        <w:tc>
          <w:tcPr>
            <w:tcW w:w="3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$26.52</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$28.90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Average Price per MBtu</w:t>
            </w:r>
          </w:p>
        </w:tc>
        <w:tc>
          <w:tcPr>
            <w:tcW w:w="3600" w:type="dxa"/>
            <w:vAlign w:val="bottom"/>
          </w:tcPr>
          <w:p>
            <w:pPr>
              <w:jc w:val="right"/>
              <w:ind w:right="350"/>
              <w:spacing w:after="0"/>
              <w:rPr>
                <w:sz w:val="20"/>
                <w:szCs w:val="20"/>
                <w:color w:val="auto"/>
              </w:rPr>
            </w:pPr>
            <w:r>
              <w:rPr>
                <w:rFonts w:ascii="Arial" w:cs="Arial" w:eastAsia="Arial" w:hAnsi="Arial"/>
                <w:sz w:val="18"/>
                <w:szCs w:val="18"/>
                <w:color w:val="auto"/>
              </w:rPr>
              <w:t>$1.47</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including output from certain coal,</w:t>
      </w:r>
      <w:r>
        <w:rPr>
          <w:rFonts w:ascii="Arial" w:cs="Arial" w:eastAsia="Arial" w:hAnsi="Arial"/>
          <w:sz w:val="18"/>
          <w:szCs w:val="18"/>
          <w:b w:val="1"/>
          <w:bCs w:val="1"/>
          <w:color w:val="auto"/>
        </w:rPr>
        <w:t xml:space="preserve"> </w:t>
      </w:r>
      <w:r>
        <w:rPr>
          <w:rFonts w:ascii="Arial" w:cs="Arial" w:eastAsia="Arial" w:hAnsi="Arial"/>
          <w:sz w:val="18"/>
          <w:szCs w:val="18"/>
          <w:color w:val="auto"/>
        </w:rPr>
        <w:t>wind and hydro generating facilities.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Under the long-term agreement with Square Butte, which expires at the end of 2026, Minnesota Power is entitled to 50 percent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output of a 455-MW coal-fired generating unit located near Center, North Dakota. (See Note 12. Commitments, Guarantees and Contingencies.) BNI Coal supplies lignite coal to Square Butte. This lignite supply is sufficient to provide fuel for the anticipated useful life of the generating unit. Square Butte’s cost of lignite burned in 2014 was approximately $1.63 per MBtu. (See Electric Sales/Customers–</w:t>
      </w:r>
      <w:r>
        <w:rPr>
          <w:rFonts w:ascii="Arial" w:cs="Arial" w:eastAsia="Arial" w:hAnsi="Arial"/>
          <w:sz w:val="17"/>
          <w:szCs w:val="17"/>
          <w:i w:val="1"/>
          <w:iCs w:val="1"/>
          <w:color w:val="auto"/>
        </w:rPr>
        <w:t>Minnkota Power Sales Agreement</w:t>
      </w:r>
      <w:r>
        <w:rPr>
          <w:rFonts w:ascii="Arial" w:cs="Arial" w:eastAsia="Arial" w:hAnsi="Arial"/>
          <w:sz w:val="17"/>
          <w:szCs w:val="17"/>
          <w:color w:val="auto"/>
        </w:rPr>
        <w: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from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Minnesota Power entered into two long-term wind PPAs with an affiliate of NextEra Energy, Inc. to purchase the output from</w:t>
      </w:r>
      <w:r>
        <w:rPr>
          <w:rFonts w:ascii="Arial" w:cs="Arial" w:eastAsia="Arial" w:hAnsi="Arial"/>
          <w:sz w:val="18"/>
          <w:szCs w:val="18"/>
          <w:i w:val="1"/>
          <w:iCs w:val="1"/>
          <w:color w:val="auto"/>
        </w:rPr>
        <w:t xml:space="preserve"> </w:t>
      </w:r>
      <w:r>
        <w:rPr>
          <w:rFonts w:ascii="Arial" w:cs="Arial" w:eastAsia="Arial" w:hAnsi="Arial"/>
          <w:sz w:val="18"/>
          <w:szCs w:val="18"/>
          <w:color w:val="auto"/>
        </w:rPr>
        <w:t>Oliver Wind I (50 MW) and Oliver Wind II (48 MW)–wind facilities located near Center, North Dakota that expire in 2031 and 2032, respectively. Each agreement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2011, Minnesota Power and Manitoba Hydro signed an additional long-term PPA. The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Construction of Manitoba Hydro’s hydroelectric generation facility commenced in the third quarter of 2014. (See Item 1. Business – Regulated Operations – Transmission and Distribution.)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Purchased Power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2014, Minnesota Power and Manitoba Hydro signed a long-term PPA that provides for Minnesota Power to purchase up to 133 MW of energy from Manitoba Hydro for 20 years beginning in 2020. The agreement was approved by the MPUC in an order dated January 30, 2015, and is subject to the construction of the GNTL.</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Great River Energy PPAs. </w:t>
      </w:r>
      <w:r>
        <w:rPr>
          <w:rFonts w:ascii="Arial" w:cs="Arial" w:eastAsia="Arial" w:hAnsi="Arial"/>
          <w:sz w:val="16"/>
          <w:szCs w:val="16"/>
          <w:color w:val="auto"/>
        </w:rPr>
        <w:t>In August 2014 and January 2015, Minnesota Power and Great River Energy signed long-term PPAs that provide for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to purchase 50 MW of capacity and energy under the first PPA and 50 MW of capacity only under the second PPA. The PPAs commence in June 2016 and expire in May 2020. Both contracts have fixed capacity pricing. The energy price in the first PPA is based on a formula that includes an annual fixed price component adjusted for changes in a natural gas index as well as market prices. Both PPAs are subject to MPUC approval.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electric transmission and distribution lines of 500 kV (8 miles), 345 kV (107 miles), 250 kV (465 miles), 230 kV (714 miles), 161 kV (43 miles), 138 kV (130 miles), 115 kV (1,271 miles) and less than 115 kV (6,276 miles). We own and operate 174 substations with a total capacity of 10,651 megavoltamperes. Some of our transmission and distribution lines interconnect with other utilities.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is currently participating in the construction of one CapX2020 transmission line project. Minnesota Power also participated in two CapX2020 projects which were previously completed and placed into service in 2011 and 2012. In June 2011, the MPUC approved the route permit for the Minnesota portion of the Fargo to St. Cloud project, of which the final phase is currently under construction and expected to be in service in the second quarter of 2015.</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projected costs of the three transmission line projects and the allocation agreements among participating utilities, in total Minnesota Power plans to invest approximately $105 million in the CapX2020 initiative through 2015, of which $99 million was spent through December 31, 2014. As future CapX2020 projects are identified, Minnesota Power may elect to participate on a project-by-project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with respect to the GNTL.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wholly-owned subsidiary, Rainy River Energy, owns approximately 8 percent of ATC, a Wisconsin-based utility that owns and maintains electric transmission assets in parts of Wisconsin, Michigan, Minnesota and Illinois. ATC rates are based on a FERC-approved 12.2 percent return on common equity dedicated to utility plant. We account for our investment in ATC under the equity method of accounting. As of December 31, 2014, our equity investment in ATC was $121.1 million ($114.6 million at December 31, 2013). (See Note 6. Investment in ATC.)</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2013, several customer groups located within the MISO service area filed a complaint with the FERC requesting, among other things, a reduction in the base return on equity used by MISO transmission owners, including ATC, to 9.15 percent. ATC's current authorized return on equity is 12.2 percent. In the fourth quarter of 2014, FERC ordered formal hearing proceedings to begin and established a date for potential refunds from November 12, 2013. An initial decision in the complaint is expected by November 30, 2015. In the fourth quarter of 2014, ATC recorded approximately an$18 million refund liability as ATC believes that it is probable that a refund will be required upon ultimate resolution of this matter. The refund liability is subject to adjustment in future periods if assumptions in the estimate change. ATC’s refund liability negatively impacted our Equity Earnings in ATC by approximately $1 million after-tax in 2014. We own approximately 8 percent of ATC and estimate that for every 50 basis point reduction in ATC’s allowed return on equity our equity earnings in ATC would be impacted annually by approximately $0.5 million on an after-tax basis.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2014, ATC updated its 10-year transmission assessment covering the years 2014 through 2023 which identifies a need for between $3.3 and $3.9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the FERC, various independent system operators and state regulatory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own office and service buildings, an energy control center, repair shops, and storerooms in various localities. All of our electric plants are subject to mortgages, which collateralize the outstanding first mortgage bonds of Minnesota Power and SWL&amp;P. All of our generating plants and most of our substations are located on real property owned by us, subject to the lien of a mortgage, whereas most of our electric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4. Jointly-Owned Facilities and Projects.)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the jurisdiction of various regulatory authorities and other organizations. The MPUC has regulatory authority over Minnesota Power’s retail service area in Minnesota, retail rates, retail services, capital structure, issuance of securities and other matters. The FERC has jurisdiction over the licensing of hydroelectric projects, the establishment of rates and charges for transmission of electricity in interstate commerce and electricity sold at wholesale (including the rates for our municipal customers), natural gas transportation, certain accounting and record-keeping practices, certain activities of our regulated utilities, and the operations of ATC. The NERC has been certified by the FERC as the national electric reliability organization and has jurisdiction over certain aspects of the Company’s generation and transmission operations, including cybersecurity relating to generation and transmission reliability. The PSCW has regulatory authority over SWL&amp;P’s retail sales of electricity, natural gas, water, issuances of securities, and other matters. The NDPSC has jurisdiction over site and route permitting of generation and transmission facilities necessary for construction in North Dakota.</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applicable regulatory authorities. Minnesota Power</w:t>
      </w:r>
      <w:r>
        <w:rPr>
          <w:rFonts w:ascii="Arial" w:cs="Arial" w:eastAsia="Arial" w:hAnsi="Arial"/>
          <w:sz w:val="18"/>
          <w:szCs w:val="18"/>
          <w:b w:val="1"/>
          <w:bCs w:val="1"/>
          <w:color w:val="auto"/>
        </w:rPr>
        <w:t xml:space="preserve"> </w:t>
      </w:r>
      <w:r>
        <w:rPr>
          <w:rFonts w:ascii="Arial" w:cs="Arial" w:eastAsia="Arial" w:hAnsi="Arial"/>
          <w:sz w:val="18"/>
          <w:szCs w:val="18"/>
          <w:color w:val="auto"/>
        </w:rPr>
        <w:t>designs its retail electric service rates based on cost of service studies under which allocations are made to the various classes of customers as approved by the MPUC. Nearly all retail sales include billing adjustment clauses, which adjust electric service rates for changes in the cost of fuel and purchased energy, recovery of current and deferred conservation improvement program expenditures and recovery of certain environmental, transmission and renewable expenditures.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published by the Edison Electric Institute (</w:t>
      </w:r>
      <w:r>
        <w:rPr>
          <w:rFonts w:ascii="Arial" w:cs="Arial" w:eastAsia="Arial" w:hAnsi="Arial"/>
          <w:sz w:val="18"/>
          <w:szCs w:val="18"/>
          <w:i w:val="1"/>
          <w:iCs w:val="1"/>
          <w:color w:val="auto"/>
        </w:rPr>
        <w:t>Typical Bills and Average Rates Report – Summer 2014</w:t>
      </w:r>
      <w:r>
        <w:rPr>
          <w:rFonts w:ascii="Arial" w:cs="Arial" w:eastAsia="Arial" w:hAnsi="Arial"/>
          <w:sz w:val="18"/>
          <w:szCs w:val="18"/>
          <w:color w:val="auto"/>
        </w:rPr>
        <w:t xml:space="preserve"> and </w:t>
      </w:r>
      <w:r>
        <w:rPr>
          <w:rFonts w:ascii="Arial" w:cs="Arial" w:eastAsia="Arial" w:hAnsi="Arial"/>
          <w:sz w:val="18"/>
          <w:szCs w:val="18"/>
          <w:i w:val="1"/>
          <w:iCs w:val="1"/>
          <w:color w:val="auto"/>
        </w:rPr>
        <w:t>Rankings – July 1, 2014</w:t>
      </w:r>
      <w:r>
        <w:rPr>
          <w:rFonts w:ascii="Arial" w:cs="Arial" w:eastAsia="Arial" w:hAnsi="Arial"/>
          <w:sz w:val="18"/>
          <w:szCs w:val="18"/>
          <w:color w:val="auto"/>
        </w:rPr>
        <w:t>) ranked Minnesota Power as having the second lowest average retail rates out of 169 utilities in the U.S. and the lowest rates in Minnesota.</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regulatory authority over Minnesota Power’s retail service area in Minnesota, retail rates,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capital structure, issuance of securities and other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Rate Case. </w:t>
      </w:r>
      <w:r>
        <w:rPr>
          <w:rFonts w:ascii="Arial" w:cs="Arial" w:eastAsia="Arial" w:hAnsi="Arial"/>
          <w:sz w:val="18"/>
          <w:szCs w:val="18"/>
          <w:color w:val="auto"/>
        </w:rPr>
        <w:t>Minnesota Power’s current retail rates are based on a 2011 MPUC retail rate order, effective June 1, 2011, that allows for a 10.38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 and a 54.29 percent equity ratio.</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Renewable Cost Recovery Rider. </w:t>
      </w:r>
      <w:r>
        <w:rPr>
          <w:rFonts w:ascii="Arial" w:cs="Arial" w:eastAsia="Arial" w:hAnsi="Arial"/>
          <w:sz w:val="17"/>
          <w:szCs w:val="17"/>
          <w:color w:val="auto"/>
        </w:rPr>
        <w:t>Construction on the 205 MW Bison 4 wind facility in North Dakota was completed with project costs totaling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$333 million through December 31, 2014. With the completion of Bison 4, the Bison Wind Energy Center in North Dakota consists of 497 MW of nameplate capacity. On January 17, 2014, the MPUC approved Minnesota Power’s petition seeking cost recovery for investments and expenditures related to Bison 4. Customer billing rates for our Bison 1, 2, &amp; 3 wind facilities were approved by the MPUC in a December 2013 order. On April 29, 2014 and November 10, 2014, we filed renewable resources factor filings which include updated costs associated with the Bison Wind Energy Center. Upon approval of the filings, we will be authorized to include updated billing rates on customer bills.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29, 2015, the MPUC approved our petition seeking cost recovery for investments and expenditures related to the restoration and repair of Thomson through a renewable resources rider. The total project investment for Thomson is estimated to be approximately $90 million, net of insurance. (See Note 12. Commitments, Guarantees and Contingencies.)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In a November 2013 order, the MPUC approved Minnesota Power’s 2013 Integrated Resource Plan which details our</w:t>
      </w:r>
      <w:r>
        <w:rPr>
          <w:rFonts w:ascii="Arial" w:cs="Arial" w:eastAsia="Arial" w:hAnsi="Arial"/>
          <w:sz w:val="17"/>
          <w:szCs w:val="17"/>
          <w:i w:val="1"/>
          <w:iCs w:val="1"/>
          <w:color w:val="auto"/>
        </w:rPr>
        <w:t xml:space="preserve"> </w:t>
      </w:r>
      <w:r>
        <w:rPr>
          <w:rFonts w:ascii="Arial" w:cs="Arial" w:eastAsia="Arial" w:hAnsi="Arial"/>
          <w:sz w:val="17"/>
          <w:szCs w:val="17"/>
          <w:color w:val="auto"/>
        </w:rPr>
        <w:t>“EnergyForward” strategic plan (see Item 7. Management’s Discussion and Analysis of Financial Condition and Results of Operations – Outlook – EnergyForward), and includes an analysis of a variety of existing and future energy resource alternatives and a projection of customer cost impact by class. Significant elements of the “EnergyForward” plan include major wind investments in North Dakota which were completed in the fourth quarter of 2014 (see Renewable Cost Recovery Rider), installation of emissions control technology at Boswell Unit 4, planning for the proposed GNTL, conversion of Laskin from coal to natural gas in the second quarter of 2015 and retiring Taconite Harbor Unit 3 in the second quarter of 2015. We are required to submit our 2015 Integrated Resource Plan with the MPUC no later than September 1, 2015.</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Boswell Mercury Emissions Reduction Plan. </w:t>
      </w:r>
      <w:r>
        <w:rPr>
          <w:rFonts w:ascii="Arial" w:cs="Arial" w:eastAsia="Arial" w:hAnsi="Arial"/>
          <w:sz w:val="16"/>
          <w:szCs w:val="16"/>
          <w:color w:val="auto"/>
        </w:rPr>
        <w:t>Minnesota Power is implementing a mercury emissions reduction project for Boswell Unit 4 in order to comply</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Minnesota Mercury Emissions Reduction Act and the Federal MATS rule. In August 2012, Minnesota Power filed its mercury emissions reduction plan for Boswell Unit 4 with the MPUC and the MPCA. The plan proposed that Minnesota Power install pollution controls by early 2016 to address both the Minnesota Mercury Emissions Reduction Act requirements and the Federal MATS rule. Costs to implement the Boswell Unit 4 mercury emissions reduction plan are included in the estimated capital expenditures required for compliance with the MATS rule and are estimated to be approximately $250 million, of which $145 million was spent through December 31, 2014. In November 2013, the MPUC issued an order approving the Boswell Unit 4 mercury emissions reduction plan and cost recovery, and establishing an environmental improvement rider. Also in November 2013, environmental intervenors filed a petition for reconsideration with the MPUC which was subsequently denied in an order dated January 17, 2014. The MPUC’s order was affirmed by the Minnesota Court of Appeals on November 3, 2014. In December 2013, Minnesota Power filed a petition with the MPUC to establish customer billing rates for the approved environmental improvement rider based on actual and estimated investments and expenditures, which was approved in an order dated July 2, 2014. On November 26, 2014, we filed an updated environmental improvement factor filing which included updated costs associated with Boswell Unit 4. Upon approval of this filing, we will be authorized to include updated billing rates on customer bills.</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Transmission Cost Recovery Rider. </w:t>
      </w:r>
      <w:r>
        <w:rPr>
          <w:rFonts w:ascii="Arial" w:cs="Arial" w:eastAsia="Arial" w:hAnsi="Arial"/>
          <w:sz w:val="16"/>
          <w:szCs w:val="16"/>
          <w:color w:val="auto"/>
        </w:rPr>
        <w:t>Minnesota Power has an approved cost recovery rider in place for certain transmission investments and expenditures.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 which was approved by the MPUC on January 29,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Great Northern Transmission Line (GNTL). </w:t>
      </w:r>
      <w:r>
        <w:rPr>
          <w:rFonts w:ascii="Arial" w:cs="Arial" w:eastAsia="Arial" w:hAnsi="Arial"/>
          <w:sz w:val="17"/>
          <w:szCs w:val="17"/>
          <w:color w:val="auto"/>
        </w:rPr>
        <w:t>Minnesota Power and Manitoba Hydro have proposed construction of the GNTL, an approximately 220-mile 500</w:t>
      </w:r>
      <w:r>
        <w:rPr>
          <w:rFonts w:ascii="Arial" w:cs="Arial" w:eastAsia="Arial" w:hAnsi="Arial"/>
          <w:sz w:val="17"/>
          <w:szCs w:val="17"/>
          <w:i w:val="1"/>
          <w:iCs w:val="1"/>
          <w:color w:val="auto"/>
        </w:rPr>
        <w:t xml:space="preserve"> </w:t>
      </w:r>
      <w:r>
        <w:rPr>
          <w:rFonts w:ascii="Arial" w:cs="Arial" w:eastAsia="Arial" w:hAnsi="Arial"/>
          <w:sz w:val="17"/>
          <w:szCs w:val="17"/>
          <w:color w:val="auto"/>
        </w:rPr>
        <w:t>kV transmission line, between Manitoba and Minnesota’s Iron Range. The GNTL is subject to various federal and state regulatory approvals. In October 2013, a Certificate of Need application was filed with the MPUC with respect to the GNTL.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 (See Item 1. Business – Regulated Operations – Transmission and Distribution.)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Conservation Improvement Program (CIP). </w:t>
      </w:r>
      <w:r>
        <w:rPr>
          <w:rFonts w:ascii="Arial" w:cs="Arial" w:eastAsia="Arial" w:hAnsi="Arial"/>
          <w:sz w:val="17"/>
          <w:szCs w:val="17"/>
          <w:color w:val="auto"/>
        </w:rPr>
        <w:t>Minnesota requires electric utilities to spend a minimum of 1.5 percent of net gross operating revenues from</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provided in the state on energy CIPs each year. These investments are recovered from certain retail customers through a combination of the conservation cost recovery charge included in retail base rates and a conservation program adjustment, which is adjusted annually through the CIP consolidated filing. The MPUC allows utilities to accumulate, in a deferred account for future cost recovery, all CIP expenditures, any financial incentive earned for cost-effective program achievements, and a carrying charge on the deferred account balance. Minnesota’s Next Generation Energy Act of 2007 included, in addition to the minimum spending requirements, an energy-saving goal of 1.5 percent of net gross annual retail electric energy sales beginning with program year 2010. Minnesota Power refers to the collective conservation programs as the “Power of One”. In June 2013, Minnesota Power submitted a triennial filing for 2014 through 2016, which was subsequently approved by the Minnesota Department of Commerce. Minnesota Power’s CIP investment goal was $6.9 million for 2014 ($6.0 million for 2013 and 2012), with actual spending of $7.2 million in 2014 ($6.4 million in 2013; $6.8 million in 2012). The investment goal for 2015 and 2016 is $7.1 and $7.3 million, respectively.</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the energy savings goal in the Next Generation Energy Act of 2007, the MPUC revised the utility performance incentive to recognize utilities for making progress toward and meeting the energy-savings goals established. This revised incentive mechanism became effective beginning with the 2010 program year. On April 1, 2014, Minnesota Power submitted its 2013 CIP filing that requested a CIP financial incentive of $8.7 million based upon MPUC procedures. The requested CIP financial incentive was approved by the MPUC in a hearing held on July 24, 2014, and was recorded as revenue and as a regulatory asset. The approved financial incentive will be recovered through customer billing rates in 2014 and 2015. In 2013, the CIP financial incentive of $7.1 million was recognized in the fourth quarter. CIP financial incentives are recognized in the period in which the MPUC approves the filing. The MPUC implemented certain limitation of amounts recoverable for the utility performance incentive program for plan years beginning in 2014.</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Federal Energy Regulatory Commission. </w:t>
      </w:r>
      <w:r>
        <w:rPr>
          <w:rFonts w:ascii="Arial" w:cs="Arial" w:eastAsia="Arial" w:hAnsi="Arial"/>
          <w:sz w:val="18"/>
          <w:szCs w:val="18"/>
          <w:color w:val="auto"/>
        </w:rPr>
        <w:t>The FERC has jurisdiction over the licensing of hydroelectric projects, the establishment of rates and charges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of electricity in interstate commerce and electricity sold at wholesale (including the rates for our municipal customers), natural gas transportation, certain accounting and record-keeping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Minnesota Power has 16 non-affiliated municipal customers in Minnesota. SWL&amp;P is a Wisconsin utility and a customer of Minnesota Power. In April 2014, Minnesota Power amended its formula-based wholesale electric sales contract with the Nashwauk Public Utilities Commission, extending the term through June 30, 2026. The electric service agreements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agreement, no termination notice may be given prior to June 30, 2023. Under the agreements with the remaining 15 municipal customers and SWL&amp;P, no termination notices may be given prior to June 30,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and water, issuances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other matters.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SWL&amp;P’s current retail rates are based on a 2012 PSCW retail rate order, effective January 1, 2013, that allows for a 10.9 percent return on common equity.</w:t>
      </w: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Dakota.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Midcontinent Independent System Operator, Inc. </w:t>
      </w:r>
      <w:r>
        <w:rPr>
          <w:rFonts w:ascii="Arial" w:cs="Arial" w:eastAsia="Arial" w:hAnsi="Arial"/>
          <w:sz w:val="18"/>
          <w:szCs w:val="18"/>
          <w:color w:val="auto"/>
        </w:rPr>
        <w:t>Minnesota Power and SWL&amp;P are members of MISO, a regional transmission organization. While</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and SWL&amp;P retain ownership of their respective transmission assets, their transmission networks are under the regional operational control of MISO. Minnesota Power and SWL&amp;P take and provide transmission service under the MISO open access transmission tariff. MISO continues its efforts to standardize rates, terms, and conditions of transmission service over its region, which encompasses all or parts of 15 states and the Canadian province of Manitoba, and over 150,000 MW of generating capacity.</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North American Electric Reliability Corporation. </w:t>
      </w:r>
      <w:r>
        <w:rPr>
          <w:rFonts w:ascii="Arial" w:cs="Arial" w:eastAsia="Arial" w:hAnsi="Arial"/>
          <w:sz w:val="18"/>
          <w:szCs w:val="18"/>
          <w:color w:val="auto"/>
        </w:rPr>
        <w:t>The NERC has been certified by the FERC as the national electric reliability organization. The NERC</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the reliability of the North American bulk power system. The NERC oversees eight regional entities that establish requirements, approved by the FERC, for reliable operation and maintenance of power generation facilities and transmission systems. Minnesota Power is subject to these reliability requirements and can incur significant penalties for non-compliance.</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Midwest Reliability Organization (MRO). </w:t>
      </w:r>
      <w:r>
        <w:rPr>
          <w:rFonts w:ascii="Arial" w:cs="Arial" w:eastAsia="Arial" w:hAnsi="Arial"/>
          <w:sz w:val="16"/>
          <w:szCs w:val="16"/>
          <w:color w:val="auto"/>
        </w:rPr>
        <w:t>Minnesota Power is a member of the MRO, one of the eight regional entities overseen by the NERC. MRO's</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responsibilities are to: ensure compliance with mandatory reliability standards by entities who own, operate, or use the interconnected, international Bulk Power System; conduct assessments of the grid's ability to meet electricity demand in the region; and analyze regional system events.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MRO region spans the Canadian provinces of Saskatchewan and Manitoba, and all or parts of the states of Illinois, Iowa, Minnesota, Michigan, Montana, Nebraska, North Dakota, South Dakota and Wisconsin. The region includes more than 130 organizations that are involved in the production and delivery of power to more than 20 million people. These organizations include municipal utilities, cooperatives, investor-owned utilities, transmission system operators, a federal power marketing agency, Canadian Crown corporations, and independent power producers.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In February 2007, Minnesota enacted a law requiring 25 percent of Minnesota Power’s total retail and municipal energy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we meet the identified state mandate at the lowest cost for customers. Our wind energy facilities consist of our 497 MW Bison Wind Energy Center located in North Dakota placed in service in various phases between 2010 and 2014, and our 25 MW Taconite Ridge Energy Center located in northeastern Minnesota. We also have two long-term wind PPAs with an affiliate of NextEra Energy, Inc. to purchase the output from Oliver Wind I (50 MW) and Oliver Wind II (48 MW) located in North Dakota. Through the strategy outlined in Minnesota Power’s 2013 Integrated Resource Plan, 18 percent of the Company’s total retail and municipal energy sales were supplied by renewable energy sources in 2014. We expect 28 percent of the Company’s total retail and municipal energy sales will be supplied by renewable energy sources in 2015.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Minnesota Solar Energy Standard. </w:t>
      </w:r>
      <w:r>
        <w:rPr>
          <w:rFonts w:ascii="Arial" w:cs="Arial" w:eastAsia="Arial" w:hAnsi="Arial"/>
          <w:sz w:val="16"/>
          <w:szCs w:val="16"/>
          <w:color w:val="auto"/>
        </w:rPr>
        <w:t>In May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industrial customers, to be generated by solar energy by the end of 2020. At least 10 percent of the 1.5 percent mandate must be met by solar energy generated by or procured from solar photovoltaic devices with a nameplate capacity of 20 kilowatts or less. Minnesota Power is in the process of evaluating the potential impact of this legislation on our operations; however, any costs are expected to be recovered in customer 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may be allowed to choose a supplier upon MPUC approval. Minnesota Power serves 11 Large Power facilities over 10 MW, none of which have engaged in a competitive rate process. No other large commercial or small industrial customers in Minnesota Power’s service territory have attempted to seek a provider outside Minnesota Power’s service territory since 1994.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2014, 6 percent of the Company’s electric energy sales were to municipal customers in Minnesota by contract under a formula-based rate approved by FERC. These customers have the right to seek an energy supply from any wholesale electric service provider upon contract expiration. (See Item 1. Business – Regulated Operations – Regulatory Matters.)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FERC has continued with its efforts to promote a more competitive wholesale market through open-access electric transmission and other means. As a result, our electric sales to Other Power Suppliers and our purchases to supply our retail and wholesale load are made in the competitive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91 cities. The remaining cities, villages and towns served by us do not require a franchise to operate. SWL&amp;P serves customers with electric, natural gas and/or water systems in 1 city and 16 villages or towns.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our Energy Infrastructure and Related Services businesses; ALLETE Clean Energy and BNI Coal.</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and Other also includes ALLETE Properties, other business development and corporate expenditures, unallocated interest expense, a small amount of non-rate base generation, approximately 5,000 acres of land in Minnesota, and earnings on cash and investments. Our Energy Infrastructure and Related Services businesses will also include U.S. Water Services, which we acquired in February 2015. (See Outlook.)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 operates independently of Minnesota Power to develop or acquire capital projects aimed at creating energy solutions via wind, solar, biomass, midstream gas and oil infrastructure, among other energy-related projects. ALLETE Clean Energy intends to market to electric utilities, cooperatives, municipalities, independent power marketers and large end-users across North America through long-term contracts or other sale arrangements.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30, 2014, ALLETE Clean Energy acquired wind energy facilities located in Lake Benton, Minnesota (Lake Benton), Storm Lake, Iowa (Storm Lake II) and Condon, Oregon (Condon) for $26.9 million. ALLETE Clean Energy also has an option to acquire a fourth wind energy facility in Armenia Mountain, Pennsylvania (Armenia Mountain), in June 2015.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Lake Benton, Storm Lake II and Condon have 104 MW, 77 MW and 50 MW of generating capability, respectively. Lake Benton and Storm Lake II began commercial operations in 1998,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in June 2015. Armenia Mountain began operations in 2009.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20, 2014, ALLETE Clean Energy acquired a business for $27.0 million which is developing a wind facility near Hettinger, North Dakota. ALLETE Clean Energy will develop and construct a 107 MW wind farm using 43 turbines which will then be sold to Montana-Dakota Utilities Co., a division of MDU Resources Group, Inc., for approximately $200 million. Construction is expected to be completed in December 2015, and the sale is subject to regulatory approvals.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17, 2014, ALLETE Clean Energy acquired a wind facility in Storm Lake, Iowa (Storm Lake I) for $15.0 million, subject to a working capital adjustment. Storm Lake I has 108 MW of generating capability and is located adjacent to Storm Lake II which was acquired in January 2014. The wind facility began commercial operations in 1999 and has a PPA in place for its entire output which expires in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2014, ALLETE Clean Energy signed a purchase agreement to acquire wind facilities in southern Minnesota for approximately $47.5 million. The facilities have 97.5 MW of generating capability and are located near our Lake Benton facility acquired in January 2014. The wind facilities began commercial operations in 2003 and have PPAs in place for the entire output, which expire in 2018 and 2023. The acquisition is expected to close in the first quarter of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Coal</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BNI Coal is a supplier of lignite in North Dakota, producing about 4 million tons annually and has lignite reserves of an estimated 650 million tons. Two electric generating cooperatives, Minnkota Power and Square Butte, presently consume virtually all of BNI Coal’s production of lignite under cost-plus fixed fee coal supply agreements extending to December 31, 2037. (See Item 1. Business – Regulated Operations – Power Supply – Long-Term Purchased Power and Note 12. Commitments, Guarantees and Contingencies.) The mining process disturbs and reclaims between 200 and 250 acres per year. Laws require that the reclaimed land be at least as productive as it was prior to mining. As of December 31, 2014, BNI Coal had a $20.3 million asset reclamation obligation ($12.4 million at December 31, 2013) included in Other Non-Current Liabilities on our Consolidated Balance Sheet. These costs are included in the cost-plus fixed fee contract, for which an asset reclamation cost receivable was included in Other Non-Current Assets on our Consolidated Balance Sheet. The asset reclamation obligation is guaranteed by surety bonds and a letter of credit. (See Note 12. Commitments, Guarantees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represents our Florida real estate investment. Our current strategy for the assets is to complete and maintain key entitlements and infrastructure improvements without requiring significant additional investment, sell the portfolio when opportunities arise and reinvest the proceeds in our growth initiatives. ALLETE does not intend to acquire additional Florida real estate.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 See Item 7. Management’s Discussion and Analysis of Financial Condition and Results of Operations – Outlook for more information on ALLETE Properties’ land holdings.</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certain qualified buyers. At December 31, 2014, outstanding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were $1.2 million, net of reserves, with maturities through 2015. These finance receivables accrue interest at market-based rates and are collateralized by the financed properties.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2014, non-rate base generation consists of 29 MW of generation at Rapids Energy Center. In 2014, we sold 0.1 million MWh of non-rate base generation (0.1 million MWh in 2013 and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Capability</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Non-Rate Base Power Supply</w:t>
            </w:r>
          </w:p>
        </w:tc>
        <w:tc>
          <w:tcPr>
            <w:tcW w:w="2620" w:type="dxa"/>
            <w:vAlign w:val="bottom"/>
          </w:tcPr>
          <w:p>
            <w:pPr>
              <w:jc w:val="center"/>
              <w:ind w:left="1250"/>
              <w:spacing w:after="0"/>
              <w:rPr>
                <w:sz w:val="20"/>
                <w:szCs w:val="20"/>
                <w:color w:val="auto"/>
              </w:rPr>
            </w:pPr>
            <w:r>
              <w:rPr>
                <w:rFonts w:ascii="Arial" w:cs="Arial" w:eastAsia="Arial" w:hAnsi="Arial"/>
                <w:sz w:val="18"/>
                <w:szCs w:val="18"/>
                <w:b w:val="1"/>
                <w:bCs w:val="1"/>
                <w:color w:val="auto"/>
                <w:w w:val="92"/>
              </w:rPr>
              <w:t>Unit No.</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(MW)</w:t>
            </w:r>
          </w:p>
        </w:tc>
      </w:tr>
      <w:tr>
        <w:trPr>
          <w:trHeight w:val="27"/>
        </w:trPr>
        <w:tc>
          <w:tcPr>
            <w:tcW w:w="4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 xml:space="preserve">Rapids Energy Center </w:t>
            </w:r>
            <w:r>
              <w:rPr>
                <w:rFonts w:ascii="Arial" w:cs="Arial" w:eastAsia="Arial" w:hAnsi="Arial"/>
                <w:sz w:val="18"/>
                <w:szCs w:val="18"/>
                <w:i w:val="1"/>
                <w:iCs w:val="1"/>
                <w:color w:val="auto"/>
              </w:rPr>
              <w:t>(a)</w:t>
            </w:r>
          </w:p>
        </w:tc>
        <w:tc>
          <w:tcPr>
            <w:tcW w:w="2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Grand Rapids, MN</w:t>
            </w:r>
          </w:p>
        </w:tc>
        <w:tc>
          <w:tcPr>
            <w:tcW w:w="2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8"/>
                <w:szCs w:val="18"/>
                <w:color w:val="auto"/>
              </w:rPr>
              <w:t xml:space="preserve">Steam – Biomass </w:t>
            </w:r>
            <w:r>
              <w:rPr>
                <w:rFonts w:ascii="Arial" w:cs="Arial" w:eastAsia="Arial" w:hAnsi="Arial"/>
                <w:sz w:val="18"/>
                <w:szCs w:val="18"/>
                <w:i w:val="1"/>
                <w:iCs w:val="1"/>
                <w:color w:val="auto"/>
              </w:rPr>
              <w:t>(b)</w:t>
            </w:r>
          </w:p>
        </w:tc>
        <w:tc>
          <w:tcPr>
            <w:tcW w:w="2620" w:type="dxa"/>
            <w:vAlign w:val="bottom"/>
          </w:tcPr>
          <w:p>
            <w:pPr>
              <w:jc w:val="center"/>
              <w:ind w:left="1250"/>
              <w:spacing w:after="0"/>
              <w:rPr>
                <w:sz w:val="20"/>
                <w:szCs w:val="20"/>
                <w:color w:val="auto"/>
              </w:rPr>
            </w:pPr>
            <w:r>
              <w:rPr>
                <w:rFonts w:ascii="Arial" w:cs="Arial" w:eastAsia="Arial" w:hAnsi="Arial"/>
                <w:sz w:val="18"/>
                <w:szCs w:val="18"/>
                <w:color w:val="auto"/>
                <w:w w:val="95"/>
              </w:rPr>
              <w:t>6 &amp; 7</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1969, 1980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28</w:t>
            </w: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Hydro – Conventional Run-of-River</w:t>
            </w:r>
          </w:p>
        </w:tc>
        <w:tc>
          <w:tcPr>
            <w:tcW w:w="2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5"/>
              </w:rPr>
              <w:t>4 &amp; 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1917, 1948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w:t>
            </w:r>
          </w:p>
        </w:tc>
      </w:tr>
      <w:tr>
        <w:trPr>
          <w:trHeight w:val="20"/>
        </w:trPr>
        <w:tc>
          <w:tcPr>
            <w:tcW w:w="466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net generation is primarily dedicated to the needs of one customer.</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Rapids Energy Center’s fuel supply is supplemented by coal.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New Source Review (NSR). </w:t>
      </w:r>
      <w:r>
        <w:rPr>
          <w:rFonts w:ascii="Arial" w:cs="Arial" w:eastAsia="Arial" w:hAnsi="Arial"/>
          <w:sz w:val="18"/>
          <w:szCs w:val="18"/>
          <w:color w:val="auto"/>
        </w:rPr>
        <w:t>In August 2008, Minnesota Power received a Notice of Violation (NOV) from the EPA asserting violations of the NSR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Clean Air Act at Boswell Units 1, 2, 3 and 4 and Laskin Unit 2. The NOV asserted that seven projects undertaken at these coal-fired plants between the years 1981 and 2000 should have been reviewed under the NSR requirements and that Boswell Unit 4’s Title V permit was violated. In April 2011, Minnesota Power received a NOV alleging that two projects undertaken at Rapids Energy Center in 2004 and 2005 should have been reviewed under the NSR requirements and that the Rapids Energy Center’s Title V permit was violated.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 reached a settlement with the EPA regarding these NOVs and entered into a Consent Decree which was approved by the U.S. District Court for the District of Minnesota (Court) on September 29, 2014. The Consent Decree covers Minnesota Power’s Boswell, Laskin, Taconite Harbor, and Rapids Energy Centers. The Consent Decree provides for more stringent emissions limits at all affected units, the option of refueling, retrofits or retirements at some units, and the addition of 200 MW of wind energy. Minnesota Power is required to spend $4.2 million on environmental mitigation projects over the next five years. Under the terms of the Consent Decree, Minnesota Power also paid a $1.4 million civil penalty which was recognized as an expense in 2013. In 2014, the Company recorded an expense associated with the environmental mitigation projects.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2005, the Company has, and will, invest more than $600 million to reduce sulfur dioxide, nitrogen oxide, mercury and particulate matters emissions at its thermal generation facilities, and between 2010 and 2014 placed in service nearly 500 MW of renewable wind energy, which fulfills certain obligations under the Consent Decree. In addition, Minnesota Power’s EnergyForward plan addresses many of the requirements included in the Consent Decree. Under the EnergyForward plan, Minnesota Power intends to: 1) retire Taconite Harbor Unit 3, 2) convert Laskin from coal to natural gas, and 3) install emission controls at Boswell Unit 4.</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Consent Decree further requires that, by no later than December 31, 2018, Boswell Units 1 and 2 must be retired, refueled, repowered, or emissions rerouted to an existing Boswell scrubber. Minnesota Power estimates that if the units are not retired, capital expenditures could range between $20 million and $40 million. We are evaluating our options with regard to Boswell Units 1 and 2 to comply with the Consent Decree and future anticipated environmental regulations. We are required to notify the EPA no later than December 31, 2016, whether we will retire, refuel, repower or reroute Boswell Units 1 and 2. We believe that future capital expenditures or costs to retire would likely be eligible for recovery in rates over time subject to regulatory approval in a rate proceeding.</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On April 29, 2014, the U.S. Supreme Court issued an opinion reversing an August 2012 U.S. Court of Appeals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D.C. Circuit decision that had vacated the CSAPR. The EPA filed a motion with the U.S. Court of Appeals for the D.C. Circuit on June 26, 2014, to have the stay of CSAPR lifted and the CSAPR compliance deadlines tolled by three years. On October 23, 2014, the U.S. Court of Appeals for the D.C. Circuit granted the EPA's motion, allowing the first compliance period, Phase I, to begin on January 1, 2015, with Phase II beginning in 2017.</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CSAPR requires five states in the eastern half of the United States, including Minnesota, to significantly improve air quality by reducing power plant emissions that contribute to ozone or fine particulate pollution in other states. These states are required to make summertime NO</w:t>
      </w:r>
      <w:r>
        <w:rPr>
          <w:rFonts w:ascii="Arial" w:cs="Arial" w:eastAsia="Arial" w:hAnsi="Arial"/>
          <w:sz w:val="11"/>
          <w:szCs w:val="11"/>
          <w:color w:val="auto"/>
        </w:rPr>
        <w:t>x</w:t>
      </w:r>
      <w:r>
        <w:rPr>
          <w:rFonts w:ascii="Arial" w:cs="Arial" w:eastAsia="Arial" w:hAnsi="Arial"/>
          <w:sz w:val="17"/>
          <w:szCs w:val="17"/>
          <w:color w:val="auto"/>
        </w:rPr>
        <w:t xml:space="preserve"> reductions under the CSAPR ozone season control program. CSAPR does not require installation of controls; rather it requires that facilities have sufficient allowances to cover their emissions on an annual basis. These allowances will be allocated to facilities from each state’s annual budget and can be bought and sold.</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December 2014, the EPA distributed the CSAPR allowances to CSAPR-subject units for the Phase I years (2015 and 2016). Phase II allowances (2017-2020) have not been distributed. Based on our initial accounting of the NO</w:t>
      </w:r>
      <w:r>
        <w:rPr>
          <w:rFonts w:ascii="Arial" w:cs="Arial" w:eastAsia="Arial" w:hAnsi="Arial"/>
          <w:sz w:val="11"/>
          <w:szCs w:val="11"/>
          <w:color w:val="auto"/>
        </w:rPr>
        <w:t>x</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Phase I allowances already issued, and our review of the CSAPR Phase II allowances not yet issued, we currently expect projected generation levels and emission rates will be in compliance in both Phase I and Phase II.</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Regional Haze. </w:t>
      </w:r>
      <w:r>
        <w:rPr>
          <w:rFonts w:ascii="Arial" w:cs="Arial" w:eastAsia="Arial" w:hAnsi="Arial"/>
          <w:sz w:val="18"/>
          <w:szCs w:val="18"/>
          <w:color w:val="auto"/>
        </w:rPr>
        <w:t>The federal Regional Haze Rule requires states to submit SIPs to the EPA to address regional haze visibility impairment in 156 federally-protected parks and wilderness areas. Under the first phase of the Regional Haze Rule, certain large stationary sources, built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legal challenges at both the state and federal levels, there is currently no applicable compliance deadline for the Regional Haze Rule. As part of our 2013 Integrated Resource Plan, which was approved by the MPUC in November 2013, we plan to retire Taconite Harbor Unit 3 in the second quarter of 2015. We believe that the Taconite Harbor Unit 3 retirement will be accomplished before any compliance deadline takes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environmental upgrade to April 1, 2016. Compliance at Boswell Unit 4 to address the final MATS rule is expected to result in capital expenditures of approximately $250 million through 2016, of which $145 million was spent through December 31, 2014. Boswell Unit 3 is also subject to the MATS rule; however, the emission reduction investments completed in 2009 at our Boswell Unit 3 generating unit substantially meet the requirements of the MATS rule. Our “EnergyForward” plan, which was approved as part of our 2013 Integrated Resource Plan by the MPUC in a November 2013 order, also includes the conversion of Laskin Units 1 and 2 to natural gas in 2015 to position the Company for MATS compliance. On January 9, 2014, the MPCA approved Minnesota Power’s application to extend the deadline for Taconite Harbor Unit 3 to comply with MATS to June 1, 2015, in order to align the Unit 3 retirement with MISO’s resource planning year.</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Mercury Emissions Reduction Act. </w:t>
      </w:r>
      <w:r>
        <w:rPr>
          <w:rFonts w:ascii="Arial" w:cs="Arial" w:eastAsia="Arial" w:hAnsi="Arial"/>
          <w:sz w:val="18"/>
          <w:szCs w:val="18"/>
          <w:color w:val="auto"/>
        </w:rPr>
        <w:t>In order to comply with the 2006 Minnesota Mercury Emissions Reduction Act, Minnesota Power must</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a mercury emissions reduction project for Boswell Unit 4 by December 31, 2018. The Boswell Unit 4 environmental upgrade discussed above, which is required to be completed by April 1, 2016 (see Mercury and Air Toxics Standards (MATS) Rule), will fulfill the requirements of the Minnesota Mercury Emissions Reduction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Maximum Achievable Control Technology (Industrial Boiler MACT)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costs for complying with the final rule are not expected to be material at this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On November 25, 2014, the EPA proposed a 65 to 70 parts per billion (ppb) NAAQS for ground level ozone. The EPA is proposing to update both the primary ozone standard and the secondary standard. Both standards would be 8-hour standards set within a range of 65 to 70 ppb. The EPA is also seeking comment on levels for the primary standard as low as 60 ppb. The EPA has announced it will accept comments on all aspects of the proposal, including retaining the existing standard. A final rule is expected to be issued in the fourth quarter of 2015. The costs for complying with the final ozone NAAQS cannot be estimated at this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and Finalized National Ambient Air Quality Standards (NAAQS)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Particulate Matter NAAQS in September 2006. Since then, the EPA has established more stringent 24-hour</w:t>
      </w:r>
      <w:r>
        <w:rPr>
          <w:rFonts w:ascii="Arial" w:cs="Arial" w:eastAsia="Arial" w:hAnsi="Arial"/>
          <w:sz w:val="17"/>
          <w:szCs w:val="17"/>
          <w:i w:val="1"/>
          <w:iCs w:val="1"/>
          <w:color w:val="auto"/>
        </w:rPr>
        <w:t xml:space="preserve"> </w:t>
      </w:r>
      <w:r>
        <w:rPr>
          <w:rFonts w:ascii="Arial" w:cs="Arial" w:eastAsia="Arial" w:hAnsi="Arial"/>
          <w:sz w:val="17"/>
          <w:szCs w:val="17"/>
          <w:color w:val="auto"/>
        </w:rPr>
        <w:t>and annual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standards; the 24-hour coarse particulate matter standard has remained unchanged. In December 2012, the EPA issued a final rule implementing a more stringent annual PM</w:t>
      </w:r>
      <w:r>
        <w:rPr>
          <w:rFonts w:ascii="Arial" w:cs="Arial" w:eastAsia="Arial" w:hAnsi="Arial"/>
          <w:sz w:val="11"/>
          <w:szCs w:val="11"/>
          <w:color w:val="auto"/>
        </w:rPr>
        <w:t>2.5</w:t>
      </w:r>
      <w:r>
        <w:rPr>
          <w:rFonts w:ascii="Arial" w:cs="Arial" w:eastAsia="Arial" w:hAnsi="Arial"/>
          <w:sz w:val="17"/>
          <w:szCs w:val="17"/>
          <w:color w:val="auto"/>
        </w:rPr>
        <w:t xml:space="preserve"> standard, while retaining the current 24-hour PM</w:t>
      </w:r>
      <w:r>
        <w:rPr>
          <w:rFonts w:ascii="Arial" w:cs="Arial" w:eastAsia="Arial" w:hAnsi="Arial"/>
          <w:sz w:val="11"/>
          <w:szCs w:val="11"/>
          <w:color w:val="auto"/>
        </w:rPr>
        <w:t>2.5</w:t>
      </w:r>
      <w:r>
        <w:rPr>
          <w:rFonts w:ascii="Arial" w:cs="Arial" w:eastAsia="Arial" w:hAnsi="Arial"/>
          <w:sz w:val="17"/>
          <w:szCs w:val="17"/>
          <w:color w:val="auto"/>
        </w:rPr>
        <w:t xml:space="preserve"> standard. To implement the new annual PM</w:t>
      </w:r>
      <w:r>
        <w:rPr>
          <w:rFonts w:ascii="Arial" w:cs="Arial" w:eastAsia="Arial" w:hAnsi="Arial"/>
          <w:sz w:val="11"/>
          <w:szCs w:val="11"/>
          <w:color w:val="auto"/>
        </w:rPr>
        <w:t>2.5</w:t>
      </w:r>
      <w:r>
        <w:rPr>
          <w:rFonts w:ascii="Arial" w:cs="Arial" w:eastAsia="Arial" w:hAnsi="Arial"/>
          <w:sz w:val="17"/>
          <w:szCs w:val="17"/>
          <w:color w:val="auto"/>
        </w:rPr>
        <w:t xml:space="preserve"> standard, the EPA is also revising aspects of relevant monitoring, designation and permitting requirements. New projects and permits must comply with the new standard, which is generally demonstrated by modeling at the facility level.</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The EPA asked states to submit attainment designations by December 2013, based on already available monitoring data. The EPA issued designations of 2012 fine particulate attainment status on December 18, 2014. Minnesota retained attainment status; however, Minnesota sources may ultimately be required to reduce their emissions to assist with attainment in neighboring states. Accordingly, the costs for complying with the final Particulate Matter NAAQS cannot be estimated at this time.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NAAQS. </w:t>
      </w:r>
      <w:r>
        <w:rPr>
          <w:rFonts w:ascii="Arial" w:cs="Arial" w:eastAsia="Arial" w:hAnsi="Arial"/>
          <w:sz w:val="17"/>
          <w:szCs w:val="17"/>
          <w:color w:val="auto"/>
        </w:rPr>
        <w:t>During 2010, the EPA finalized one-hour NAAQS for SO</w:t>
      </w:r>
      <w:r>
        <w:rPr>
          <w:rFonts w:ascii="Arial" w:cs="Arial" w:eastAsia="Arial" w:hAnsi="Arial"/>
          <w:sz w:val="11"/>
          <w:szCs w:val="11"/>
          <w:color w:val="auto"/>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 NO</w:t>
      </w:r>
      <w:r>
        <w:rPr>
          <w:rFonts w:ascii="Arial" w:cs="Arial" w:eastAsia="Arial" w:hAnsi="Arial"/>
          <w:sz w:val="11"/>
          <w:szCs w:val="11"/>
          <w:color w:val="auto"/>
        </w:rPr>
        <w:t>2</w:t>
      </w:r>
      <w:r>
        <w:rPr>
          <w:rFonts w:ascii="Arial" w:cs="Arial" w:eastAsia="Arial" w:hAnsi="Arial"/>
          <w:sz w:val="17"/>
          <w:szCs w:val="17"/>
          <w:color w:val="auto"/>
        </w:rPr>
        <w:t>. Ambient monitoring data indicates that Minnesota will likely be</w:t>
      </w:r>
      <w:r>
        <w:rPr>
          <w:rFonts w:ascii="Arial" w:cs="Arial" w:eastAsia="Arial" w:hAnsi="Arial"/>
          <w:sz w:val="17"/>
          <w:szCs w:val="17"/>
          <w:i w:val="1"/>
          <w:iCs w:val="1"/>
          <w:color w:val="auto"/>
        </w:rPr>
        <w:t xml:space="preserve"> </w:t>
      </w:r>
      <w:r>
        <w:rPr>
          <w:rFonts w:ascii="Arial" w:cs="Arial" w:eastAsia="Arial" w:hAnsi="Arial"/>
          <w:sz w:val="17"/>
          <w:szCs w:val="17"/>
          <w:color w:val="auto"/>
        </w:rPr>
        <w:t>in compliance with these new standards; however, the one-hour SO</w:t>
      </w:r>
      <w:r>
        <w:rPr>
          <w:rFonts w:ascii="Arial" w:cs="Arial" w:eastAsia="Arial" w:hAnsi="Arial"/>
          <w:sz w:val="11"/>
          <w:szCs w:val="11"/>
          <w:color w:val="auto"/>
        </w:rPr>
        <w:t>2</w:t>
      </w:r>
      <w:r>
        <w:rPr>
          <w:rFonts w:ascii="Arial" w:cs="Arial" w:eastAsia="Arial" w:hAnsi="Arial"/>
          <w:sz w:val="17"/>
          <w:szCs w:val="17"/>
          <w:color w:val="auto"/>
        </w:rPr>
        <w:t xml:space="preserve"> NAAQS also may require the EPA to evaluate modeling data to determine attainment. In April 2012, the MPCA notified Minnesota Power that modeling had been suspended as a result of the EPA’s announcement that the SIP submittals would not require modeling demonstrations for states, such as Minnesota, where ambient monitors indicate compliance with the new standard. The EPA notified states that their infrastructure SIPs for maintaining attainment of the standard were required to be submitted to the EPA for approval by June 2013. However, the State of Minnesota has delayed completing the documents pending EPA guidance to states for preparing the SIP submittal. The MPCA has indicated it will communicate with affected sources once it has more information on how the state will meet the EPA’s SIP requirements. Guidance was expected in 2013 but has been delayed. Currently, compliance with these new NAAQS is expected to be required as early as 2017. The costs for complying with the final standards cannot be estimated at this time.</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2014, the Fond du Lac Band of Lake Superior Chippewa (Band) announced that it had petitioned the EPA to redesignate its reservation air shed from Class II to Class I air quality pursuant to Section 164(c) of the Clean Air Act. The Band does not currently possess authority to directly regulate air quality. Federal Class I air shed status, if granted, would allow the Band to impose more stringent Clean Air Act protections within the boundaries of the Fond du Lac reservation, including the reservation air shed, near Cloquet, Minnesota. Five other reservations across the U.S. have applied for and received Class I status. A public hearing was held by the Band on October 2, 2014, and the public comment period on the petition expired on November 10, 2014. The Band is now preparing responses to the comments after which the Band will make a formal submittal request to the EPA. There is no deadline for the approval, denial, or modification of the request by the EPA. The Company has requested additional clarification from the Band and the MPCA on the final regulatory structure that may arise from a Class I redesignation. We are unable to determine the impact of potential Class I status on the Company’s operations at this time.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May 2010, the EPA issued the Prevention of Significant Deterioration (PSD) and Title V Greenhouse Gas Tailoring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U.S. Supreme Court invalidated the aspect of the Tailoring Rule that established lower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2014, the EPA announced a proposed rule under Section 111(d) of the Clean Air Act for existing power plants entitled “Carbon Pollution Emission Guidelines for Existing Stationary Sources: Electric Generating Units” (CPP). The EPA is expected to finalize such rules by the summer of 2015. In the CPP, the EPA proposes to set state-specific goals for CO</w:t>
      </w:r>
      <w:r>
        <w:rPr>
          <w:rFonts w:ascii="Arial" w:cs="Arial" w:eastAsia="Arial" w:hAnsi="Arial"/>
          <w:sz w:val="11"/>
          <w:szCs w:val="11"/>
          <w:color w:val="auto"/>
        </w:rPr>
        <w:t>2</w:t>
      </w:r>
      <w:r>
        <w:rPr>
          <w:rFonts w:ascii="Arial" w:cs="Arial" w:eastAsia="Arial" w:hAnsi="Arial"/>
          <w:sz w:val="16"/>
          <w:szCs w:val="16"/>
          <w:color w:val="auto"/>
        </w:rPr>
        <w:t xml:space="preserve"> emissions from the power sector. The EPA maintains such goals are achievable if a state undertakes a combination of measures across its power sector that constitute the EPA’s guideline for a Best System of Emission Reductions (BSER).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EPA proposed that BSER is comprised of four building blocks: 1) improved fossil fuel power plant efficiency, 2) increased reliance on low-emitting power sources by generating more electricity from existing natural gas combined cycle units, 3) building more or preserving existing zero- and low-emitting power sources, including renewable and nuclear energy, and 4) more efficient electricity use by consumers.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EPA then established state goals, expressed as a carbon intensity target in CO</w:t>
      </w:r>
      <w:r>
        <w:rPr>
          <w:rFonts w:ascii="Arial" w:cs="Arial" w:eastAsia="Arial" w:hAnsi="Arial"/>
          <w:sz w:val="11"/>
          <w:szCs w:val="11"/>
          <w:color w:val="auto"/>
        </w:rPr>
        <w:t>2</w:t>
      </w:r>
      <w:r>
        <w:rPr>
          <w:rFonts w:ascii="Arial" w:cs="Arial" w:eastAsia="Arial" w:hAnsi="Arial"/>
          <w:sz w:val="16"/>
          <w:szCs w:val="16"/>
          <w:color w:val="auto"/>
        </w:rPr>
        <w:t xml:space="preserve"> tons per megawatt hour, by estimating the achievability of the building blocks in each state. Using 2012 emissions data, the EPA derived interim goals for states to be met over the years 2020-2029, as well as a final goal to be met in 2030 and thereafter. Under the CPP, each state would be required to develop a state implementation plan by June 30, 2016. Minnesota Power is currently evaluating the CPP as it relates to the State of Minnesota and its potential impact on the Company. We submitted comments on the CPP to the EPA.</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has already initiated several measures consistent with those called for under the CAP and CPP. Minnesota Power is implementing its “EnergyForward” strategic plan that provides for significant emission reductions and diversifying its electricity generation mix to include more renewable and natural gas energy. (See Regulated Operations - EnergyForward.)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On April 14, 2014, a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power purchase agreements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The State of Minnesota appealed the decision to the U.S. Court of Appeals for the Eighth Circuit on May 16,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published in the Federal Register on August 15, 2014, with an effective date of October 14, 2014. The Section 316(b) standards will be implemented through NPDES permits issued to the covered facilities with compliance timing dependent on individual NPDES renewal schedules. No NPDEC permits have been re-issued containing 316(b) requirements since the final rule was published, so at this time we are unable to determine the final cost of compliance; however, our preliminary assessment suggests costs of compliance could be up to approximately $15 million. We would seek recovery of any additional costs through a general rate case.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In April 2013, the EPA announced proposed revisions to the federal effluent guidelines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in June 2013, and public comments were due in September 2013. The EPA is expected to issue the final rule by September 30, 2015. Compliance with the final rule, as proposed,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generates coal ash at all five of its coal-fired electric generating facilities. Two facilities store ash in</w:t>
      </w:r>
      <w:r>
        <w:rPr>
          <w:rFonts w:ascii="Arial" w:cs="Arial" w:eastAsia="Arial" w:hAnsi="Arial"/>
          <w:sz w:val="18"/>
          <w:szCs w:val="18"/>
          <w:i w:val="1"/>
          <w:iCs w:val="1"/>
          <w:color w:val="auto"/>
        </w:rPr>
        <w:t xml:space="preserve"> </w:t>
      </w:r>
      <w:r>
        <w:rPr>
          <w:rFonts w:ascii="Arial" w:cs="Arial" w:eastAsia="Arial" w:hAnsi="Arial"/>
          <w:sz w:val="18"/>
          <w:szCs w:val="18"/>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(CCR) generated by the electric utility sector. The proposal sought comments on three general regulatory schemes for coal ash under Subtitle D of Resource Conservation and Recovery Act (RCRA) (non-hazardous) or Subtitle C of RCRA (hazardous).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Solid and Hazardous Waste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EPA issued the final CCR rule on December 19, 2014 under Subtitle D (non-hazardous) of RCRA. The rule includes additional requirements for new landfill and impoundment construction as well as closure activities related to certain existing impoundments. The final rule also includes provisions that could incentivize early closure of existing impoundments within a three-year window. Costs of compliance, primarily for Boswell and Laskin, could be up to approximately $130 million. The Company continues to work on minimizing costs on behalf of customers through evaluation of beneficial re-use and recycling of CCR and CCR-related waters. We would seek recovery of any additional costs through a general rate case.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ALLETE had 1,625 employees, of which 1,581 were full-time.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586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Coal has 172 employees, of which 125 are members of IBEW Local 1593. The current labor agreement with IBEW Local 1593 expires on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4240" w:type="dxa"/>
            <w:vAlign w:val="bottom"/>
          </w:tcPr>
          <w:p>
            <w:pPr>
              <w:spacing w:after="0"/>
              <w:rPr>
                <w:sz w:val="20"/>
                <w:szCs w:val="20"/>
                <w:color w:val="auto"/>
              </w:rPr>
            </w:pPr>
          </w:p>
        </w:tc>
      </w:tr>
      <w:tr>
        <w:trPr>
          <w:trHeight w:val="432"/>
        </w:trPr>
        <w:tc>
          <w:tcPr>
            <w:tcW w:w="7180" w:type="dxa"/>
            <w:vAlign w:val="bottom"/>
          </w:tcPr>
          <w:p>
            <w:pPr>
              <w:spacing w:after="0"/>
              <w:rPr>
                <w:sz w:val="20"/>
                <w:szCs w:val="20"/>
                <w:color w:val="auto"/>
              </w:rPr>
            </w:pPr>
            <w:r>
              <w:rPr>
                <w:rFonts w:ascii="Arial" w:cs="Arial" w:eastAsia="Arial" w:hAnsi="Arial"/>
                <w:sz w:val="18"/>
                <w:szCs w:val="18"/>
                <w:color w:val="auto"/>
              </w:rPr>
              <w:t>As of February 17, 2015, these are the executive officers of ALLETE:</w:t>
            </w:r>
          </w:p>
        </w:tc>
        <w:tc>
          <w:tcPr>
            <w:tcW w:w="4240" w:type="dxa"/>
            <w:vAlign w:val="bottom"/>
          </w:tcPr>
          <w:p>
            <w:pPr>
              <w:spacing w:after="0"/>
              <w:rPr>
                <w:sz w:val="24"/>
                <w:szCs w:val="24"/>
                <w:color w:val="auto"/>
              </w:rPr>
            </w:pPr>
          </w:p>
        </w:tc>
      </w:tr>
      <w:tr>
        <w:trPr>
          <w:trHeight w:val="378"/>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4240" w:type="dxa"/>
            <w:vAlign w:val="bottom"/>
          </w:tcPr>
          <w:p>
            <w:pPr>
              <w:ind w:left="2100"/>
              <w:spacing w:after="0"/>
              <w:rPr>
                <w:sz w:val="20"/>
                <w:szCs w:val="20"/>
                <w:color w:val="auto"/>
              </w:rPr>
            </w:pPr>
            <w:r>
              <w:rPr>
                <w:rFonts w:ascii="Arial" w:cs="Arial" w:eastAsia="Arial" w:hAnsi="Arial"/>
                <w:sz w:val="18"/>
                <w:szCs w:val="18"/>
                <w:b w:val="1"/>
                <w:bCs w:val="1"/>
                <w:color w:val="auto"/>
              </w:rPr>
              <w:t>Initial Effective Date</w:t>
            </w:r>
          </w:p>
        </w:tc>
      </w:tr>
      <w:tr>
        <w:trPr>
          <w:trHeight w:val="27"/>
        </w:trPr>
        <w:tc>
          <w:tcPr>
            <w:tcW w:w="7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64"/>
        </w:trPr>
        <w:tc>
          <w:tcPr>
            <w:tcW w:w="718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Alan R. Hodnik, Age 55</w:t>
            </w:r>
          </w:p>
        </w:tc>
        <w:tc>
          <w:tcPr>
            <w:tcW w:w="42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Chairman, President and Chief Executive Officer</w:t>
            </w:r>
          </w:p>
        </w:tc>
        <w:tc>
          <w:tcPr>
            <w:tcW w:w="4240" w:type="dxa"/>
            <w:vAlign w:val="bottom"/>
          </w:tcPr>
          <w:p>
            <w:pPr>
              <w:ind w:left="2100"/>
              <w:spacing w:after="0"/>
              <w:rPr>
                <w:sz w:val="20"/>
                <w:szCs w:val="20"/>
                <w:color w:val="auto"/>
              </w:rPr>
            </w:pPr>
            <w:r>
              <w:rPr>
                <w:rFonts w:ascii="Arial" w:cs="Arial" w:eastAsia="Arial" w:hAnsi="Arial"/>
                <w:sz w:val="18"/>
                <w:szCs w:val="18"/>
                <w:color w:val="auto"/>
              </w:rPr>
              <w:t>May 10, 2011</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240" w:type="dxa"/>
            <w:vAlign w:val="bottom"/>
          </w:tcPr>
          <w:p>
            <w:pPr>
              <w:ind w:left="2100"/>
              <w:spacing w:after="0"/>
              <w:rPr>
                <w:sz w:val="20"/>
                <w:szCs w:val="20"/>
                <w:color w:val="auto"/>
              </w:rPr>
            </w:pPr>
            <w:r>
              <w:rPr>
                <w:rFonts w:ascii="Arial" w:cs="Arial" w:eastAsia="Arial" w:hAnsi="Arial"/>
                <w:sz w:val="18"/>
                <w:szCs w:val="18"/>
                <w:color w:val="auto"/>
              </w:rPr>
              <w:t>May 1, 2010</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President</w:t>
            </w:r>
          </w:p>
        </w:tc>
        <w:tc>
          <w:tcPr>
            <w:tcW w:w="4240" w:type="dxa"/>
            <w:vAlign w:val="bottom"/>
          </w:tcPr>
          <w:p>
            <w:pPr>
              <w:ind w:left="2100"/>
              <w:spacing w:after="0"/>
              <w:rPr>
                <w:sz w:val="20"/>
                <w:szCs w:val="20"/>
                <w:color w:val="auto"/>
              </w:rPr>
            </w:pPr>
            <w:r>
              <w:rPr>
                <w:rFonts w:ascii="Arial" w:cs="Arial" w:eastAsia="Arial" w:hAnsi="Arial"/>
                <w:sz w:val="18"/>
                <w:szCs w:val="18"/>
                <w:color w:val="auto"/>
              </w:rPr>
              <w:t>May 1, 2009</w:t>
            </w:r>
          </w:p>
        </w:tc>
      </w:tr>
      <w:tr>
        <w:trPr>
          <w:trHeight w:val="297"/>
        </w:trPr>
        <w:tc>
          <w:tcPr>
            <w:tcW w:w="71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Robert J. Adams, Age 52</w:t>
            </w:r>
          </w:p>
        </w:tc>
        <w:tc>
          <w:tcPr>
            <w:tcW w:w="42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Vice President – Energy-Centric Businesses and Chief Risk Officer</w:t>
            </w:r>
          </w:p>
        </w:tc>
        <w:tc>
          <w:tcPr>
            <w:tcW w:w="4240" w:type="dxa"/>
            <w:vAlign w:val="bottom"/>
          </w:tcPr>
          <w:p>
            <w:pPr>
              <w:ind w:left="2100"/>
              <w:spacing w:after="0"/>
              <w:rPr>
                <w:sz w:val="20"/>
                <w:szCs w:val="20"/>
                <w:color w:val="auto"/>
              </w:rPr>
            </w:pPr>
            <w:r>
              <w:rPr>
                <w:rFonts w:ascii="Arial" w:cs="Arial" w:eastAsia="Arial" w:hAnsi="Arial"/>
                <w:sz w:val="18"/>
                <w:szCs w:val="18"/>
                <w:color w:val="auto"/>
              </w:rPr>
              <w:t>June 23, 2014</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Vice President – Business Development and Chief Risk Officer</w:t>
            </w:r>
          </w:p>
        </w:tc>
        <w:tc>
          <w:tcPr>
            <w:tcW w:w="4240" w:type="dxa"/>
            <w:vAlign w:val="bottom"/>
          </w:tcPr>
          <w:p>
            <w:pPr>
              <w:ind w:left="2100"/>
              <w:spacing w:after="0"/>
              <w:rPr>
                <w:sz w:val="20"/>
                <w:szCs w:val="20"/>
                <w:color w:val="auto"/>
              </w:rPr>
            </w:pPr>
            <w:r>
              <w:rPr>
                <w:rFonts w:ascii="Arial" w:cs="Arial" w:eastAsia="Arial" w:hAnsi="Arial"/>
                <w:sz w:val="18"/>
                <w:szCs w:val="18"/>
                <w:color w:val="auto"/>
              </w:rPr>
              <w:t>May 13, 2008</w:t>
            </w:r>
          </w:p>
        </w:tc>
      </w:tr>
      <w:tr>
        <w:trPr>
          <w:trHeight w:val="297"/>
        </w:trPr>
        <w:tc>
          <w:tcPr>
            <w:tcW w:w="71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Deborah A. Amberg, Age 49</w:t>
            </w:r>
          </w:p>
        </w:tc>
        <w:tc>
          <w:tcPr>
            <w:tcW w:w="42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Senior Vice President, General Counsel and Secretary</w:t>
            </w:r>
          </w:p>
        </w:tc>
        <w:tc>
          <w:tcPr>
            <w:tcW w:w="4240" w:type="dxa"/>
            <w:vAlign w:val="bottom"/>
          </w:tcPr>
          <w:p>
            <w:pPr>
              <w:ind w:left="2100"/>
              <w:spacing w:after="0"/>
              <w:rPr>
                <w:sz w:val="20"/>
                <w:szCs w:val="20"/>
                <w:color w:val="auto"/>
              </w:rPr>
            </w:pPr>
            <w:r>
              <w:rPr>
                <w:rFonts w:ascii="Arial" w:cs="Arial" w:eastAsia="Arial" w:hAnsi="Arial"/>
                <w:sz w:val="18"/>
                <w:szCs w:val="18"/>
                <w:color w:val="auto"/>
              </w:rPr>
              <w:t>January 1, 2006</w:t>
            </w:r>
          </w:p>
        </w:tc>
      </w:tr>
      <w:tr>
        <w:trPr>
          <w:trHeight w:val="297"/>
        </w:trPr>
        <w:tc>
          <w:tcPr>
            <w:tcW w:w="71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Steven Q. DeVinck, Age 55</w:t>
            </w:r>
          </w:p>
        </w:tc>
        <w:tc>
          <w:tcPr>
            <w:tcW w:w="42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4240" w:type="dxa"/>
            <w:vAlign w:val="bottom"/>
          </w:tcPr>
          <w:p>
            <w:pPr>
              <w:ind w:left="2100"/>
              <w:spacing w:after="0"/>
              <w:rPr>
                <w:sz w:val="20"/>
                <w:szCs w:val="20"/>
                <w:color w:val="auto"/>
              </w:rPr>
            </w:pPr>
            <w:r>
              <w:rPr>
                <w:rFonts w:ascii="Arial" w:cs="Arial" w:eastAsia="Arial" w:hAnsi="Arial"/>
                <w:sz w:val="18"/>
                <w:szCs w:val="18"/>
                <w:color w:val="auto"/>
              </w:rPr>
              <w:t>March 3, 2014</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Controller and Vice President – Business Support</w:t>
            </w:r>
          </w:p>
        </w:tc>
        <w:tc>
          <w:tcPr>
            <w:tcW w:w="4240" w:type="dxa"/>
            <w:vAlign w:val="bottom"/>
          </w:tcPr>
          <w:p>
            <w:pPr>
              <w:ind w:left="2100"/>
              <w:spacing w:after="0"/>
              <w:rPr>
                <w:sz w:val="20"/>
                <w:szCs w:val="20"/>
                <w:color w:val="auto"/>
              </w:rPr>
            </w:pPr>
            <w:r>
              <w:rPr>
                <w:rFonts w:ascii="Arial" w:cs="Arial" w:eastAsia="Arial" w:hAnsi="Arial"/>
                <w:sz w:val="18"/>
                <w:szCs w:val="18"/>
                <w:color w:val="auto"/>
              </w:rPr>
              <w:t>December 5, 2009</w:t>
            </w:r>
          </w:p>
        </w:tc>
      </w:tr>
      <w:tr>
        <w:trPr>
          <w:trHeight w:val="297"/>
        </w:trPr>
        <w:tc>
          <w:tcPr>
            <w:tcW w:w="71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David J. McMillan, Age 53</w:t>
            </w:r>
          </w:p>
        </w:tc>
        <w:tc>
          <w:tcPr>
            <w:tcW w:w="42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Senior Vice President – External Affairs</w:t>
            </w:r>
          </w:p>
        </w:tc>
        <w:tc>
          <w:tcPr>
            <w:tcW w:w="4240" w:type="dxa"/>
            <w:vAlign w:val="bottom"/>
          </w:tcPr>
          <w:p>
            <w:pPr>
              <w:ind w:left="2100"/>
              <w:spacing w:after="0"/>
              <w:rPr>
                <w:sz w:val="20"/>
                <w:szCs w:val="20"/>
                <w:color w:val="auto"/>
              </w:rPr>
            </w:pPr>
            <w:r>
              <w:rPr>
                <w:rFonts w:ascii="Arial" w:cs="Arial" w:eastAsia="Arial" w:hAnsi="Arial"/>
                <w:sz w:val="18"/>
                <w:szCs w:val="18"/>
                <w:color w:val="auto"/>
              </w:rPr>
              <w:t>January 1, 2012</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Senior Vice President – Marketing, Regulatory and Public Affairs</w:t>
            </w:r>
          </w:p>
        </w:tc>
        <w:tc>
          <w:tcPr>
            <w:tcW w:w="4240" w:type="dxa"/>
            <w:vAlign w:val="bottom"/>
          </w:tcPr>
          <w:p>
            <w:pPr>
              <w:ind w:left="2100"/>
              <w:spacing w:after="0"/>
              <w:rPr>
                <w:sz w:val="20"/>
                <w:szCs w:val="20"/>
                <w:color w:val="auto"/>
              </w:rPr>
            </w:pPr>
            <w:r>
              <w:rPr>
                <w:rFonts w:ascii="Arial" w:cs="Arial" w:eastAsia="Arial" w:hAnsi="Arial"/>
                <w:sz w:val="18"/>
                <w:szCs w:val="18"/>
                <w:color w:val="auto"/>
              </w:rPr>
              <w:t>January 1, 2006</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Executive Vice President – Minnesota Power</w:t>
            </w:r>
          </w:p>
        </w:tc>
        <w:tc>
          <w:tcPr>
            <w:tcW w:w="4240" w:type="dxa"/>
            <w:vAlign w:val="bottom"/>
          </w:tcPr>
          <w:p>
            <w:pPr>
              <w:ind w:left="2100"/>
              <w:spacing w:after="0"/>
              <w:rPr>
                <w:sz w:val="20"/>
                <w:szCs w:val="20"/>
                <w:color w:val="auto"/>
              </w:rPr>
            </w:pPr>
            <w:r>
              <w:rPr>
                <w:rFonts w:ascii="Arial" w:cs="Arial" w:eastAsia="Arial" w:hAnsi="Arial"/>
                <w:sz w:val="18"/>
                <w:szCs w:val="18"/>
                <w:color w:val="auto"/>
              </w:rPr>
              <w:t>January 1, 2006</w:t>
            </w:r>
          </w:p>
        </w:tc>
      </w:tr>
      <w:tr>
        <w:trPr>
          <w:trHeight w:val="297"/>
        </w:trPr>
        <w:tc>
          <w:tcPr>
            <w:tcW w:w="71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Steven W. Morris, Age 53</w:t>
            </w:r>
          </w:p>
        </w:tc>
        <w:tc>
          <w:tcPr>
            <w:tcW w:w="42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Controller</w:t>
            </w:r>
          </w:p>
        </w:tc>
        <w:tc>
          <w:tcPr>
            <w:tcW w:w="4240" w:type="dxa"/>
            <w:vAlign w:val="bottom"/>
          </w:tcPr>
          <w:p>
            <w:pPr>
              <w:ind w:left="2100"/>
              <w:spacing w:after="0"/>
              <w:rPr>
                <w:sz w:val="20"/>
                <w:szCs w:val="20"/>
                <w:color w:val="auto"/>
              </w:rPr>
            </w:pPr>
            <w:r>
              <w:rPr>
                <w:rFonts w:ascii="Arial" w:cs="Arial" w:eastAsia="Arial" w:hAnsi="Arial"/>
                <w:sz w:val="18"/>
                <w:szCs w:val="18"/>
                <w:color w:val="auto"/>
              </w:rPr>
              <w:t>March 3, 2014</w:t>
            </w:r>
          </w:p>
        </w:tc>
      </w:tr>
      <w:tr>
        <w:trPr>
          <w:trHeight w:val="297"/>
        </w:trPr>
        <w:tc>
          <w:tcPr>
            <w:tcW w:w="71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Donald W. Stellmaker, Age 57</w:t>
            </w:r>
          </w:p>
        </w:tc>
        <w:tc>
          <w:tcPr>
            <w:tcW w:w="42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Vice President and Corporate Treasurer</w:t>
            </w:r>
          </w:p>
        </w:tc>
        <w:tc>
          <w:tcPr>
            <w:tcW w:w="4240" w:type="dxa"/>
            <w:vAlign w:val="bottom"/>
          </w:tcPr>
          <w:p>
            <w:pPr>
              <w:ind w:left="2100"/>
              <w:spacing w:after="0"/>
              <w:rPr>
                <w:sz w:val="20"/>
                <w:szCs w:val="20"/>
                <w:color w:val="auto"/>
              </w:rPr>
            </w:pPr>
            <w:r>
              <w:rPr>
                <w:rFonts w:ascii="Arial" w:cs="Arial" w:eastAsia="Arial" w:hAnsi="Arial"/>
                <w:sz w:val="18"/>
                <w:szCs w:val="18"/>
                <w:color w:val="auto"/>
              </w:rPr>
              <w:t>August 19, 2011</w:t>
            </w: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Treasurer</w:t>
            </w:r>
          </w:p>
        </w:tc>
        <w:tc>
          <w:tcPr>
            <w:tcW w:w="4240" w:type="dxa"/>
            <w:vAlign w:val="bottom"/>
          </w:tcPr>
          <w:p>
            <w:pPr>
              <w:ind w:left="2100"/>
              <w:spacing w:after="0"/>
              <w:rPr>
                <w:sz w:val="20"/>
                <w:szCs w:val="20"/>
                <w:color w:val="auto"/>
              </w:rPr>
            </w:pPr>
            <w:r>
              <w:rPr>
                <w:rFonts w:ascii="Arial" w:cs="Arial" w:eastAsia="Arial" w:hAnsi="Arial"/>
                <w:sz w:val="18"/>
                <w:szCs w:val="18"/>
                <w:color w:val="auto"/>
              </w:rPr>
              <w:t>July 24, 2004</w:t>
            </w:r>
          </w:p>
        </w:tc>
      </w:tr>
      <w:tr>
        <w:trPr>
          <w:trHeight w:val="27"/>
        </w:trPr>
        <w:tc>
          <w:tcPr>
            <w:tcW w:w="7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of the executive officers have been employed by us for more than five years in executive or management positions. Prior to election to the position listed above, Mr. Morris held the following positions with the Company during the preceding five years: Director - Accounting; Director - Internal Audit.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 term of office of the executive officers listed above extends to the first meeting of our Board of Directors after the next annual meeting of shareholders. Both meetings are scheduled for May 12,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and uncertainties discussed below could materially affect our business, financial position and results of operations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are filed with the SEC.</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could be negatively impacted if our Large Power Customers experience an economic downturn, incur work stoppages, fail to compete effectively in the economy or experience decreased demand for their product.</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Minnesota Power’s 10 Large Power Customers accounted for 28 percent of our 2014 consolidated operating revenue (31 percent in 2013; 33 percent in 2012), of which one of these customers accounted for 10.8 percent of consolidated revenue in 2014 (12.0 percent in 2013; 12.3 percent in 2012). These customers are involved in cyclical industries that by their nature are adversely impacted by economic downturns and are subject to strong competition in the marketplace. Many of our Large Power Customers also have unionized workforces which put them at risk for work stoppages. In addition, the North American paper and pulp industry also faces declining demand due to the impact of electronic substitution for print and changing customer needs.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if our customers experience an economic downturn, incur a work stoppage (including strikes, lock-outs or other events), fail to compete effectively in the economy, or experience decreased demand for their product, there could be material adverse effects on their operations and, consequently, this could have a negative impact on our results of operations if we are unable to remarket at similar prices the energy that would otherwise have been sold to such Large Power Customers.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utility operations are subject to an extensive legal and regulatory framework under federal and state laws as well as regulations imposed by other organizations that may have a negative impact on our business and results of operations.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subject to an extensive legal and regulatory framework imposed under federal and state law including regulations administered by the FERC, the MPUC, the MPCA, the PSCW, the NDPSC and the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among other things. Energy policy initiatives at the state or federal level could increase incentives for distributed generation, municipal utility ownership, or local initiatives could introduce generation or distribution requirements, that could change the current integrated utility model. Our transmission systems and electric generation facilities are subject to the NERC mandatory reliability standards, including cybersecurity standards. Compliance with these standards may lead to increased operating costs and capital expenditures. If it was determined that we were not in compliance with these mandatory reliability standards or other statutes, rules and orders, we could incur substantial monetary penalties and other sanctions, which could adversely affect our results of operations.</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or the imposition of additional regulations could have a material adverse impact on our results of operations.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rate cases with, or otherwise seek cost recovery authorization from, federal and state regulatory authorities. If Minnesota Power and SWL&amp;P do not receive an adequate amount of rate relief in rate cases, including if rates are reduced, if increased rates are not approved on a timely basis or costs are otherwise unable to be recovered through rates, or if cost recovery is not granted at the requested level, we may experience a material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operations pose certain environmental risks that could materially adversely affect our financial position and results of operations, including effects of environmental laws and regulations, physical risks associated with climate change and initiatives designed to reduce the impact of GHG emissions.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extensive environmental laws and regulations affecting many aspects of our present and future operations, including air quality, water quality and usage, waste management, reclamation, hazardous wastes, avian mortality and natural resources. These laws and regulations can result in increased capital, environmental emission allowance trading, operating and other costs, as a result of compliance, remediation, containment and monitoring obligations, particularly with regard to laws relating to power plant emissions, coal ash, water discharge and wind generation facilities.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and/or lead to other environmental considerations and costs, which could have a material adverse impact on our business, operations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generally require us to obtain and comply with a wide variety of environmental licenses, permits, inspections and other approvals. Both governmental authorities and private parties may seek to enforce applicable environmental laws and regulations. We cannot predict the financial or operational outcome of any related litigation that may arise.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environmental regulations may be revised and new regulations seeking to protect the environment may be adopted or become applicable to us. Revised or additional regulations which result in increased compliance costs or additional operating restrictions, particularly if those costs are not fully recoverable from customers, could have a material adverse effect on our results of operations.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scientific community generally accepts that emissions of GHG are linked to global climate change. Physical risks of climate change, such as more frequent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An extreme weather event within our utility service areas can also directly affect our capital assets, causing disruption in service to customers due to downed wires and poles or damage to other operating equipment. These all have the potential to materially adversely affect our business and operations.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Proposals for voluntary initiatives to reduce GHGs such as CO</w:t>
      </w:r>
      <w:r>
        <w:rPr>
          <w:rFonts w:ascii="Arial" w:cs="Arial" w:eastAsia="Arial" w:hAnsi="Arial"/>
          <w:sz w:val="11"/>
          <w:szCs w:val="11"/>
          <w:color w:val="auto"/>
        </w:rPr>
        <w:t>2</w:t>
      </w:r>
      <w:r>
        <w:rPr>
          <w:rFonts w:ascii="Arial" w:cs="Arial" w:eastAsia="Arial" w:hAnsi="Arial"/>
          <w:sz w:val="17"/>
          <w:szCs w:val="17"/>
          <w:color w:val="auto"/>
        </w:rPr>
        <w:t>, a by-product of burning fossil fuels, have been discussed within Minnesota, among a group of Midwestern states that includes Minnesota and in the United States Congress. In June 2013, President Obama announced a Climate Action Plan (CAP) that calls for implementation of measures 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The implementation of the CAP could have a material impact on our results of operations if additional capital expenditures and operating costs are required and if those costs are not fully recovered from customers.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2014, the EPA announced a proposed rule under Section 111(d) of the Clean Air Act for existing power plants (CPP). In the CPP, the EPA proposes to set state-specific rate-based goals for CO</w:t>
      </w:r>
      <w:r>
        <w:rPr>
          <w:rFonts w:ascii="Arial" w:cs="Arial" w:eastAsia="Arial" w:hAnsi="Arial"/>
          <w:sz w:val="11"/>
          <w:szCs w:val="11"/>
          <w:color w:val="auto"/>
        </w:rPr>
        <w:t>2</w:t>
      </w:r>
      <w:r>
        <w:rPr>
          <w:rFonts w:ascii="Arial" w:cs="Arial" w:eastAsia="Arial" w:hAnsi="Arial"/>
          <w:sz w:val="16"/>
          <w:szCs w:val="16"/>
          <w:color w:val="auto"/>
        </w:rPr>
        <w:t xml:space="preserve"> emissions from the power sector that the EPA maintains are achievable if a state undertakes a combination of measures across its power sector that constitute the EPA’s guideline for a Best System of Emission Reductions. Using 2012 emissions data, the EPA derived interim goals for states to be met over the years 2020-2029, as well as a final goal to be met in 2030 and thereafter. Under the CPP, each state would be required to develop a state implementation plan by June 30, 2016. The implementation of the CPP could have a material impact on our results of operations if additional capital expenditures and operating costs are required and if those costs are not fully recovered from customers.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significant uncertainty regarding whether new laws or regulations will be adopted to reduce GHGs and what effect any such laws or regulations would have on us. In 2014, coal was the primary fuel source for 85 percent of the energy produced by our generating facilities. Future limits on GHG emissions would likely require us to incur significant increases in capital expenditures and operating costs, which if significant, could result in the closure of certain coal-fired energy centers, impairment of assets, or otherwise materially adversely affect our results of operations, particularly if implementation costs are not fully recoverable from customers.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non-compliance.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sufficient capital in the amounts and at the times needed, our ability to execute our business plans, make capital expenditures or pursue other strategic actions that we may otherwise rely on for future growth could be materially adversely affected.</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access to financing sources and capital markets as sources of liquidity for capital requirements not satisfied by our cash flow from operations. If we are not able to access capital on satisfactory terms, or at all, the ability to maintain our business or to implement our business plans may be materially adversely affected. Market disruptions or a downgrade of our credit ratings may increase the cost of borrowing or materially adversely affect our ability to access capital markets. Such disruptions could include a significant economic downturn, the financial distress of non-affiliated electric utility companies or financial services companies, a deterioration in capital market conditions, or volatility in commodity prices.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operation and maintenance of our electric generation and transmission facilities are subject to operational risks that could materially adversely affect our financial position, results of operations and cash flows.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operation of generating facilities involves many risks, including start-up operations risks, breakdown or failure of facilities, the dependence on a specific fuel source, inadequate fuel supply, or availability of fuel transportation, or the impact of unusual or adverse weather conditions or other natural events, as well as the risk of performance below expected levels of output or efficiency. A significant portion of our facilities were constructed many years ago. In particular, older generating equipment, even if maintained in accordance with good engineering practices, may require significant capital expenditures to continue operating at peak efficiency. Generation and transmission facilities and equipment are also likely to require periodic upgrades and improvements due to changing environmental standards and technological advances. We could be subject to costs associated with any unexpected failure to produce and/or deliver power, including failure caused by breakdown or forced outage, as well as repairing damage to facilities due to storms, natural disasters, wars, sabotage, terrorist acts and other catastrophic events.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successfully and timely complete capital improvements to existing facilities or other capital projects is contingent upon many variables.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or may be, engaged in significant capital improvements to its existing electric generation facilities, including the installation of pollution control equipment and the conversion of certain coal-fired electric generation facilities to natural gas. We are also engaged in development and/or construction of new wind and transmission facilities. Should any such efforts be unsuccessful or not completed in a timely manner, we could be subject to additional costs or impairments which could have a material adverse impact on our financial position and results of operation.</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electrical generating operations may not have access to adequate and reliable transmission and distribution facilities necessary to deliver electricity to our customers.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our own transmission and distribution facilities, and facilities owned by other utilities, to deliver the electricity produced and sold to our customers, and to other energy suppliers. If transmission capacity is inadequate, our ability to sell and deliver electricity may be limited. We may have to forgo sales or may have to buy more expensive wholesale electricity that is available in the capacity-constrained area. In addition, any infrastructure failure that interrupts or impairs delivery of electricity to our customers could negatively impact the satisfaction of our customers, which could have a material impact on our business, operations or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and fuel may be volatile.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Volatility in market prices for electricity and fuel could materially adversely impact our financial position and results of operations and may result from:</w:t>
      </w:r>
    </w:p>
    <w:p>
      <w:pPr>
        <w:spacing w:after="0" w:line="2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or unexpected weather conditions and 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outages at our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fuel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fluctuations in fuel expense related to our regulated utility operations are passed on to customers through our fuel clause, risk of volatility in market prices for fuel and electricity primarily impacts our sales to Other Power Suppliers.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attract and retain a qualified workforce including, but not limited to, executive officers, key employees and employees with specialized skills, could have a material adverse effect on our operations.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 We believe we have good relations with our members of IBEW Local 31 and IBEW Local 1593, and have contracts in place through January 31, 2018, and March 31, 2019, respectively.</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postretirement benefit plan assets, which may result in significant additional funding requirements and increased annual expenses.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performance of the capital markets affects the values of the assets that are held in trust to satisfy future obligations under our pension and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postretirement benefit plan assets would increase the funding requirements under our benefit plans if asset returns do not recover. Additionally, our pension and postretirement benefit plan liabilities are sensitive to changes in interest rates. As interest rates decrease, the liabilities increase, potentially increasing benefit expense and funding requirements. Our pension and postretirement benefit plan costs are generally recoverable in our electric rates as allowed by our regulators. However, there is no certainty that regulators will continue to allow recovery of these rising costs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technologies may materially adversely affect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pace of technology development has been increasing, the basic structure of energy production, sale and delivery upon which our business model is based has remained substantially unchanged. The development of new commercially viable technology in areas such as distributed generation, energy storage and energy conservation could significantly decrease demand for our current products and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acts of terrorism or cyber attacks.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generation plants, fuel storage facilities, and transmission and distribution facilities may be targets of terrorist activities, including cybersecurity attacks, which could result in the disruption of our ability to produce or distribute some portion of our energy products. We could be subject to computer viruses, terrorism, theft and sabotage, which may also disrupt our operations and/or materially adversely impact our results of operations. We operate in a highly regulated industry that requires the continued operation of sophisticated information technology systems and network infrastructure. Our technology systems may be vulnerable to disability, failures or unauthorized access due to hacking, viruses, acts of war or terrorism and other causes. If our technology systems were to fail or be breached and we were unable to recover in a timely manner, we may be unable to fulfill critical business functions and sensitive, confidential and other data could be compromised, which could have a material adverse effect on our financial position, results of operations and cash flows.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successfully manage and grow our Energy Infrastructure and Related Services businesses could materially adversely affect our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Energy Infrastructure and Related Services businesses consist of ALLETE Clean Energy, U.S. Water Services and BNI Coal. If we are unable to successfully integrate the U.S. Water Services’ business we acquired in February 2015, this could materially adversely affect our results of operations. U.S. Water Services principally relies upon recurring revenues from a diverse mix of industrial customers. If U.S. Water Services is unable to retain its existing customers and to add new industrial customers, this would prevent us from profitably operating this business and prevent us from achieving our future growth expectations.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ALLETE Clean Energy’s wind facilities are parties to long-term PPAs which expire prior to the end of the estimated useful lives of the facilities. If there is not a market for this energy subsequent to the expiration of the PPAs, this could adversely affect our results of operations.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results from any acquisitions of assets or businesses made by us, or strategic investments that we may make, may not achieve the results that we expect or seek and may materially adversely affect our financial position and results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are subject to uncertainties. If we are unable to successfully manage future acquisitions or strategic investments, this could have a material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16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long-term strategy, we pursue new wholesale and retail loads in and around our service territory. Currently, there are several companies in northeastern Minnesota that are in the process of developing natural resource-based projects that represent long-term growth potential and load diversity for Minnesota Power. These projects may include construction of new facilities and restarts of old facilities, both of which require permitting and/or approvals to be obtained before the projects can be successfully implemented. If a project does not obtain any necessary governmental (including environmental) permits and approvals, our long-term strategy and thus our results of operations could be materially adversely impacted. Furthermore, even if the necessary permits and approvals are obtained, our long-term strategy could be materially adversely impacted if these customers are unable to successfully implement expansion plans.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market conditions where our Florida real estate investment is located may affect our strategy to sell our Florida real estate.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sell our Florida land assets when opportunities arise. However, adverse market conditions could impact our future operations, which could result in little to no sales while still incurring operating expenses such as community development district assessments and property taxes, as well as continued annual net operating losses at ALLETE Properties. Furthermore, weak market conditions could put the properties at risk for impairment which could materially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material regulatory proceedings is included in Item 1. Business and is incorporated by reference herein.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Notice of Potential Clean Air Act Citizen Lawsuit. </w:t>
      </w:r>
      <w:r>
        <w:rPr>
          <w:rFonts w:ascii="Arial" w:cs="Arial" w:eastAsia="Arial" w:hAnsi="Arial"/>
          <w:sz w:val="17"/>
          <w:szCs w:val="17"/>
          <w:color w:val="auto"/>
        </w:rPr>
        <w:t>In July 2013, the Sierra Club submitted to Minnesota Power a notice of intent to file a citizen suit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Clean Air Act, which it supplemented in March 2014.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December 31, 2014, because a potential loss is not currently probable or reasonably estimable.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listed on the NYSE under the symbol ALE. We have paid dividends, without interruption, on our common stock since 1948. A quarterly dividend of $0.505 per share on our common stock is payable on March 1, 2015, to the shareholders of record on February 16, 2015. The timing and amount of future dividends will depend upon earnings, cash requirements, the financial condition of the Company, applicable government regulations and other factors deemed relevant by the ALLETE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dividends declared per share, and the high and low prices of our common stock for the periods indicated as reported by the NYSE: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2014</w:t>
            </w:r>
          </w:p>
        </w:tc>
        <w:tc>
          <w:tcPr>
            <w:tcW w:w="1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2013</w:t>
            </w:r>
          </w:p>
        </w:tc>
        <w:tc>
          <w:tcPr>
            <w:tcW w:w="13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90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Dividends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88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Dividends</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Quarter</w:t>
            </w:r>
          </w:p>
        </w:tc>
        <w:tc>
          <w:tcPr>
            <w:tcW w:w="1880" w:type="dxa"/>
            <w:vAlign w:val="bottom"/>
          </w:tcPr>
          <w:p>
            <w:pPr>
              <w:jc w:val="right"/>
              <w:ind w:right="910"/>
              <w:spacing w:after="0"/>
              <w:rPr>
                <w:sz w:val="20"/>
                <w:szCs w:val="20"/>
                <w:color w:val="auto"/>
              </w:rPr>
            </w:pPr>
            <w:r>
              <w:rPr>
                <w:rFonts w:ascii="Arial" w:cs="Arial" w:eastAsia="Arial" w:hAnsi="Arial"/>
                <w:sz w:val="18"/>
                <w:szCs w:val="18"/>
                <w:b w:val="1"/>
                <w:bCs w:val="1"/>
                <w:color w:val="auto"/>
              </w:rPr>
              <w:t>High</w:t>
            </w: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Low</w:t>
            </w:r>
          </w:p>
        </w:tc>
        <w:tc>
          <w:tcPr>
            <w:tcW w:w="1560" w:type="dxa"/>
            <w:vAlign w:val="bottom"/>
          </w:tcPr>
          <w:p>
            <w:pPr>
              <w:jc w:val="right"/>
              <w:ind w:right="450"/>
              <w:spacing w:after="0"/>
              <w:rPr>
                <w:sz w:val="20"/>
                <w:szCs w:val="20"/>
                <w:color w:val="auto"/>
              </w:rPr>
            </w:pPr>
            <w:r>
              <w:rPr>
                <w:rFonts w:ascii="Arial" w:cs="Arial" w:eastAsia="Arial" w:hAnsi="Arial"/>
                <w:sz w:val="18"/>
                <w:szCs w:val="18"/>
                <w:b w:val="1"/>
                <w:bCs w:val="1"/>
                <w:color w:val="auto"/>
              </w:rPr>
              <w:t>Declared</w:t>
            </w:r>
          </w:p>
        </w:tc>
        <w:tc>
          <w:tcPr>
            <w:tcW w:w="1660" w:type="dxa"/>
            <w:vAlign w:val="bottom"/>
          </w:tcPr>
          <w:p>
            <w:pPr>
              <w:jc w:val="right"/>
              <w:ind w:right="890"/>
              <w:spacing w:after="0"/>
              <w:rPr>
                <w:sz w:val="20"/>
                <w:szCs w:val="20"/>
                <w:color w:val="auto"/>
              </w:rPr>
            </w:pPr>
            <w:r>
              <w:rPr>
                <w:rFonts w:ascii="Arial" w:cs="Arial" w:eastAsia="Arial" w:hAnsi="Arial"/>
                <w:sz w:val="18"/>
                <w:szCs w:val="18"/>
                <w:b w:val="1"/>
                <w:bCs w:val="1"/>
                <w:color w:val="auto"/>
              </w:rPr>
              <w:t>High</w:t>
            </w: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Low</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Declared</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$52.73</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$47.96</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$0.49</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$49.50</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$41.39</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Second</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$52.54</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$47.51</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0.49</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$52.25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$46.85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0.475</w:t>
            </w:r>
          </w:p>
        </w:tc>
      </w:tr>
      <w:tr>
        <w:trPr>
          <w:trHeight w:val="27"/>
        </w:trPr>
        <w:tc>
          <w:tcPr>
            <w:tcW w:w="3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$51.56</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$44.39</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0.49</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$54.14</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$45.78</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Fourth</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$57.97</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$44.19</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0.49</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$51.72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$47.48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0.475</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Total</w:t>
            </w:r>
          </w:p>
        </w:tc>
        <w:tc>
          <w:tcPr>
            <w:tcW w:w="18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$1.96</w:t>
            </w:r>
          </w:p>
        </w:tc>
        <w:tc>
          <w:tcPr>
            <w:tcW w:w="1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0"/>
        </w:trPr>
        <w:tc>
          <w:tcPr>
            <w:tcW w:w="3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February 1, 2015, there were approximately 25,000 common stock shareholders of record.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94"/>
        </w:trPr>
        <w:tc>
          <w:tcPr>
            <w:tcW w:w="4600" w:type="dxa"/>
            <w:vAlign w:val="bottom"/>
          </w:tcPr>
          <w:p>
            <w:pPr>
              <w:spacing w:after="0"/>
              <w:rPr>
                <w:sz w:val="24"/>
                <w:szCs w:val="24"/>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2010</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$1,136.8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$1,018.4</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$961.2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$928.2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$907.0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948.0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864.3</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806.0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778.2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771.2</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125.5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104.7</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97.1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93.6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74.8</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 xml:space="preserve">Less: Non-Controlling Interest in Subsidiaries </w:t>
            </w:r>
            <w:r>
              <w:rPr>
                <w:rFonts w:ascii="Arial" w:cs="Arial" w:eastAsia="Arial" w:hAnsi="Arial"/>
                <w:sz w:val="18"/>
                <w:szCs w:val="18"/>
                <w:i w:val="1"/>
                <w:iCs w:val="1"/>
                <w:color w:val="auto"/>
              </w:rPr>
              <w:t>(a)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0.7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(0.2)</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$124.8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$104.7</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$97.1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$93.8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$83.8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$75.2</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$69.1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$62.1</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$60.8</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Retained in Business</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$41.0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$29.5</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Shares Outstanding – Millions</w:t>
            </w:r>
          </w:p>
        </w:tc>
        <w:tc>
          <w:tcPr>
            <w:tcW w:w="18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Year-End</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45.9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41.4</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39.4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37.5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35.8</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8"/>
                <w:szCs w:val="18"/>
                <w:i w:val="1"/>
                <w:iCs w:val="1"/>
                <w:color w:val="auto"/>
              </w:rPr>
              <w:t>(b)</w:t>
            </w: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39.7</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43.1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39.8</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37.6</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35.4</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34.3</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$2.63</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$4,360.8</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$3,476.8</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$3,253.4</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$2,876.0</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$2,609.1</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$1,272.8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$1,083.0</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$933.6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$857.9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$771.6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Return on Common Equity</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8.3%</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9.1%</w:t>
            </w: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$1.96</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$1.90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$1.84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$1.78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$1.76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Payout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Book Value Per Share at Year-End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$35.04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$32.43</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$30.50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$28.77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$27.25</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by Segment</w:t>
            </w:r>
          </w:p>
        </w:tc>
        <w:tc>
          <w:tcPr>
            <w:tcW w:w="1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$583.5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$326.3</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$418.2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$228.0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$256.4</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and Other</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$604.3</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$339.5</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$432.2</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$246.8</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2014 non-controlling interest in subsidiaries relates to the January 2014 acquisition made by ALLETE Clean Energy. (See Note 7. Acquisitions.) In 2011, the ALLETE Properties non-controlling interest was purchased.</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Excludes unallocated ESOP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“Forward-Looking Statements” located on page 6 and “Risk Factors” located in Item 1A. The risks and uncertainties described in this Form 10-K are not the only ones facing the Company. Additional risks and uncertainties that we are not presently aware of, or that we currently consider immaterial, may also affect our business operations. Our business, financial condition or results of operations could suffer if the risks set forth in this Form 10-K are realized.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144,000 retail customers. Minnesota Power also has 16 non-affiliated municipal customers in Minnesota. SWL&amp;P is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Item 1. Business – Regulated Operations – Regulatory Matters.)</w:t>
      </w:r>
    </w:p>
    <w:p>
      <w:pPr>
        <w:spacing w:after="0" w:line="203"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our Energy Infrastructure and Related Services businesses; ALLETE Clean Energy, our business which</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four wind energy facilities in 2014 and is developing a wind facility to be sold in 2015, and BNI Coal, our coal mining operations in North Dakota. Investments and Other also includes ALLETE Properties, our Florida real estate investment, and other business development and corporate expenditures, unallocated interest expense, a small amount of non-rate base generation, approximately 5,000 acres of land in Minnesota, and earnings on cash and investments. Our Energy Infrastructure and Related Services businesses will also include U.S. Water Services, which we acquired in February 2015.</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2014,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year ended December 31, 2014, to the year ended December 31, 2013.</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ALLETE for 2014 was $124.8 million, or $2.90 per diluted share, compared to $104.7 million, or $2.63 per diluted share, for 2013. Net income for 2014 reflected a $1.4 million after-tax expense, or $0.03 per share, of acquisition costs for ALLETE Clean Energy’s wind energy facilities acquisition which closed in January 2014. (See Note 7. Acquisitions.) In addition, net income for 2014 reflected a $2.5 million after-tax expense, or $0.06 per share, reflecting a liability associated with environmental mitigation projects required as part of the EPA NOV Consent Decree settlement. (See Note 12. Commitments, Guarantees and Contingencies.) Net income for 2014 reflected higher net income at Minnesota Power and ALLETE Clean Energy. Earnings per share dilution was $0.23 due to additional shares of common stock outstanding as of December 31, 2014. (See Note 13. Common Stock and Earnings Per Share.)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$124.4 million in 2014, compared to $104.9 million in 2013. Net income for 2014 reflected a</w:t>
      </w:r>
      <w:r>
        <w:rPr>
          <w:rFonts w:ascii="Arial" w:cs="Arial" w:eastAsia="Arial" w:hAnsi="Arial"/>
          <w:sz w:val="17"/>
          <w:szCs w:val="17"/>
          <w:b w:val="1"/>
          <w:bCs w:val="1"/>
          <w:color w:val="auto"/>
        </w:rPr>
        <w:t xml:space="preserve"> </w:t>
      </w:r>
      <w:r>
        <w:rPr>
          <w:rFonts w:ascii="Arial" w:cs="Arial" w:eastAsia="Arial" w:hAnsi="Arial"/>
          <w:sz w:val="17"/>
          <w:szCs w:val="17"/>
          <w:color w:val="auto"/>
        </w:rPr>
        <w:t>$2.5 million after-tax expense, or $0.06 per share, reflecting a liability associated with environmental mitigation projects required as part of the EPA NOV Consent Decree settlement. Net income for 2014 reflected higher net income at Minnesota Power primarily due to higher cost recovery rider revenue and production tax credits, and higher power marketing sales as the Square Butte resale agreement with Minnkota Power commenced June 1, 2014. These increases were partially offset by higher operating and maintenance, depreciation, and interest expenses.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reflected net income attributable to ALLETE of $0.4 million in 2014, compared to a net loss of $0.2 million in 2013. Net income in</w:t>
      </w:r>
      <w:r>
        <w:rPr>
          <w:rFonts w:ascii="Arial" w:cs="Arial" w:eastAsia="Arial" w:hAnsi="Arial"/>
          <w:sz w:val="17"/>
          <w:szCs w:val="17"/>
          <w:b w:val="1"/>
          <w:bCs w:val="1"/>
          <w:color w:val="auto"/>
        </w:rPr>
        <w:t xml:space="preserve"> </w:t>
      </w:r>
      <w:r>
        <w:rPr>
          <w:rFonts w:ascii="Arial" w:cs="Arial" w:eastAsia="Arial" w:hAnsi="Arial"/>
          <w:sz w:val="17"/>
          <w:szCs w:val="17"/>
          <w:color w:val="auto"/>
        </w:rPr>
        <w:t>2014 reflected a $1.4 million after-tax expense, or $0.03 per share, of acquisition costs for ALLETE Clean Energy’s wind energy facilities acquisition in January 2014. Net income for 2014 reflected net income at ALLETE Clean Energy of $3.3 million (net loss of $3.4 million in 2013). BNI Coal recorded net income of $6.1 million in 2014 ($5.6 million in 2013). ALLETE Properties recorded a net loss of $2.3 million in 2014 (net loss of $2.7 million in 2013).</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2014 Compared to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$78.0 million, or 8 percent, from 2013 primarily due to a 5.1 percent increase in kilowatt-hour sales, higher cost recovery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rider revenue, transmission revenue, gas sales, and fuel adjustment clause recoveries.</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from Regulated Operations increased $30.5 million due to a 5.1 percent increase in kilowatt-hour sales. The increase was due primarily to a 27.5 percent increase in kilowatt-hour sales to Other Power Suppliers. Sales to Other Power Suppliers are sold at market-based prices into the MISO market on a daily basis or through bilateral agreements of various durations, and increased due to the commencement of the Minnkota Power sales agreement on June 1, 2014. (See Note 12. Commitments, Guarantees and Contingencies.) Also contributing to the increase were higher sales to industrial customers resulting from increased industrial production. The decrease in sales to our municipal customers reflects a wholesale customer contract expiration effective December 31, 2013.</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Quantity</w:t>
            </w: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1,204</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1,177</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27</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w:t>
            </w:r>
          </w:p>
        </w:tc>
      </w:tr>
      <w:tr>
        <w:trPr>
          <w:trHeight w:val="243"/>
        </w:trPr>
        <w:tc>
          <w:tcPr>
            <w:tcW w:w="46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1,468</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1,455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0.9</w:t>
            </w: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7,487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7,338</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149</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r>
      <w:tr>
        <w:trPr>
          <w:trHeight w:val="243"/>
        </w:trPr>
        <w:tc>
          <w:tcPr>
            <w:tcW w:w="462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864</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999</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(135)</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(13.5)</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11,023</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10,969</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54</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0.5</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2,904</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2,278</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626</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27.5</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13,927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13,247</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680</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5.1</w:t>
            </w:r>
          </w:p>
        </w:tc>
      </w:tr>
      <w:tr>
        <w:trPr>
          <w:trHeight w:val="20"/>
        </w:trPr>
        <w:tc>
          <w:tcPr>
            <w:tcW w:w="46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and iron concentrate customers accounted for 23 percent of consolidated operating revenue in 2014 (25 percent in 2013). Revenue from electric sales to paper, pulp and secondary wood product customers accounted for 7 percent of consolidated operating revenue in 2014 (8 percent in 2013). Revenue from electric sales to pipelines and other industrial customers accounted for 7 percent of consolidated operating revenue in 2014 (6 percent in 2013).</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$29.4 million primarily due to higher capital expenditures related to the Bison Wind Energy Center and the Boswell Unit 4 environmental upgrade.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Transmission revenue increased $7.7 million primarily due to the commencement of recovery of our transmission investment related to the 230 kV transmission system upgrade that was placed into service in March 2013 (see Outlook – </w:t>
      </w:r>
      <w:r>
        <w:rPr>
          <w:rFonts w:ascii="Arial" w:cs="Arial" w:eastAsia="Arial" w:hAnsi="Arial"/>
          <w:sz w:val="18"/>
          <w:szCs w:val="18"/>
          <w:i w:val="1"/>
          <w:iCs w:val="1"/>
          <w:color w:val="auto"/>
        </w:rPr>
        <w:t>Industrial Customers and Prospective Additional Load</w:t>
      </w:r>
      <w:r>
        <w:rPr>
          <w:rFonts w:ascii="Arial" w:cs="Arial" w:eastAsia="Arial" w:hAnsi="Arial"/>
          <w:sz w:val="18"/>
          <w:szCs w:val="18"/>
          <w:color w:val="auto"/>
        </w:rPr>
        <w:t xml:space="preserve"> – </w:t>
      </w:r>
      <w:r>
        <w:rPr>
          <w:rFonts w:ascii="Arial" w:cs="Arial" w:eastAsia="Arial" w:hAnsi="Arial"/>
          <w:sz w:val="18"/>
          <w:szCs w:val="18"/>
          <w:i w:val="1"/>
          <w:iCs w:val="1"/>
          <w:color w:val="auto"/>
        </w:rPr>
        <w:t>Nashwauk Public Utilities Commission</w:t>
      </w:r>
      <w:r>
        <w:rPr>
          <w:rFonts w:ascii="Arial" w:cs="Arial" w:eastAsia="Arial" w:hAnsi="Arial"/>
          <w:sz w:val="18"/>
          <w:szCs w:val="18"/>
          <w:color w:val="auto"/>
        </w:rPr>
        <w:t>) and higher MISO related revenue.</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Revenue from gas sales at SWL&amp;P increased $4.6 million as a result of the unseasonably cold weather during the first four months of 2014. (See </w:t>
      </w: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t>
      </w:r>
      <w:r>
        <w:rPr>
          <w:rFonts w:ascii="Arial" w:cs="Arial" w:eastAsia="Arial" w:hAnsi="Arial"/>
          <w:sz w:val="18"/>
          <w:szCs w:val="18"/>
          <w:i w:val="1"/>
          <w:iCs w:val="1"/>
          <w:color w:val="auto"/>
        </w:rPr>
        <w:t xml:space="preserve">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recoveries increased $4.6 million due to higher fuel and purchased power costs attributable to our retail and municipal customers. (See </w:t>
      </w:r>
      <w:r>
        <w:rPr>
          <w:rFonts w:ascii="Arial" w:cs="Arial" w:eastAsia="Arial" w:hAnsi="Arial"/>
          <w:sz w:val="18"/>
          <w:szCs w:val="18"/>
          <w:i w:val="1"/>
          <w:iCs w:val="1"/>
          <w:color w:val="auto"/>
        </w:rPr>
        <w:t>Operating Expenses</w:t>
      </w:r>
      <w:r>
        <w:rPr>
          <w:rFonts w:ascii="Arial" w:cs="Arial" w:eastAsia="Arial" w:hAnsi="Arial"/>
          <w:sz w:val="18"/>
          <w:szCs w:val="18"/>
          <w:color w:val="auto"/>
        </w:rPr>
        <w:t xml:space="preserve"> – </w:t>
      </w:r>
      <w:r>
        <w:rPr>
          <w:rFonts w:ascii="Arial" w:cs="Arial" w:eastAsia="Arial" w:hAnsi="Arial"/>
          <w:sz w:val="18"/>
          <w:szCs w:val="18"/>
          <w:i w:val="1"/>
          <w:iCs w:val="1"/>
          <w:color w:val="auto"/>
        </w:rPr>
        <w:t>Fuel and Purchased Power Expense.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2014 Compared to 2013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$52.3 million, or 7 percent, from 2013.</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$21.3 million, or 6 percent, from 2013 primarily due to an increase in purchased power resulting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higher kWh sales and higher wholesale prices.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$23.2 million, or 7 percent, from 2013. In 2014, a $4.2 million expense was recorded to reflect a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associated with environmental mitigation projects required as part of the EPA NOV Consent Decree settlement. Operating and maintenance expense was also higher due to higher transmission expense, purchased gas, and property taxes partially offset by lower benefit expense. Transmission expense increased primarily due to higher MISO related expenses. Purchased gas expense increased due to higher gas sales in 2014; purchased gas expenses are recovered from our customers through a purchased gas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 Property tax expense increased as a result of higher taxable plant and rates. Benefit expense was lower due to higher discount rates in 2014 attributable to our defined benefit pension and other postretirement benefit plans.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$7.8 million, or 7 percent, from 2013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$4.8 million, or 11 percent, from 2013 primarily due to higher average long-term debt balances.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$3.1 million, or 66 percent, from 2013 primarily due to higher AFUDC-Equity.</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$3.8 million, or 11 percent, from 2013 primarily due to higher pretax income in 2014, partially offset by higher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tax credits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$40.4 million, or 43 percent, from 2013 primarily due to a $33.2 million increase in revenue from ALLETE Clean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due to the 2014 wind facility acquisitions. Also contributing to the increase was a $2.7 million increase in revenue at BNI Coal, which operates under cost-plus fixed fee contracts, resulting from increased coal deliveries and higher expenses in 2014. (See </w:t>
      </w:r>
      <w:r>
        <w:rPr>
          <w:rFonts w:ascii="Arial" w:cs="Arial" w:eastAsia="Arial" w:hAnsi="Arial"/>
          <w:sz w:val="18"/>
          <w:szCs w:val="18"/>
          <w:i w:val="1"/>
          <w:iCs w:val="1"/>
          <w:color w:val="auto"/>
        </w:rPr>
        <w:t>Operating Expenses.</w:t>
      </w:r>
      <w:r>
        <w:rPr>
          <w:rFonts w:ascii="Arial" w:cs="Arial" w:eastAsia="Arial" w:hAnsi="Arial"/>
          <w:sz w:val="18"/>
          <w:szCs w:val="18"/>
          <w:color w:val="auto"/>
        </w:rPr>
        <w:t>) ALLETE Properties revenue increased $1.8 million primarily due to higher wetland mitigation bank credit sales.</w:t>
      </w:r>
    </w:p>
    <w:p>
      <w:pPr>
        <w:spacing w:after="0" w:line="16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$31.4 million, or 32 percent, from 2013 primarily due to higher operating and depreciation expenses of $20.3 million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result of the ALLETE Clean Energy wind energy facilities acquisitions in 2014. Also contributing to the increase were higher expenses of $1.0 million at BNI Coal primarily due to higher salaries and repair expenses, which are recovered through the cost-plus fixed fee contracts. (See </w:t>
      </w:r>
      <w:r>
        <w:rPr>
          <w:rFonts w:ascii="Arial" w:cs="Arial" w:eastAsia="Arial" w:hAnsi="Arial"/>
          <w:sz w:val="18"/>
          <w:szCs w:val="18"/>
          <w:i w:val="1"/>
          <w:iCs w:val="1"/>
          <w:color w:val="auto"/>
        </w:rPr>
        <w:t>Operating Revenue.</w:t>
      </w:r>
      <w:r>
        <w:rPr>
          <w:rFonts w:ascii="Arial" w:cs="Arial" w:eastAsia="Arial" w:hAnsi="Arial"/>
          <w:sz w:val="18"/>
          <w:szCs w:val="18"/>
          <w:color w:val="auto"/>
        </w:rPr>
        <w:t>) ALLETE Properties had higher expense due to increased wetland mitigation bank credit sales. 2013 included a gain as a result of the termination of a legacy benefit plan.</w:t>
      </w:r>
    </w:p>
    <w:p>
      <w:pPr>
        <w:spacing w:after="0" w:line="18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decreased $0.3 million, or 4 percent, from 2013 primarily due to an increase in the proportion of ALLETE interest expense allocated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Power. We record interest expense for our Regulated Operations based on Minnesota Power’s rate base and authorized capital structure, and allocate the remaining balance to Investments and Other.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$3.8 million, or 83 percent, from 2013 primarily due to gains on sales of investments in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decreased $4.2 million, or 57 percent, from 2013 primarily due to a decrease in pretax losses.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For the year ended December 31, 2014, the effective tax rate was 22.6 percent (21.5 percent for the year ended December 31, 2013). The increase from the year ended December 31, 2013, was primarily due to higher pretax income in 2014, partially offset by increased federal production tax credits in 2014 related to additional wind generation. The effective tax rate deviated from the statutory rate of approximately 41 percent primarily due to deductions for AFUDC - Equity, investment tax credits, federal production tax credits, state income tax credits and depletion. (See Note 15. Income Tax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2013 Compared to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$51.1 million, or 6 percent, from 2012 primarily due to a 1.2 percent increase in kilowatt-hour sales, and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 clause recoveries, transmission revenue, cost recovery rider revenue, gas sales, and municipal rates.</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recoveries increased $13.5 million due to higher fuel and purchased power costs attributable to our retail and municipal customers. (See </w:t>
      </w:r>
      <w:r>
        <w:rPr>
          <w:rFonts w:ascii="Arial" w:cs="Arial" w:eastAsia="Arial" w:hAnsi="Arial"/>
          <w:sz w:val="18"/>
          <w:szCs w:val="18"/>
          <w:i w:val="1"/>
          <w:iCs w:val="1"/>
          <w:color w:val="auto"/>
        </w:rPr>
        <w:t>Operating Expenses</w:t>
      </w:r>
      <w:r>
        <w:rPr>
          <w:rFonts w:ascii="Arial" w:cs="Arial" w:eastAsia="Arial" w:hAnsi="Arial"/>
          <w:sz w:val="18"/>
          <w:szCs w:val="18"/>
          <w:color w:val="auto"/>
        </w:rPr>
        <w:t xml:space="preserve"> – </w:t>
      </w:r>
      <w:r>
        <w:rPr>
          <w:rFonts w:ascii="Arial" w:cs="Arial" w:eastAsia="Arial" w:hAnsi="Arial"/>
          <w:sz w:val="18"/>
          <w:szCs w:val="18"/>
          <w:i w:val="1"/>
          <w:iCs w:val="1"/>
          <w:color w:val="auto"/>
        </w:rPr>
        <w:t>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 xml:space="preserve">Transmission revenue increased $6.3 million primarily due to the commencement of recovery of our transmission investment related to the 230 kV transmission system upgrade that was placed into service in March 2013 (see Outlook – </w:t>
      </w:r>
      <w:r>
        <w:rPr>
          <w:rFonts w:ascii="Arial" w:cs="Arial" w:eastAsia="Arial" w:hAnsi="Arial"/>
          <w:sz w:val="17"/>
          <w:szCs w:val="17"/>
          <w:i w:val="1"/>
          <w:iCs w:val="1"/>
          <w:color w:val="auto"/>
        </w:rPr>
        <w:t>Prospective Additional Load</w:t>
      </w:r>
      <w:r>
        <w:rPr>
          <w:rFonts w:ascii="Arial" w:cs="Arial" w:eastAsia="Arial" w:hAnsi="Arial"/>
          <w:sz w:val="17"/>
          <w:szCs w:val="17"/>
          <w:color w:val="auto"/>
        </w:rPr>
        <w:t xml:space="preserve"> – </w:t>
      </w:r>
      <w:r>
        <w:rPr>
          <w:rFonts w:ascii="Arial" w:cs="Arial" w:eastAsia="Arial" w:hAnsi="Arial"/>
          <w:sz w:val="17"/>
          <w:szCs w:val="17"/>
          <w:i w:val="1"/>
          <w:iCs w:val="1"/>
          <w:color w:val="auto"/>
        </w:rPr>
        <w:t>Nashwauk Public Utilities</w:t>
      </w:r>
      <w:r>
        <w:rPr>
          <w:rFonts w:ascii="Arial" w:cs="Arial" w:eastAsia="Arial" w:hAnsi="Arial"/>
          <w:sz w:val="17"/>
          <w:szCs w:val="17"/>
          <w:color w:val="auto"/>
        </w:rPr>
        <w:t xml:space="preserve"> </w:t>
      </w:r>
      <w:r>
        <w:rPr>
          <w:rFonts w:ascii="Arial" w:cs="Arial" w:eastAsia="Arial" w:hAnsi="Arial"/>
          <w:sz w:val="17"/>
          <w:szCs w:val="17"/>
          <w:i w:val="1"/>
          <w:iCs w:val="1"/>
          <w:color w:val="auto"/>
        </w:rPr>
        <w:t>Commission</w:t>
      </w:r>
      <w:r>
        <w:rPr>
          <w:rFonts w:ascii="Arial" w:cs="Arial" w:eastAsia="Arial" w:hAnsi="Arial"/>
          <w:sz w:val="17"/>
          <w:szCs w:val="17"/>
          <w:color w:val="auto"/>
        </w:rPr>
        <w:t>) and higher MISO Regional Expansion Criteria and Benefits (RECB) revenue related to CapX2020 transmission projects.</w:t>
      </w:r>
    </w:p>
    <w:p>
      <w:pPr>
        <w:spacing w:after="0" w:line="16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Cost recovery rider revenue increased $5.3 million primarily due to higher capital expenditures related to our Bison Wind Energy Center, CapX2020 projects and the Boswell Unit 4 environmental upgrade. Our Bison 1, 2 and 3 wind facilities were completed in various phases through December 2012. Cost recovery for our Boswell Unit 4 mercury emissions reduction plan was approved by the MPUC in November 2013.</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Revenue from gas sales at SWL&amp;P increased $4.8 million as heating degree days in 2013 were approximately 22 percent higher than 2012. The increase was also due to higher purchased gas expenses. (See </w:t>
      </w:r>
      <w:r>
        <w:rPr>
          <w:rFonts w:ascii="Arial" w:cs="Arial" w:eastAsia="Arial" w:hAnsi="Arial"/>
          <w:sz w:val="18"/>
          <w:szCs w:val="18"/>
          <w:i w:val="1"/>
          <w:iCs w:val="1"/>
          <w:color w:val="auto"/>
        </w:rPr>
        <w:t>Operating Expenses</w:t>
      </w:r>
      <w:r>
        <w:rPr>
          <w:rFonts w:ascii="Arial" w:cs="Arial" w:eastAsia="Arial" w:hAnsi="Arial"/>
          <w:sz w:val="18"/>
          <w:szCs w:val="18"/>
          <w:color w:val="auto"/>
        </w:rPr>
        <w:t xml:space="preserve"> – </w:t>
      </w:r>
      <w:r>
        <w:rPr>
          <w:rFonts w:ascii="Arial" w:cs="Arial" w:eastAsia="Arial" w:hAnsi="Arial"/>
          <w:sz w:val="18"/>
          <w:szCs w:val="18"/>
          <w:i w:val="1"/>
          <w:iCs w:val="1"/>
          <w:color w:val="auto"/>
        </w:rPr>
        <w:t>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our municipal customers increased $3.8 million as a result of higher rates under the cost-based formula primarily due to higher capital expenditures, as well as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14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Revenue from Regulated Operations increased $13.8 million due to a 1.2 percent increase in kilowatt-hour sales. The increase was due primarily to a 14.0 percent increase in kilowatt-hour sales to Other Power Suppliers. Sales to Other Power Suppliers are sold at market-based prices into the MISO market on a daily basis or through bilateral agreements of various durations. Also contributing to the increase was higher sales to residential and commercial customers. Heating degree days in Duluth, Minnesota were approximately 22 percent higher in 2013 than 2012. Kilowatt-hour sales to industrial customers decreased 2.2 percent from 2012 primarily due to 154 million kilowatt-hours sold in 2012 through a short-term, fixed price contract.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2013 Compared to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1,177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1,132</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45</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1,455</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1,436</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1.3</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7,338</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7,502</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(164)</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999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1,020</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(2.1)</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10,969</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11,090</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(121)</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2,278</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1,999</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279</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14.0</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13,247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13,089</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158</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r>
      <w:tr>
        <w:trPr>
          <w:trHeight w:val="20"/>
        </w:trPr>
        <w:tc>
          <w:tcPr>
            <w:tcW w:w="4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from electric sales to taconite customers accounted for 25 percent of consolidated operating revenue in 2013 (26 percent in 2012). Revenue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electric sales to paper, pulp and secondary wood product customers accounted for 8 percent of consolidated operating revenue in 2013 (9 percent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2012). Revenue from electric sales to pipelines and other industrials accounted for 6 percent of consolidated operating revenue in 2013 (6 percent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$54.8 million, or 8 percent, from 2012.</w:t>
      </w:r>
    </w:p>
    <w:p>
      <w:pPr>
        <w:spacing w:after="0" w:line="225"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Fuel and Purchased Power Expense </w:t>
      </w:r>
      <w:r>
        <w:rPr>
          <w:rFonts w:ascii="Arial" w:cs="Arial" w:eastAsia="Arial" w:hAnsi="Arial"/>
          <w:sz w:val="16"/>
          <w:szCs w:val="16"/>
          <w:color w:val="auto"/>
        </w:rPr>
        <w:t>increased $26.1 million, or 8 percent, from 2012 primarily due to higher company generation, kilowatt-hours sold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purchased power prices. Fuel and purchased power expense related to our retail and municipal customers is recovered through the fuel adjustment clause. (See </w:t>
      </w:r>
      <w:r>
        <w:rPr>
          <w:rFonts w:ascii="Arial" w:cs="Arial" w:eastAsia="Arial" w:hAnsi="Arial"/>
          <w:sz w:val="16"/>
          <w:szCs w:val="16"/>
          <w:i w:val="1"/>
          <w:iCs w:val="1"/>
          <w:color w:val="auto"/>
        </w:rPr>
        <w:t>Operating Revenue.</w:t>
      </w:r>
      <w:r>
        <w:rPr>
          <w:rFonts w:ascii="Arial" w:cs="Arial" w:eastAsia="Arial" w:hAnsi="Arial"/>
          <w:sz w:val="16"/>
          <w:szCs w:val="16"/>
          <w:color w:val="auto"/>
        </w:rPr>
        <w:t>) A scheduled major outage in 2013 also increased costs under the Square Butte purchased power contract.</w:t>
      </w:r>
    </w:p>
    <w:p>
      <w:pPr>
        <w:spacing w:after="0" w:line="14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i w:val="1"/>
          <w:iCs w:val="1"/>
          <w:color w:val="auto"/>
        </w:rPr>
        <w:t xml:space="preserve">Operating and Maintenance Expense </w:t>
      </w:r>
      <w:r>
        <w:rPr>
          <w:rFonts w:ascii="Arial" w:cs="Arial" w:eastAsia="Arial" w:hAnsi="Arial"/>
          <w:sz w:val="17"/>
          <w:szCs w:val="17"/>
          <w:color w:val="auto"/>
        </w:rPr>
        <w:t>increased $12.4 million, or 4 percent, from 2012 primarily due to higher property tax expenses as a result of higher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taxable plant and rates, higher transmission expense primarily due to higher MISO RECB expense, higher operating and maintenance expenses related to our Bison 1, 2 and 3 wind facilities, which were in service in 2013, and higher purchased gas expenses. Purchased gas expenses increased due to higher gas sales at SWL&amp;P in 2013 as heating degree days in 2013 were approximately 22 percent higher than 2012; purchased gas costs are recovered from our customers through a purchased gas adjustment clause from customers. (See </w:t>
      </w:r>
      <w:r>
        <w:rPr>
          <w:rFonts w:ascii="Arial" w:cs="Arial" w:eastAsia="Arial" w:hAnsi="Arial"/>
          <w:sz w:val="17"/>
          <w:szCs w:val="17"/>
          <w:i w:val="1"/>
          <w:iCs w:val="1"/>
          <w:color w:val="auto"/>
        </w:rPr>
        <w:t>Operating Revenue.</w:t>
      </w:r>
      <w:r>
        <w:rPr>
          <w:rFonts w:ascii="Arial" w:cs="Arial" w:eastAsia="Arial" w:hAnsi="Arial"/>
          <w:sz w:val="17"/>
          <w:szCs w:val="17"/>
          <w:color w:val="auto"/>
        </w:rPr>
        <w: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$16.3 million, or 17 percent, from 2012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$2.3 million, or 6 percent, from 2012 primarily due to higher average long-term debt balances.</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$14.3 million, or 28 percent, from 2012 primarily due to higher federal production tax credits in 2013 as our Bison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Center was completed in various phases through December 2012 and in service in 2013.</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$6.1 million, or 7 percent, from 2012 primarily due to a $3.6 million increase in revenue at BNI Coal and a $2.3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in revenue at ALLETE Properties. BNI Coal, which operates under a cost-plus fixed fee contract, recorded higher revenue as a result of higher expenses in 2013 (see </w:t>
      </w:r>
      <w:r>
        <w:rPr>
          <w:rFonts w:ascii="Arial" w:cs="Arial" w:eastAsia="Arial" w:hAnsi="Arial"/>
          <w:sz w:val="18"/>
          <w:szCs w:val="18"/>
          <w:i w:val="1"/>
          <w:iCs w:val="1"/>
          <w:color w:val="auto"/>
        </w:rPr>
        <w:t>Operating Expenses</w:t>
      </w:r>
      <w:r>
        <w:rPr>
          <w:rFonts w:ascii="Arial" w:cs="Arial" w:eastAsia="Arial" w:hAnsi="Arial"/>
          <w:sz w:val="18"/>
          <w:szCs w:val="18"/>
          <w:color w:val="auto"/>
        </w:rPr>
        <w:t>), which was partially offset by fewer tons sold in 2013. The increase at ALLETE Properties was primarily due to land sales in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2013 Compared to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920" w:type="dxa"/>
            <w:vAlign w:val="bottom"/>
          </w:tcPr>
          <w:p>
            <w:pPr>
              <w:spacing w:after="0"/>
              <w:rPr>
                <w:sz w:val="20"/>
                <w:szCs w:val="20"/>
                <w:color w:val="auto"/>
              </w:rPr>
            </w:pP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980" w:type="dxa"/>
            <w:vAlign w:val="bottom"/>
          </w:tcPr>
          <w:p>
            <w:pPr>
              <w:jc w:val="right"/>
              <w:ind w:right="3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Amount</w:t>
            </w:r>
          </w:p>
        </w:tc>
      </w:tr>
      <w:tr>
        <w:trPr>
          <w:trHeight w:val="27"/>
        </w:trPr>
        <w:tc>
          <w:tcPr>
            <w:tcW w:w="4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293</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29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1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0"/>
        </w:trPr>
        <w:tc>
          <w:tcPr>
            <w:tcW w:w="438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ind w:left="660" w:hanging="328"/>
        <w:spacing w:after="0"/>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shown on a gross basis, including wetlands.</w:t>
      </w:r>
    </w:p>
    <w:p>
      <w:pPr>
        <w:spacing w:after="0" w:line="9" w:lineRule="exact"/>
        <w:rPr>
          <w:rFonts w:ascii="Arial" w:cs="Arial" w:eastAsia="Arial" w:hAnsi="Arial"/>
          <w:sz w:val="16"/>
          <w:szCs w:val="16"/>
          <w:i w:val="1"/>
          <w:iCs w:val="1"/>
          <w:color w:val="auto"/>
        </w:rPr>
      </w:pPr>
    </w:p>
    <w:p>
      <w:pPr>
        <w:ind w:left="660" w:hanging="328"/>
        <w:spacing w:after="0"/>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2012, Other Revenue includes wetland mitigation bank credit sales of $1.1 million.</w:t>
      </w:r>
    </w:p>
    <w:p>
      <w:pPr>
        <w:spacing w:after="0" w:line="17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$3.5 million, or 4 percent, from 2012 reflecting higher expenses at BNI Coal of $5.0 million primarily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repairs, fuel and labor costs; these costs are recovered through the cost-plus contract. (See </w:t>
      </w:r>
      <w:r>
        <w:rPr>
          <w:rFonts w:ascii="Arial" w:cs="Arial" w:eastAsia="Arial" w:hAnsi="Arial"/>
          <w:sz w:val="18"/>
          <w:szCs w:val="18"/>
          <w:i w:val="1"/>
          <w:iCs w:val="1"/>
          <w:color w:val="auto"/>
        </w:rPr>
        <w:t>Operating Revenue</w:t>
      </w:r>
      <w:r>
        <w:rPr>
          <w:rFonts w:ascii="Arial" w:cs="Arial" w:eastAsia="Arial" w:hAnsi="Arial"/>
          <w:sz w:val="18"/>
          <w:szCs w:val="18"/>
          <w:color w:val="auto"/>
        </w:rPr>
        <w:t>.) Operating expenses in 2013 also included $1.0 million of acquisition costs for the January 2014 ALLETE Clean Energy acquisition and higher cost of land sales at ALLETE Properties. These increases were partially offset by gains as a result of the termination of a legacy benefit plan and lower operating expenses related to our non-rate base generation.</w:t>
      </w:r>
    </w:p>
    <w:p>
      <w:pPr>
        <w:spacing w:after="0" w:line="18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$2.5 million from 2012 primarily due to the proportion of ALLETE interest expense allocated to Minnesota Power.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interest expense for our Regulated Operations based on Minnesota Power’s rate base and authorized capital structure, and allocate the remaining balance to Investments and Other.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$3.7 million from 2012 primarily due to gains on sales of investments.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decreased $5.0 million, or 40 percent, from 2012 primarily due to a decrease in pretax losses and higher state tax expense.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expense was higher in 2013 as more North Dakota income tax credits attributable to our North Dakota capital investments were recognized in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For the year ended December 31, 2013, the effective tax rate was 21.5 percent (28.1 percent for the year ended December 31, 2012). The decrease from the year ended December 31, 2012, was primarily due to increased federal production tax credits in 2013 related to additional wind generation assets in service during 2013. The effective tax rate deviated from the statutory rate of approximately 41 percent primarily due to deductions for AFUDC - Equity, investment tax credits, federal production tax credits, state income tax credits and depletion. (See Note 15. Income Tax Expense.)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The following represent the policies we believe are most critical to our business and the understanding of our results of operations.</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Regulatory Accounting. </w:t>
      </w:r>
      <w:r>
        <w:rPr>
          <w:rFonts w:ascii="Arial" w:cs="Arial" w:eastAsia="Arial" w:hAnsi="Arial"/>
          <w:sz w:val="16"/>
          <w:szCs w:val="16"/>
          <w:color w:val="auto"/>
        </w:rPr>
        <w:t>Our regulated utility operations are accounted for in accordance with the accounting standards for the effects of certain types of</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These standards 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5. Regulatory Matters.)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Pension and Postretirement Health and Life Actuarial Assumptions. </w:t>
      </w:r>
      <w:r>
        <w:rPr>
          <w:rFonts w:ascii="Arial" w:cs="Arial" w:eastAsia="Arial" w:hAnsi="Arial"/>
          <w:sz w:val="16"/>
          <w:szCs w:val="16"/>
          <w:color w:val="auto"/>
        </w:rPr>
        <w:t>We account for our pension and postretirement benefit obligations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postretirement benefits. 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 Our pension asset allocation at December 31, 2014 was approximately 48 percent equity securities, 39 percent debt, 8 percent private equity, and 5 percent real estate. Our postretirement health and life asset allocation at December 31, 2014, was approximately 58 percent equity securities, 34 percent debt, and 8 percent private equity. Equity securities consist of a mix of market capitalization sizes with domestic and international securities. In 2014, we used expected long-term rates of return of 8.00 percent in our actuarial determination of our pension expense and 6.40 percent to 8.00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one-quarter percent decrease in the expected long-term rate of return would increase the annual expense for pension and other postretirement benefits by approximately $1.5 million, pretax.</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discount rate is computed using a yield curve adjusted for ALLETE’s projected cash flows to match our plan characteristics. The yield curve is determined using high-quality, long-term corporate bond rates at the valuation date. In 2014, we used discount rates of 4.93 percent and 4.96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$1.3 million, pretax.</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mortality assumptions used to calculate our pension and other postretirement benefit obligations as of December 31, 2014 considered a modified RP-2014 mortality table and an updated mortality projection scale. (See Note 17. Pension and Other Postretirement Benefit Plans.)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accounting standards for property, plant and equipment, if indicators of impairment exist, we test our real estate assets for recoverability by comparing the carrying amount of the asset to the undiscounted future net cash flows expected to be generated by the asset. Cash flows are assessed at the lowest level of identifiable cash flows, which may be by each land parcel, combining various parcels, or other combinations thereof. Our consideration of possible impairment for our real estate assets requires us to make estimates of future net cash flows on an undiscounted basis.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develop and maintain the operations, including community development district assessments, property taxes and normal operation and maintenance costs. These estimates and expectations are specific to each land parcel or various bulk sales, may vary among each land parcel or bulk sale, and may change in the future. If the excess of undiscounted future net cash flows over the carrying amount of a property is small, there is a greater risk of future impairment in the event of such future changes and any resulting impairment charges could be material.</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 our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taxing authorities. These tax obligations include income, real estate and sales/use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projections of our future federal and state taxable income, and state apportionment, to determine our ability to utilize NOL and credit carryforwards prior to their expiration. Significant changes in assumptions regarding future federal and state taxable income or change in tax rates could require new or increased valuation allowances which could result in a material impact on our results of operations.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minimum average earnings per share growth of 5 percent per year and providing a dividend payout competitive with our industry.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ALLETE is predominantly a regulated utility through Minnesota Power, SWL&amp;P and an investment in ATC. Minnesota Power believes it is well positioned for the future as it executes on its EnergyForward initiative and serves a potentially growing industrial customer base. Minnesota Power will continue to pursue customer growth opportunities and cost recovery rider approval for environmental, renewable and transmission investments, as well as work with regulators to earn a fair rate of return. We believe that ATC is poised for future growth both organically and through its partnership with Duke Energy.</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2015, ALLETE acquired U.S. Water Services, consistent with ALLETE’s stated strategy of investing in energy infrastructure and related services to complement its core regulated utility, balance exposure to business cycles and changing demand, and provide potential long-term earnings growth. ALLETE will now focus its energy infrastructure and related service efforts on ALLETE Clean Energy, U.S. Water Services and BNI Coal. ALLETE Clean Energy has a growing portfolio of wind generating facilities, and U.S. Water Services provides integrated water management to a growing base of industrial and commercial customers. ALLETE’s Energy Infrastructure and Related Services businesses primarily have contracted or recurring revenues.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 is focused on providing sustainable solutions to our customers, as exemplified by the EnergyForward and Power of One initiatives at Minnesota Power, renewable energy investments at ALLETE Clean Energy, and investment in U.S. Water Services.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Regulated Operations – </w:t>
      </w:r>
      <w:r>
        <w:rPr>
          <w:rFonts w:ascii="Arial" w:cs="Arial" w:eastAsia="Arial" w:hAnsi="Arial"/>
          <w:sz w:val="17"/>
          <w:szCs w:val="17"/>
          <w:i w:val="1"/>
          <w:iCs w:val="1"/>
          <w:color w:val="auto"/>
        </w:rPr>
        <w:t>EnergyForward.</w:t>
      </w:r>
      <w:r>
        <w:rPr>
          <w:rFonts w:ascii="Arial" w:cs="Arial" w:eastAsia="Arial" w:hAnsi="Arial"/>
          <w:sz w:val="17"/>
          <w:szCs w:val="17"/>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regulators to earn a fair rate of return. We project that Minnesota Power will not earn its allowed rate of return in 2015.</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Regulatory Matters. </w:t>
      </w:r>
      <w:r>
        <w:rPr>
          <w:rFonts w:ascii="Arial" w:cs="Arial" w:eastAsia="Arial" w:hAnsi="Arial"/>
          <w:sz w:val="18"/>
          <w:szCs w:val="18"/>
          <w:color w:val="auto"/>
        </w:rPr>
        <w:t>Entities within our Regulated Operations segment are under the jurisdiction of the MPUC, the FERC, the PSCW or the NDPSC.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 1. Business – Regulated Operations – Regulatory Matters for discussion of regulatory matters within our Minnesota, FERC, Wisconsin and North Dakota jurisdictions.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Industrial Customers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is one of several key inputs in the taconite mining, iron concentrate, paper, pulp and secondary wood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industries. In 2014, 54 percent (55 percent in 2013) of our Regulated Utility kWh sales were made to our industrial customers in these industries.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Five of Minnesota Power’s taconite customers have the capability to produce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 Also, two of Minnesota Power’s iron concentrate customers have the capability to produce up to approximately 2 million metric tons of iron concentrate per year. Iron concentrate is used in the production of taconite pellets.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World Steel Association, an association of approximately 170 steel producers, national and regional steel industry associations, and steel research institutes representing around 85 percent of world steel production, projected U.S. steel consumption in 2015 will be similar to 2014. The American Iron and Steel Institute (AISI), an association of North American steel producers, reported that U.S. raw steel production operated at approximately 77 percent of capacity in 2014 (77 percent in 2013; 75 percent in 2012). Based on these projections, 2015 taconite production levels in Minnesota are expected to be similar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204470</wp:posOffset>
            </wp:positionV>
            <wp:extent cx="4673600" cy="2435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73600" cy="2435225"/>
                    </a:xfrm>
                    <a:prstGeom prst="rect">
                      <a:avLst/>
                    </a:prstGeom>
                    <a:noFill/>
                  </pic:spPr>
                </pic:pic>
              </a:graphicData>
            </a:graphic>
          </wp:anchor>
        </w:drawing>
      </w:r>
    </w:p>
    <w:p>
      <w:pPr>
        <w:spacing w:after="0" w:line="311"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5680" w:type="dxa"/>
            <w:vAlign w:val="bottom"/>
            <w:gridSpan w:val="3"/>
          </w:tcPr>
          <w:p>
            <w:pPr>
              <w:ind w:left="120"/>
              <w:spacing w:after="0"/>
              <w:rPr>
                <w:sz w:val="20"/>
                <w:szCs w:val="20"/>
                <w:color w:val="auto"/>
              </w:rPr>
            </w:pPr>
            <w:r>
              <w:rPr>
                <w:rFonts w:ascii="Arial" w:cs="Arial" w:eastAsia="Arial" w:hAnsi="Arial"/>
                <w:sz w:val="18"/>
                <w:szCs w:val="18"/>
                <w:b w:val="1"/>
                <w:bCs w:val="1"/>
                <w:color w:val="auto"/>
              </w:rPr>
              <w:t>Minnesota Power Taconite Customer Production</w:t>
            </w:r>
          </w:p>
        </w:tc>
      </w:tr>
      <w:tr>
        <w:trPr>
          <w:trHeight w:val="291"/>
        </w:trPr>
        <w:tc>
          <w:tcPr>
            <w:tcW w:w="1680" w:type="dxa"/>
            <w:vAlign w:val="bottom"/>
          </w:tcPr>
          <w:p>
            <w:pPr>
              <w:ind w:left="108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80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Tons (Millions)</w:t>
            </w:r>
          </w:p>
        </w:tc>
      </w:tr>
      <w:tr>
        <w:trPr>
          <w:trHeight w:val="27"/>
        </w:trPr>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16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2014*</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2013</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37</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2012</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2011</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2010</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35</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2009</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17</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2008</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2007</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38</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2006</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2005</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40</w:t>
            </w:r>
          </w:p>
        </w:tc>
      </w:tr>
    </w:tbl>
    <w:p>
      <w:pPr>
        <w:spacing w:after="0" w:line="53"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Source: Minnesota Department of Revenue 2014 Mining Tax Guide for years 2005 - 2013.</w:t>
      </w:r>
    </w:p>
    <w:p>
      <w:pPr>
        <w:spacing w:after="0" w:line="63"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 Preliminary data from the Minnesota Department of Revenue.</w:t>
      </w: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taconite customers may experience annual variations in production levels due to such factors as economic conditions, short-term demand changes or maintenance outages. We estimate that a one million ton change in our taconite customers’ production would change our annual earnings per share by approximately $0.03, net of expected power marketing sales at 2014 year-end prices. Changes in wholesale electric prices or customer contractual demand nominations could impact this estimate. Long-term reductions in taconite production or a permanent shut down of a taconite customer may lead us to file a rate case to recover lost revenues.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 to our taconite customers, three of four major paper and pulp mills we serve reported operations at, or near, full capacity in 2014 and similar levels are expected in 2015. Boise, Inc. (Boise) operates a paper mill in International Falls, Minnesota. On September 12, 2014, Boise provided the required one-year written notice of its intent to install additional generation at its mill in late 2015. Boise’s reduction in demand is not expected to have a material impact on the Company’s consolidated financial position, results of operations, or cash flows.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Prospective Additional Load</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 based projects that represent long-term growth potential and load diversity for Minnesota Power. These potential projects are in the ferrous and non-ferrous mining and pipeline industries and include Essar Steel Minnesota LLC (Essar), PolyMet Mining Corporation (PolyMet), Magnetation, LLC (Magnetation), and Enbridge, Inc. (Enbridge). We cannot predict the outcome of these projects.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In April 2014, the Company amended its formula-based wholesale electric sales agreement with the Nashwauk</w:t>
      </w:r>
      <w:r>
        <w:rPr>
          <w:rFonts w:ascii="Arial" w:cs="Arial" w:eastAsia="Arial" w:hAnsi="Arial"/>
          <w:sz w:val="17"/>
          <w:szCs w:val="17"/>
          <w:i w:val="1"/>
          <w:iCs w:val="1"/>
          <w:color w:val="auto"/>
        </w:rPr>
        <w:t xml:space="preserve"> </w:t>
      </w:r>
      <w:r>
        <w:rPr>
          <w:rFonts w:ascii="Arial" w:cs="Arial" w:eastAsia="Arial" w:hAnsi="Arial"/>
          <w:sz w:val="17"/>
          <w:szCs w:val="17"/>
          <w:color w:val="auto"/>
        </w:rPr>
        <w:t>Public Utilities Commission for all of its electric service requirements, extending the term through June 30, 2026. A new Essar taconite facility is currently under construction in the city of Nashwauk, and the Nashwauk Public Utilities Commission also amended and extended its electric service agreement with Essar. Upon completion, this facility would result in approximately 110 MW of additional load for Minnesota Power. Under the terms of a facilities construction agreement, Minnesota Power constructed a 230 kV transmission system upgrade to serve the Essar load which was placed into service in March 2013. This upgrade will allow the Nashwauk Public Utilities Commission to provide electric service for Essar’s new taconite facility. Billings to Essar to recover our transmission investments began in April 2013. In October 2014, Essar announced the completion of project financing and stated that initial pellet production would commence in the second half of 2015.</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PolyMet</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has executed a long-term contract with PolyMet, which is planning to start a new copper-nickel and precious metal (non-ferrous)</w:t>
      </w:r>
      <w:r>
        <w:rPr>
          <w:rFonts w:ascii="Arial" w:cs="Arial" w:eastAsia="Arial" w:hAnsi="Arial"/>
          <w:sz w:val="17"/>
          <w:szCs w:val="17"/>
          <w:i w:val="1"/>
          <w:iCs w:val="1"/>
          <w:color w:val="auto"/>
        </w:rPr>
        <w:t xml:space="preserve"> </w:t>
      </w:r>
      <w:r>
        <w:rPr>
          <w:rFonts w:ascii="Arial" w:cs="Arial" w:eastAsia="Arial" w:hAnsi="Arial"/>
          <w:sz w:val="17"/>
          <w:szCs w:val="17"/>
          <w:color w:val="auto"/>
        </w:rPr>
        <w:t>mining operation in northeastern Minnesota. PolyMet began work on a Supplemental Draft Environmental Impact Statement (SDEIS) in 2010. The SDEIS addressed environmental issues, including those dealing with the land exchange between PolyMet and the U.S. Forest Service (USFS), which is critical to the mine site development. In December 2013, the Minnesota Department of Natural Resources (DNR) released PolyMet’s SDEIS. The Minnesota DNR has estimated that the SDEIS process could be completed in the first half of 2015. Minnesota Power could begin to supply between 45 MW and 50 MW of load through a ten-year power supply contract period that would begin upon start-up of the mining operations.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Magnetation.</w:t>
      </w:r>
      <w:r>
        <w:rPr>
          <w:rFonts w:ascii="Arial" w:cs="Arial" w:eastAsia="Arial" w:hAnsi="Arial"/>
          <w:sz w:val="16"/>
          <w:szCs w:val="16"/>
          <w:i w:val="1"/>
          <w:iCs w:val="1"/>
          <w:color w:val="auto"/>
        </w:rPr>
        <w:t xml:space="preserve"> </w:t>
      </w:r>
      <w:r>
        <w:rPr>
          <w:rFonts w:ascii="Arial" w:cs="Arial" w:eastAsia="Arial" w:hAnsi="Arial"/>
          <w:sz w:val="16"/>
          <w:szCs w:val="16"/>
          <w:color w:val="auto"/>
        </w:rPr>
        <w:t>Magnetation produces iron ore concentrate from low-grade natural ore tailing basins, already mined stockpiles and newly mined iron</w:t>
      </w:r>
      <w:r>
        <w:rPr>
          <w:rFonts w:ascii="Arial" w:cs="Arial" w:eastAsia="Arial" w:hAnsi="Arial"/>
          <w:sz w:val="16"/>
          <w:szCs w:val="16"/>
          <w:i w:val="1"/>
          <w:iCs w:val="1"/>
          <w:color w:val="auto"/>
        </w:rPr>
        <w:t xml:space="preserve"> </w:t>
      </w:r>
      <w:r>
        <w:rPr>
          <w:rFonts w:ascii="Arial" w:cs="Arial" w:eastAsia="Arial" w:hAnsi="Arial"/>
          <w:sz w:val="16"/>
          <w:szCs w:val="16"/>
          <w:color w:val="auto"/>
        </w:rPr>
        <w:t>formations. Magnetation’s facility near Taconite, Minnesota, is fully operational, and its new concentrate facility near Coleraine, Minnesota, commenced production in December 2014. On January 27, 2014, Minnesota Power and Magnetation entered into a new ten-year electric service agreement, which was approved by the MPUC on May 1, 2014, for the facility near Coleraine, Minnesota. This agreement is effective through December 31, 2025. In addition, a transmission service extension was required to be constructed by Minnesota Power. On June 19, 2014, Minnesota Power received MPUC approval of a transmission route for the service extension, permits were received on July 2, 2014, and construction was completed in the fourth quarter of 2014. Minnesota Power expects to supply approximately 20 MW of power to this new facility, making it a Large Power Customer of Minnesota Power. The new facility is expected to supply iron ore concentrate to Magnetation’s new pellet plant in Reynolds, Indiana, which is designed to produce about 3 million tons of taconite pellets annually for AK Steel. On September 29, 2014, Magnetation announced the Reynolds pellet plant commenced production.</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Enbridge.</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contract with Enbridge that extends through December 31, 2020. Enbridge owns and operates generation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systems within the energy industry in North America, including a crude oil and liquids transportation system. Enbridge plans to expand the capacity at two pumping stations located in Minnesota Power’s service territory in Deer River and Floodwood, Minnesota. The project is expected to be complete by 2016. Upon completion, Minnesota Power expects to supply between 5 to 10 MW of additional load. Enbridge also plans to construct a pipeline connecting its Beaver Lodge Station, near Tioga, North Dakota, to an existing terminal in Superior, Wisconsin by 2017. Upon completion of the pipeline, SWL&amp;P expects to supply between 15 to 20 MW of additional load.</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January 2013, Minnesota Power announced “EnergyForward”,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66" w:lineRule="exact"/>
        <w:rPr>
          <w:sz w:val="20"/>
          <w:szCs w:val="20"/>
          <w:color w:val="auto"/>
        </w:rPr>
      </w:pPr>
    </w:p>
    <w:p>
      <w:pPr>
        <w:ind w:left="660" w:right="2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Our Bison Wind Energy Center added 205 MW of capacity in the fourth quarter of 2014, bringing total capacity to 497 MW.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Planned installation of approximately $250 million in emissions control technology at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in the second quarter of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Retiring Taconite Harbor Unit 3, one of three coal-fired units at Taconite Harbor, in the second quarter of 2015.</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Integrated Resource Plan</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 November 2013 order, the MPUC approved Minnesota Power’s 2013 Integrated Resource Plan which details our</w:t>
      </w:r>
      <w:r>
        <w:rPr>
          <w:rFonts w:ascii="Arial" w:cs="Arial" w:eastAsia="Arial" w:hAnsi="Arial"/>
          <w:sz w:val="18"/>
          <w:szCs w:val="18"/>
          <w:i w:val="1"/>
          <w:i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 We are required to submit our 2015 Integrated Resource Plan with the MPUC no later than September 1, 2015. (See Item 1. Business – Regulated Operations – Regulatory Matters.)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Forward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In February 2007, Minnesota enacted a law requiring 25 percent of Minnesota Power’s total retail and municipal energy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we meet the identified state mandate at the lowest cost for customers. Through the strategy outlined in Minnesota Power’s 2013 Integrated Resource Plan, 18 percent of the Company’s total retail and municipal energy sales were supplied by renewable energy sources in 2014. We expect 28 percent of the Company’s total retail and municipal energy sales will be supplied by renewable energy sources in 2015.</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u w:val="single" w:color="auto"/>
          <w:color w:val="auto"/>
        </w:rPr>
        <w:t>Minnesota Solar Energy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In May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industrial customers, to be generated by solar energy by the end of 2020. At least 10 percent of the 1.5 percent mandate must be met by solar energy generated by or procured from solar photovoltaic devices with a nameplate capacity of 20 kilowatts or less. Minnesota Power is in the process of evaluating the potential impact of this legislation on our operations; however, any costs are expected to be recovered in customer rates.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u w:val="single" w:color="auto"/>
          <w:color w:val="auto"/>
        </w:rPr>
        <w:t>Wind Energy.</w:t>
      </w:r>
      <w:r>
        <w:rPr>
          <w:rFonts w:ascii="Arial" w:cs="Arial" w:eastAsia="Arial" w:hAnsi="Arial"/>
          <w:sz w:val="16"/>
          <w:szCs w:val="16"/>
          <w:i w:val="1"/>
          <w:iCs w:val="1"/>
          <w:color w:val="auto"/>
        </w:rPr>
        <w:t xml:space="preserve"> </w:t>
      </w:r>
      <w:r>
        <w:rPr>
          <w:rFonts w:ascii="Arial" w:cs="Arial" w:eastAsia="Arial" w:hAnsi="Arial"/>
          <w:sz w:val="16"/>
          <w:szCs w:val="16"/>
          <w:color w:val="auto"/>
        </w:rPr>
        <w:t>Our wind energy facilities consist of the 497 MW Bison Wind Energy Center located in North Dakota, which was placed in service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phases between 2010 and 2014, and our 25 MW Taconite Ridge Energy Center located in northeastern Minnesota. We also have two long-term wind PPAs with an affiliate of NextEra Energy, Inc. to purchase the output from Oliver Wind I (50 MW) and Oliver Wind II (48 MW) located in North Dakota.</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17, 2014, the MPUC approved Minnesota Power’s petition seeking cost recovery for investments and expenditures related to Bison 4. Customer billing rates for our Bison 1, 2, &amp; 3 wind facilities were approved by the MPUC in a December 2013 order. On April 29, 2014 and November 10, 2014, we filed renewable resources factor filings which include updated costs associated with the Bison Wind Energy Center. Upon approval of the filings, we will be authorized to include updated billing rates on customer bills.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Manitoba Hydro.</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2011, Minnesota Power and Manitoba Hydro signed an additional long-term PPA. The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Construction of Manitoba Hydro’s hydroelectric generation facility commenced in the third quarter of 2014.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The agreement is subject to construction of additional transmission capacity between Manitoba and Minnesota’s Iron Range. (See Regulated Operations –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Forward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2014, Minnesota Power and Manitoba Hydro signed a long-term PPA that provides for Minnesota Power to purchase up to 133 MW of energy from Manitoba Hydro for 20 years beginning in 2020. The agreement was approved by the MPUC in an order dated January 30, 2015, and is subject to the construction of the GNTL.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Hydro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2012, record rainfall and flooding occurred near Duluth, Minnesota, and surrounding areas. The flooding impacted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Power’s St. Louis River hydro system, particularly Thomson, which had damage to the forebay canal and flooding at the facility. The forebay rebuild is complete and Minnesota Power commenced filling the forebay canal on October 9, 2014. Thomson returned to partial generation in the fourth quarter of 2014 and work is ongoing towards returning to full generation early in 2015. Total project costs are estimated to be approximately $90 million, net of insurance. On January 29, 2015, the MPUC approved our petition seeking cost recovery of investments and expenditures related to the restoration and repair of Thomson through a renewable resources rider.</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Boswell Mercury Emissions Reduction Plan. </w:t>
      </w:r>
      <w:r>
        <w:rPr>
          <w:rFonts w:ascii="Arial" w:cs="Arial" w:eastAsia="Arial" w:hAnsi="Arial"/>
          <w:sz w:val="16"/>
          <w:szCs w:val="16"/>
          <w:color w:val="auto"/>
        </w:rPr>
        <w:t>Minnesota Power is implementing a mercury emissions reduction project for Boswell Unit 4 in order to comply</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Minnesota Mercury Emissions Reduction Act and the Federal MATS rule. In August 2012, Minnesota Power filed its mercury emissions reduction plan for Boswell Unit 4 with the MPUC and the MPCA. The plan proposed that Minnesota Power install pollution controls by early 2016 to address both the Minnesota Mercury Emissions Reduction Act requirements and the Federal MATS rule. Costs to implement the Boswell Unit 4 mercury emissions reduction plan are included in the estimated capital expenditures required for compliance with the MATS rule and are estimated to be approximately $250 million, of which $145 million was spent through December 31, 2014. In November 2013, the MPUC issued an order approving the Boswell Unit 4 mercury emissions reduction plan and cost recovery, establishing an environmental improvement rider. Also in November 2013, environmental intervenors filed a petition for reconsideration with the MPUC which was subsequently denied in an order dated January 17, 2014. The MPUC’s order was affirmed by the Minnesota Court of Appeals on November 3, 2014. In December 2013, Minnesota Power filed a petition with the MPUC to establish customer billing rates for the approved environmental improvement rider based on actual and estimated investments and expenditures, which was approved in an order dated July 2, 2014. On November 26, 2014, we filed an updated environmental improvement factor filing which included updated costs associated with Boswell Unit 4. Upon approval of this filing, we will be authorized to include updated billing rates on customer bills.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 See also Item 1. Business – Regulated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39"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our Energy Infrastructure and Related Services businesses; ALLETE Clean Energy, U.S. Water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BNI Coal. Investments and Other also includes ALLETE Properties, other business development and corporate expenditures, unallocated interest expense, a small amount of non-rate base generation, approximately 5,000 acres of land in Minnesota, and earnings on cash and investments.</w:t>
      </w:r>
    </w:p>
    <w:p>
      <w:pPr>
        <w:spacing w:after="0" w:line="1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ALLETE Clean Energy. </w:t>
      </w:r>
      <w:r>
        <w:rPr>
          <w:rFonts w:ascii="Arial" w:cs="Arial" w:eastAsia="Arial" w:hAnsi="Arial"/>
          <w:sz w:val="18"/>
          <w:szCs w:val="18"/>
          <w:color w:val="auto"/>
        </w:rPr>
        <w:t>ALLETE Clean Energy aims to develop or acquire capital projects that create energy solutions via wind, solar, biomass, midstream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gas and oil infrastructure, among other energy-related projects.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30, 2014, ALLETE Clean Energy acquired wind energy facilities located in Lake Benton, Minnesota (Lake Benton), Storm Lake, Iowa (Storm Lake II) and Condon, Oregon (Condon) for $26.9 million. ALLETE Clean Energy also has an option to acquire a fourth wind energy facility from AES in Armenia Mountain, Pennsylvania (Armenia Mountain), in June 2015.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Lake Benton, Storm Lake II and Condon have 104 MW, 77 MW and 50 MW of generating capability, respectively. Lake Benton and Storm Lake II began commercial operations in 1999,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in June 2015. Armenia Mountain began operations in 2009.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November 20, 2014, ALLETE Clean Energy acquired a business for $27.0 million which is developing a wind facility near Hettinger, North Dakota. ALLETE Clean Energy will develop and construct a 107 MW wind farm using 43 turbines which will then be sold to Montana-Dakota Utilities Co. for approximately $200 million. Construction is expected to be completed in December 2015, and the sale is subject to regulatory approvals.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17, 2014, ALLETE Clean Energy acquired a wind facility in Storm Lake, Iowa (Storm Lake I) for $15.0 million, subject to a working capital adjustment. Storm Lake I has 108 MW of generating capability and is located adjacent to Storm Lake II which was acquired in January 2014. The wind facility began commercial operations in 1999 and has a PPA in place for its entire output which expires in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2014, ALLETE Clean Energy entered into a purchase agreement to acquire wind facilities in southern Minnesota for approximately $47.5 million. The facilities have 97.5 MW of generating capability and are located near our Lake Benton facility acquired in January 2014. The wind facilities began commercial operations in 2003 and have PPAs in place for the entire output, which expire in 2018 and 2023. The acquisition is expected to close in the first quarter of 2015.</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U.S. Water Services. </w:t>
      </w:r>
      <w:r>
        <w:rPr>
          <w:rFonts w:ascii="Arial" w:cs="Arial" w:eastAsia="Arial" w:hAnsi="Arial"/>
          <w:sz w:val="17"/>
          <w:szCs w:val="17"/>
          <w:color w:val="auto"/>
        </w:rPr>
        <w:t>In February 2015, ALLETE acquired U.S. Water Services. Headquartered in St. Michael, Minnesota, U.S. Water Services has a 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footprint serving a growing and diverse mix of over 3,600 industrial customers, with recurring revenues and customer retention that exceeds 90 percent. U.S. Water Services provides integrated water management for industry, combining chemical, equipment, engineering and service for customized solutions to reduce water and energy usage and improve efficiency. U.S. Water Services helps customers achieve efficient and sustainable use of their energy systems, is a leading provider to the biofuels industry, and has a growing presence in the power generation and midstream oil and gas industries. The acquisition is not expected to have a material impact on 2015 earnings per share.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BNI Coal. </w:t>
      </w:r>
      <w:r>
        <w:rPr>
          <w:rFonts w:ascii="Arial" w:cs="Arial" w:eastAsia="Arial" w:hAnsi="Arial"/>
          <w:sz w:val="18"/>
          <w:szCs w:val="18"/>
          <w:color w:val="auto"/>
        </w:rPr>
        <w:t>In 2014, BNI Coal sold 4.0 million tons of coal (3.7 million tons in 2013) and anticipates 2015 sales will be similar to 2014. In 2013, a customer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BNI Coal incurred a scheduled major outage resulting in fewer tons sold. BNI Coal operates under cost-plus fixed fee agreements extending through December 31, 2037.</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ALLETE Properties. </w:t>
      </w:r>
      <w:r>
        <w:rPr>
          <w:rFonts w:ascii="Arial" w:cs="Arial" w:eastAsia="Arial" w:hAnsi="Arial"/>
          <w:sz w:val="16"/>
          <w:szCs w:val="16"/>
          <w:color w:val="auto"/>
        </w:rPr>
        <w:t>ALLETE Properties represents our Florida real estate investment. Our current strategy for the assets is to complete and maintain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entitlements and infrastructure improvements without requiring significant additional investment, sell the portfolio when opportunities arise and reinvest the proceeds in our growth initiatives. Market conditions can impact land sales and could result in our inability to cover our operating expenses and fixed carrying costs such as community development district assessments and property taxes. ALLETE does not intend to acquire additional Florida real estate.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68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68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(b,c)</w:t>
            </w:r>
          </w:p>
        </w:tc>
      </w:tr>
      <w:tr>
        <w:trPr>
          <w:trHeight w:val="27"/>
        </w:trPr>
        <w:tc>
          <w:tcPr>
            <w:tcW w:w="56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Current Development Projects</w:t>
            </w:r>
          </w:p>
        </w:tc>
        <w:tc>
          <w:tcPr>
            <w:tcW w:w="2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Town Center</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958</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2,412</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2,236,700</w:t>
            </w: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Palm Coast Park</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3,777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3,554</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3,096,800</w:t>
            </w:r>
          </w:p>
        </w:tc>
      </w:tr>
      <w:tr>
        <w:trPr>
          <w:trHeight w:val="27"/>
        </w:trPr>
        <w:tc>
          <w:tcPr>
            <w:tcW w:w="56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Development Projects</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4,735</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5,966</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5,333,500</w:t>
            </w:r>
          </w:p>
        </w:tc>
      </w:tr>
      <w:tr>
        <w:trPr>
          <w:trHeight w:val="284"/>
        </w:trPr>
        <w:tc>
          <w:tcPr>
            <w:tcW w:w="5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Planned Development Project</w:t>
            </w:r>
          </w:p>
        </w:tc>
        <w:tc>
          <w:tcPr>
            <w:tcW w:w="2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Ormond Crossings</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2,914</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2,950</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3,215,000</w:t>
            </w:r>
          </w:p>
        </w:tc>
      </w:tr>
      <w:tr>
        <w:trPr>
          <w:trHeight w:val="27"/>
        </w:trPr>
        <w:tc>
          <w:tcPr>
            <w:tcW w:w="5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3,044</w:t>
            </w:r>
          </w:p>
        </w:tc>
        <w:tc>
          <w:tcPr>
            <w:tcW w:w="1380" w:type="dxa"/>
            <w:vAlign w:val="bottom"/>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60" w:type="dxa"/>
            <w:vAlign w:val="bottom"/>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7"/>
        </w:trPr>
        <w:tc>
          <w:tcPr>
            <w:tcW w:w="56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10,693</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8,916</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8,548,500</w:t>
            </w:r>
          </w:p>
        </w:tc>
      </w:tr>
      <w:tr>
        <w:trPr>
          <w:trHeight w:val="20"/>
        </w:trPr>
        <w:tc>
          <w:tcPr>
            <w:tcW w:w="56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1,672 acres of other land available-for-sale.</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ALLETE’s aggregate federal and multi-state statutory tax rate is approximately 41 percent for 2014. On an ongoing basis, ALLETE has tax</w:t>
      </w:r>
      <w:r>
        <w:rPr>
          <w:rFonts w:ascii="Arial" w:cs="Arial" w:eastAsia="Arial" w:hAnsi="Arial"/>
          <w:sz w:val="16"/>
          <w:szCs w:val="16"/>
          <w:b w:val="1"/>
          <w:bCs w:val="1"/>
          <w:color w:val="auto"/>
        </w:rPr>
        <w:t xml:space="preserve"> </w:t>
      </w:r>
      <w:r>
        <w:rPr>
          <w:rFonts w:ascii="Arial" w:cs="Arial" w:eastAsia="Arial" w:hAnsi="Arial"/>
          <w:sz w:val="16"/>
          <w:szCs w:val="16"/>
          <w:color w:val="auto"/>
        </w:rPr>
        <w:t>credits and other tax adjustments that reduce the statutory rate to the effective tax rate. These tax credits and adjustments historically have included items such as investment tax credits, renewable tax credits, AFUDC-Equity, depletion, as well as other items. The annual effective rate can also be impacted by such items as changes in income before non-controlling interest and income taxes, state and federal tax law changes that become effective during the year, business combinations and configuration changes, tax planning initiatives and resolution of prior years’ tax matters. Due primarily to increased federal production tax credits as a result of wind generation, we expect our effective tax rate to be approximately 15 percent for 2015. We also expect that our effective tax rate will be lower than the statutory rate over the next ten years due to production tax credits attributable to our wind generation.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December 31, 2014,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$145.8 million, $357.2 million in available consolidated lines of credit and a debt-to-capital ratio of 46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19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$1,609.4</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$1,342.9</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$1,201.0</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1.8</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19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1,373.5</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1,110.2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1,018.1</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1920" w:type="dxa"/>
            <w:vAlign w:val="bottom"/>
          </w:tcPr>
          <w:p>
            <w:pPr>
              <w:jc w:val="right"/>
              <w:ind w:right="270"/>
              <w:spacing w:after="0"/>
              <w:rPr>
                <w:sz w:val="20"/>
                <w:szCs w:val="20"/>
                <w:color w:val="auto"/>
              </w:rPr>
            </w:pPr>
            <w:r>
              <w:rPr>
                <w:rFonts w:ascii="Arial" w:cs="Arial" w:eastAsia="Arial" w:hAnsi="Arial"/>
                <w:sz w:val="18"/>
                <w:szCs w:val="18"/>
                <w:color w:val="auto"/>
              </w:rPr>
              <w:t>3.7</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$2,988.4</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$2,453.1</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$2,219.1</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0"/>
        </w:trPr>
        <w:tc>
          <w:tcPr>
            <w:tcW w:w="44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8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$97.3</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Cash Flows from (for)</w:t>
            </w:r>
          </w:p>
        </w:tc>
        <w:tc>
          <w:tcPr>
            <w:tcW w:w="3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32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269.8</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239.4</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3200" w:type="dxa"/>
            <w:vAlign w:val="bottom"/>
          </w:tcPr>
          <w:p>
            <w:pPr>
              <w:jc w:val="right"/>
              <w:ind w:right="350"/>
              <w:spacing w:after="0"/>
              <w:rPr>
                <w:sz w:val="20"/>
                <w:szCs w:val="20"/>
                <w:color w:val="auto"/>
              </w:rPr>
            </w:pPr>
            <w:r>
              <w:rPr>
                <w:rFonts w:ascii="Arial" w:cs="Arial" w:eastAsia="Arial" w:hAnsi="Arial"/>
                <w:sz w:val="18"/>
                <w:szCs w:val="18"/>
                <w:color w:val="auto"/>
              </w:rPr>
              <w:t>(625.7)</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(336.6)</w:t>
            </w:r>
          </w:p>
        </w:tc>
        <w:tc>
          <w:tcPr>
            <w:tcW w:w="1000" w:type="dxa"/>
            <w:vAlign w:val="bottom"/>
          </w:tcPr>
          <w:p>
            <w:pPr>
              <w:jc w:val="right"/>
              <w:spacing w:after="0"/>
              <w:rPr>
                <w:sz w:val="20"/>
                <w:szCs w:val="20"/>
                <w:color w:val="auto"/>
              </w:rPr>
            </w:pPr>
            <w:r>
              <w:rPr>
                <w:rFonts w:ascii="Arial" w:cs="Arial" w:eastAsia="Arial" w:hAnsi="Arial"/>
                <w:sz w:val="18"/>
                <w:szCs w:val="18"/>
                <w:color w:val="auto"/>
              </w:rPr>
              <w:t>(420.1)</w:t>
            </w:r>
          </w:p>
        </w:tc>
      </w:tr>
      <w:tr>
        <w:trPr>
          <w:trHeight w:val="27"/>
        </w:trPr>
        <w:tc>
          <w:tcPr>
            <w:tcW w:w="5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32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404.4</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113.7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r>
      <w:tr>
        <w:trPr>
          <w:trHeight w:val="237"/>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32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48.5</w:t>
            </w: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16.5</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58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$145.8</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$97.3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0"/>
        </w:trPr>
        <w:tc>
          <w:tcPr>
            <w:tcW w:w="5880" w:type="dxa"/>
            <w:vAlign w:val="bottom"/>
            <w:shd w:val="clear" w:color="auto" w:fill="000000"/>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from operating activities in 2014 was higher than 2013 primarily due to higher net income, cash contributions of $10.8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2013 to other postretirement benefit plans, and timing of accounts payable payments, which were partially offset by increased fuel inventory purchases in 2014.</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from operating activities in 2013 was similar to 2012 as higher net income and lower fuel inventory purchases were offset by decreased other current liabilities due to higher receipts of customer security deposits in 2012 and increased cost recovery rider revenue receivables in 2013.</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for investing activities in 2014 was higher than 2013 primarily due to higher capital expenditures and ALLETE Clean Energy</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in 2014, partially offset by a transfer of cash included in Other Investments to Cash and Cash Equivalents in 2014.</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cash used for investing activities in 2013 from 2012 was primarily due to lower payments for capital expenditures and increased proceeds from sales of available-for-sale securities in 2013.</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from financing activities in 2014 was higher than 2013 primarily due to proceeds from the issuance of long-term debt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common stock in 2014, partially offset by increased payments on long-term debt and dividends on common stock in 2014.</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cash from financing activities in 2013 compared to 2012 was primarily due to lower proceeds from long-term debt issuances and the repayment of long-term debt which matured in 2013, partially offset by increased common stock issuances in 2013.</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paper. As of December 31, 2014, we had consolidated bank lines of credit aggregating $408.4 million ($406.4 million as of December 31, 2013), the majority of which expire in November 2018. We had $47.5 million outstanding in standby letters of credit and $3.7 million outstanding in draws under our lines of credit as of December 31, 2014 ($5.4 million in standby letters of credit and no draws outstanding as of December 31, 2013). In addition, as of December 31, 2014, we had 2.1 million original issue shares of our common stock available for issuance through Invest Direct, our direct stock purchase and dividend reinvestment plan, 1.3 million original issue shares of common stock available for issuance through a distribution agreement with Lampert Capital Markets, Inc. and 1.4 million original issue shares of common stock available for issuance under a forward sale agreement. (See </w:t>
      </w:r>
      <w:r>
        <w:rPr>
          <w:rFonts w:ascii="Arial" w:cs="Arial" w:eastAsia="Arial" w:hAnsi="Arial"/>
          <w:sz w:val="17"/>
          <w:szCs w:val="17"/>
          <w:i w:val="1"/>
          <w:iCs w:val="1"/>
          <w:color w:val="auto"/>
        </w:rPr>
        <w:t>Securities.</w:t>
      </w:r>
      <w:r>
        <w:rPr>
          <w:rFonts w:ascii="Arial" w:cs="Arial" w:eastAsia="Arial" w:hAnsi="Arial"/>
          <w:sz w:val="17"/>
          <w:szCs w:val="17"/>
          <w:color w:val="auto"/>
        </w:rPr>
        <w:t>) The amount and timing of future sales of our securities will depend upon market conditions and our specific needs.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We entered into a distribution agreement with Lampert Capital Markets, Inc., in February 2008, as amended most recently in May 2014,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issuance and sale of up to an aggregate of 9.6 million shares of our common stock, without par value, of which 1.3 million shares remain available for issuance. For the year ended December 31, 2014, 1.9 million shares of common stock were issued under this agreement, resulting in net proceeds of $90.0 million (1.3 million shares for net proceeds of $63.4 million for the year ended December 31, 2013; 1.3 million shares for net proceeds of $53.1 million for the year ended December 31, 2012). The shares sold in 2012 and through August 1, 2013, were offered and sold pursuant to Registration Statement No. 333-170289. On August 2, 2013, we filed Registration Statement No. 333-190335, pursuant to which the remaining shares will continue to be offered for sale, from time to time.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December 31, 2014, we issued a total of 0.5 million shares of common stock through Invest Direct, the Employee Stock Purchase Plan, and the Retirement Savings and Stock Ownership Plan, resulting in net proceeds of $25.4 million (0.7 million shares were issued for net proceeds of $34.8 million during the year ended December 31, 2013; 0.5 million shares were issued for net proceeds of $23.9 million during the year ended December 31, 2012). These shares of common stock were registered under Registration Statement Nos. 333-188315, 333-183051 and 333-162890.</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10, 2014, ALLETE contributed 0.4 million shares of ALLETE common stock to its pension plan. These shares of ALLETE common stock were contributed in reliance upon an exemption available pursuant to Section 4(a)(2) of the Securities Act of 1933, as amended, and had an aggregate value of $19.5 million when contributed.</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26, 2014, ALLETE entered into a confirmation of forward sale agreement (Agreement) with a forward counterparty in connection with a public offering of 2.8 million shares of ALLETE common stock. Pursuant to the Agreement, the forward counterparty (or its affiliate) borrowed 2.8 million shares of ALLETE common stock from third parties and sold them to the underwriters. ALLETE had the right to elect physical, cash or net share settlement under the forward sales agreement, for all or a portion of its obligations under the Agreement. In the event that ALLETE elected physical settlement of the Agreement, it would deliver shares of its common stock in exchange for cash proceeds at the then-applicable forward sale price. The forward sale price was initially $48.01 per share, subject to adjustment as provided in the Agreement. On September 5, 2014, ALLETE physically settled a portion of its obligations under the Agreement by having delivered approximately 1.4 million shares of common stock in exchange for cash proceeds of $65.0 million. On February 4, 2015, ALLETE physically settled the remaining portion of its obligation under the Agreement by delivering approximately 1.4 million shares for cash proceeds of $65.4 million.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on March 4, 2014, the Company issued and sold the option shares to the underwriters at a price to ALLETE equal to the initial forward sale price for proceeds of $20.2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2014, we issued $375.0 million of ALLETE first mortgage bonds (Bonds) in the private placement market in seven series. The Company used the proceeds from the sale of the Bonds to refinance debt, fund utility capital expenditures and/or for general corporate purposes. (See Note 11. Short-Term and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July 1, 2014, we redeemed $111.0 million of pollution control bonds, at par, which were due on July 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11. Short-Term and Long-Term Debt for information regarding our 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Off-balance sheet arrangements are discussed in Note 12. Commitments, Guarantees and Contingencies.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ALLETE has contractual obligations and other commitments that will need to be funded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 addition to its capital expenditure programs. Following is a summarized table of contractual obligations and other commercial commitments as of December 31,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50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Less than</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1 to 3</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4 to 5</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After</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1 Year</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Years</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$2,210.9</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$159.1</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$189.7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$201.7</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Pension </w:t>
            </w:r>
            <w:r>
              <w:rPr>
                <w:rFonts w:ascii="Arial" w:cs="Arial" w:eastAsia="Arial" w:hAnsi="Arial"/>
                <w:sz w:val="18"/>
                <w:szCs w:val="18"/>
                <w:i w:val="1"/>
                <w:iCs w:val="1"/>
                <w:color w:val="auto"/>
              </w:rPr>
              <w:t>(a)</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398.5</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36.5</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75.3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78.9</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207.8</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Postretirement Benefit Plans </w:t>
            </w:r>
            <w:r>
              <w:rPr>
                <w:rFonts w:ascii="Arial" w:cs="Arial" w:eastAsia="Arial" w:hAnsi="Arial"/>
                <w:sz w:val="18"/>
                <w:szCs w:val="18"/>
                <w:i w:val="1"/>
                <w:iCs w:val="1"/>
                <w:color w:val="auto"/>
              </w:rPr>
              <w:t>(a)</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93.1</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8.0</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18.4</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80.5</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13.4</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22.0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17.8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(b)</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Capital Purchase Obligations </w:t>
            </w:r>
            <w:r>
              <w:rPr>
                <w:rFonts w:ascii="Arial" w:cs="Arial" w:eastAsia="Arial" w:hAnsi="Arial"/>
                <w:sz w:val="18"/>
                <w:szCs w:val="18"/>
                <w:i w:val="1"/>
                <w:iCs w:val="1"/>
                <w:color w:val="auto"/>
              </w:rPr>
              <w:t>(c)</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126.3</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105.8</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18.0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PPA Obligations </w:t>
            </w:r>
            <w:r>
              <w:rPr>
                <w:rFonts w:ascii="Arial" w:cs="Arial" w:eastAsia="Arial" w:hAnsi="Arial"/>
                <w:sz w:val="18"/>
                <w:szCs w:val="18"/>
                <w:i w:val="1"/>
                <w:iCs w:val="1"/>
                <w:color w:val="auto"/>
              </w:rPr>
              <w:t>(d)</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459.5</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57.5</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119.9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125.0</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Purchase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38.4</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38.4</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$3,407.2</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$418.7</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$442.2</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$444.3</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$2,102.0</w:t>
            </w:r>
          </w:p>
        </w:tc>
      </w:tr>
      <w:tr>
        <w:trPr>
          <w:trHeight w:val="20"/>
        </w:trPr>
        <w:tc>
          <w:tcPr>
            <w:tcW w:w="45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estimated future benefit payments for our defined benefit pension and other postretirement plans through 2024.</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Excludes $2.0 million of non-current unrecognized tax benefits due to uncertainty regarding the timing of future cash payments related to uncertain tax positions.</w:t>
      </w:r>
    </w:p>
    <w:p>
      <w:pPr>
        <w:spacing w:after="0" w:line="16" w:lineRule="exact"/>
        <w:rPr>
          <w:rFonts w:ascii="Arial" w:cs="Arial" w:eastAsia="Arial" w:hAnsi="Arial"/>
          <w:sz w:val="15"/>
          <w:szCs w:val="15"/>
          <w:i w:val="1"/>
          <w:iCs w:val="1"/>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Consists mostly of capital expenditures related to the Boswell Unit 4 environmental upgrade.</w:t>
      </w:r>
    </w:p>
    <w:p>
      <w:pPr>
        <w:spacing w:after="0" w:line="5" w:lineRule="exact"/>
        <w:rPr>
          <w:rFonts w:ascii="Arial" w:cs="Arial" w:eastAsia="Arial" w:hAnsi="Arial"/>
          <w:sz w:val="16"/>
          <w:szCs w:val="16"/>
          <w:i w:val="1"/>
          <w:iCs w:val="1"/>
          <w:color w:val="auto"/>
        </w:rPr>
      </w:pPr>
    </w:p>
    <w:p>
      <w:pPr>
        <w:jc w:val="both"/>
        <w:ind w:left="340" w:hanging="332"/>
        <w:spacing w:after="0" w:line="276" w:lineRule="auto"/>
        <w:tabs>
          <w:tab w:leader="none" w:pos="340"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Excludes the agreement with Manitoba Hydro expiring in 2022, as this contract is for surplus energy only, and the agreements with Manitoba Hydro commencing in 2020, as our obligations under these contracts is subject to the construction of a hydro generation facility by Manitoba Hydro and additional transmission capacity. Also, excludes Oliver Wind I and Oliver Wind II, as we only pay for energy as it is delivered to us. (See Item 1. Business – Regulated Operations – Power Supply.)</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Our long-term debt obligations, including long-term debt due within one year, represent the principal amount of bonds, notes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recorded on our Consolidated Balance Sheet, plus interest. The table above assumes that the interest rates in effect at December 31, 2014, remain constant through the remaining term. (See Note 11. Short-Term and Long-Term Debt.)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Pension and Other Postretirement Benefit Plans. </w:t>
      </w:r>
      <w:r>
        <w:rPr>
          <w:rFonts w:ascii="Arial" w:cs="Arial" w:eastAsia="Arial" w:hAnsi="Arial"/>
          <w:sz w:val="18"/>
          <w:szCs w:val="18"/>
          <w:color w:val="auto"/>
        </w:rPr>
        <w:t>Our pension and other postretirement benefit plan obligations represent our current estimate of future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through 2024. Pension contributions will be dependent on several factors including realized asset performance, future discount rate and other actuarial assumptions, IRS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amounts are estimates and will change based on actual market performance, changes in interest rates and any changes in governmental regulations. (See Note 17. Pension and Other Postretirement Benefit Plans.)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Capital Purchase Obligations. </w:t>
      </w:r>
      <w:r>
        <w:rPr>
          <w:rFonts w:ascii="Arial" w:cs="Arial" w:eastAsia="Arial" w:hAnsi="Arial"/>
          <w:sz w:val="18"/>
          <w:szCs w:val="18"/>
          <w:color w:val="auto"/>
        </w:rPr>
        <w:t>Capital purchase obligations represent our purchase obligations for certain capital expenditure projects. It includes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related to the Boswell Unit 4 environmental upgrade and certain transmission projects. (See Note 12. Commitments, Guarantees and Contingencies.)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PPA Obligations. </w:t>
      </w:r>
      <w:r>
        <w:rPr>
          <w:rFonts w:ascii="Arial" w:cs="Arial" w:eastAsia="Arial" w:hAnsi="Arial"/>
          <w:sz w:val="18"/>
          <w:szCs w:val="18"/>
          <w:color w:val="auto"/>
        </w:rPr>
        <w:t>PPA obligations represent our Square Butte, Manitoba Hydro, Minnkota Power and other purchase power contracts. (See Note 12.</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Guarantees and Contingencies.)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Minnesota Power’s PPA with Square Butte that extends through 2026, we are obligated to pay our pro rata share of Square Butte’s costs based on our entitlement to the output of Square Butte’s 455 MW coal-fired generating unit near Center, North Dakota. Minnesota Power’s payment obligation will be suspended if Square Butte fails to deliver any power, whether produced or purchased, for a period of one year. Square Butte’s fixed costs consist primarily of debt service. The table above reflects our share of future debt service based on our output entitlement of 50 percent.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has a PPA with Manitoba Hydro that expires in May 2020. Under this agreement, Minnesota Power is 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2012, Minnesota Power entered into a long-term PPA with Minnkota Power. Under this agreement, Minnesota Power will purchase 50 MW of capacity and the energy associated with that capacity from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Great River Energy PPAs. </w:t>
      </w:r>
      <w:r>
        <w:rPr>
          <w:rFonts w:ascii="Arial" w:cs="Arial" w:eastAsia="Arial" w:hAnsi="Arial"/>
          <w:sz w:val="16"/>
          <w:szCs w:val="16"/>
          <w:color w:val="auto"/>
        </w:rPr>
        <w:t>In August 2014 and January 2015, Minnesota Power and Great River Energy signed long-term PPAs that provide for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to purchase 50 MW of capacity and energy under the first PPA and 50 MW of capacity only under the second PPA. The PPAs commence in June 2016 and expire in May 2020. Both contracts have fixed capacity pricing. The energy price in the first PPA is based on a formula that includes an annual fixed price component adjusted for changes in a natural gas index as well as market prices. Both PPAs are subject to MPUC approval.</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Purchase Obligations. </w:t>
      </w:r>
      <w:r>
        <w:rPr>
          <w:rFonts w:ascii="Arial" w:cs="Arial" w:eastAsia="Arial" w:hAnsi="Arial"/>
          <w:sz w:val="18"/>
          <w:szCs w:val="18"/>
          <w:color w:val="auto"/>
        </w:rPr>
        <w:t>Other purchase obligations represent our minimum purchase commitments under coal and rail contracts. (See Note 12.</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Guarantees and Contingencies.)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Standard &amp; Poor’s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table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Credit Ratings</w:t>
            </w:r>
          </w:p>
        </w:tc>
        <w:tc>
          <w:tcPr>
            <w:tcW w:w="5120" w:type="dxa"/>
            <w:vAlign w:val="bottom"/>
          </w:tcPr>
          <w:p>
            <w:pPr>
              <w:jc w:val="center"/>
              <w:ind w:left="2930"/>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496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Issuer Credit Rating</w:t>
            </w:r>
          </w:p>
        </w:tc>
        <w:tc>
          <w:tcPr>
            <w:tcW w:w="512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w w:val="98"/>
              </w:rPr>
              <w:t>BBB+</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5120" w:type="dxa"/>
            <w:vAlign w:val="bottom"/>
          </w:tcPr>
          <w:p>
            <w:pPr>
              <w:jc w:val="center"/>
              <w:ind w:left="2910"/>
              <w:spacing w:after="0"/>
              <w:rPr>
                <w:sz w:val="20"/>
                <w:szCs w:val="20"/>
                <w:color w:val="auto"/>
              </w:rPr>
            </w:pPr>
            <w:r>
              <w:rPr>
                <w:rFonts w:ascii="Arial" w:cs="Arial" w:eastAsia="Arial" w:hAnsi="Arial"/>
                <w:sz w:val="18"/>
                <w:szCs w:val="18"/>
                <w:color w:val="auto"/>
                <w:w w:val="99"/>
              </w:rPr>
              <w:t>A-2</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49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Mortgage Bonds</w:t>
            </w:r>
          </w:p>
        </w:tc>
        <w:tc>
          <w:tcPr>
            <w:tcW w:w="5120" w:type="dxa"/>
            <w:vAlign w:val="bottom"/>
            <w:tcBorders>
              <w:bottom w:val="single" w:sz="8" w:color="CCEEFF"/>
            </w:tcBorders>
            <w:shd w:val="clear" w:color="auto" w:fill="CCEEFF"/>
          </w:tcPr>
          <w:p>
            <w:pPr>
              <w:jc w:val="center"/>
              <w:ind w:left="2930"/>
              <w:spacing w:after="0"/>
              <w:rPr>
                <w:sz w:val="20"/>
                <w:szCs w:val="20"/>
                <w:color w:val="auto"/>
              </w:rPr>
            </w:pPr>
            <w:r>
              <w:rPr>
                <w:rFonts w:ascii="Arial" w:cs="Arial" w:eastAsia="Arial" w:hAnsi="Arial"/>
                <w:sz w:val="18"/>
                <w:szCs w:val="18"/>
                <w:color w:val="auto"/>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r>
      <w:tr>
        <w:trPr>
          <w:trHeight w:val="20"/>
        </w:trPr>
        <w:tc>
          <w:tcPr>
            <w:tcW w:w="4960" w:type="dxa"/>
            <w:vAlign w:val="bottom"/>
            <w:shd w:val="clear" w:color="auto" w:fill="000000"/>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3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Common Stock Dividends</w:t>
      </w:r>
      <w:r>
        <w:rPr>
          <w:rFonts w:ascii="Arial" w:cs="Arial" w:eastAsia="Arial" w:hAnsi="Arial"/>
          <w:sz w:val="17"/>
          <w:szCs w:val="17"/>
          <w:color w:val="auto"/>
        </w:rPr>
        <w:t>. ALLETE is committed to providing a competitive dividend to its shareholders while at the same time funding its growth.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long-term objective is to maintain a dividend payout ratio similar to our peers and provide for future dividend increases. In 2014, we paid out 68 percent (72 percent in 2013; 71 percent in 2012) of our per share earnings in dividends. On January 22, 2015, our Board of Directors declared a dividend of $0.505 per share, which is payable on March 1, 2015, to shareholders of record at the close of business on February 16, 2015.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2015 through 2019 are presented in the table below. Actual capital expenditures may vary from the estimates due to changes in forecasted plant maintenance, regulatory decisions or approvals, future environmental requirements, base load growth, capital market conditions or executions of new business strategies.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 Operations</w:t>
            </w:r>
          </w:p>
        </w:tc>
        <w:tc>
          <w:tcPr>
            <w:tcW w:w="19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720"/>
              <w:spacing w:after="0"/>
              <w:rPr>
                <w:sz w:val="20"/>
                <w:szCs w:val="20"/>
                <w:color w:val="auto"/>
              </w:rPr>
            </w:pPr>
            <w:r>
              <w:rPr>
                <w:rFonts w:ascii="Arial" w:cs="Arial" w:eastAsia="Arial" w:hAnsi="Arial"/>
                <w:sz w:val="18"/>
                <w:szCs w:val="18"/>
                <w:color w:val="auto"/>
              </w:rPr>
              <w:t>Base and Other</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$135</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$170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$160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$205</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$125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$795</w:t>
            </w:r>
          </w:p>
        </w:tc>
      </w:tr>
      <w:tr>
        <w:trPr>
          <w:trHeight w:val="27"/>
        </w:trPr>
        <w:tc>
          <w:tcPr>
            <w:tcW w:w="4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Cost Recovery </w:t>
            </w:r>
            <w:r>
              <w:rPr>
                <w:rFonts w:ascii="Arial" w:cs="Arial" w:eastAsia="Arial" w:hAnsi="Arial"/>
                <w:sz w:val="18"/>
                <w:szCs w:val="18"/>
                <w:i w:val="1"/>
                <w:iCs w:val="1"/>
                <w:color w:val="auto"/>
              </w:rPr>
              <w:t>(a)</w:t>
            </w:r>
          </w:p>
        </w:tc>
        <w:tc>
          <w:tcPr>
            <w:tcW w:w="19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180"/>
              <w:spacing w:after="0"/>
              <w:rPr>
                <w:sz w:val="20"/>
                <w:szCs w:val="20"/>
                <w:color w:val="auto"/>
              </w:rPr>
            </w:pPr>
            <w:r>
              <w:rPr>
                <w:rFonts w:ascii="Arial" w:cs="Arial" w:eastAsia="Arial" w:hAnsi="Arial"/>
                <w:sz w:val="18"/>
                <w:szCs w:val="18"/>
                <w:color w:val="auto"/>
              </w:rPr>
              <w:t xml:space="preserve">Environmental </w:t>
            </w:r>
            <w:r>
              <w:rPr>
                <w:rFonts w:ascii="Arial" w:cs="Arial" w:eastAsia="Arial" w:hAnsi="Arial"/>
                <w:sz w:val="18"/>
                <w:szCs w:val="18"/>
                <w:i w:val="1"/>
                <w:iCs w:val="1"/>
                <w:color w:val="auto"/>
              </w:rPr>
              <w:t>(b)</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90</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4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Renewable</w:t>
            </w:r>
          </w:p>
        </w:tc>
        <w:tc>
          <w:tcPr>
            <w:tcW w:w="19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060" w:type="dxa"/>
            <w:vAlign w:val="bottom"/>
          </w:tcPr>
          <w:p>
            <w:pPr>
              <w:ind w:left="1180"/>
              <w:spacing w:after="0"/>
              <w:rPr>
                <w:sz w:val="20"/>
                <w:szCs w:val="20"/>
                <w:color w:val="auto"/>
              </w:rPr>
            </w:pPr>
            <w:r>
              <w:rPr>
                <w:rFonts w:ascii="Arial" w:cs="Arial" w:eastAsia="Arial" w:hAnsi="Arial"/>
                <w:sz w:val="18"/>
                <w:szCs w:val="18"/>
                <w:color w:val="auto"/>
              </w:rPr>
              <w:t xml:space="preserve">Transmission </w:t>
            </w:r>
            <w:r>
              <w:rPr>
                <w:rFonts w:ascii="Arial" w:cs="Arial" w:eastAsia="Arial" w:hAnsi="Arial"/>
                <w:sz w:val="18"/>
                <w:szCs w:val="18"/>
                <w:i w:val="1"/>
                <w:iCs w:val="1"/>
                <w:color w:val="auto"/>
              </w:rPr>
              <w:t>(c)</w:t>
            </w: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70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105</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120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 Recovery</w:t>
            </w:r>
          </w:p>
        </w:tc>
        <w:tc>
          <w:tcPr>
            <w:tcW w:w="19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115</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105</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Regulated Utility Capital Expenditures</w:t>
            </w:r>
          </w:p>
        </w:tc>
        <w:tc>
          <w:tcPr>
            <w:tcW w:w="1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250</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205</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230</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310</w:t>
            </w: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245</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1,240</w:t>
            </w:r>
          </w:p>
        </w:tc>
      </w:tr>
      <w:tr>
        <w:trPr>
          <w:trHeight w:val="27"/>
        </w:trPr>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30</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Capital Expenditures</w:t>
            </w:r>
          </w:p>
        </w:tc>
        <w:tc>
          <w:tcPr>
            <w:tcW w:w="1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$280</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$235</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$260</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$340</w:t>
            </w: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$270</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Estimated capital expenditures eligible for cost recovery outside of a rate case.</w:t>
      </w:r>
    </w:p>
    <w:p>
      <w:pPr>
        <w:spacing w:after="0" w:line="19"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Environmental capital expenditures primarily related to compliance with the MATS rule for Boswell Unit 4 which reflect Minnesota Power’s ownership percentage of 80 percent. (See Note 12. Commitments, Guarantees and Contingencies.)</w:t>
      </w:r>
    </w:p>
    <w:p>
      <w:pPr>
        <w:ind w:left="340" w:hanging="332"/>
        <w:spacing w:after="0"/>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Transmission capital expenditures related to construction of the GNTL are estimated at approximately $315 million through 2019. (See Outlook – Regulated Operations.)</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are well positioned to meet our financing needs due to adequate operating cash flows, available additional working capital, and access to capital markets. We will finance capital expenditures from a combination of internally generated funds and debt and equity issuance proceeds. We intend to maintain a capital structure with capital ratios near current levels. (See Liquidity and Capital Resources </w:t>
      </w:r>
      <w:r>
        <w:rPr>
          <w:rFonts w:ascii="Arial" w:cs="Arial" w:eastAsia="Arial" w:hAnsi="Arial"/>
          <w:sz w:val="15"/>
          <w:szCs w:val="15"/>
          <w:i w:val="1"/>
          <w:iCs w:val="1"/>
          <w:color w:val="auto"/>
        </w:rPr>
        <w:t>–</w:t>
      </w:r>
      <w:r>
        <w:rPr>
          <w:rFonts w:ascii="Arial" w:cs="Arial" w:eastAsia="Arial" w:hAnsi="Arial"/>
          <w:sz w:val="17"/>
          <w:szCs w:val="17"/>
          <w:color w:val="auto"/>
        </w:rPr>
        <w:t xml:space="preserve"> Capital Structure.) Based on our projected capital expenditures reflected above, we project our rate base to grow by approximately 15 percent from 2014 year-end through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We are unable to predict the outcome of the issues discussed in Note 12. Commitments, Guarantees and Contingencies. (See Item 1. Business – Environmental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At December 31, 2014, our available-for-sale securities portfolio consisted of securities held in other postretirement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fund employee benefits. (See Note 8. Investments.)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Interest Rate Risk</w:t>
      </w:r>
      <w:r>
        <w:rPr>
          <w:rFonts w:ascii="Arial" w:cs="Arial" w:eastAsia="Arial" w:hAnsi="Arial"/>
          <w:sz w:val="17"/>
          <w:szCs w:val="17"/>
          <w:color w:val="auto"/>
        </w:rPr>
        <w:t>. We are exposed to risks resulting from changes in interest rates as a result of our issuance of variable rate debt. We manage our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table below presents the long-term debt obligations and the corresponding weighted average interest rate at December 31, 2014.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Expected Maturity Date</w:t>
            </w: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Rate Sensitive</w:t>
            </w: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Thereafter</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Millions</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Fixed Rate</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$4.7</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$24.9</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$54.6</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$54.8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$46.9</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$1,050.3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$1,236.2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5.3</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7.3</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2.2</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 Rate</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$96.0</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 xml:space="preserve">Average Interest Rate – % </w:t>
            </w:r>
            <w:r>
              <w:rPr>
                <w:rFonts w:ascii="Arial" w:cs="Arial" w:eastAsia="Arial" w:hAnsi="Arial"/>
                <w:sz w:val="18"/>
                <w:szCs w:val="18"/>
                <w:i w:val="1"/>
                <w:iCs w:val="1"/>
                <w:color w:val="auto"/>
              </w:rPr>
              <w:t>(a)</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$75 million term loan matures in 2015. It has an effective fixed rate of 1.625 percent for the remaining term due to an interest rate swap.</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at December 31, 2014, and assuming no other changes to our financial structure, an increase of 100 basis points in interest rates would impact the amount of pretax interest expense by $0.6 million. This amount was determined by considering the impact of a hypothetical 100 basis point increase to the average variable interest rate on the variable rate debt outstanding as of December 31, 2014.</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Commodity Price Risk</w:t>
      </w:r>
      <w:r>
        <w:rPr>
          <w:rFonts w:ascii="Arial" w:cs="Arial" w:eastAsia="Arial" w:hAnsi="Arial"/>
          <w:sz w:val="18"/>
          <w:szCs w:val="18"/>
          <w:color w:val="auto"/>
        </w:rPr>
        <w:t>. Our regulated utility operations incur costs for power and fuel (primarily coal and related transportation) in Minnesota and power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Power Marketing</w:t>
      </w:r>
      <w:r>
        <w:rPr>
          <w:rFonts w:ascii="Arial" w:cs="Arial" w:eastAsia="Arial" w:hAnsi="Arial"/>
          <w:sz w:val="18"/>
          <w:szCs w:val="18"/>
          <w:color w:val="auto"/>
        </w:rPr>
        <w:t>. Our power marketing activities consist of: (1) purchasing energy in the wholesale market to serve our regulated service territory when</w:t>
      </w:r>
      <w:r>
        <w:rPr>
          <w:rFonts w:ascii="Arial" w:cs="Arial" w:eastAsia="Arial" w:hAnsi="Arial"/>
          <w:sz w:val="18"/>
          <w:szCs w:val="18"/>
          <w:b w:val="1"/>
          <w:bCs w:val="1"/>
          <w:color w:val="auto"/>
        </w:rPr>
        <w:t xml:space="preserve"> </w:t>
      </w:r>
      <w:r>
        <w:rPr>
          <w:rFonts w:ascii="Arial" w:cs="Arial" w:eastAsia="Arial" w:hAnsi="Arial"/>
          <w:sz w:val="18"/>
          <w:szCs w:val="18"/>
          <w:color w:val="auto"/>
        </w:rPr>
        <w:t>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our consolidated financial statements as of December 31, 2014 and 2013, and for each of the three years in the period ended December 31, 2014, and supplementary data, which are indexed in Item 15(a).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2014, evaluations were performed, under the supervision and with the participation of 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updated Internal Control – Integrated Framework (2013 framework) issued by the Committee of Sponsoring Organizations of the Treadway Commission. The 2013 framework supersedes the original framework issued in 1992 and is effective for all dates after December 15, 2014. Based on our evaluation under the 2013 framework, our management concluded that our internal control over financial reporting was effective as of December 31, 2014.</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2014, has been audited by PricewaterhouseCoopers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 The Company is undergoing a project with the objective of improving customer information systems. The focus of the project is the upgrade and addition of certain customer information applications; these changes are not the result of any identified deficiencies in our internal control over financial reporting. The Company expects the project to result in greater efficiencies and enhance the processes used by employees to track power consumption, invoice customers, process payments, and analyze data. Implementation is expected in the first half of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stated, the information required by this Item is incorporated by reference herein from our Proxy Statement for the 2015 Annual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(2015 Proxy Statement) under the following headings:</w:t>
      </w:r>
    </w:p>
    <w:p>
      <w:pPr>
        <w:spacing w:after="0" w:line="20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25" w:lineRule="exact"/>
        <w:rPr>
          <w:rFonts w:ascii="Arial" w:cs="Arial" w:eastAsia="Arial" w:hAnsi="Arial"/>
          <w:sz w:val="18"/>
          <w:szCs w:val="18"/>
          <w:color w:val="auto"/>
        </w:rPr>
      </w:pPr>
    </w:p>
    <w:p>
      <w:pPr>
        <w:ind w:left="660" w:right="86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section and the “Audit Committee Report” section;</w:t>
      </w:r>
    </w:p>
    <w:p>
      <w:pPr>
        <w:spacing w:after="0" w:line="161"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“Corporate Governance” section and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Report” section;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25"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Section 16(a) Compliance. </w:t>
      </w:r>
      <w:r>
        <w:rPr>
          <w:rFonts w:ascii="Arial" w:cs="Arial" w:eastAsia="Arial" w:hAnsi="Arial"/>
          <w:sz w:val="18"/>
          <w:szCs w:val="18"/>
          <w:color w:val="auto"/>
        </w:rPr>
        <w:t>The information regarding Section 16(a) compliance will be included in the “Ownership of ALLETE Common Stock –</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16(a) Beneficial Ownership Reporting Compliance”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2015 Proxy Statement will be filed with the SEC within 120 days after the end of our 2014 fiscal year.</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controller.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color w:val="auto"/>
        </w:rPr>
        <w:t>The following documents are available on our website at www.allete.com and print copies are available upon request:</w:t>
      </w:r>
    </w:p>
    <w:p>
      <w:pPr>
        <w:spacing w:after="0" w:line="22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required for this Item is incorporated by reference herein from the “Compensation Discussion and Analysis,” the “Compensation of Executive Officers,” the “Compensation Committee Report” and the “Director Compensation” sections in our 2015 Proxy Statement.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for this Item is incorporated by reference herein from the “Ownership of ALLETE Common Stock – Securities Owned by Certain Beneficial Owners,” the “Ownership of ALLETE Common Stock – Securities Owned by Directors and Management” and the “Equity Compensation Plan Information” sections in our 2015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“Corporate Governance” section in our 2015 Proxy Statement.</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“Audit Committee Report” section in our 2015 Proxy Statement.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55"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(1)</w:t>
            </w:r>
          </w:p>
        </w:tc>
        <w:tc>
          <w:tcPr>
            <w:tcW w:w="10480" w:type="dxa"/>
            <w:vAlign w:val="bottom"/>
            <w:gridSpan w:val="10"/>
          </w:tcPr>
          <w:p>
            <w:pPr>
              <w:ind w:left="240"/>
              <w:spacing w:after="0"/>
              <w:rPr>
                <w:sz w:val="20"/>
                <w:szCs w:val="20"/>
                <w:color w:val="auto"/>
              </w:rPr>
            </w:pPr>
            <w:r>
              <w:rPr>
                <w:rFonts w:ascii="Arial" w:cs="Arial" w:eastAsia="Arial" w:hAnsi="Arial"/>
                <w:sz w:val="18"/>
                <w:szCs w:val="18"/>
                <w:color w:val="auto"/>
              </w:rPr>
              <w:t>Financial Statements</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Page</w:t>
            </w: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ALLETE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0" w:type="dxa"/>
            <w:vAlign w:val="bottom"/>
            <w:gridSpan w:val="9"/>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66</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5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6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color w:val="auto"/>
              </w:rPr>
              <w:t>Consolidated Balance Sheet at December 31, 2014 and 2013</w:t>
            </w:r>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43"/>
        </w:trPr>
        <w:tc>
          <w:tcPr>
            <w:tcW w:w="4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0000" w:type="dxa"/>
            <w:vAlign w:val="bottom"/>
            <w:tcBorders>
              <w:top w:val="single" w:sz="8" w:color="CCEEFF"/>
            </w:tcBorders>
            <w:gridSpan w:val="9"/>
          </w:tcPr>
          <w:p>
            <w:pPr>
              <w:spacing w:after="0"/>
              <w:rPr>
                <w:sz w:val="20"/>
                <w:szCs w:val="20"/>
                <w:color w:val="auto"/>
              </w:rPr>
            </w:pPr>
            <w:r>
              <w:rPr>
                <w:rFonts w:ascii="Arial" w:cs="Arial" w:eastAsia="Arial" w:hAnsi="Arial"/>
                <w:sz w:val="18"/>
                <w:szCs w:val="18"/>
                <w:color w:val="auto"/>
              </w:rPr>
              <w:t>For the Three Years Ended December 31, 2014</w:t>
            </w: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line="20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 of Income</w:t>
              </w:r>
            </w:hyperlink>
          </w:p>
        </w:tc>
        <w:tc>
          <w:tcPr>
            <w:tcW w:w="7280" w:type="dxa"/>
            <w:vAlign w:val="bottom"/>
            <w:gridSpan w:val="7"/>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68</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8"/>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 of Comprehensive Income</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69</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80" w:type="dxa"/>
            <w:vAlign w:val="bottom"/>
            <w:gridSpan w:val="8"/>
            <w:shd w:val="clear" w:color="auto" w:fill="CCEEFF"/>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 of Cash Flows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70</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8"/>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 of Shareholders’ Equity</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71</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160" w:type="dxa"/>
            <w:vAlign w:val="bottom"/>
            <w:gridSpan w:val="4"/>
            <w:shd w:val="clear" w:color="auto" w:fill="CCEEFF"/>
          </w:tcPr>
          <w:p>
            <w:pPr>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Notes to Consolidated Financial Statements</w:t>
              </w:r>
            </w:hyperlink>
          </w:p>
        </w:tc>
        <w:tc>
          <w:tcPr>
            <w:tcW w:w="6840" w:type="dxa"/>
            <w:vAlign w:val="bottom"/>
            <w:gridSpan w:val="5"/>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72</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5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43"/>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(2)</w:t>
            </w:r>
          </w:p>
        </w:tc>
        <w:tc>
          <w:tcPr>
            <w:tcW w:w="10480" w:type="dxa"/>
            <w:vAlign w:val="bottom"/>
            <w:gridSpan w:val="10"/>
          </w:tcPr>
          <w:p>
            <w:pPr>
              <w:ind w:left="240"/>
              <w:spacing w:after="0"/>
              <w:rPr>
                <w:sz w:val="20"/>
                <w:szCs w:val="20"/>
                <w:color w:val="auto"/>
              </w:rPr>
            </w:pPr>
            <w:r>
              <w:rPr>
                <w:rFonts w:ascii="Arial" w:cs="Arial" w:eastAsia="Arial" w:hAnsi="Arial"/>
                <w:sz w:val="18"/>
                <w:szCs w:val="18"/>
                <w:color w:val="auto"/>
              </w:rPr>
              <w:t>Financial Statement Schedules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Schedule II – ALLETE Valuation and Qualifying Accounts and Reserves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123</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5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29"/>
        </w:trPr>
        <w:tc>
          <w:tcPr>
            <w:tcW w:w="480" w:type="dxa"/>
            <w:vAlign w:val="bottom"/>
          </w:tcPr>
          <w:p>
            <w:pPr>
              <w:spacing w:after="0"/>
              <w:rPr>
                <w:sz w:val="19"/>
                <w:szCs w:val="19"/>
                <w:color w:val="auto"/>
              </w:rPr>
            </w:pPr>
          </w:p>
        </w:tc>
        <w:tc>
          <w:tcPr>
            <w:tcW w:w="10480" w:type="dxa"/>
            <w:vAlign w:val="bottom"/>
            <w:gridSpan w:val="10"/>
          </w:tcPr>
          <w:p>
            <w:pPr>
              <w:ind w:left="240"/>
              <w:spacing w:after="0"/>
              <w:rPr>
                <w:sz w:val="20"/>
                <w:szCs w:val="20"/>
                <w:color w:val="auto"/>
              </w:rPr>
            </w:pPr>
            <w:r>
              <w:rPr>
                <w:rFonts w:ascii="Arial" w:cs="Arial" w:eastAsia="Arial" w:hAnsi="Arial"/>
                <w:sz w:val="18"/>
                <w:szCs w:val="18"/>
                <w:color w:val="auto"/>
                <w:w w:val="91"/>
              </w:rPr>
              <w:t>All other schedules have been omitted either because the information is not required to be reported by ALLETE or because the information is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10480" w:type="dxa"/>
            <w:vAlign w:val="bottom"/>
            <w:gridSpan w:val="10"/>
          </w:tcPr>
          <w:p>
            <w:pPr>
              <w:ind w:left="240"/>
              <w:spacing w:after="0"/>
              <w:rPr>
                <w:sz w:val="20"/>
                <w:szCs w:val="20"/>
                <w:color w:val="auto"/>
              </w:rPr>
            </w:pPr>
            <w:r>
              <w:rPr>
                <w:rFonts w:ascii="Arial" w:cs="Arial" w:eastAsia="Arial" w:hAnsi="Arial"/>
                <w:sz w:val="18"/>
                <w:szCs w:val="18"/>
                <w:color w:val="auto"/>
              </w:rPr>
              <w:t>included in the consolidated financial statements or the notes.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*3(a)1</w:t>
            </w: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8"/>
              </w:rPr>
              <w:t>Articles of Incorporation, amended and restated as of May 8, 2001 (filed as Exhibit 3(b) to the March 31, 2001,</w:t>
            </w:r>
          </w:p>
        </w:tc>
        <w:tc>
          <w:tcPr>
            <w:tcW w:w="2060" w:type="dxa"/>
            <w:vAlign w:val="bottom"/>
            <w:shd w:val="clear" w:color="auto" w:fill="CCEEFF"/>
          </w:tcPr>
          <w:p>
            <w:pPr>
              <w:spacing w:after="0"/>
              <w:rPr>
                <w:sz w:val="19"/>
                <w:szCs w:val="19"/>
                <w:color w:val="auto"/>
              </w:rPr>
            </w:pPr>
          </w:p>
        </w:tc>
      </w:tr>
      <w:tr>
        <w:trPr>
          <w:trHeight w:val="219"/>
        </w:trPr>
        <w:tc>
          <w:tcPr>
            <w:tcW w:w="8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Form 10-Q, File No. 1-3548).</w:t>
            </w:r>
          </w:p>
        </w:tc>
        <w:tc>
          <w:tcPr>
            <w:tcW w:w="43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*3(a)2</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
          </w:tcPr>
          <w:p>
            <w:pPr>
              <w:ind w:left="160"/>
              <w:spacing w:after="0"/>
              <w:rPr>
                <w:sz w:val="20"/>
                <w:szCs w:val="20"/>
                <w:color w:val="auto"/>
              </w:rPr>
            </w:pPr>
            <w:r>
              <w:rPr>
                <w:rFonts w:ascii="Arial" w:cs="Arial" w:eastAsia="Arial" w:hAnsi="Arial"/>
                <w:sz w:val="16"/>
                <w:szCs w:val="16"/>
                <w:color w:val="auto"/>
                <w:w w:val="93"/>
              </w:rPr>
              <w:t>Amendment to Articles of Incorporation, dated as of September 20, 2004 (filed as Exhibit 3 to the September 21, 2004, Form 8-K, File No. 1-3548).</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900" w:type="dxa"/>
            <w:vAlign w:val="bottom"/>
            <w:gridSpan w:val="4"/>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*3(a)3</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Amendment to Articles of Incorporation, dated as of May 12, 2009 (filed as Exhibit 3 to the June 30, 2009, Form 10-Q, File No. 1-3548).</w:t>
            </w: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*3(a)4</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
          </w:tcPr>
          <w:p>
            <w:pPr>
              <w:ind w:left="160"/>
              <w:spacing w:after="0"/>
              <w:rPr>
                <w:sz w:val="20"/>
                <w:szCs w:val="20"/>
                <w:color w:val="auto"/>
              </w:rPr>
            </w:pPr>
            <w:r>
              <w:rPr>
                <w:rFonts w:ascii="Arial" w:cs="Arial" w:eastAsia="Arial" w:hAnsi="Arial"/>
                <w:sz w:val="16"/>
                <w:szCs w:val="16"/>
                <w:color w:val="auto"/>
              </w:rPr>
              <w:t>Amendment to Articles of Incorporation, dated as of May 11, 2010 (filed as Exhibit 3(a) to the May 14, 2010, Form 8-K, File No. 1-3548).</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4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r>
      <w:tr>
        <w:trPr>
          <w:trHeight w:val="220"/>
        </w:trPr>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*3(a)5</w:t>
            </w: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5"/>
              </w:rPr>
              <w:t>Amendment to Certificate of Assumed Name, filed with the Minnesota Secretary of State on May 8, 2001 (filed as</w:t>
            </w:r>
          </w:p>
        </w:tc>
        <w:tc>
          <w:tcPr>
            <w:tcW w:w="2060" w:type="dxa"/>
            <w:vAlign w:val="bottom"/>
            <w:shd w:val="clear" w:color="auto" w:fill="CCEEFF"/>
          </w:tcPr>
          <w:p>
            <w:pPr>
              <w:spacing w:after="0"/>
              <w:rPr>
                <w:sz w:val="19"/>
                <w:szCs w:val="19"/>
                <w:color w:val="auto"/>
              </w:rPr>
            </w:pPr>
          </w:p>
        </w:tc>
      </w:tr>
      <w:tr>
        <w:trPr>
          <w:trHeight w:val="219"/>
        </w:trPr>
        <w:tc>
          <w:tcPr>
            <w:tcW w:w="8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Exhibit 3(a) to the March 31, 2001, Form 10-Q, File No. 1-3548).</w:t>
            </w:r>
          </w:p>
        </w:tc>
        <w:tc>
          <w:tcPr>
            <w:tcW w:w="2060" w:type="dxa"/>
            <w:vAlign w:val="bottom"/>
            <w:tcBorders>
              <w:bottom w:val="single" w:sz="8" w:color="CCEEFF"/>
            </w:tcBorders>
            <w:shd w:val="clear" w:color="auto" w:fill="CCEEFF"/>
          </w:tcPr>
          <w:p>
            <w:pPr>
              <w:spacing w:after="0"/>
              <w:rPr>
                <w:sz w:val="19"/>
                <w:szCs w:val="19"/>
                <w:color w:val="auto"/>
              </w:rPr>
            </w:pP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*3(b)</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840" w:type="dxa"/>
            <w:vAlign w:val="bottom"/>
            <w:gridSpan w:val="3"/>
          </w:tcPr>
          <w:p>
            <w:pPr>
              <w:ind w:left="160"/>
              <w:spacing w:after="0"/>
              <w:rPr>
                <w:sz w:val="20"/>
                <w:szCs w:val="20"/>
                <w:color w:val="auto"/>
              </w:rPr>
            </w:pPr>
            <w:r>
              <w:rPr>
                <w:rFonts w:ascii="Arial" w:cs="Arial" w:eastAsia="Arial" w:hAnsi="Arial"/>
                <w:sz w:val="16"/>
                <w:szCs w:val="16"/>
                <w:color w:val="auto"/>
                <w:w w:val="94"/>
              </w:rPr>
              <w:t>Bylaws, as amended effective May 11, 2010 (filed as Exhibit 3(b) to the May 14, 2010, Form 8-K, File No. 1-3548).</w:t>
            </w:r>
          </w:p>
        </w:tc>
        <w:tc>
          <w:tcPr>
            <w:tcW w:w="2060" w:type="dxa"/>
            <w:vAlign w:val="bottom"/>
          </w:tcPr>
          <w:p>
            <w:pPr>
              <w:spacing w:after="0"/>
              <w:rPr>
                <w:sz w:val="19"/>
                <w:szCs w:val="19"/>
                <w:color w:val="auto"/>
              </w:rPr>
            </w:pP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900" w:type="dxa"/>
            <w:vAlign w:val="bottom"/>
            <w:gridSpan w:val="4"/>
          </w:tcPr>
          <w:p>
            <w:pPr>
              <w:spacing w:after="0"/>
              <w:rPr>
                <w:sz w:val="2"/>
                <w:szCs w:val="2"/>
                <w:color w:val="auto"/>
              </w:rPr>
            </w:pPr>
          </w:p>
        </w:tc>
      </w:tr>
      <w:tr>
        <w:trPr>
          <w:trHeight w:val="220"/>
        </w:trPr>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*4(a)1</w:t>
            </w: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w w:val="95"/>
              </w:rPr>
              <w:t>Mortgage and Deed of Trust, dated as of September 1, 1945, between Minnesota Power &amp; Light Company (now ALLETE) and The Bank of New</w:t>
            </w:r>
          </w:p>
        </w:tc>
      </w:tr>
      <w:tr>
        <w:trPr>
          <w:trHeight w:val="219"/>
        </w:trPr>
        <w:tc>
          <w:tcPr>
            <w:tcW w:w="8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99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w w:val="93"/>
              </w:rPr>
              <w:t>York Mellon (formerly Irving Trust Company) and Philip L. Watson (successor to Richard H. West), Trustees (filed as Exhibit 7(c), File No. 2-5865).</w:t>
            </w: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*4(a)2</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840" w:type="dxa"/>
            <w:vAlign w:val="bottom"/>
            <w:gridSpan w:val="3"/>
          </w:tcPr>
          <w:p>
            <w:pPr>
              <w:ind w:left="160"/>
              <w:spacing w:after="0"/>
              <w:rPr>
                <w:sz w:val="20"/>
                <w:szCs w:val="20"/>
                <w:color w:val="auto"/>
              </w:rPr>
            </w:pPr>
            <w:r>
              <w:rPr>
                <w:rFonts w:ascii="Arial" w:cs="Arial" w:eastAsia="Arial" w:hAnsi="Arial"/>
                <w:sz w:val="16"/>
                <w:szCs w:val="16"/>
                <w:color w:val="auto"/>
              </w:rPr>
              <w:t>Supplemental Indentures to ALLETE’s Mortgage and Deed of Trust:</w:t>
            </w:r>
          </w:p>
        </w:tc>
        <w:tc>
          <w:tcPr>
            <w:tcW w:w="2060" w:type="dxa"/>
            <w:vAlign w:val="bottom"/>
          </w:tcPr>
          <w:p>
            <w:pPr>
              <w:spacing w:after="0"/>
              <w:rPr>
                <w:sz w:val="19"/>
                <w:szCs w:val="19"/>
                <w:color w:val="auto"/>
              </w:rPr>
            </w:pP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Number</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Dated as of</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Reference File</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Exhibit</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First</w:t>
            </w:r>
          </w:p>
        </w:tc>
        <w:tc>
          <w:tcPr>
            <w:tcW w:w="1920" w:type="dxa"/>
            <w:vAlign w:val="bottom"/>
          </w:tcPr>
          <w:p>
            <w:pPr>
              <w:ind w:left="400"/>
              <w:spacing w:after="0"/>
              <w:rPr>
                <w:sz w:val="20"/>
                <w:szCs w:val="20"/>
                <w:color w:val="auto"/>
              </w:rPr>
            </w:pPr>
            <w:r>
              <w:rPr>
                <w:rFonts w:ascii="Arial" w:cs="Arial" w:eastAsia="Arial" w:hAnsi="Arial"/>
                <w:sz w:val="16"/>
                <w:szCs w:val="16"/>
                <w:color w:val="auto"/>
              </w:rPr>
              <w:t>March 1, 1949</w:t>
            </w:r>
          </w:p>
        </w:tc>
        <w:tc>
          <w:tcPr>
            <w:tcW w:w="4340" w:type="dxa"/>
            <w:vAlign w:val="bottom"/>
          </w:tcPr>
          <w:p>
            <w:pPr>
              <w:ind w:left="280"/>
              <w:spacing w:after="0"/>
              <w:rPr>
                <w:sz w:val="20"/>
                <w:szCs w:val="20"/>
                <w:color w:val="auto"/>
              </w:rPr>
            </w:pPr>
            <w:r>
              <w:rPr>
                <w:rFonts w:ascii="Arial" w:cs="Arial" w:eastAsia="Arial" w:hAnsi="Arial"/>
                <w:sz w:val="16"/>
                <w:szCs w:val="16"/>
                <w:color w:val="auto"/>
              </w:rPr>
              <w:t>2-7826</w:t>
            </w:r>
          </w:p>
        </w:tc>
        <w:tc>
          <w:tcPr>
            <w:tcW w:w="2060" w:type="dxa"/>
            <w:vAlign w:val="bottom"/>
          </w:tcPr>
          <w:p>
            <w:pPr>
              <w:ind w:left="140"/>
              <w:spacing w:after="0"/>
              <w:rPr>
                <w:sz w:val="20"/>
                <w:szCs w:val="20"/>
                <w:color w:val="auto"/>
              </w:rPr>
            </w:pPr>
            <w:r>
              <w:rPr>
                <w:rFonts w:ascii="Arial" w:cs="Arial" w:eastAsia="Arial" w:hAnsi="Arial"/>
                <w:sz w:val="16"/>
                <w:szCs w:val="16"/>
                <w:color w:val="auto"/>
              </w:rPr>
              <w:t>7(b)</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Second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1951</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2-9036</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7(c)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Third</w:t>
            </w:r>
          </w:p>
        </w:tc>
        <w:tc>
          <w:tcPr>
            <w:tcW w:w="1920" w:type="dxa"/>
            <w:vAlign w:val="bottom"/>
          </w:tcPr>
          <w:p>
            <w:pPr>
              <w:ind w:left="400"/>
              <w:spacing w:after="0"/>
              <w:rPr>
                <w:sz w:val="20"/>
                <w:szCs w:val="20"/>
                <w:color w:val="auto"/>
              </w:rPr>
            </w:pPr>
            <w:r>
              <w:rPr>
                <w:rFonts w:ascii="Arial" w:cs="Arial" w:eastAsia="Arial" w:hAnsi="Arial"/>
                <w:sz w:val="16"/>
                <w:szCs w:val="16"/>
                <w:color w:val="auto"/>
              </w:rPr>
              <w:t>March 1, 1957</w:t>
            </w:r>
          </w:p>
        </w:tc>
        <w:tc>
          <w:tcPr>
            <w:tcW w:w="4340" w:type="dxa"/>
            <w:vAlign w:val="bottom"/>
          </w:tcPr>
          <w:p>
            <w:pPr>
              <w:ind w:left="280"/>
              <w:spacing w:after="0"/>
              <w:rPr>
                <w:sz w:val="20"/>
                <w:szCs w:val="20"/>
                <w:color w:val="auto"/>
              </w:rPr>
            </w:pPr>
            <w:r>
              <w:rPr>
                <w:rFonts w:ascii="Arial" w:cs="Arial" w:eastAsia="Arial" w:hAnsi="Arial"/>
                <w:sz w:val="16"/>
                <w:szCs w:val="16"/>
                <w:color w:val="auto"/>
              </w:rPr>
              <w:t>2-13075</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Fourth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January 1, 1968</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2-27794</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Fifth</w:t>
            </w:r>
          </w:p>
        </w:tc>
        <w:tc>
          <w:tcPr>
            <w:tcW w:w="1920" w:type="dxa"/>
            <w:vAlign w:val="bottom"/>
          </w:tcPr>
          <w:p>
            <w:pPr>
              <w:ind w:left="400"/>
              <w:spacing w:after="0"/>
              <w:rPr>
                <w:sz w:val="20"/>
                <w:szCs w:val="20"/>
                <w:color w:val="auto"/>
              </w:rPr>
            </w:pPr>
            <w:r>
              <w:rPr>
                <w:rFonts w:ascii="Arial" w:cs="Arial" w:eastAsia="Arial" w:hAnsi="Arial"/>
                <w:sz w:val="16"/>
                <w:szCs w:val="16"/>
                <w:color w:val="auto"/>
              </w:rPr>
              <w:t>April 1, 1971</w:t>
            </w:r>
          </w:p>
        </w:tc>
        <w:tc>
          <w:tcPr>
            <w:tcW w:w="4340" w:type="dxa"/>
            <w:vAlign w:val="bottom"/>
          </w:tcPr>
          <w:p>
            <w:pPr>
              <w:ind w:left="280"/>
              <w:spacing w:after="0"/>
              <w:rPr>
                <w:sz w:val="20"/>
                <w:szCs w:val="20"/>
                <w:color w:val="auto"/>
              </w:rPr>
            </w:pPr>
            <w:r>
              <w:rPr>
                <w:rFonts w:ascii="Arial" w:cs="Arial" w:eastAsia="Arial" w:hAnsi="Arial"/>
                <w:sz w:val="16"/>
                <w:szCs w:val="16"/>
                <w:color w:val="auto"/>
              </w:rPr>
              <w:t>2-39537</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Sixth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August 1, 1975</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2-54116</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Seventh</w:t>
            </w:r>
          </w:p>
        </w:tc>
        <w:tc>
          <w:tcPr>
            <w:tcW w:w="1920" w:type="dxa"/>
            <w:vAlign w:val="bottom"/>
          </w:tcPr>
          <w:p>
            <w:pPr>
              <w:ind w:left="400"/>
              <w:spacing w:after="0"/>
              <w:rPr>
                <w:sz w:val="20"/>
                <w:szCs w:val="20"/>
                <w:color w:val="auto"/>
              </w:rPr>
            </w:pPr>
            <w:r>
              <w:rPr>
                <w:rFonts w:ascii="Arial" w:cs="Arial" w:eastAsia="Arial" w:hAnsi="Arial"/>
                <w:sz w:val="16"/>
                <w:szCs w:val="16"/>
                <w:color w:val="auto"/>
              </w:rPr>
              <w:t>September 1, 1976</w:t>
            </w:r>
          </w:p>
        </w:tc>
        <w:tc>
          <w:tcPr>
            <w:tcW w:w="4340" w:type="dxa"/>
            <w:vAlign w:val="bottom"/>
          </w:tcPr>
          <w:p>
            <w:pPr>
              <w:ind w:left="280"/>
              <w:spacing w:after="0"/>
              <w:rPr>
                <w:sz w:val="20"/>
                <w:szCs w:val="20"/>
                <w:color w:val="auto"/>
              </w:rPr>
            </w:pPr>
            <w:r>
              <w:rPr>
                <w:rFonts w:ascii="Arial" w:cs="Arial" w:eastAsia="Arial" w:hAnsi="Arial"/>
                <w:sz w:val="16"/>
                <w:szCs w:val="16"/>
                <w:color w:val="auto"/>
              </w:rPr>
              <w:t>2-57014</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Eighth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September 1, 1977</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2-59690</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Ninth</w:t>
            </w:r>
          </w:p>
        </w:tc>
        <w:tc>
          <w:tcPr>
            <w:tcW w:w="1920" w:type="dxa"/>
            <w:vAlign w:val="bottom"/>
          </w:tcPr>
          <w:p>
            <w:pPr>
              <w:ind w:left="400"/>
              <w:spacing w:after="0"/>
              <w:rPr>
                <w:sz w:val="20"/>
                <w:szCs w:val="20"/>
                <w:color w:val="auto"/>
              </w:rPr>
            </w:pPr>
            <w:r>
              <w:rPr>
                <w:rFonts w:ascii="Arial" w:cs="Arial" w:eastAsia="Arial" w:hAnsi="Arial"/>
                <w:sz w:val="16"/>
                <w:szCs w:val="16"/>
                <w:color w:val="auto"/>
              </w:rPr>
              <w:t>April 1, 1978</w:t>
            </w:r>
          </w:p>
        </w:tc>
        <w:tc>
          <w:tcPr>
            <w:tcW w:w="4340" w:type="dxa"/>
            <w:vAlign w:val="bottom"/>
          </w:tcPr>
          <w:p>
            <w:pPr>
              <w:ind w:left="280"/>
              <w:spacing w:after="0"/>
              <w:rPr>
                <w:sz w:val="20"/>
                <w:szCs w:val="20"/>
                <w:color w:val="auto"/>
              </w:rPr>
            </w:pPr>
            <w:r>
              <w:rPr>
                <w:rFonts w:ascii="Arial" w:cs="Arial" w:eastAsia="Arial" w:hAnsi="Arial"/>
                <w:sz w:val="16"/>
                <w:szCs w:val="16"/>
                <w:color w:val="auto"/>
              </w:rPr>
              <w:t>2-60866</w:t>
            </w:r>
          </w:p>
        </w:tc>
        <w:tc>
          <w:tcPr>
            <w:tcW w:w="2060" w:type="dxa"/>
            <w:vAlign w:val="bottom"/>
          </w:tcPr>
          <w:p>
            <w:pPr>
              <w:ind w:left="14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August 1, 1978</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2-62852</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2(d)2</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Eleventh</w:t>
            </w:r>
          </w:p>
        </w:tc>
        <w:tc>
          <w:tcPr>
            <w:tcW w:w="1920" w:type="dxa"/>
            <w:vAlign w:val="bottom"/>
          </w:tcPr>
          <w:p>
            <w:pPr>
              <w:ind w:left="400"/>
              <w:spacing w:after="0"/>
              <w:rPr>
                <w:sz w:val="20"/>
                <w:szCs w:val="20"/>
                <w:color w:val="auto"/>
              </w:rPr>
            </w:pPr>
            <w:r>
              <w:rPr>
                <w:rFonts w:ascii="Arial" w:cs="Arial" w:eastAsia="Arial" w:hAnsi="Arial"/>
                <w:sz w:val="16"/>
                <w:szCs w:val="16"/>
                <w:color w:val="auto"/>
              </w:rPr>
              <w:t>December 1, 1982</w:t>
            </w:r>
          </w:p>
        </w:tc>
        <w:tc>
          <w:tcPr>
            <w:tcW w:w="4340" w:type="dxa"/>
            <w:vAlign w:val="bottom"/>
          </w:tcPr>
          <w:p>
            <w:pPr>
              <w:ind w:left="280"/>
              <w:spacing w:after="0"/>
              <w:rPr>
                <w:sz w:val="20"/>
                <w:szCs w:val="20"/>
                <w:color w:val="auto"/>
              </w:rPr>
            </w:pPr>
            <w:r>
              <w:rPr>
                <w:rFonts w:ascii="Arial" w:cs="Arial" w:eastAsia="Arial" w:hAnsi="Arial"/>
                <w:sz w:val="16"/>
                <w:szCs w:val="16"/>
                <w:color w:val="auto"/>
              </w:rPr>
              <w:t>2-56649</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Twelfth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April 1, 1987</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33-30224</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March 1, 1992</w:t>
            </w:r>
          </w:p>
        </w:tc>
        <w:tc>
          <w:tcPr>
            <w:tcW w:w="4340" w:type="dxa"/>
            <w:vAlign w:val="bottom"/>
          </w:tcPr>
          <w:p>
            <w:pPr>
              <w:ind w:left="280"/>
              <w:spacing w:after="0"/>
              <w:rPr>
                <w:sz w:val="20"/>
                <w:szCs w:val="20"/>
                <w:color w:val="auto"/>
              </w:rPr>
            </w:pPr>
            <w:r>
              <w:rPr>
                <w:rFonts w:ascii="Arial" w:cs="Arial" w:eastAsia="Arial" w:hAnsi="Arial"/>
                <w:sz w:val="16"/>
                <w:szCs w:val="16"/>
                <w:color w:val="auto"/>
              </w:rPr>
              <w:t>33-47438</w:t>
            </w:r>
          </w:p>
        </w:tc>
        <w:tc>
          <w:tcPr>
            <w:tcW w:w="2060" w:type="dxa"/>
            <w:vAlign w:val="bottom"/>
          </w:tcPr>
          <w:p>
            <w:pPr>
              <w:ind w:left="140"/>
              <w:spacing w:after="0"/>
              <w:rPr>
                <w:sz w:val="20"/>
                <w:szCs w:val="20"/>
                <w:color w:val="auto"/>
              </w:rPr>
            </w:pPr>
            <w:r>
              <w:rPr>
                <w:rFonts w:ascii="Arial" w:cs="Arial" w:eastAsia="Arial" w:hAnsi="Arial"/>
                <w:sz w:val="16"/>
                <w:szCs w:val="16"/>
                <w:color w:val="auto"/>
              </w:rPr>
              <w:t>4(b)</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Fourteenth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June 1, 1992</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33-55240</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4(b)</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Fifteenth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1992</w:t>
            </w:r>
          </w:p>
        </w:tc>
        <w:tc>
          <w:tcPr>
            <w:tcW w:w="4340" w:type="dxa"/>
            <w:vAlign w:val="bottom"/>
          </w:tcPr>
          <w:p>
            <w:pPr>
              <w:ind w:left="280"/>
              <w:spacing w:after="0"/>
              <w:rPr>
                <w:sz w:val="20"/>
                <w:szCs w:val="20"/>
                <w:color w:val="auto"/>
              </w:rPr>
            </w:pPr>
            <w:r>
              <w:rPr>
                <w:rFonts w:ascii="Arial" w:cs="Arial" w:eastAsia="Arial" w:hAnsi="Arial"/>
                <w:sz w:val="16"/>
                <w:szCs w:val="16"/>
                <w:color w:val="auto"/>
              </w:rPr>
              <w:t>33-55240</w:t>
            </w:r>
          </w:p>
        </w:tc>
        <w:tc>
          <w:tcPr>
            <w:tcW w:w="2060" w:type="dxa"/>
            <w:vAlign w:val="bottom"/>
          </w:tcPr>
          <w:p>
            <w:pPr>
              <w:ind w:left="140"/>
              <w:spacing w:after="0"/>
              <w:rPr>
                <w:sz w:val="20"/>
                <w:szCs w:val="20"/>
                <w:color w:val="auto"/>
              </w:rPr>
            </w:pPr>
            <w:r>
              <w:rPr>
                <w:rFonts w:ascii="Arial" w:cs="Arial" w:eastAsia="Arial" w:hAnsi="Arial"/>
                <w:sz w:val="16"/>
                <w:szCs w:val="16"/>
                <w:color w:val="auto"/>
              </w:rPr>
              <w:t>4(c)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Sixteenth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1992</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33-55240</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4(d)</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Seventeenth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February 1, 1993</w:t>
            </w:r>
          </w:p>
        </w:tc>
        <w:tc>
          <w:tcPr>
            <w:tcW w:w="4340" w:type="dxa"/>
            <w:vAlign w:val="bottom"/>
          </w:tcPr>
          <w:p>
            <w:pPr>
              <w:ind w:left="280"/>
              <w:spacing w:after="0"/>
              <w:rPr>
                <w:sz w:val="20"/>
                <w:szCs w:val="20"/>
                <w:color w:val="auto"/>
              </w:rPr>
            </w:pPr>
            <w:r>
              <w:rPr>
                <w:rFonts w:ascii="Arial" w:cs="Arial" w:eastAsia="Arial" w:hAnsi="Arial"/>
                <w:sz w:val="16"/>
                <w:szCs w:val="16"/>
                <w:color w:val="auto"/>
              </w:rPr>
              <w:t>33-50143</w:t>
            </w:r>
          </w:p>
        </w:tc>
        <w:tc>
          <w:tcPr>
            <w:tcW w:w="2060" w:type="dxa"/>
            <w:vAlign w:val="bottom"/>
          </w:tcPr>
          <w:p>
            <w:pPr>
              <w:ind w:left="140"/>
              <w:spacing w:after="0"/>
              <w:rPr>
                <w:sz w:val="20"/>
                <w:szCs w:val="20"/>
                <w:color w:val="auto"/>
              </w:rPr>
            </w:pPr>
            <w:r>
              <w:rPr>
                <w:rFonts w:ascii="Arial" w:cs="Arial" w:eastAsia="Arial" w:hAnsi="Arial"/>
                <w:sz w:val="16"/>
                <w:szCs w:val="16"/>
                <w:color w:val="auto"/>
              </w:rPr>
              <w:t>4(b)</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Eighteenth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1993</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33-50143</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Nineteenth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February 1, 1997</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(1996 Form 10-K)</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Twentieth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November 1, 1997</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(1997 Form 10-K)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Twenty-first</w:t>
            </w:r>
          </w:p>
        </w:tc>
        <w:tc>
          <w:tcPr>
            <w:tcW w:w="1920" w:type="dxa"/>
            <w:vAlign w:val="bottom"/>
          </w:tcPr>
          <w:p>
            <w:pPr>
              <w:ind w:left="400"/>
              <w:spacing w:after="0"/>
              <w:rPr>
                <w:sz w:val="20"/>
                <w:szCs w:val="20"/>
                <w:color w:val="auto"/>
              </w:rPr>
            </w:pPr>
            <w:r>
              <w:rPr>
                <w:rFonts w:ascii="Arial" w:cs="Arial" w:eastAsia="Arial" w:hAnsi="Arial"/>
                <w:sz w:val="16"/>
                <w:szCs w:val="16"/>
                <w:color w:val="auto"/>
              </w:rPr>
              <w:t>October 1, 2000</w:t>
            </w:r>
          </w:p>
        </w:tc>
        <w:tc>
          <w:tcPr>
            <w:tcW w:w="4340" w:type="dxa"/>
            <w:vAlign w:val="bottom"/>
          </w:tcPr>
          <w:p>
            <w:pPr>
              <w:ind w:left="280"/>
              <w:spacing w:after="0"/>
              <w:rPr>
                <w:sz w:val="20"/>
                <w:szCs w:val="20"/>
                <w:color w:val="auto"/>
              </w:rPr>
            </w:pPr>
            <w:r>
              <w:rPr>
                <w:rFonts w:ascii="Arial" w:cs="Arial" w:eastAsia="Arial" w:hAnsi="Arial"/>
                <w:sz w:val="16"/>
                <w:szCs w:val="16"/>
                <w:color w:val="auto"/>
              </w:rPr>
              <w:t>333-54330</w:t>
            </w:r>
          </w:p>
        </w:tc>
        <w:tc>
          <w:tcPr>
            <w:tcW w:w="2060" w:type="dxa"/>
            <w:vAlign w:val="bottom"/>
          </w:tcPr>
          <w:p>
            <w:pPr>
              <w:ind w:left="140"/>
              <w:spacing w:after="0"/>
              <w:rPr>
                <w:sz w:val="20"/>
                <w:szCs w:val="20"/>
                <w:color w:val="auto"/>
              </w:rPr>
            </w:pPr>
            <w:r>
              <w:rPr>
                <w:rFonts w:ascii="Arial" w:cs="Arial" w:eastAsia="Arial" w:hAnsi="Arial"/>
                <w:sz w:val="16"/>
                <w:szCs w:val="16"/>
                <w:color w:val="auto"/>
              </w:rPr>
              <w:t>4(c)3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Twenty-second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2003</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(June 30, 2003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Twenty-third</w:t>
            </w:r>
          </w:p>
        </w:tc>
        <w:tc>
          <w:tcPr>
            <w:tcW w:w="1920" w:type="dxa"/>
            <w:vAlign w:val="bottom"/>
          </w:tcPr>
          <w:p>
            <w:pPr>
              <w:ind w:left="400"/>
              <w:spacing w:after="0"/>
              <w:rPr>
                <w:sz w:val="20"/>
                <w:szCs w:val="20"/>
                <w:color w:val="auto"/>
              </w:rPr>
            </w:pPr>
            <w:r>
              <w:rPr>
                <w:rFonts w:ascii="Arial" w:cs="Arial" w:eastAsia="Arial" w:hAnsi="Arial"/>
                <w:sz w:val="16"/>
                <w:szCs w:val="16"/>
                <w:color w:val="auto"/>
              </w:rPr>
              <w:t>August 1, 2004</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(Sept. 30, 2004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4(a)</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Twenty-fourth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March 1, 2005</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(March 31, 2005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Twenty-fifth</w:t>
            </w:r>
          </w:p>
        </w:tc>
        <w:tc>
          <w:tcPr>
            <w:tcW w:w="1920" w:type="dxa"/>
            <w:vAlign w:val="bottom"/>
          </w:tcPr>
          <w:p>
            <w:pPr>
              <w:ind w:left="400"/>
              <w:spacing w:after="0"/>
              <w:rPr>
                <w:sz w:val="20"/>
                <w:szCs w:val="20"/>
                <w:color w:val="auto"/>
              </w:rPr>
            </w:pPr>
            <w:r>
              <w:rPr>
                <w:rFonts w:ascii="Arial" w:cs="Arial" w:eastAsia="Arial" w:hAnsi="Arial"/>
                <w:sz w:val="16"/>
                <w:szCs w:val="16"/>
                <w:color w:val="auto"/>
              </w:rPr>
              <w:t>December 1, 2005</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(March 31, 2006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Twenty-sixth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October 1, 2006</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(2006 Form 10-K)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Twenty-seventh</w:t>
            </w:r>
          </w:p>
        </w:tc>
        <w:tc>
          <w:tcPr>
            <w:tcW w:w="1920" w:type="dxa"/>
            <w:vAlign w:val="bottom"/>
          </w:tcPr>
          <w:p>
            <w:pPr>
              <w:ind w:left="400"/>
              <w:spacing w:after="0"/>
              <w:rPr>
                <w:sz w:val="20"/>
                <w:szCs w:val="20"/>
                <w:color w:val="auto"/>
              </w:rPr>
            </w:pPr>
            <w:r>
              <w:rPr>
                <w:rFonts w:ascii="Arial" w:cs="Arial" w:eastAsia="Arial" w:hAnsi="Arial"/>
                <w:sz w:val="16"/>
                <w:szCs w:val="16"/>
                <w:color w:val="auto"/>
              </w:rPr>
              <w:t>February 1, 2008</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(2007 Form 10-K)</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Twenty-eighth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May 1, 2008</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(June 30, 2008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Twenty-ninth</w:t>
            </w:r>
          </w:p>
        </w:tc>
        <w:tc>
          <w:tcPr>
            <w:tcW w:w="1920" w:type="dxa"/>
            <w:vAlign w:val="bottom"/>
          </w:tcPr>
          <w:p>
            <w:pPr>
              <w:ind w:left="400"/>
              <w:spacing w:after="0"/>
              <w:rPr>
                <w:sz w:val="20"/>
                <w:szCs w:val="20"/>
                <w:color w:val="auto"/>
              </w:rPr>
            </w:pPr>
            <w:r>
              <w:rPr>
                <w:rFonts w:ascii="Arial" w:cs="Arial" w:eastAsia="Arial" w:hAnsi="Arial"/>
                <w:sz w:val="16"/>
                <w:szCs w:val="16"/>
                <w:color w:val="auto"/>
              </w:rPr>
              <w:t>November 1, 2008</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(2008 Form 10-K)</w:t>
            </w:r>
          </w:p>
        </w:tc>
        <w:tc>
          <w:tcPr>
            <w:tcW w:w="2060" w:type="dxa"/>
            <w:vAlign w:val="bottom"/>
          </w:tcPr>
          <w:p>
            <w:pPr>
              <w:ind w:left="14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Thirtieth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January 1, 2009</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(2008 Form 10-K)</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4(a)4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Thirty-first</w:t>
            </w:r>
          </w:p>
        </w:tc>
        <w:tc>
          <w:tcPr>
            <w:tcW w:w="1920" w:type="dxa"/>
            <w:vAlign w:val="bottom"/>
          </w:tcPr>
          <w:p>
            <w:pPr>
              <w:ind w:left="400"/>
              <w:spacing w:after="0"/>
              <w:rPr>
                <w:sz w:val="20"/>
                <w:szCs w:val="20"/>
                <w:color w:val="auto"/>
              </w:rPr>
            </w:pPr>
            <w:r>
              <w:rPr>
                <w:rFonts w:ascii="Arial" w:cs="Arial" w:eastAsia="Arial" w:hAnsi="Arial"/>
                <w:sz w:val="16"/>
                <w:szCs w:val="16"/>
                <w:color w:val="auto"/>
              </w:rPr>
              <w:t>February 1, 2010</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(March 31, 2010 Form 10-Q)</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Thirty-second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August 1, 2010</w:t>
            </w:r>
          </w:p>
        </w:tc>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1-3548 (Sept. 30, 2010 Form 10-Q)</w:t>
            </w:r>
          </w:p>
        </w:tc>
        <w:tc>
          <w:tcPr>
            <w:tcW w:w="2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Thirty-third</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2012</w:t>
            </w:r>
          </w:p>
        </w:tc>
        <w:tc>
          <w:tcPr>
            <w:tcW w:w="4340" w:type="dxa"/>
            <w:vAlign w:val="bottom"/>
          </w:tcPr>
          <w:p>
            <w:pPr>
              <w:ind w:left="280"/>
              <w:spacing w:after="0"/>
              <w:rPr>
                <w:sz w:val="20"/>
                <w:szCs w:val="20"/>
                <w:color w:val="auto"/>
              </w:rPr>
            </w:pPr>
            <w:r>
              <w:rPr>
                <w:rFonts w:ascii="Arial" w:cs="Arial" w:eastAsia="Arial" w:hAnsi="Arial"/>
                <w:sz w:val="16"/>
                <w:szCs w:val="16"/>
                <w:color w:val="auto"/>
              </w:rPr>
              <w:t>1-3548 (July 2, 2012 Form 8-K)</w:t>
            </w:r>
          </w:p>
        </w:tc>
        <w:tc>
          <w:tcPr>
            <w:tcW w:w="2060" w:type="dxa"/>
            <w:vAlign w:val="bottom"/>
          </w:tcPr>
          <w:p>
            <w:pPr>
              <w:ind w:left="140"/>
              <w:spacing w:after="0"/>
              <w:rPr>
                <w:sz w:val="20"/>
                <w:szCs w:val="20"/>
                <w:color w:val="auto"/>
              </w:rPr>
            </w:pPr>
            <w:r>
              <w:rPr>
                <w:rFonts w:ascii="Arial" w:cs="Arial" w:eastAsia="Arial" w:hAnsi="Arial"/>
                <w:sz w:val="16"/>
                <w:szCs w:val="16"/>
                <w:color w:val="auto"/>
              </w:rPr>
              <w:t>4</w:t>
            </w:r>
          </w:p>
        </w:tc>
      </w:tr>
      <w:tr>
        <w:trPr>
          <w:trHeight w:val="47"/>
        </w:trPr>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24"/>
        </w:trPr>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Thirty-fourth</w:t>
            </w:r>
          </w:p>
        </w:tc>
        <w:tc>
          <w:tcPr>
            <w:tcW w:w="1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April 1, 2013</w:t>
            </w:r>
          </w:p>
        </w:tc>
        <w:tc>
          <w:tcPr>
            <w:tcW w:w="4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1-3548 (April 2, 2013 Form 8-K)</w:t>
            </w:r>
          </w:p>
        </w:tc>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w:t>
            </w:r>
          </w:p>
        </w:tc>
      </w:tr>
      <w:tr>
        <w:trPr>
          <w:trHeight w:val="47"/>
        </w:trPr>
        <w:tc>
          <w:tcPr>
            <w:tcW w:w="8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920" w:type="dxa"/>
            <w:vAlign w:val="bottom"/>
            <w:shd w:val="clear" w:color="auto" w:fill="CCEEFF"/>
          </w:tcPr>
          <w:p>
            <w:pPr>
              <w:spacing w:after="0"/>
              <w:rPr>
                <w:sz w:val="4"/>
                <w:szCs w:val="4"/>
                <w:color w:val="auto"/>
              </w:rPr>
            </w:pPr>
          </w:p>
        </w:tc>
        <w:tc>
          <w:tcPr>
            <w:tcW w:w="434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53"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Thirty-fifth</w:t>
            </w:r>
          </w:p>
        </w:tc>
        <w:tc>
          <w:tcPr>
            <w:tcW w:w="1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March 1, 2014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1-3548</w:t>
            </w: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31, 2014 Form 10-Q)</w:t>
            </w:r>
          </w:p>
        </w:tc>
        <w:tc>
          <w:tcPr>
            <w:tcW w:w="2800" w:type="dxa"/>
            <w:vAlign w:val="bottom"/>
            <w:tcBorders>
              <w:bottom w:val="single" w:sz="8" w:color="CCEEFF"/>
            </w:tcBorders>
            <w:shd w:val="clear" w:color="auto" w:fill="CCEEFF"/>
          </w:tcPr>
          <w:p>
            <w:pPr>
              <w:jc w:val="right"/>
              <w:ind w:right="1759"/>
              <w:spacing w:after="0"/>
              <w:rPr>
                <w:sz w:val="20"/>
                <w:szCs w:val="20"/>
                <w:color w:val="auto"/>
              </w:rPr>
            </w:pPr>
            <w:r>
              <w:rPr>
                <w:rFonts w:ascii="Arial" w:cs="Arial" w:eastAsia="Arial" w:hAnsi="Arial"/>
                <w:sz w:val="16"/>
                <w:szCs w:val="16"/>
                <w:color w:val="auto"/>
              </w:rPr>
              <w:t>4</w:t>
            </w:r>
          </w:p>
        </w:tc>
      </w:tr>
      <w:tr>
        <w:trPr>
          <w:trHeight w:val="224"/>
        </w:trPr>
        <w:tc>
          <w:tcPr>
            <w:tcW w:w="3040" w:type="dxa"/>
            <w:vAlign w:val="bottom"/>
          </w:tcPr>
          <w:p>
            <w:pPr>
              <w:ind w:left="1660"/>
              <w:spacing w:after="0"/>
              <w:rPr>
                <w:sz w:val="20"/>
                <w:szCs w:val="20"/>
                <w:color w:val="auto"/>
              </w:rPr>
            </w:pPr>
            <w:r>
              <w:rPr>
                <w:rFonts w:ascii="Arial" w:cs="Arial" w:eastAsia="Arial" w:hAnsi="Arial"/>
                <w:sz w:val="16"/>
                <w:szCs w:val="16"/>
                <w:color w:val="auto"/>
              </w:rPr>
              <w:t>Thirty-sixth</w:t>
            </w:r>
          </w:p>
        </w:tc>
        <w:tc>
          <w:tcPr>
            <w:tcW w:w="1960" w:type="dxa"/>
            <w:vAlign w:val="bottom"/>
          </w:tcPr>
          <w:p>
            <w:pPr>
              <w:ind w:left="440"/>
              <w:spacing w:after="0"/>
              <w:rPr>
                <w:sz w:val="20"/>
                <w:szCs w:val="20"/>
                <w:color w:val="auto"/>
              </w:rPr>
            </w:pPr>
            <w:r>
              <w:rPr>
                <w:rFonts w:ascii="Arial" w:cs="Arial" w:eastAsia="Arial" w:hAnsi="Arial"/>
                <w:sz w:val="16"/>
                <w:szCs w:val="16"/>
                <w:color w:val="auto"/>
              </w:rPr>
              <w:t>June 1, 2014</w:t>
            </w:r>
          </w:p>
        </w:tc>
        <w:tc>
          <w:tcPr>
            <w:tcW w:w="760" w:type="dxa"/>
            <w:vAlign w:val="bottom"/>
          </w:tcPr>
          <w:p>
            <w:pPr>
              <w:jc w:val="right"/>
              <w:spacing w:after="0"/>
              <w:rPr>
                <w:sz w:val="20"/>
                <w:szCs w:val="20"/>
                <w:color w:val="auto"/>
              </w:rPr>
            </w:pPr>
            <w:r>
              <w:rPr>
                <w:rFonts w:ascii="Arial" w:cs="Arial" w:eastAsia="Arial" w:hAnsi="Arial"/>
                <w:sz w:val="16"/>
                <w:szCs w:val="16"/>
                <w:color w:val="auto"/>
              </w:rPr>
              <w:t>1-3548</w:t>
            </w:r>
          </w:p>
        </w:tc>
        <w:tc>
          <w:tcPr>
            <w:tcW w:w="2840" w:type="dxa"/>
            <w:vAlign w:val="bottom"/>
          </w:tcPr>
          <w:p>
            <w:pPr>
              <w:ind w:left="20"/>
              <w:spacing w:after="0"/>
              <w:rPr>
                <w:sz w:val="20"/>
                <w:szCs w:val="20"/>
                <w:color w:val="auto"/>
              </w:rPr>
            </w:pPr>
            <w:r>
              <w:rPr>
                <w:rFonts w:ascii="Arial" w:cs="Arial" w:eastAsia="Arial" w:hAnsi="Arial"/>
                <w:sz w:val="16"/>
                <w:szCs w:val="16"/>
                <w:color w:val="auto"/>
              </w:rPr>
              <w:t>(June 30, 2014 Form 10-Q)</w:t>
            </w:r>
          </w:p>
        </w:tc>
        <w:tc>
          <w:tcPr>
            <w:tcW w:w="2800" w:type="dxa"/>
            <w:vAlign w:val="bottom"/>
          </w:tcPr>
          <w:p>
            <w:pPr>
              <w:jc w:val="right"/>
              <w:ind w:right="1759"/>
              <w:spacing w:after="0"/>
              <w:rPr>
                <w:sz w:val="20"/>
                <w:szCs w:val="20"/>
                <w:color w:val="auto"/>
              </w:rPr>
            </w:pPr>
            <w:r>
              <w:rPr>
                <w:rFonts w:ascii="Arial" w:cs="Arial" w:eastAsia="Arial" w:hAnsi="Arial"/>
                <w:sz w:val="16"/>
                <w:szCs w:val="16"/>
                <w:color w:val="auto"/>
              </w:rPr>
              <w:t>4</w:t>
            </w:r>
          </w:p>
        </w:tc>
      </w:tr>
      <w:tr>
        <w:trPr>
          <w:trHeight w:val="47"/>
        </w:trPr>
        <w:tc>
          <w:tcPr>
            <w:tcW w:w="30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800" w:type="dxa"/>
            <w:vAlign w:val="bottom"/>
          </w:tcPr>
          <w:p>
            <w:pPr>
              <w:spacing w:after="0"/>
              <w:rPr>
                <w:sz w:val="4"/>
                <w:szCs w:val="4"/>
                <w:color w:val="auto"/>
              </w:rPr>
            </w:pPr>
          </w:p>
        </w:tc>
      </w:tr>
      <w:tr>
        <w:trPr>
          <w:trHeight w:val="224"/>
        </w:trPr>
        <w:tc>
          <w:tcPr>
            <w:tcW w:w="304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Thirty-seventh</w:t>
            </w:r>
          </w:p>
        </w:tc>
        <w:tc>
          <w:tcPr>
            <w:tcW w:w="1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September 1, 2014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1-3548</w:t>
            </w: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 30, 2014 Form 10-Q)</w:t>
            </w:r>
          </w:p>
        </w:tc>
        <w:tc>
          <w:tcPr>
            <w:tcW w:w="2800" w:type="dxa"/>
            <w:vAlign w:val="bottom"/>
            <w:shd w:val="clear" w:color="auto" w:fill="CCEEFF"/>
          </w:tcPr>
          <w:p>
            <w:pPr>
              <w:jc w:val="right"/>
              <w:ind w:right="1759"/>
              <w:spacing w:after="0"/>
              <w:rPr>
                <w:sz w:val="20"/>
                <w:szCs w:val="20"/>
                <w:color w:val="auto"/>
              </w:rPr>
            </w:pPr>
            <w:r>
              <w:rPr>
                <w:rFonts w:ascii="Arial" w:cs="Arial" w:eastAsia="Arial" w:hAnsi="Arial"/>
                <w:sz w:val="16"/>
                <w:szCs w:val="16"/>
                <w:color w:val="auto"/>
              </w:rPr>
              <w:t>4</w:t>
            </w:r>
          </w:p>
        </w:tc>
      </w:tr>
      <w:tr>
        <w:trPr>
          <w:trHeight w:val="47"/>
        </w:trPr>
        <w:tc>
          <w:tcPr>
            <w:tcW w:w="3040" w:type="dxa"/>
            <w:vAlign w:val="bottom"/>
            <w:shd w:val="clear" w:color="auto" w:fill="CCEEFF"/>
          </w:tcPr>
          <w:p>
            <w:pPr>
              <w:spacing w:after="0"/>
              <w:rPr>
                <w:sz w:val="4"/>
                <w:szCs w:val="4"/>
                <w:color w:val="auto"/>
              </w:rPr>
            </w:pPr>
          </w:p>
        </w:tc>
        <w:tc>
          <w:tcPr>
            <w:tcW w:w="19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840" w:type="dxa"/>
            <w:vAlign w:val="bottom"/>
            <w:shd w:val="clear" w:color="auto" w:fill="CCEEFF"/>
          </w:tcPr>
          <w:p>
            <w:pPr>
              <w:spacing w:after="0"/>
              <w:rPr>
                <w:sz w:val="4"/>
                <w:szCs w:val="4"/>
                <w:color w:val="auto"/>
              </w:rPr>
            </w:pPr>
          </w:p>
        </w:tc>
        <w:tc>
          <w:tcPr>
            <w:tcW w:w="280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jc w:val="both"/>
        <w:ind w:left="1340" w:right="40" w:hanging="1620"/>
        <w:spacing w:after="0" w:line="319" w:lineRule="auto"/>
        <w:tabs>
          <w:tab w:leader="none" w:pos="1320" w:val="left"/>
        </w:tabs>
        <w:rPr>
          <w:sz w:val="20"/>
          <w:szCs w:val="20"/>
          <w:color w:val="auto"/>
        </w:rPr>
      </w:pPr>
      <w:r>
        <w:rPr>
          <w:rFonts w:ascii="Arial" w:cs="Arial" w:eastAsia="Arial" w:hAnsi="Arial"/>
          <w:sz w:val="16"/>
          <w:szCs w:val="16"/>
          <w:color w:val="auto"/>
        </w:rPr>
        <w:t>*4(b)1</w:t>
      </w:r>
      <w:r>
        <w:rPr>
          <w:sz w:val="20"/>
          <w:szCs w:val="20"/>
          <w:color w:val="auto"/>
        </w:rPr>
        <w:tab/>
      </w:r>
      <w:r>
        <w:rPr>
          <w:rFonts w:ascii="Arial" w:cs="Arial" w:eastAsia="Arial" w:hAnsi="Arial"/>
          <w:sz w:val="15"/>
          <w:szCs w:val="15"/>
          <w:color w:val="auto"/>
        </w:rPr>
        <w:t>— Mortgage and Deed of Trust, dated as of March 1, 1943, between Superior Water, Light and Power Company and Chemical Bank &amp; Trust Company and Howard B. Smith, as Trustees, both succeeded by U.S. Bank National Association, as Trustee (filed as Exhibit 7(c), File No. 2-8668).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2947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*4(b)2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Supplemental Indentures to Superior Water, Light and Power Company’s Mortgage and Deed of Trust: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ind w:left="1660"/>
              <w:spacing w:after="0"/>
              <w:rPr>
                <w:sz w:val="20"/>
                <w:szCs w:val="20"/>
                <w:color w:val="auto"/>
              </w:rPr>
            </w:pPr>
            <w:r>
              <w:rPr>
                <w:rFonts w:ascii="Arial" w:cs="Arial" w:eastAsia="Arial" w:hAnsi="Arial"/>
                <w:sz w:val="16"/>
                <w:szCs w:val="16"/>
                <w:b w:val="1"/>
                <w:bCs w:val="1"/>
                <w:color w:val="auto"/>
              </w:rPr>
              <w:t>Number</w:t>
            </w:r>
          </w:p>
        </w:tc>
        <w:tc>
          <w:tcPr>
            <w:tcW w:w="2120" w:type="dxa"/>
            <w:vAlign w:val="bottom"/>
          </w:tcPr>
          <w:p>
            <w:pPr>
              <w:ind w:left="620"/>
              <w:spacing w:after="0"/>
              <w:rPr>
                <w:sz w:val="20"/>
                <w:szCs w:val="20"/>
                <w:color w:val="auto"/>
              </w:rPr>
            </w:pPr>
            <w:r>
              <w:rPr>
                <w:rFonts w:ascii="Arial" w:cs="Arial" w:eastAsia="Arial" w:hAnsi="Arial"/>
                <w:sz w:val="16"/>
                <w:szCs w:val="16"/>
                <w:b w:val="1"/>
                <w:bCs w:val="1"/>
                <w:color w:val="auto"/>
              </w:rPr>
              <w:t>Dated as of</w:t>
            </w:r>
          </w:p>
        </w:tc>
        <w:tc>
          <w:tcPr>
            <w:tcW w:w="3260" w:type="dxa"/>
            <w:vAlign w:val="bottom"/>
          </w:tcPr>
          <w:p>
            <w:pPr>
              <w:ind w:left="300"/>
              <w:spacing w:after="0"/>
              <w:rPr>
                <w:sz w:val="20"/>
                <w:szCs w:val="20"/>
                <w:color w:val="auto"/>
              </w:rPr>
            </w:pPr>
            <w:r>
              <w:rPr>
                <w:rFonts w:ascii="Arial" w:cs="Arial" w:eastAsia="Arial" w:hAnsi="Arial"/>
                <w:sz w:val="16"/>
                <w:szCs w:val="16"/>
                <w:b w:val="1"/>
                <w:bCs w:val="1"/>
                <w:color w:val="auto"/>
              </w:rPr>
              <w:t>Reference File</w:t>
            </w:r>
          </w:p>
        </w:tc>
        <w:tc>
          <w:tcPr>
            <w:tcW w:w="3160" w:type="dxa"/>
            <w:vAlign w:val="bottom"/>
          </w:tcPr>
          <w:p>
            <w:pPr>
              <w:ind w:left="1240"/>
              <w:spacing w:after="0"/>
              <w:rPr>
                <w:sz w:val="20"/>
                <w:szCs w:val="20"/>
                <w:color w:val="auto"/>
              </w:rPr>
            </w:pPr>
            <w:r>
              <w:rPr>
                <w:rFonts w:ascii="Arial" w:cs="Arial" w:eastAsia="Arial" w:hAnsi="Arial"/>
                <w:sz w:val="16"/>
                <w:szCs w:val="16"/>
                <w:b w:val="1"/>
                <w:bCs w:val="1"/>
                <w:color w:val="auto"/>
              </w:rPr>
              <w:t>Exhibit</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First</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March 1, 1951</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2-59690</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2(d)(1)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Second</w:t>
            </w:r>
          </w:p>
        </w:tc>
        <w:tc>
          <w:tcPr>
            <w:tcW w:w="2120" w:type="dxa"/>
            <w:vAlign w:val="bottom"/>
          </w:tcPr>
          <w:p>
            <w:pPr>
              <w:ind w:left="620"/>
              <w:spacing w:after="0"/>
              <w:rPr>
                <w:sz w:val="20"/>
                <w:szCs w:val="20"/>
                <w:color w:val="auto"/>
              </w:rPr>
            </w:pPr>
            <w:r>
              <w:rPr>
                <w:rFonts w:ascii="Arial" w:cs="Arial" w:eastAsia="Arial" w:hAnsi="Arial"/>
                <w:sz w:val="16"/>
                <w:szCs w:val="16"/>
                <w:color w:val="auto"/>
              </w:rPr>
              <w:t>March 1, 1962</w:t>
            </w:r>
          </w:p>
        </w:tc>
        <w:tc>
          <w:tcPr>
            <w:tcW w:w="3260" w:type="dxa"/>
            <w:vAlign w:val="bottom"/>
          </w:tcPr>
          <w:p>
            <w:pPr>
              <w:ind w:left="300"/>
              <w:spacing w:after="0"/>
              <w:rPr>
                <w:sz w:val="20"/>
                <w:szCs w:val="20"/>
                <w:color w:val="auto"/>
              </w:rPr>
            </w:pPr>
            <w:r>
              <w:rPr>
                <w:rFonts w:ascii="Arial" w:cs="Arial" w:eastAsia="Arial" w:hAnsi="Arial"/>
                <w:sz w:val="16"/>
                <w:szCs w:val="16"/>
                <w:color w:val="auto"/>
              </w:rPr>
              <w:t>2-27794</w:t>
            </w:r>
          </w:p>
        </w:tc>
        <w:tc>
          <w:tcPr>
            <w:tcW w:w="3160" w:type="dxa"/>
            <w:vAlign w:val="bottom"/>
          </w:tcPr>
          <w:p>
            <w:pPr>
              <w:ind w:left="1240"/>
              <w:spacing w:after="0"/>
              <w:rPr>
                <w:sz w:val="20"/>
                <w:szCs w:val="20"/>
                <w:color w:val="auto"/>
              </w:rPr>
            </w:pPr>
            <w:r>
              <w:rPr>
                <w:rFonts w:ascii="Arial" w:cs="Arial" w:eastAsia="Arial" w:hAnsi="Arial"/>
                <w:sz w:val="16"/>
                <w:szCs w:val="16"/>
                <w:color w:val="auto"/>
              </w:rPr>
              <w:t>2(d)1</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Third</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July 1, 1976</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2-57478</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2(e)1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Fourth</w:t>
            </w:r>
          </w:p>
        </w:tc>
        <w:tc>
          <w:tcPr>
            <w:tcW w:w="2120" w:type="dxa"/>
            <w:vAlign w:val="bottom"/>
          </w:tcPr>
          <w:p>
            <w:pPr>
              <w:ind w:left="620"/>
              <w:spacing w:after="0"/>
              <w:rPr>
                <w:sz w:val="20"/>
                <w:szCs w:val="20"/>
                <w:color w:val="auto"/>
              </w:rPr>
            </w:pPr>
            <w:r>
              <w:rPr>
                <w:rFonts w:ascii="Arial" w:cs="Arial" w:eastAsia="Arial" w:hAnsi="Arial"/>
                <w:sz w:val="16"/>
                <w:szCs w:val="16"/>
                <w:color w:val="auto"/>
              </w:rPr>
              <w:t>March 1, 1985</w:t>
            </w:r>
          </w:p>
        </w:tc>
        <w:tc>
          <w:tcPr>
            <w:tcW w:w="3260" w:type="dxa"/>
            <w:vAlign w:val="bottom"/>
          </w:tcPr>
          <w:p>
            <w:pPr>
              <w:ind w:left="300"/>
              <w:spacing w:after="0"/>
              <w:rPr>
                <w:sz w:val="20"/>
                <w:szCs w:val="20"/>
                <w:color w:val="auto"/>
              </w:rPr>
            </w:pPr>
            <w:r>
              <w:rPr>
                <w:rFonts w:ascii="Arial" w:cs="Arial" w:eastAsia="Arial" w:hAnsi="Arial"/>
                <w:sz w:val="16"/>
                <w:szCs w:val="16"/>
                <w:color w:val="auto"/>
              </w:rPr>
              <w:t>2-78641</w:t>
            </w:r>
          </w:p>
        </w:tc>
        <w:tc>
          <w:tcPr>
            <w:tcW w:w="3160" w:type="dxa"/>
            <w:vAlign w:val="bottom"/>
          </w:tcPr>
          <w:p>
            <w:pPr>
              <w:ind w:left="1240"/>
              <w:spacing w:after="0"/>
              <w:rPr>
                <w:sz w:val="20"/>
                <w:szCs w:val="20"/>
                <w:color w:val="auto"/>
              </w:rPr>
            </w:pPr>
            <w:r>
              <w:rPr>
                <w:rFonts w:ascii="Arial" w:cs="Arial" w:eastAsia="Arial" w:hAnsi="Arial"/>
                <w:sz w:val="16"/>
                <w:szCs w:val="16"/>
                <w:color w:val="auto"/>
              </w:rPr>
              <w:t>4(b)</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Fifth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December 1, 1992</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(1992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4(b)1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Sixth</w:t>
            </w:r>
          </w:p>
        </w:tc>
        <w:tc>
          <w:tcPr>
            <w:tcW w:w="2120" w:type="dxa"/>
            <w:vAlign w:val="bottom"/>
          </w:tcPr>
          <w:p>
            <w:pPr>
              <w:ind w:left="620"/>
              <w:spacing w:after="0"/>
              <w:rPr>
                <w:sz w:val="20"/>
                <w:szCs w:val="20"/>
                <w:color w:val="auto"/>
              </w:rPr>
            </w:pPr>
            <w:r>
              <w:rPr>
                <w:rFonts w:ascii="Arial" w:cs="Arial" w:eastAsia="Arial" w:hAnsi="Arial"/>
                <w:sz w:val="16"/>
                <w:szCs w:val="16"/>
                <w:color w:val="auto"/>
              </w:rPr>
              <w:t>March 24, 1994</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4(b)1</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Seventh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November 1, 1994</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4(b)2</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Eighth</w:t>
            </w:r>
          </w:p>
        </w:tc>
        <w:tc>
          <w:tcPr>
            <w:tcW w:w="2120" w:type="dxa"/>
            <w:vAlign w:val="bottom"/>
          </w:tcPr>
          <w:p>
            <w:pPr>
              <w:ind w:left="620"/>
              <w:spacing w:after="0"/>
              <w:rPr>
                <w:sz w:val="20"/>
                <w:szCs w:val="20"/>
                <w:color w:val="auto"/>
              </w:rPr>
            </w:pPr>
            <w:r>
              <w:rPr>
                <w:rFonts w:ascii="Arial" w:cs="Arial" w:eastAsia="Arial" w:hAnsi="Arial"/>
                <w:sz w:val="16"/>
                <w:szCs w:val="16"/>
                <w:color w:val="auto"/>
              </w:rPr>
              <w:t>January 1, 1997</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4(b)3</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Ninth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October 1, 2007</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(2007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4(c)3</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Tenth</w:t>
            </w:r>
          </w:p>
        </w:tc>
        <w:tc>
          <w:tcPr>
            <w:tcW w:w="2120" w:type="dxa"/>
            <w:vAlign w:val="bottom"/>
          </w:tcPr>
          <w:p>
            <w:pPr>
              <w:ind w:left="620"/>
              <w:spacing w:after="0"/>
              <w:rPr>
                <w:sz w:val="20"/>
                <w:szCs w:val="20"/>
                <w:color w:val="auto"/>
              </w:rPr>
            </w:pPr>
            <w:r>
              <w:rPr>
                <w:rFonts w:ascii="Arial" w:cs="Arial" w:eastAsia="Arial" w:hAnsi="Arial"/>
                <w:sz w:val="16"/>
                <w:szCs w:val="16"/>
                <w:color w:val="auto"/>
              </w:rPr>
              <w:t>October 1, 2007</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(2007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4(c)4</w:t>
            </w:r>
          </w:p>
        </w:tc>
      </w:tr>
      <w:tr>
        <w:trPr>
          <w:trHeight w:val="33"/>
        </w:trPr>
        <w:tc>
          <w:tcPr>
            <w:tcW w:w="2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Eleventh</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December 1, 2008</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(2008 Form 10-K)</w:t>
            </w:r>
          </w:p>
        </w:tc>
        <w:tc>
          <w:tcPr>
            <w:tcW w:w="31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4(c)3</w:t>
            </w:r>
          </w:p>
        </w:tc>
      </w:tr>
      <w:tr>
        <w:trPr>
          <w:trHeight w:val="237"/>
        </w:trPr>
        <w:tc>
          <w:tcPr>
            <w:tcW w:w="2860" w:type="dxa"/>
            <w:vAlign w:val="bottom"/>
          </w:tcPr>
          <w:p>
            <w:pPr>
              <w:ind w:left="1660"/>
              <w:spacing w:after="0"/>
              <w:rPr>
                <w:sz w:val="20"/>
                <w:szCs w:val="20"/>
                <w:color w:val="auto"/>
              </w:rPr>
            </w:pPr>
            <w:r>
              <w:rPr>
                <w:rFonts w:ascii="Arial" w:cs="Arial" w:eastAsia="Arial" w:hAnsi="Arial"/>
                <w:sz w:val="16"/>
                <w:szCs w:val="16"/>
                <w:color w:val="auto"/>
              </w:rPr>
              <w:t>Twelfth</w:t>
            </w:r>
          </w:p>
        </w:tc>
        <w:tc>
          <w:tcPr>
            <w:tcW w:w="2120" w:type="dxa"/>
            <w:vAlign w:val="bottom"/>
          </w:tcPr>
          <w:p>
            <w:pPr>
              <w:ind w:left="620"/>
              <w:spacing w:after="0"/>
              <w:rPr>
                <w:sz w:val="20"/>
                <w:szCs w:val="20"/>
                <w:color w:val="auto"/>
              </w:rPr>
            </w:pPr>
            <w:r>
              <w:rPr>
                <w:rFonts w:ascii="Arial" w:cs="Arial" w:eastAsia="Arial" w:hAnsi="Arial"/>
                <w:sz w:val="16"/>
                <w:szCs w:val="16"/>
                <w:color w:val="auto"/>
              </w:rPr>
              <w:t>December 2, 2013</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(2013 Form 10-K)</w:t>
            </w:r>
          </w:p>
        </w:tc>
        <w:tc>
          <w:tcPr>
            <w:tcW w:w="3160" w:type="dxa"/>
            <w:vAlign w:val="bottom"/>
          </w:tcPr>
          <w:p>
            <w:pPr>
              <w:ind w:left="1240"/>
              <w:spacing w:after="0"/>
              <w:rPr>
                <w:sz w:val="20"/>
                <w:szCs w:val="20"/>
                <w:color w:val="auto"/>
              </w:rPr>
            </w:pPr>
            <w:r>
              <w:rPr>
                <w:rFonts w:ascii="Arial" w:cs="Arial" w:eastAsia="Arial" w:hAnsi="Arial"/>
                <w:sz w:val="16"/>
                <w:szCs w:val="16"/>
                <w:color w:val="auto"/>
              </w:rPr>
              <w:t>4(c)3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39433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*4(c)</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*4(d)</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5"/>
          <w:szCs w:val="15"/>
          <w:color w:val="auto"/>
        </w:rPr>
        <w:t>*4(e)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40" w:hanging="311"/>
        <w:spacing w:after="0" w:line="213"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Note Purchase Agreement, dated as of June 8, 2007, between ALLETE and Thrivent Financial for Lutherans and The Northwestern Mutual Life Insurance Company (filed as Exhibit 10(a) to the June 30, 2007, Form 10-Q, File No. 1-3548).</w:t>
      </w:r>
    </w:p>
    <w:p>
      <w:pPr>
        <w:spacing w:after="0" w:line="131" w:lineRule="exact"/>
        <w:rPr>
          <w:sz w:val="20"/>
          <w:szCs w:val="20"/>
          <w:color w:val="auto"/>
        </w:rPr>
      </w:pPr>
    </w:p>
    <w:p>
      <w:pPr>
        <w:ind w:right="40" w:hanging="311"/>
        <w:spacing w:after="0" w:line="293" w:lineRule="auto"/>
        <w:rPr>
          <w:sz w:val="20"/>
          <w:szCs w:val="20"/>
          <w:color w:val="auto"/>
        </w:rPr>
      </w:pPr>
      <w:r>
        <w:rPr>
          <w:rFonts w:ascii="Arial" w:cs="Arial" w:eastAsia="Arial" w:hAnsi="Arial"/>
          <w:sz w:val="16"/>
          <w:szCs w:val="16"/>
          <w:color w:val="auto"/>
        </w:rPr>
        <w:t>— Term Loan Agreement, dated as of August 25, 2011, between ALLETE, Inc. and JPMorgan Chase Bank, N.A., as Administrative Agent (filed as Exhibit 4 to the August 31, 2011, Form 8-K, File No. 1-3548).</w:t>
      </w:r>
    </w:p>
    <w:p>
      <w:pPr>
        <w:spacing w:after="0" w:line="9" w:lineRule="exact"/>
        <w:rPr>
          <w:sz w:val="20"/>
          <w:szCs w:val="20"/>
          <w:color w:val="auto"/>
        </w:rPr>
      </w:pPr>
    </w:p>
    <w:p>
      <w:pPr>
        <w:ind w:right="40" w:hanging="311"/>
        <w:spacing w:after="0" w:line="266" w:lineRule="auto"/>
        <w:rPr>
          <w:sz w:val="20"/>
          <w:szCs w:val="20"/>
          <w:color w:val="auto"/>
        </w:rPr>
      </w:pPr>
      <w:r>
        <w:rPr>
          <w:rFonts w:ascii="Arial" w:cs="Arial" w:eastAsia="Arial" w:hAnsi="Arial"/>
          <w:sz w:val="16"/>
          <w:szCs w:val="16"/>
          <w:color w:val="auto"/>
        </w:rPr>
        <w:t>— First Amendment dated as of August 26, 2013, to Term Loan Agreement dated as of August 25, 2011, between ALLETE, Inc. and JPMorgan Chase Bank, N.A., as Administrative Agent (filed as Exhibit 4 to the September 30, 2013,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-386715</wp:posOffset>
            </wp:positionV>
            <wp:extent cx="7229475"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940" w:space="720"/>
            <w:col w:w="9740"/>
          </w:cols>
          <w:pgMar w:left="240" w:top="553" w:right="259" w:bottom="1440" w:gutter="0" w:footer="0" w:header="0"/>
          <w:type w:val="continuous"/>
        </w:sect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*10(a)</w:t>
      </w:r>
      <w:r>
        <w:rPr>
          <w:sz w:val="20"/>
          <w:szCs w:val="20"/>
          <w:color w:val="auto"/>
        </w:rPr>
        <w:tab/>
      </w:r>
      <w:r>
        <w:rPr>
          <w:rFonts w:ascii="Arial" w:cs="Arial" w:eastAsia="Arial" w:hAnsi="Arial"/>
          <w:sz w:val="16"/>
          <w:szCs w:val="16"/>
          <w:color w:val="auto"/>
        </w:rPr>
        <w:t>— Power Purchase and Sale Agreement, dated as of May 29, 1998, between Minnesota Power, Inc. (now ALLETE) and Square Butte Electric Cooperative (filed as Exhibit 10 to the June 30, 1998,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548640"/>
                    </a:xfrm>
                    <a:prstGeom prst="rect">
                      <a:avLst/>
                    </a:prstGeom>
                    <a:noFill/>
                  </pic:spPr>
                </pic:pic>
              </a:graphicData>
            </a:graphic>
          </wp:anchor>
        </w:drawing>
      </w:r>
    </w:p>
    <w:p>
      <w:pPr>
        <w:jc w:val="both"/>
        <w:ind w:left="1340" w:right="40" w:hanging="1620"/>
        <w:spacing w:after="0" w:line="278" w:lineRule="auto"/>
        <w:tabs>
          <w:tab w:leader="none" w:pos="1320" w:val="left"/>
        </w:tabs>
        <w:rPr>
          <w:sz w:val="20"/>
          <w:szCs w:val="20"/>
          <w:color w:val="auto"/>
        </w:rPr>
      </w:pPr>
      <w:r>
        <w:rPr>
          <w:rFonts w:ascii="Arial" w:cs="Arial" w:eastAsia="Arial" w:hAnsi="Arial"/>
          <w:sz w:val="16"/>
          <w:szCs w:val="16"/>
          <w:color w:val="auto"/>
        </w:rPr>
        <w:t>*10(b)</w:t>
      </w:r>
      <w:r>
        <w:rPr>
          <w:sz w:val="20"/>
          <w:szCs w:val="20"/>
          <w:color w:val="auto"/>
        </w:rPr>
        <w:tab/>
      </w:r>
      <w:r>
        <w:rPr>
          <w:rFonts w:ascii="Arial" w:cs="Arial" w:eastAsia="Arial" w:hAnsi="Arial"/>
          <w:sz w:val="16"/>
          <w:szCs w:val="16"/>
          <w:color w:val="auto"/>
        </w:rPr>
        <w:t>— Credit Agreement dated as of November 4, 2013 among ALLETE, as Borrower, the lenders party thereto, JPMorgan Chase Bank, N.A., as Administrative Agent, and JPMorgan Securities LLC, as Sole Lead Arranger and Sole Book Runner (filed as Exhibit 10 to the November 4, 2013, Form 8-K, File No. 1-3548).</w:t>
      </w:r>
    </w:p>
    <w:p>
      <w:pPr>
        <w:spacing w:after="0" w:line="225"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*10(c)1</w:t>
      </w:r>
      <w:r>
        <w:rPr>
          <w:sz w:val="20"/>
          <w:szCs w:val="20"/>
          <w:color w:val="auto"/>
        </w:rPr>
        <w:tab/>
      </w:r>
      <w:r>
        <w:rPr>
          <w:rFonts w:ascii="Arial" w:cs="Arial" w:eastAsia="Arial" w:hAnsi="Arial"/>
          <w:sz w:val="16"/>
          <w:szCs w:val="16"/>
          <w:color w:val="auto"/>
        </w:rPr>
        <w:t>— Financing Agreement between Collier County Industrial Development Authority and ALLETE dated as of July 1, 2006 (filed as Exhibit 10(b)1 to the June 30, 2006,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jc w:val="both"/>
        <w:ind w:left="1340" w:right="40" w:hanging="1620"/>
        <w:spacing w:after="0" w:line="319" w:lineRule="auto"/>
        <w:tabs>
          <w:tab w:leader="none" w:pos="1320" w:val="left"/>
        </w:tabs>
        <w:rPr>
          <w:sz w:val="20"/>
          <w:szCs w:val="20"/>
          <w:color w:val="auto"/>
        </w:rPr>
      </w:pPr>
      <w:r>
        <w:rPr>
          <w:rFonts w:ascii="Arial" w:cs="Arial" w:eastAsia="Arial" w:hAnsi="Arial"/>
          <w:sz w:val="16"/>
          <w:szCs w:val="16"/>
          <w:color w:val="auto"/>
        </w:rPr>
        <w:t>*10(c)2</w:t>
      </w:r>
      <w:r>
        <w:rPr>
          <w:sz w:val="20"/>
          <w:szCs w:val="20"/>
          <w:color w:val="auto"/>
        </w:rPr>
        <w:tab/>
      </w:r>
      <w:r>
        <w:rPr>
          <w:rFonts w:ascii="Arial" w:cs="Arial" w:eastAsia="Arial" w:hAnsi="Arial"/>
          <w:sz w:val="15"/>
          <w:szCs w:val="15"/>
          <w:color w:val="auto"/>
        </w:rPr>
        <w:t>— Amended and Restated Letter of Credit Agreement, dated as of June 3, 2011, among ALLETE, the participating banks and Wells Fargo Bank, National Association, as Administrative Agent and Issuing Bank (filed as Exhibit 10(b) to the June 30, 2011, Form 10-Q, File No. 1-3548).</w:t>
      </w:r>
    </w:p>
    <w:p>
      <w:pPr>
        <w:spacing w:after="0" w:line="1" w:lineRule="exact"/>
        <w:rPr>
          <w:sz w:val="20"/>
          <w:szCs w:val="20"/>
          <w:color w:val="auto"/>
        </w:rPr>
      </w:pPr>
    </w:p>
    <w:p>
      <w:pPr>
        <w:jc w:val="both"/>
        <w:ind w:left="1340" w:right="40" w:hanging="1620"/>
        <w:spacing w:after="0" w:line="278" w:lineRule="auto"/>
        <w:tabs>
          <w:tab w:leader="none" w:pos="1320" w:val="left"/>
        </w:tabs>
        <w:rPr>
          <w:sz w:val="20"/>
          <w:szCs w:val="20"/>
          <w:color w:val="auto"/>
        </w:rPr>
      </w:pPr>
      <w:r>
        <w:rPr>
          <w:rFonts w:ascii="Arial" w:cs="Arial" w:eastAsia="Arial" w:hAnsi="Arial"/>
          <w:sz w:val="16"/>
          <w:szCs w:val="16"/>
          <w:color w:val="auto"/>
        </w:rPr>
        <w:t>*10(c)3</w:t>
      </w:r>
      <w:r>
        <w:rPr>
          <w:sz w:val="20"/>
          <w:szCs w:val="20"/>
          <w:color w:val="auto"/>
        </w:rPr>
        <w:tab/>
      </w:r>
      <w:r>
        <w:rPr>
          <w:rFonts w:ascii="Arial" w:cs="Arial" w:eastAsia="Arial" w:hAnsi="Arial"/>
          <w:sz w:val="16"/>
          <w:szCs w:val="16"/>
          <w:color w:val="auto"/>
        </w:rPr>
        <w:t>— First Amendment to Amended and Restated Letter of Credit Agreement, dated as of June 1, 2013, between ALLETE and Wells Fargo Bank, National Association, as Issuing Bank, Administrative Agent and sole Participating Bank (filed as Exhibit 10(b) to the June 30, 2013,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2947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2"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*10(d)</w:t>
      </w:r>
      <w:r>
        <w:rPr>
          <w:sz w:val="20"/>
          <w:szCs w:val="20"/>
          <w:color w:val="auto"/>
        </w:rPr>
        <w:tab/>
      </w:r>
      <w:r>
        <w:rPr>
          <w:rFonts w:ascii="Arial" w:cs="Arial" w:eastAsia="Arial" w:hAnsi="Arial"/>
          <w:sz w:val="16"/>
          <w:szCs w:val="16"/>
          <w:color w:val="auto"/>
        </w:rPr>
        <w:t>— Agreement dated December 16, 2005, among ALLETE, Wisconsin Public Service Corporation and WPS Investments, LLC (filed as Exhibit 10(g) to the 2009 Form 10-K, File No. 1-3548).</w:t>
      </w:r>
    </w:p>
    <w:p>
      <w:pPr>
        <w:spacing w:after="0" w:line="10" w:lineRule="exact"/>
        <w:rPr>
          <w:sz w:val="20"/>
          <w:szCs w:val="20"/>
          <w:color w:val="auto"/>
        </w:rPr>
      </w:pPr>
    </w:p>
    <w:p>
      <w:pPr>
        <w:jc w:val="both"/>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+*10(e)1</w:t>
      </w:r>
      <w:r>
        <w:rPr>
          <w:sz w:val="20"/>
          <w:szCs w:val="20"/>
          <w:color w:val="auto"/>
        </w:rPr>
        <w:tab/>
      </w:r>
      <w:r>
        <w:rPr>
          <w:rFonts w:ascii="Arial" w:cs="Arial" w:eastAsia="Arial" w:hAnsi="Arial"/>
          <w:sz w:val="16"/>
          <w:szCs w:val="16"/>
          <w:color w:val="auto"/>
        </w:rPr>
        <w:t>— ALLETE Executive Annual Incentive Plan, as amended and restated, effective January 1, 2011 (filed as Exhibit 10(h)1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right="2540" w:hanging="1620"/>
        <w:spacing w:after="0" w:line="293" w:lineRule="auto"/>
        <w:tabs>
          <w:tab w:leader="none" w:pos="1320" w:val="left"/>
        </w:tabs>
        <w:rPr>
          <w:sz w:val="20"/>
          <w:szCs w:val="20"/>
          <w:color w:val="auto"/>
        </w:rPr>
      </w:pPr>
      <w:r>
        <w:rPr>
          <w:rFonts w:ascii="Arial" w:cs="Arial" w:eastAsia="Arial" w:hAnsi="Arial"/>
          <w:sz w:val="16"/>
          <w:szCs w:val="16"/>
          <w:color w:val="auto"/>
        </w:rPr>
        <w:t>+*10(e)2</w:t>
      </w:r>
      <w:r>
        <w:rPr>
          <w:sz w:val="20"/>
          <w:szCs w:val="20"/>
          <w:color w:val="auto"/>
        </w:rPr>
        <w:tab/>
      </w:r>
      <w:r>
        <w:rPr>
          <w:rFonts w:ascii="Arial" w:cs="Arial" w:eastAsia="Arial" w:hAnsi="Arial"/>
          <w:sz w:val="16"/>
          <w:szCs w:val="16"/>
          <w:color w:val="auto"/>
        </w:rPr>
        <w:t>— ALLETE Executive Annual Incentive Plan Form of Awards Effective 2011 (filed as Exhibit 10(h)4 to the 2010 Form 10-K, File No. 1-3548).</w:t>
      </w:r>
    </w:p>
    <w:p>
      <w:pPr>
        <w:spacing w:after="0" w:line="10" w:lineRule="exact"/>
        <w:rPr>
          <w:sz w:val="20"/>
          <w:szCs w:val="20"/>
          <w:color w:val="auto"/>
        </w:rPr>
      </w:pPr>
    </w:p>
    <w:p>
      <w:pPr>
        <w:ind w:left="1340" w:right="2540" w:hanging="1620"/>
        <w:spacing w:after="0" w:line="293" w:lineRule="auto"/>
        <w:tabs>
          <w:tab w:leader="none" w:pos="1320" w:val="left"/>
        </w:tabs>
        <w:rPr>
          <w:sz w:val="20"/>
          <w:szCs w:val="20"/>
          <w:color w:val="auto"/>
        </w:rPr>
      </w:pPr>
      <w:r>
        <w:rPr>
          <w:rFonts w:ascii="Arial" w:cs="Arial" w:eastAsia="Arial" w:hAnsi="Arial"/>
          <w:sz w:val="16"/>
          <w:szCs w:val="16"/>
          <w:color w:val="auto"/>
        </w:rPr>
        <w:t>+*10(e)3</w:t>
      </w:r>
      <w:r>
        <w:rPr>
          <w:sz w:val="20"/>
          <w:szCs w:val="20"/>
          <w:color w:val="auto"/>
        </w:rPr>
        <w:tab/>
      </w:r>
      <w:r>
        <w:rPr>
          <w:rFonts w:ascii="Arial" w:cs="Arial" w:eastAsia="Arial" w:hAnsi="Arial"/>
          <w:sz w:val="16"/>
          <w:szCs w:val="16"/>
          <w:color w:val="auto"/>
        </w:rPr>
        <w:t>— ALLETE Executive Annual Incentive Plan Form of Awards Effective 2012 (filed as Exhibit 10(h)4 to the 2011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right="2560" w:hanging="1620"/>
        <w:spacing w:after="0" w:line="293" w:lineRule="auto"/>
        <w:tabs>
          <w:tab w:leader="none" w:pos="1320" w:val="left"/>
        </w:tabs>
        <w:rPr>
          <w:sz w:val="20"/>
          <w:szCs w:val="20"/>
          <w:color w:val="auto"/>
        </w:rPr>
      </w:pPr>
      <w:r>
        <w:rPr>
          <w:rFonts w:ascii="Arial" w:cs="Arial" w:eastAsia="Arial" w:hAnsi="Arial"/>
          <w:sz w:val="16"/>
          <w:szCs w:val="16"/>
          <w:color w:val="auto"/>
        </w:rPr>
        <w:t>+*10(e)4</w:t>
      </w:r>
      <w:r>
        <w:rPr>
          <w:sz w:val="20"/>
          <w:szCs w:val="20"/>
          <w:color w:val="auto"/>
        </w:rPr>
        <w:tab/>
      </w:r>
      <w:r>
        <w:rPr>
          <w:rFonts w:ascii="Arial" w:cs="Arial" w:eastAsia="Arial" w:hAnsi="Arial"/>
          <w:sz w:val="16"/>
          <w:szCs w:val="16"/>
          <w:color w:val="auto"/>
        </w:rPr>
        <w:t>— ALLETE Executive Annual Incentive Plan Form of Awards Effective 2013 (filed as Exhibit 10(f)5 to the 2012 Form 10-K, File No. 1-3548).</w:t>
      </w:r>
    </w:p>
    <w:p>
      <w:pPr>
        <w:spacing w:after="0" w:line="10"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+*10(e)5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Awards Effective 2014 (filed as Exhibit 10(e)6 to the 2013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+10(e)6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Awards Effective 2015.</w:t>
      </w:r>
    </w:p>
    <w:p>
      <w:pPr>
        <w:spacing w:after="0" w:line="73" w:lineRule="exact"/>
        <w:rPr>
          <w:sz w:val="20"/>
          <w:szCs w:val="20"/>
          <w:color w:val="auto"/>
        </w:rPr>
      </w:pPr>
    </w:p>
    <w:p>
      <w:pPr>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+*10(f)1</w:t>
      </w:r>
      <w:r>
        <w:rPr>
          <w:sz w:val="20"/>
          <w:szCs w:val="20"/>
          <w:color w:val="auto"/>
        </w:rPr>
        <w:tab/>
      </w:r>
      <w:r>
        <w:rPr>
          <w:rFonts w:ascii="Arial" w:cs="Arial" w:eastAsia="Arial" w:hAnsi="Arial"/>
          <w:sz w:val="16"/>
          <w:szCs w:val="16"/>
          <w:color w:val="auto"/>
        </w:rPr>
        <w:t>— ALLETE and Affiliated Companies Supplemental Executive Retirement Plan (SERP I), as amended and restated, effective January 1, 2009 (filed as Exhibit 10(i)4 to the 2008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right="40" w:hanging="1620"/>
        <w:spacing w:after="0" w:line="293" w:lineRule="auto"/>
        <w:tabs>
          <w:tab w:leader="none" w:pos="1320" w:val="left"/>
        </w:tabs>
        <w:rPr>
          <w:sz w:val="20"/>
          <w:szCs w:val="20"/>
          <w:color w:val="auto"/>
        </w:rPr>
      </w:pPr>
      <w:r>
        <w:rPr>
          <w:rFonts w:ascii="Arial" w:cs="Arial" w:eastAsia="Arial" w:hAnsi="Arial"/>
          <w:sz w:val="16"/>
          <w:szCs w:val="16"/>
          <w:color w:val="auto"/>
        </w:rPr>
        <w:t>+*10(f)2</w:t>
      </w:r>
      <w:r>
        <w:rPr>
          <w:sz w:val="20"/>
          <w:szCs w:val="20"/>
          <w:color w:val="auto"/>
        </w:rPr>
        <w:tab/>
      </w:r>
      <w:r>
        <w:rPr>
          <w:rFonts w:ascii="Arial" w:cs="Arial" w:eastAsia="Arial" w:hAnsi="Arial"/>
          <w:sz w:val="16"/>
          <w:szCs w:val="16"/>
          <w:color w:val="auto"/>
        </w:rPr>
        <w:t>— Amendment to the ALLETE and Affiliated Companies Supplemental Executive Retirement Plan (SERP I), effective January 1, 2011 (filed as Exhibit 10(i)2 to the 2010 Form 10-K, File No. 1-3548).</w:t>
      </w:r>
    </w:p>
    <w:p>
      <w:pPr>
        <w:sectPr>
          <w:pgSz w:w="11900" w:h="16838" w:orient="portrait"/>
          <w:cols w:equalWidth="0" w:num="1">
            <w:col w:w="11400"/>
          </w:cols>
          <w:pgMar w:left="240" w:top="553" w:right="259" w:bottom="1440" w:gutter="0" w:footer="0" w:header="0"/>
          <w:type w:val="continuous"/>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2014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53" w:right="2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294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79"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+10(f)3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ALLETE and Affiliated Companies Supplemental Executive Retirement Plan II (SERP II), as amended and restated, effective January 1, 2015.</w:t>
      </w:r>
    </w:p>
    <w:p>
      <w:pPr>
        <w:spacing w:after="0" w:line="73"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+*10(g)1</w:t>
      </w:r>
      <w:r>
        <w:rPr>
          <w:sz w:val="20"/>
          <w:szCs w:val="20"/>
          <w:color w:val="auto"/>
        </w:rPr>
        <w:tab/>
      </w:r>
      <w:r>
        <w:rPr>
          <w:rFonts w:ascii="Arial" w:cs="Arial" w:eastAsia="Arial" w:hAnsi="Arial"/>
          <w:sz w:val="16"/>
          <w:szCs w:val="16"/>
          <w:color w:val="auto"/>
        </w:rPr>
        <w:t>— Minnesota Power and Affiliated Companies Executive Investment Plan I, as amended and restated, effective November 1, 1988 (filed as Exhibit 10(c) to the 1988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+*10(g)2</w:t>
      </w:r>
      <w:r>
        <w:rPr>
          <w:sz w:val="20"/>
          <w:szCs w:val="20"/>
          <w:color w:val="auto"/>
        </w:rPr>
        <w:tab/>
      </w:r>
      <w:r>
        <w:rPr>
          <w:rFonts w:ascii="Arial" w:cs="Arial" w:eastAsia="Arial" w:hAnsi="Arial"/>
          <w:sz w:val="16"/>
          <w:szCs w:val="16"/>
          <w:color w:val="auto"/>
        </w:rPr>
        <w:t>— Amendments through December 2003 to the Minnesota Power and Affiliated Companies Executive Investment Plan I (filed as Exhibit 10(v)2 to the 2003 Form 10-K, File No. 1-3548).</w:t>
      </w:r>
    </w:p>
    <w:p>
      <w:pPr>
        <w:spacing w:after="0" w:line="10" w:lineRule="exact"/>
        <w:rPr>
          <w:sz w:val="20"/>
          <w:szCs w:val="20"/>
          <w:color w:val="auto"/>
        </w:rPr>
      </w:pPr>
    </w:p>
    <w:p>
      <w:pPr>
        <w:ind w:left="1340" w:right="2500" w:hanging="1620"/>
        <w:spacing w:after="0" w:line="293" w:lineRule="auto"/>
        <w:tabs>
          <w:tab w:leader="none" w:pos="1320" w:val="left"/>
        </w:tabs>
        <w:rPr>
          <w:sz w:val="20"/>
          <w:szCs w:val="20"/>
          <w:color w:val="auto"/>
        </w:rPr>
      </w:pPr>
      <w:r>
        <w:rPr>
          <w:rFonts w:ascii="Arial" w:cs="Arial" w:eastAsia="Arial" w:hAnsi="Arial"/>
          <w:sz w:val="16"/>
          <w:szCs w:val="16"/>
          <w:color w:val="auto"/>
        </w:rPr>
        <w:t>+*10(g)3</w:t>
      </w:r>
      <w:r>
        <w:rPr>
          <w:sz w:val="20"/>
          <w:szCs w:val="20"/>
          <w:color w:val="auto"/>
        </w:rPr>
        <w:tab/>
      </w:r>
      <w:r>
        <w:rPr>
          <w:rFonts w:ascii="Arial" w:cs="Arial" w:eastAsia="Arial" w:hAnsi="Arial"/>
          <w:sz w:val="16"/>
          <w:szCs w:val="16"/>
          <w:color w:val="auto"/>
        </w:rPr>
        <w:t>— July 2004 Amendment to the Minnesota Power and Affiliated Companies Executive Investment Plan I (filed as Exhibit 10(b) to the June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right="2300" w:hanging="1620"/>
        <w:spacing w:after="0" w:line="293" w:lineRule="auto"/>
        <w:tabs>
          <w:tab w:leader="none" w:pos="1320" w:val="left"/>
        </w:tabs>
        <w:rPr>
          <w:sz w:val="20"/>
          <w:szCs w:val="20"/>
          <w:color w:val="auto"/>
        </w:rPr>
      </w:pPr>
      <w:r>
        <w:rPr>
          <w:rFonts w:ascii="Arial" w:cs="Arial" w:eastAsia="Arial" w:hAnsi="Arial"/>
          <w:sz w:val="16"/>
          <w:szCs w:val="16"/>
          <w:color w:val="auto"/>
        </w:rPr>
        <w:t>+*10(g)4</w:t>
      </w:r>
      <w:r>
        <w:rPr>
          <w:sz w:val="20"/>
          <w:szCs w:val="20"/>
          <w:color w:val="auto"/>
        </w:rPr>
        <w:tab/>
      </w:r>
      <w:r>
        <w:rPr>
          <w:rFonts w:ascii="Arial" w:cs="Arial" w:eastAsia="Arial" w:hAnsi="Arial"/>
          <w:sz w:val="16"/>
          <w:szCs w:val="16"/>
          <w:color w:val="auto"/>
        </w:rPr>
        <w:t>— August 2006 Amendment to the Minnesota Power and Affiliated Companies Executive Investment Plan I (filed as Exhibit 10(b) to the September 30, 2006, Form 10-Q,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+*10(h)1</w:t>
      </w:r>
      <w:r>
        <w:rPr>
          <w:sz w:val="20"/>
          <w:szCs w:val="20"/>
          <w:color w:val="auto"/>
        </w:rPr>
        <w:tab/>
      </w:r>
      <w:r>
        <w:rPr>
          <w:rFonts w:ascii="Arial" w:cs="Arial" w:eastAsia="Arial" w:hAnsi="Arial"/>
          <w:sz w:val="16"/>
          <w:szCs w:val="16"/>
          <w:color w:val="auto"/>
        </w:rPr>
        <w:t>— Minnesota Power and Affiliated Companies Executive Investment Plan II, as amended and restated, effective November 1, 1988 (filed as Exhibit 10(d) to the 1988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+*10(h)2</w:t>
      </w:r>
      <w:r>
        <w:rPr>
          <w:sz w:val="20"/>
          <w:szCs w:val="20"/>
          <w:color w:val="auto"/>
        </w:rPr>
        <w:tab/>
      </w:r>
      <w:r>
        <w:rPr>
          <w:rFonts w:ascii="Arial" w:cs="Arial" w:eastAsia="Arial" w:hAnsi="Arial"/>
          <w:sz w:val="16"/>
          <w:szCs w:val="16"/>
          <w:color w:val="auto"/>
        </w:rPr>
        <w:t>— Amendments through December 2003 to the Minnesota Power and Affiliated Companies Executive Investment Plan II (filed as Exhibit 10(w)2 to the 2003 Form 10-K, File No. 1-3548).</w:t>
      </w:r>
    </w:p>
    <w:p>
      <w:pPr>
        <w:spacing w:after="0" w:line="10" w:lineRule="exact"/>
        <w:rPr>
          <w:sz w:val="20"/>
          <w:szCs w:val="20"/>
          <w:color w:val="auto"/>
        </w:rPr>
      </w:pPr>
    </w:p>
    <w:p>
      <w:pPr>
        <w:ind w:left="1340" w:right="2440" w:hanging="1620"/>
        <w:spacing w:after="0" w:line="293" w:lineRule="auto"/>
        <w:tabs>
          <w:tab w:leader="none" w:pos="1320" w:val="left"/>
        </w:tabs>
        <w:rPr>
          <w:sz w:val="20"/>
          <w:szCs w:val="20"/>
          <w:color w:val="auto"/>
        </w:rPr>
      </w:pPr>
      <w:r>
        <w:rPr>
          <w:rFonts w:ascii="Arial" w:cs="Arial" w:eastAsia="Arial" w:hAnsi="Arial"/>
          <w:sz w:val="16"/>
          <w:szCs w:val="16"/>
          <w:color w:val="auto"/>
        </w:rPr>
        <w:t>+*10(h)3</w:t>
      </w:r>
      <w:r>
        <w:rPr>
          <w:sz w:val="20"/>
          <w:szCs w:val="20"/>
          <w:color w:val="auto"/>
        </w:rPr>
        <w:tab/>
      </w:r>
      <w:r>
        <w:rPr>
          <w:rFonts w:ascii="Arial" w:cs="Arial" w:eastAsia="Arial" w:hAnsi="Arial"/>
          <w:sz w:val="16"/>
          <w:szCs w:val="16"/>
          <w:color w:val="auto"/>
        </w:rPr>
        <w:t>— July 2004 Amendment to the Minnesota Power and Affiliated Companies Executive Investment Plan II (filed as Exhibit 10(c) to the June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right="2240" w:hanging="1620"/>
        <w:spacing w:after="0" w:line="293" w:lineRule="auto"/>
        <w:tabs>
          <w:tab w:leader="none" w:pos="1320" w:val="left"/>
        </w:tabs>
        <w:rPr>
          <w:sz w:val="20"/>
          <w:szCs w:val="20"/>
          <w:color w:val="auto"/>
        </w:rPr>
      </w:pPr>
      <w:r>
        <w:rPr>
          <w:rFonts w:ascii="Arial" w:cs="Arial" w:eastAsia="Arial" w:hAnsi="Arial"/>
          <w:sz w:val="16"/>
          <w:szCs w:val="16"/>
          <w:color w:val="auto"/>
        </w:rPr>
        <w:t>+*10(h)4</w:t>
      </w:r>
      <w:r>
        <w:rPr>
          <w:sz w:val="20"/>
          <w:szCs w:val="20"/>
          <w:color w:val="auto"/>
        </w:rPr>
        <w:tab/>
      </w:r>
      <w:r>
        <w:rPr>
          <w:rFonts w:ascii="Arial" w:cs="Arial" w:eastAsia="Arial" w:hAnsi="Arial"/>
          <w:sz w:val="16"/>
          <w:szCs w:val="16"/>
          <w:color w:val="auto"/>
        </w:rPr>
        <w:t>— August 2006 Amendment to the Minnesota Power and Affiliated Companies Executive Investment Plan II (filed as Exhibit 10(c) to the September 30, 2006, Form 10-Q, File No. 1-3548).</w:t>
      </w:r>
    </w:p>
    <w:p>
      <w:pPr>
        <w:spacing w:after="0" w:line="10" w:lineRule="exact"/>
        <w:rPr>
          <w:sz w:val="20"/>
          <w:szCs w:val="20"/>
          <w:color w:val="auto"/>
        </w:rPr>
      </w:pPr>
    </w:p>
    <w:p>
      <w:pPr>
        <w:ind w:left="1340" w:right="2180" w:hanging="1620"/>
        <w:spacing w:after="0" w:line="293" w:lineRule="auto"/>
        <w:tabs>
          <w:tab w:leader="none" w:pos="1320" w:val="left"/>
        </w:tabs>
        <w:rPr>
          <w:sz w:val="20"/>
          <w:szCs w:val="20"/>
          <w:color w:val="auto"/>
        </w:rPr>
      </w:pPr>
      <w:r>
        <w:rPr>
          <w:rFonts w:ascii="Arial" w:cs="Arial" w:eastAsia="Arial" w:hAnsi="Arial"/>
          <w:sz w:val="16"/>
          <w:szCs w:val="16"/>
          <w:color w:val="auto"/>
        </w:rPr>
        <w:t>+*10(i)</w:t>
      </w:r>
      <w:r>
        <w:rPr>
          <w:sz w:val="20"/>
          <w:szCs w:val="20"/>
          <w:color w:val="auto"/>
        </w:rPr>
        <w:tab/>
      </w:r>
      <w:r>
        <w:rPr>
          <w:rFonts w:ascii="Arial" w:cs="Arial" w:eastAsia="Arial" w:hAnsi="Arial"/>
          <w:sz w:val="16"/>
          <w:szCs w:val="16"/>
          <w:color w:val="auto"/>
        </w:rPr>
        <w:t>— ALLETE Deferred Compensation Trust Agreement, as amended and restated, effective December 15, 2012 (filed as Exhibit 10(j) to the 2012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w:t>
      </w:r>
      <w:r>
        <w:rPr>
          <w:sz w:val="20"/>
          <w:szCs w:val="20"/>
          <w:color w:val="auto"/>
        </w:rPr>
        <w:tab/>
      </w:r>
      <w:r>
        <w:rPr>
          <w:rFonts w:ascii="Arial" w:cs="Arial" w:eastAsia="Arial" w:hAnsi="Arial"/>
          <w:sz w:val="16"/>
          <w:szCs w:val="16"/>
          <w:color w:val="auto"/>
        </w:rPr>
        <w:t>— ALLETE Executive Long-Term Incentive Compensation Plan as amended and restated effective January 1, 2006 (filed as Exhibit 10 to the May 16, 2005, Form 8-K,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+*10(j)2</w:t>
      </w:r>
      <w:r>
        <w:rPr>
          <w:sz w:val="20"/>
          <w:szCs w:val="20"/>
          <w:color w:val="auto"/>
        </w:rPr>
        <w:tab/>
      </w:r>
      <w:r>
        <w:rPr>
          <w:rFonts w:ascii="Arial" w:cs="Arial" w:eastAsia="Arial" w:hAnsi="Arial"/>
          <w:sz w:val="16"/>
          <w:szCs w:val="16"/>
          <w:color w:val="auto"/>
        </w:rPr>
        <w:t>— Amendment to the ALLETE Executive Long-Term Incentive Compensation Plan, effective January 1, 2011 (filed as Exhibit 10(m)2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+*10(j)3</w:t>
      </w:r>
      <w:r>
        <w:rPr>
          <w:sz w:val="20"/>
          <w:szCs w:val="20"/>
          <w:color w:val="auto"/>
        </w:rPr>
        <w:tab/>
      </w:r>
      <w:r>
        <w:rPr>
          <w:rFonts w:ascii="Arial" w:cs="Arial" w:eastAsia="Arial" w:hAnsi="Arial"/>
          <w:sz w:val="16"/>
          <w:szCs w:val="16"/>
          <w:color w:val="auto"/>
        </w:rPr>
        <w:t>— Form of ALLETE Executive Long-Term Incentive Compensation Plan Performance Share Grant Effective 2009 (filed as Exhibit 10(m)11 to the 2008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+*10(j)4</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2009 (filed as Exhibit 10(m)12 to the 2008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+*10(j)5</w:t>
      </w:r>
      <w:r>
        <w:rPr>
          <w:sz w:val="20"/>
          <w:szCs w:val="20"/>
          <w:color w:val="auto"/>
        </w:rPr>
        <w:tab/>
      </w:r>
      <w:r>
        <w:rPr>
          <w:rFonts w:ascii="Arial" w:cs="Arial" w:eastAsia="Arial" w:hAnsi="Arial"/>
          <w:sz w:val="16"/>
          <w:szCs w:val="16"/>
          <w:color w:val="auto"/>
        </w:rPr>
        <w:t>— Form of ALLETE Executive Long-Term Incentive Compensation Plan Performance Share Grant Effective 2010 (filed as Exhibit 10(m)8 to the 2009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+*10(j)6</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2010 (filed as Exhibit 10(m)9 to the 2009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+*10(j)7</w:t>
      </w:r>
      <w:r>
        <w:rPr>
          <w:sz w:val="20"/>
          <w:szCs w:val="20"/>
          <w:color w:val="auto"/>
        </w:rPr>
        <w:tab/>
      </w:r>
      <w:r>
        <w:rPr>
          <w:rFonts w:ascii="Arial" w:cs="Arial" w:eastAsia="Arial" w:hAnsi="Arial"/>
          <w:sz w:val="16"/>
          <w:szCs w:val="16"/>
          <w:color w:val="auto"/>
        </w:rPr>
        <w:t>— Form of ALLETE Executive Long-Term Incentive Compensation Plan Performance Share Grant Effective 2011 (filed as Exhibit 10(m)11 to the 2010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+*10(j)8</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2011 (filed as Exhibit 10(m)12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+*10(j)9</w:t>
      </w:r>
      <w:r>
        <w:rPr>
          <w:sz w:val="20"/>
          <w:szCs w:val="20"/>
          <w:color w:val="auto"/>
        </w:rPr>
        <w:tab/>
      </w:r>
      <w:r>
        <w:rPr>
          <w:rFonts w:ascii="Arial" w:cs="Arial" w:eastAsia="Arial" w:hAnsi="Arial"/>
          <w:sz w:val="16"/>
          <w:szCs w:val="16"/>
          <w:color w:val="auto"/>
        </w:rPr>
        <w:t>— Form of ALLETE Executive Long-Term Incentive Compensation Plan Performance Share Grant Effective 2012 (filed as Exhibit 10(m)12 to the 2011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+*10(j)10</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2012 (filed as Exhibit 10(m)13 to the 2011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+*10(j)11</w:t>
      </w:r>
      <w:r>
        <w:rPr>
          <w:sz w:val="20"/>
          <w:szCs w:val="20"/>
          <w:color w:val="auto"/>
        </w:rPr>
        <w:tab/>
      </w:r>
      <w:r>
        <w:rPr>
          <w:rFonts w:ascii="Arial" w:cs="Arial" w:eastAsia="Arial" w:hAnsi="Arial"/>
          <w:sz w:val="16"/>
          <w:szCs w:val="16"/>
          <w:color w:val="auto"/>
        </w:rPr>
        <w:t>— Form of ALLETE Executive Long-Term Incentive Compensation Plan Performance Share Grant Effective 2013 (filed as Exhibit 10(k)14 to the 2012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+*10(j)12</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2013 (filed as Exhibit 10(k)15 to the 2012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+*10(j)14</w:t>
      </w:r>
      <w:r>
        <w:rPr>
          <w:sz w:val="20"/>
          <w:szCs w:val="20"/>
          <w:color w:val="auto"/>
        </w:rPr>
        <w:tab/>
      </w:r>
      <w:r>
        <w:rPr>
          <w:rFonts w:ascii="Arial" w:cs="Arial" w:eastAsia="Arial" w:hAnsi="Arial"/>
          <w:sz w:val="16"/>
          <w:szCs w:val="16"/>
          <w:color w:val="auto"/>
        </w:rPr>
        <w:t>— Form of ALLETE Executive Long-Term Incentive Compensation Plan Performance Share Grant Effective 2014 (filed as Exhibit 10(j)14 to the 2013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+*10(j)15</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2014 (filed as Exhibit 10(j)15 to the 213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+10(j)16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Form of ALLETE Executive Long-Term Incentive Compensation Plan Performance Share Grant Effective 2015.</w:t>
      </w:r>
    </w:p>
    <w:p>
      <w:pPr>
        <w:spacing w:after="0" w:line="7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+10(j)17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Form of ALLETE Executive Long-Term Incentive Compensation Plan Restricted Stock Unit Grant Effective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sz w:val="20"/>
          <w:szCs w:val="20"/>
          <w:color w:val="auto"/>
        </w:rPr>
      </w:pPr>
    </w:p>
    <w:p>
      <w:pPr>
        <w:ind w:left="1340" w:right="1940" w:hanging="1620"/>
        <w:spacing w:after="0" w:line="293" w:lineRule="auto"/>
        <w:tabs>
          <w:tab w:leader="none" w:pos="1320" w:val="left"/>
        </w:tabs>
        <w:rPr>
          <w:sz w:val="20"/>
          <w:szCs w:val="20"/>
          <w:color w:val="auto"/>
        </w:rPr>
      </w:pPr>
      <w:r>
        <w:rPr>
          <w:rFonts w:ascii="Arial" w:cs="Arial" w:eastAsia="Arial" w:hAnsi="Arial"/>
          <w:sz w:val="16"/>
          <w:szCs w:val="16"/>
          <w:color w:val="auto"/>
        </w:rPr>
        <w:t>+*10(k)1</w:t>
      </w:r>
      <w:r>
        <w:rPr>
          <w:sz w:val="20"/>
          <w:szCs w:val="20"/>
          <w:color w:val="auto"/>
        </w:rPr>
        <w:tab/>
      </w:r>
      <w:r>
        <w:rPr>
          <w:rFonts w:ascii="Arial" w:cs="Arial" w:eastAsia="Arial" w:hAnsi="Arial"/>
          <w:sz w:val="16"/>
          <w:szCs w:val="16"/>
          <w:color w:val="auto"/>
        </w:rPr>
        <w:t>— Minnesota Power (now ALLETE) Non-Employee Director Stock Plan, effective May 9, 1995 (filed as Exhibit 10 to the March 31, 1995, Form 10-Q,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+*10(k)2</w:t>
      </w:r>
      <w:r>
        <w:rPr>
          <w:sz w:val="20"/>
          <w:szCs w:val="20"/>
          <w:color w:val="auto"/>
        </w:rPr>
        <w:tab/>
      </w:r>
      <w:r>
        <w:rPr>
          <w:rFonts w:ascii="Arial" w:cs="Arial" w:eastAsia="Arial" w:hAnsi="Arial"/>
          <w:sz w:val="16"/>
          <w:szCs w:val="16"/>
          <w:color w:val="auto"/>
        </w:rPr>
        <w:t>— Amendments through December 2003 to the Minnesota Power (now ALLETE) Non-Employee Director Stock Plan (filed as Exhibit 10(z)2 to the 2003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+*10(k)3</w:t>
      </w:r>
      <w:r>
        <w:rPr>
          <w:sz w:val="20"/>
          <w:szCs w:val="20"/>
          <w:color w:val="auto"/>
        </w:rPr>
        <w:tab/>
      </w:r>
      <w:r>
        <w:rPr>
          <w:rFonts w:ascii="Arial" w:cs="Arial" w:eastAsia="Arial" w:hAnsi="Arial"/>
          <w:sz w:val="16"/>
          <w:szCs w:val="16"/>
          <w:color w:val="auto"/>
        </w:rPr>
        <w:t>— July 2004 Amendment to the ALLETE Non-Employee Director Stock Plan (filed as Exhibit 10(e) to the June 30, 2004, Form 10-Q, File No. 1-3548).</w:t>
      </w:r>
    </w:p>
    <w:p>
      <w:pPr>
        <w:spacing w:after="0" w:line="10" w:lineRule="exact"/>
        <w:rPr>
          <w:sz w:val="20"/>
          <w:szCs w:val="20"/>
          <w:color w:val="auto"/>
        </w:rPr>
      </w:pPr>
    </w:p>
    <w:p>
      <w:pPr>
        <w:ind w:left="40"/>
        <w:spacing w:after="0" w:line="184" w:lineRule="exact"/>
        <w:tabs>
          <w:tab w:leader="none" w:pos="1320" w:val="left"/>
          <w:tab w:leader="none" w:pos="1640" w:val="left"/>
        </w:tabs>
        <w:rPr>
          <w:sz w:val="20"/>
          <w:szCs w:val="20"/>
          <w:color w:val="auto"/>
        </w:rPr>
      </w:pPr>
      <w:r>
        <w:rPr>
          <w:rFonts w:ascii="Arial" w:cs="Arial" w:eastAsia="Arial" w:hAnsi="Arial"/>
          <w:sz w:val="16"/>
          <w:szCs w:val="16"/>
          <w:color w:val="auto"/>
        </w:rPr>
        <w:t>+*10(k)4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January 2007 Amendment to the ALLETE Non-Employee Director Stock Plan (filed as Exhibit 10(n)4 to the 2006 Form 10</w:t>
      </w:r>
      <w:r>
        <w:rPr>
          <w:rFonts w:ascii="MS PGothic" w:cs="MS PGothic" w:eastAsia="MS PGothic" w:hAnsi="MS PGothic"/>
          <w:sz w:val="15"/>
          <w:szCs w:val="15"/>
          <w:color w:val="auto"/>
        </w:rPr>
        <w:t>‑</w:t>
      </w:r>
      <w:r>
        <w:rPr>
          <w:rFonts w:ascii="Arial" w:cs="Arial" w:eastAsia="Arial" w:hAnsi="Arial"/>
          <w:sz w:val="15"/>
          <w:szCs w:val="15"/>
          <w:color w:val="auto"/>
        </w:rPr>
        <w:t>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+*10(k)5</w:t>
      </w:r>
      <w:r>
        <w:rPr>
          <w:sz w:val="20"/>
          <w:szCs w:val="20"/>
          <w:color w:val="auto"/>
        </w:rPr>
        <w:tab/>
      </w:r>
      <w:r>
        <w:rPr>
          <w:rFonts w:ascii="Arial" w:cs="Arial" w:eastAsia="Arial" w:hAnsi="Arial"/>
          <w:sz w:val="16"/>
          <w:szCs w:val="16"/>
          <w:color w:val="auto"/>
        </w:rPr>
        <w:t>— May 2009 Amendment to the ALLETE Non-Employee Director Stock Plan (filed as Exhibit 10(b) to the June 30, 2009, Form 10-Q, File No. 1-3548).</w:t>
      </w:r>
    </w:p>
    <w:p>
      <w:pPr>
        <w:sectPr>
          <w:pgSz w:w="11900" w:h="16838" w:orient="portrait"/>
          <w:cols w:equalWidth="0" w:num="1">
            <w:col w:w="11360"/>
          </w:cols>
          <w:pgMar w:left="240" w:top="553" w:right="299" w:bottom="1440" w:gutter="0" w:footer="0" w:header="0"/>
        </w:sect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ALLETE, Inc. 2014 Form 10-K</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553" w:right="2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+*10(k)6</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  May 2010 Amendment to the ALLETE Non-Employee Director Stock Plan (filed as Exhibit 10(a) to the June 30, 2010, Form 10-Q, File No. 1-</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+*10(k)7</w:t>
            </w:r>
          </w:p>
        </w:tc>
        <w:tc>
          <w:tcPr>
            <w:tcW w:w="10380" w:type="dxa"/>
            <w:vAlign w:val="bottom"/>
          </w:tcPr>
          <w:p>
            <w:pPr>
              <w:ind w:left="320"/>
              <w:spacing w:after="0"/>
              <w:rPr>
                <w:sz w:val="20"/>
                <w:szCs w:val="20"/>
                <w:color w:val="auto"/>
              </w:rPr>
            </w:pPr>
            <w:r>
              <w:rPr>
                <w:rFonts w:ascii="Arial" w:cs="Arial" w:eastAsia="Arial" w:hAnsi="Arial"/>
                <w:sz w:val="16"/>
                <w:szCs w:val="16"/>
                <w:color w:val="auto"/>
                <w:w w:val="95"/>
              </w:rPr>
              <w:t>—  October 2010 Amendment to the ALLETE Non-Employee Director Stock Plan (filed as Exhibit 10 to the September 30, 2010, Form 10-Q, File No.</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+*10(k)8</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  Amended and Restated ALLETE Non-Employee Director Stock Plan, effective May 15, 2013 (filed as Exhibit 10(a) to the June 30, 2013, Form 10-</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Q,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+*10(l)1</w:t>
            </w:r>
          </w:p>
        </w:tc>
        <w:tc>
          <w:tcPr>
            <w:tcW w:w="10380" w:type="dxa"/>
            <w:vAlign w:val="bottom"/>
          </w:tcPr>
          <w:p>
            <w:pPr>
              <w:ind w:left="320"/>
              <w:spacing w:after="0"/>
              <w:rPr>
                <w:sz w:val="20"/>
                <w:szCs w:val="20"/>
                <w:color w:val="auto"/>
              </w:rPr>
            </w:pPr>
            <w:r>
              <w:rPr>
                <w:rFonts w:ascii="Arial" w:cs="Arial" w:eastAsia="Arial" w:hAnsi="Arial"/>
                <w:sz w:val="16"/>
                <w:szCs w:val="16"/>
                <w:color w:val="auto"/>
                <w:w w:val="95"/>
              </w:rPr>
              <w:t>—  ALLETE Non-Management Director Compensation Summary Effective May 1, 2010 (filed as Exhibit 10(b) to the March 31, 2010, Form 10-Q, File</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+*10(l)2</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  ALLETE Non-Management Director Compensation Summary effective January 19, 2011 (filed as Exhibit 10(n)9 to the 2010 Form 10-K, File No. 1-</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+*10(l)3</w:t>
            </w:r>
          </w:p>
        </w:tc>
        <w:tc>
          <w:tcPr>
            <w:tcW w:w="10380" w:type="dxa"/>
            <w:vAlign w:val="bottom"/>
          </w:tcPr>
          <w:p>
            <w:pPr>
              <w:ind w:left="320"/>
              <w:spacing w:after="0"/>
              <w:rPr>
                <w:sz w:val="20"/>
                <w:szCs w:val="20"/>
                <w:color w:val="auto"/>
              </w:rPr>
            </w:pPr>
            <w:r>
              <w:rPr>
                <w:rFonts w:ascii="Arial" w:cs="Arial" w:eastAsia="Arial" w:hAnsi="Arial"/>
                <w:sz w:val="16"/>
                <w:szCs w:val="16"/>
                <w:color w:val="auto"/>
                <w:w w:val="95"/>
              </w:rPr>
              <w:t>—  ALLETE Non-Management Director Compensation Summary effective January 19, 2012 (filed as Exhibit 10(n)10 to the 2011 Form 10-K, File No.</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+*10(l)4</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  ALLETE Non-Management Director Compensation Summary effective January 1, 2014 (filed as Exhibit 10(l)4 to the 2013 Form 10-K, File No. 1-</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3548).</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+10(l)5</w:t>
            </w:r>
          </w:p>
        </w:tc>
        <w:tc>
          <w:tcPr>
            <w:tcW w:w="10380" w:type="dxa"/>
            <w:vAlign w:val="bottom"/>
          </w:tcPr>
          <w:p>
            <w:pPr>
              <w:ind w:left="320"/>
              <w:spacing w:after="0"/>
              <w:rPr>
                <w:sz w:val="20"/>
                <w:szCs w:val="20"/>
                <w:color w:val="auto"/>
              </w:rPr>
            </w:pPr>
            <w:r>
              <w:rPr>
                <w:rFonts w:ascii="Arial" w:cs="Arial" w:eastAsia="Arial" w:hAnsi="Arial"/>
                <w:sz w:val="16"/>
                <w:szCs w:val="16"/>
                <w:color w:val="auto"/>
              </w:rPr>
              <w:t>—  ALLETE Non-Employee Director Compensation Summary effective January 1, 2015.</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+*10(m)1</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Minnesota Power (now ALLETE) Non-Employee Director Compensation Deferral Plan Amended and Restated, effective</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January 1, 1990 (filed as Exhibit 10(ac) to the 2002 Form 10-K,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+*10(m)2</w:t>
            </w:r>
          </w:p>
        </w:tc>
        <w:tc>
          <w:tcPr>
            <w:tcW w:w="10380" w:type="dxa"/>
            <w:vAlign w:val="bottom"/>
          </w:tcPr>
          <w:p>
            <w:pPr>
              <w:ind w:left="320"/>
              <w:spacing w:after="0"/>
              <w:rPr>
                <w:sz w:val="20"/>
                <w:szCs w:val="20"/>
                <w:color w:val="auto"/>
              </w:rPr>
            </w:pPr>
            <w:r>
              <w:rPr>
                <w:rFonts w:ascii="Arial" w:cs="Arial" w:eastAsia="Arial" w:hAnsi="Arial"/>
                <w:sz w:val="16"/>
                <w:szCs w:val="16"/>
                <w:color w:val="auto"/>
                <w:w w:val="94"/>
              </w:rPr>
              <w:t>—  October 2003 Amendment to the Minnesota Power (now ALLETE) Non-Employee Director Compensation Deferral Plan (filed as Exhibit 10(aa)2 to</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the 2003 Form 10-K,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+*10(m)3</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  January 2005 Amendment to the ALLETE Non-Employee Director Compensation Deferral Plan (filed as Exhibit 10(c) to the March 31, 2005, Form</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10-Q,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+*10(m)4</w:t>
            </w:r>
          </w:p>
        </w:tc>
        <w:tc>
          <w:tcPr>
            <w:tcW w:w="10380" w:type="dxa"/>
            <w:vAlign w:val="bottom"/>
          </w:tcPr>
          <w:p>
            <w:pPr>
              <w:ind w:left="320"/>
              <w:spacing w:after="0"/>
              <w:rPr>
                <w:sz w:val="20"/>
                <w:szCs w:val="20"/>
                <w:color w:val="auto"/>
              </w:rPr>
            </w:pPr>
            <w:r>
              <w:rPr>
                <w:rFonts w:ascii="Arial" w:cs="Arial" w:eastAsia="Arial" w:hAnsi="Arial"/>
                <w:sz w:val="16"/>
                <w:szCs w:val="16"/>
                <w:color w:val="auto"/>
                <w:w w:val="95"/>
              </w:rPr>
              <w:t>—  October 2006 Amendment to the ALLETE Non-Employee Director Compensation Deferral Plan (filed as Exhibit 10(d) to the September 30, 2006,</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Form 10-Q,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+*10(m)5</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  July 2012 Amendment to the ALLETE Non-Employee Director Compensation Deferral Plan (filed as Exhibit 10(n)5 to the 2012 Form 10-K, File</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+*10(n)1</w:t>
            </w:r>
          </w:p>
        </w:tc>
        <w:tc>
          <w:tcPr>
            <w:tcW w:w="10380" w:type="dxa"/>
            <w:vAlign w:val="bottom"/>
          </w:tcPr>
          <w:p>
            <w:pPr>
              <w:ind w:left="320"/>
              <w:spacing w:after="0"/>
              <w:rPr>
                <w:sz w:val="20"/>
                <w:szCs w:val="20"/>
                <w:color w:val="auto"/>
              </w:rPr>
            </w:pPr>
            <w:r>
              <w:rPr>
                <w:rFonts w:ascii="Arial" w:cs="Arial" w:eastAsia="Arial" w:hAnsi="Arial"/>
                <w:sz w:val="16"/>
                <w:szCs w:val="16"/>
                <w:color w:val="auto"/>
                <w:w w:val="97"/>
              </w:rPr>
              <w:t>—  ALLETE Non-Employee Director Compensation Deferral Plan II, effective May 1, 2009 (filed as Exhibit 10(a) to the June 30, 2009, Form 10-Q,</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+*10(n)2</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  ALLETE Non-Employee Director Compensation Deferral Plan II, as amended and restated, effective July 24, 2012 (filed as Exhibit 10(o)2 to the</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2012 Form 10-K,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+*10(o)1</w:t>
            </w:r>
          </w:p>
        </w:tc>
        <w:tc>
          <w:tcPr>
            <w:tcW w:w="10380" w:type="dxa"/>
            <w:vAlign w:val="bottom"/>
          </w:tcPr>
          <w:p>
            <w:pPr>
              <w:ind w:left="320"/>
              <w:spacing w:after="0"/>
              <w:rPr>
                <w:sz w:val="20"/>
                <w:szCs w:val="20"/>
                <w:color w:val="auto"/>
              </w:rPr>
            </w:pPr>
            <w:r>
              <w:rPr>
                <w:rFonts w:ascii="Arial" w:cs="Arial" w:eastAsia="Arial" w:hAnsi="Arial"/>
                <w:sz w:val="16"/>
                <w:szCs w:val="16"/>
                <w:color w:val="auto"/>
                <w:w w:val="96"/>
              </w:rPr>
              <w:t>—  ALLETE Non-Employee Director Compensation Trust Agreement, effective October 11, 2004 (filed as Exhibit 10(a) to the September 30, 2004,</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Form 10-Q, File No. 1-3548).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+*10(o)2</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  ALLETE Non-Employee Director Compensation Trust Agreement, as amended and restated, effective December 15, 2012 (filed as Exhibit 10(p)2 to</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the 2012 Form 10-K,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+*10(p)</w:t>
            </w:r>
          </w:p>
        </w:tc>
        <w:tc>
          <w:tcPr>
            <w:tcW w:w="10380" w:type="dxa"/>
            <w:vAlign w:val="bottom"/>
          </w:tcPr>
          <w:p>
            <w:pPr>
              <w:ind w:left="320"/>
              <w:spacing w:after="0"/>
              <w:rPr>
                <w:sz w:val="20"/>
                <w:szCs w:val="20"/>
                <w:color w:val="auto"/>
              </w:rPr>
            </w:pPr>
            <w:r>
              <w:rPr>
                <w:rFonts w:ascii="Arial" w:cs="Arial" w:eastAsia="Arial" w:hAnsi="Arial"/>
                <w:sz w:val="16"/>
                <w:szCs w:val="16"/>
                <w:color w:val="auto"/>
                <w:w w:val="96"/>
              </w:rPr>
              <w:t>—  July 2013 ALLETE and Affiliated Companies Compensation Recovery Policy (filed as Exhibit 10(c) to the June 30, 2013, Form 10-Q, File No. 1-</w:t>
            </w:r>
          </w:p>
        </w:tc>
      </w:tr>
      <w:tr>
        <w:trPr>
          <w:trHeight w:val="206"/>
        </w:trPr>
        <w:tc>
          <w:tcPr>
            <w:tcW w:w="1020" w:type="dxa"/>
            <w:vAlign w:val="bottom"/>
          </w:tcPr>
          <w:p>
            <w:pPr>
              <w:spacing w:after="0"/>
              <w:rPr>
                <w:sz w:val="17"/>
                <w:szCs w:val="17"/>
                <w:color w:val="auto"/>
              </w:rPr>
            </w:pPr>
          </w:p>
        </w:tc>
        <w:tc>
          <w:tcPr>
            <w:tcW w:w="10380" w:type="dxa"/>
            <w:vAlign w:val="bottom"/>
          </w:tcPr>
          <w:p>
            <w:pPr>
              <w:ind w:left="640"/>
              <w:spacing w:after="0"/>
              <w:rPr>
                <w:sz w:val="20"/>
                <w:szCs w:val="20"/>
                <w:color w:val="auto"/>
              </w:rPr>
            </w:pPr>
            <w:r>
              <w:rPr>
                <w:rFonts w:ascii="Arial" w:cs="Arial" w:eastAsia="Arial" w:hAnsi="Arial"/>
                <w:sz w:val="16"/>
                <w:szCs w:val="16"/>
                <w:color w:val="auto"/>
              </w:rPr>
              <w:t>3548).</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+*10(q)</w:t>
            </w:r>
          </w:p>
        </w:tc>
        <w:tc>
          <w:tcPr>
            <w:tcW w:w="10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  ALLETE and Affiliated Companies Change in Control Severance Plan, as amended and restated, effective January 19, 2011 (filed as Exhibit 10(q) to</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the 2010 Form 10-K, File No. 1-3548).</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12</w:t>
            </w:r>
          </w:p>
        </w:tc>
        <w:tc>
          <w:tcPr>
            <w:tcW w:w="10380" w:type="dxa"/>
            <w:vAlign w:val="bottom"/>
          </w:tcPr>
          <w:p>
            <w:pPr>
              <w:ind w:left="320"/>
              <w:spacing w:after="0"/>
              <w:rPr>
                <w:sz w:val="20"/>
                <w:szCs w:val="20"/>
                <w:color w:val="auto"/>
              </w:rPr>
            </w:pPr>
            <w:r>
              <w:rPr>
                <w:rFonts w:ascii="Arial" w:cs="Arial" w:eastAsia="Arial" w:hAnsi="Arial"/>
                <w:sz w:val="16"/>
                <w:szCs w:val="16"/>
                <w:color w:val="auto"/>
              </w:rPr>
              <w:t>—  Computation of Ratios of Earnings to Fixed Charges.</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21</w:t>
            </w:r>
          </w:p>
        </w:tc>
        <w:tc>
          <w:tcPr>
            <w:tcW w:w="10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Subsidiaries of the Registrant.</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23</w:t>
            </w:r>
          </w:p>
        </w:tc>
        <w:tc>
          <w:tcPr>
            <w:tcW w:w="10380" w:type="dxa"/>
            <w:vAlign w:val="bottom"/>
          </w:tcPr>
          <w:p>
            <w:pPr>
              <w:ind w:left="320"/>
              <w:spacing w:after="0"/>
              <w:rPr>
                <w:sz w:val="20"/>
                <w:szCs w:val="20"/>
                <w:color w:val="auto"/>
              </w:rPr>
            </w:pPr>
            <w:r>
              <w:rPr>
                <w:rFonts w:ascii="Arial" w:cs="Arial" w:eastAsia="Arial" w:hAnsi="Arial"/>
                <w:sz w:val="16"/>
                <w:szCs w:val="16"/>
                <w:color w:val="auto"/>
              </w:rPr>
              <w:t>—  Consent of Independent Registered Public Accounting Firm.</w:t>
            </w:r>
          </w:p>
        </w:tc>
      </w:tr>
      <w:tr>
        <w:trPr>
          <w:trHeight w:val="33"/>
        </w:trPr>
        <w:tc>
          <w:tcPr>
            <w:tcW w:w="1020" w:type="dxa"/>
            <w:vAlign w:val="bottom"/>
          </w:tcPr>
          <w:p>
            <w:pPr>
              <w:spacing w:after="0"/>
              <w:rPr>
                <w:sz w:val="2"/>
                <w:szCs w:val="2"/>
                <w:color w:val="auto"/>
              </w:rPr>
            </w:pPr>
          </w:p>
        </w:tc>
        <w:tc>
          <w:tcPr>
            <w:tcW w:w="1038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31(a)</w:t>
            </w:r>
          </w:p>
        </w:tc>
        <w:tc>
          <w:tcPr>
            <w:tcW w:w="10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Rule 13a-14(a)/15d-14(a) Certification by the Chief Executive Officer Pursuant to Section 302 of the Sarbanes-Oxley Act of 2002.</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31(b)</w:t>
            </w:r>
          </w:p>
        </w:tc>
        <w:tc>
          <w:tcPr>
            <w:tcW w:w="10380" w:type="dxa"/>
            <w:vAlign w:val="bottom"/>
          </w:tcPr>
          <w:p>
            <w:pPr>
              <w:ind w:left="320"/>
              <w:spacing w:after="0"/>
              <w:rPr>
                <w:sz w:val="20"/>
                <w:szCs w:val="20"/>
                <w:color w:val="auto"/>
              </w:rPr>
            </w:pPr>
            <w:r>
              <w:rPr>
                <w:rFonts w:ascii="Arial" w:cs="Arial" w:eastAsia="Arial" w:hAnsi="Arial"/>
                <w:sz w:val="16"/>
                <w:szCs w:val="16"/>
                <w:color w:val="auto"/>
              </w:rPr>
              <w:t>—  Rule 13a-14(a)/15d-14(a) Certification by the Chief Financial Officer 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30" w:lineRule="exact"/>
        <w:rPr>
          <w:sz w:val="20"/>
          <w:szCs w:val="20"/>
          <w:color w:val="auto"/>
        </w:rPr>
      </w:pPr>
    </w:p>
    <w:p>
      <w:pPr>
        <w:ind w:left="1660" w:right="40" w:hanging="1625"/>
        <w:spacing w:after="0" w:line="293" w:lineRule="auto"/>
        <w:tabs>
          <w:tab w:leader="none" w:pos="13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Section 1350 Certification of Annual Report by the Chief Executive Officer and Chief Financial Officer Pursuant to Section 906 of the Sarbanes-Oxley Act of 2002.</w:t>
      </w:r>
    </w:p>
    <w:p>
      <w:pPr>
        <w:spacing w:after="0" w:line="10"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Mine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420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49" w:lineRule="exact"/>
        <w:rPr>
          <w:sz w:val="20"/>
          <w:szCs w:val="20"/>
          <w:color w:val="auto"/>
        </w:rPr>
      </w:pPr>
    </w:p>
    <w:p>
      <w:pPr>
        <w:ind w:left="1660" w:right="40" w:hanging="1625"/>
        <w:spacing w:after="0" w:line="308" w:lineRule="auto"/>
        <w:tabs>
          <w:tab w:leader="none" w:pos="1349"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 ALLETE News Release dated February 17, 2015, announcing earnings for the year ended December 31, 2014. </w:t>
      </w:r>
      <w:r>
        <w:rPr>
          <w:rFonts w:ascii="Arial" w:cs="Arial" w:eastAsia="Arial" w:hAnsi="Arial"/>
          <w:sz w:val="15"/>
          <w:szCs w:val="15"/>
          <w:b w:val="1"/>
          <w:bCs w:val="1"/>
          <w:color w:val="auto"/>
        </w:rPr>
        <w:t>(This exhibit has been furnished</w:t>
      </w:r>
      <w:r>
        <w:rPr>
          <w:rFonts w:ascii="Arial" w:cs="Arial" w:eastAsia="Arial" w:hAnsi="Arial"/>
          <w:sz w:val="15"/>
          <w:szCs w:val="15"/>
          <w:color w:val="auto"/>
        </w:rPr>
        <w:t xml:space="preserve"> </w:t>
      </w:r>
      <w:r>
        <w:rPr>
          <w:rFonts w:ascii="Arial" w:cs="Arial" w:eastAsia="Arial" w:hAnsi="Arial"/>
          <w:sz w:val="15"/>
          <w:szCs w:val="15"/>
          <w:b w:val="1"/>
          <w:bCs w:val="1"/>
          <w:color w:val="auto"/>
        </w:rPr>
        <w:t>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0" w:type="dxa"/>
            <w:vAlign w:val="bottom"/>
          </w:tcPr>
          <w:p>
            <w:pPr>
              <w:ind w:left="40"/>
              <w:spacing w:after="0"/>
              <w:rPr>
                <w:sz w:val="20"/>
                <w:szCs w:val="20"/>
                <w:color w:val="auto"/>
              </w:rPr>
            </w:pPr>
            <w:r>
              <w:rPr>
                <w:rFonts w:ascii="Arial" w:cs="Arial" w:eastAsia="Arial" w:hAnsi="Arial"/>
                <w:sz w:val="16"/>
                <w:szCs w:val="16"/>
                <w:color w:val="auto"/>
              </w:rPr>
              <w:t>101.INS</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Instance</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101.SCH</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Schema</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101.CAL</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Calculation</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101.DEF</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Definition</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101.LAB</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Label</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24"/>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101.PRE</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XBRL Presentation</w:t>
            </w:r>
          </w:p>
        </w:tc>
      </w:tr>
      <w:tr>
        <w:trPr>
          <w:trHeight w:val="33"/>
        </w:trPr>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553"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2014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53" w:right="2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Exhibits (Continued)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ALLETE or its subsidiaries are obligors under various long-term debt instruments, including but not limited to, (1) $38,995,000 original principal amount, of City of Cohasset, Minnesota, Variable Rate Demand Revenue Refunding Bonds (ALLETE, formerly Minnesota Power &amp; Light Company, Project) Series 1997A ($24,630,000 remaining principal balance); (2) $6,370,000 of City of Superior, Wisconsin, Collateralized Utility Revenue Refunding Bonds Series 2007A and $6,130,000 of City of Superior, Wisconsin, Collateralized Utility Revenue Bonds Series 2007B; and (3) other long-term debt instruments that, pursuant to Regulation S-K, Item 601(b)(4)(iii), are not filed as exhibits because the total amount of debt authorized under each of these omitted instruments does not exceed 10 percent of our total consolidated assets. We will furnish copies of these instruments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294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20" w:lineRule="exact"/>
        <w:rPr>
          <w:sz w:val="20"/>
          <w:szCs w:val="20"/>
          <w:color w:val="auto"/>
        </w:rPr>
      </w:pPr>
    </w:p>
    <w:p>
      <w:pPr>
        <w:ind w:left="620" w:hanging="585"/>
        <w:spacing w:after="0"/>
        <w:tabs>
          <w:tab w:leader="none" w:pos="6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63" w:lineRule="exact"/>
        <w:rPr>
          <w:sz w:val="20"/>
          <w:szCs w:val="20"/>
          <w:color w:val="auto"/>
        </w:rPr>
      </w:pPr>
    </w:p>
    <w:p>
      <w:pPr>
        <w:ind w:left="620" w:hanging="585"/>
        <w:spacing w:after="0"/>
        <w:tabs>
          <w:tab w:leader="none" w:pos="6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820" w:val="left"/>
          <w:tab w:leader="none" w:pos="5240" w:val="left"/>
          <w:tab w:leader="none" w:pos="7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Chairman, President,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52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Title</w:t>
            </w:r>
          </w:p>
        </w:tc>
        <w:tc>
          <w:tcPr>
            <w:tcW w:w="224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4"/>
              </w:rPr>
              <w:t>/s/ Alan R. Hodnik</w:t>
            </w:r>
          </w:p>
        </w:tc>
        <w:tc>
          <w:tcPr>
            <w:tcW w:w="5520" w:type="dxa"/>
            <w:vAlign w:val="bottom"/>
          </w:tcPr>
          <w:p>
            <w:pPr>
              <w:jc w:val="center"/>
              <w:ind w:left="110"/>
              <w:spacing w:after="0"/>
              <w:rPr>
                <w:sz w:val="20"/>
                <w:szCs w:val="20"/>
                <w:color w:val="auto"/>
              </w:rPr>
            </w:pPr>
            <w:r>
              <w:rPr>
                <w:rFonts w:ascii="Arial" w:cs="Arial" w:eastAsia="Arial" w:hAnsi="Arial"/>
                <w:sz w:val="18"/>
                <w:szCs w:val="18"/>
                <w:color w:val="auto"/>
                <w:w w:val="92"/>
              </w:rPr>
              <w:t>Chairman, President, Chief Executive Officer and Director</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89"/>
              </w:rPr>
              <w:t>February 17,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vMerge w:val="restart"/>
          </w:tcPr>
          <w:p>
            <w:pPr>
              <w:jc w:val="center"/>
              <w:ind w:left="90"/>
              <w:spacing w:after="0"/>
              <w:rPr>
                <w:sz w:val="20"/>
                <w:szCs w:val="20"/>
                <w:color w:val="auto"/>
              </w:rPr>
            </w:pPr>
            <w:r>
              <w:rPr>
                <w:rFonts w:ascii="Arial" w:cs="Arial" w:eastAsia="Arial" w:hAnsi="Arial"/>
                <w:sz w:val="18"/>
                <w:szCs w:val="18"/>
                <w:color w:val="auto"/>
                <w:w w:val="94"/>
              </w:rPr>
              <w:t>(Principal Executive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6"/>
              </w:rPr>
              <w:t>Alan R. Hodnik</w:t>
            </w:r>
          </w:p>
        </w:tc>
        <w:tc>
          <w:tcPr>
            <w:tcW w:w="55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 Steven Q. DeVinck</w:t>
            </w:r>
          </w:p>
        </w:tc>
        <w:tc>
          <w:tcPr>
            <w:tcW w:w="5520" w:type="dxa"/>
            <w:vAlign w:val="bottom"/>
          </w:tcPr>
          <w:p>
            <w:pPr>
              <w:jc w:val="center"/>
              <w:ind w:left="110"/>
              <w:spacing w:after="0"/>
              <w:rPr>
                <w:sz w:val="20"/>
                <w:szCs w:val="20"/>
                <w:color w:val="auto"/>
              </w:rPr>
            </w:pPr>
            <w:r>
              <w:rPr>
                <w:rFonts w:ascii="Arial" w:cs="Arial" w:eastAsia="Arial" w:hAnsi="Arial"/>
                <w:sz w:val="18"/>
                <w:szCs w:val="18"/>
                <w:color w:val="auto"/>
                <w:w w:val="92"/>
              </w:rPr>
              <w:t>Senior Vice President and Chief Financial Officer</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89"/>
              </w:rPr>
              <w:t>February 17,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vMerge w:val="restart"/>
          </w:tcPr>
          <w:p>
            <w:pPr>
              <w:jc w:val="center"/>
              <w:ind w:left="110"/>
              <w:spacing w:after="0"/>
              <w:rPr>
                <w:sz w:val="20"/>
                <w:szCs w:val="20"/>
                <w:color w:val="auto"/>
              </w:rPr>
            </w:pPr>
            <w:r>
              <w:rPr>
                <w:rFonts w:ascii="Arial" w:cs="Arial" w:eastAsia="Arial" w:hAnsi="Arial"/>
                <w:sz w:val="18"/>
                <w:szCs w:val="18"/>
                <w:color w:val="auto"/>
                <w:w w:val="94"/>
              </w:rPr>
              <w:t>(Principal Financial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Steven Q. DeVinck</w:t>
            </w:r>
          </w:p>
        </w:tc>
        <w:tc>
          <w:tcPr>
            <w:tcW w:w="55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c>
          <w:tcPr>
            <w:tcW w:w="5520" w:type="dxa"/>
            <w:vAlign w:val="bottom"/>
          </w:tcPr>
          <w:p>
            <w:pPr>
              <w:jc w:val="center"/>
              <w:ind w:left="90"/>
              <w:spacing w:after="0"/>
              <w:rPr>
                <w:sz w:val="20"/>
                <w:szCs w:val="20"/>
                <w:color w:val="auto"/>
              </w:rPr>
            </w:pPr>
            <w:r>
              <w:rPr>
                <w:rFonts w:ascii="Arial" w:cs="Arial" w:eastAsia="Arial" w:hAnsi="Arial"/>
                <w:sz w:val="18"/>
                <w:szCs w:val="18"/>
                <w:color w:val="auto"/>
                <w:w w:val="94"/>
              </w:rPr>
              <w:t>Controller</w:t>
            </w:r>
          </w:p>
        </w:tc>
        <w:tc>
          <w:tcPr>
            <w:tcW w:w="2240" w:type="dxa"/>
            <w:vAlign w:val="bottom"/>
          </w:tcPr>
          <w:p>
            <w:pPr>
              <w:jc w:val="center"/>
              <w:ind w:left="110"/>
              <w:spacing w:after="0"/>
              <w:rPr>
                <w:sz w:val="20"/>
                <w:szCs w:val="20"/>
                <w:color w:val="auto"/>
              </w:rPr>
            </w:pPr>
            <w:r>
              <w:rPr>
                <w:rFonts w:ascii="Arial" w:cs="Arial" w:eastAsia="Arial" w:hAnsi="Arial"/>
                <w:sz w:val="18"/>
                <w:szCs w:val="18"/>
                <w:color w:val="auto"/>
                <w:w w:val="89"/>
              </w:rPr>
              <w:t>February 17, 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520" w:type="dxa"/>
            <w:vAlign w:val="bottom"/>
            <w:vMerge w:val="restart"/>
          </w:tcPr>
          <w:p>
            <w:pPr>
              <w:jc w:val="center"/>
              <w:ind w:left="90"/>
              <w:spacing w:after="0"/>
              <w:rPr>
                <w:sz w:val="20"/>
                <w:szCs w:val="20"/>
                <w:color w:val="auto"/>
              </w:rPr>
            </w:pPr>
            <w:r>
              <w:rPr>
                <w:rFonts w:ascii="Arial" w:cs="Arial" w:eastAsia="Arial" w:hAnsi="Arial"/>
                <w:sz w:val="18"/>
                <w:szCs w:val="18"/>
                <w:color w:val="auto"/>
                <w:w w:val="95"/>
              </w:rPr>
              <w:t>(Principal Accounting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c>
          <w:tcPr>
            <w:tcW w:w="55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60" w:type="dxa"/>
            <w:vAlign w:val="bottom"/>
          </w:tcPr>
          <w:p>
            <w:pPr>
              <w:spacing w:after="0"/>
              <w:rPr>
                <w:sz w:val="24"/>
                <w:szCs w:val="24"/>
                <w:color w:val="auto"/>
              </w:rPr>
            </w:pPr>
          </w:p>
        </w:tc>
        <w:tc>
          <w:tcPr>
            <w:tcW w:w="5520" w:type="dxa"/>
            <w:vAlign w:val="bottom"/>
          </w:tcPr>
          <w:p>
            <w:pPr>
              <w:jc w:val="center"/>
              <w:ind w:right="1330"/>
              <w:spacing w:after="0"/>
              <w:rPr>
                <w:sz w:val="20"/>
                <w:szCs w:val="20"/>
                <w:color w:val="auto"/>
              </w:rPr>
            </w:pPr>
            <w:r>
              <w:rPr>
                <w:rFonts w:ascii="Arial" w:cs="Arial" w:eastAsia="Arial" w:hAnsi="Arial"/>
                <w:sz w:val="18"/>
                <w:szCs w:val="18"/>
                <w:color w:val="auto"/>
                <w:w w:val="95"/>
              </w:rPr>
              <w:t>ALLETE, Inc. 2014 Form 10-K</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5520" w:type="dxa"/>
            <w:vAlign w:val="bottom"/>
          </w:tcPr>
          <w:p>
            <w:pPr>
              <w:jc w:val="right"/>
              <w:ind w:right="3290"/>
              <w:spacing w:after="0"/>
              <w:rPr>
                <w:sz w:val="20"/>
                <w:szCs w:val="20"/>
                <w:color w:val="auto"/>
              </w:rPr>
            </w:pPr>
            <w:r>
              <w:rPr>
                <w:rFonts w:ascii="Arial" w:cs="Arial" w:eastAsia="Arial" w:hAnsi="Arial"/>
                <w:sz w:val="18"/>
                <w:szCs w:val="18"/>
                <w:color w:val="auto"/>
              </w:rPr>
              <w:t>64</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6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Signatures (Continued)</w:t>
            </w:r>
          </w:p>
        </w:tc>
        <w:tc>
          <w:tcPr>
            <w:tcW w:w="3120" w:type="dxa"/>
            <w:vAlign w:val="bottom"/>
          </w:tcPr>
          <w:p>
            <w:pPr>
              <w:spacing w:after="0"/>
              <w:rPr>
                <w:sz w:val="20"/>
                <w:szCs w:val="20"/>
                <w:color w:val="auto"/>
              </w:rPr>
            </w:pPr>
          </w:p>
        </w:tc>
      </w:tr>
      <w:tr>
        <w:trPr>
          <w:trHeight w:val="37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640" w:type="dxa"/>
            <w:vAlign w:val="bottom"/>
          </w:tcPr>
          <w:p>
            <w:pPr>
              <w:jc w:val="center"/>
              <w:ind w:left="990"/>
              <w:spacing w:after="0"/>
              <w:rPr>
                <w:sz w:val="20"/>
                <w:szCs w:val="20"/>
                <w:color w:val="auto"/>
              </w:rPr>
            </w:pPr>
            <w:r>
              <w:rPr>
                <w:rFonts w:ascii="Arial" w:cs="Arial" w:eastAsia="Arial" w:hAnsi="Arial"/>
                <w:sz w:val="18"/>
                <w:szCs w:val="18"/>
                <w:b w:val="1"/>
                <w:bCs w:val="1"/>
                <w:color w:val="auto"/>
                <w:w w:val="97"/>
              </w:rPr>
              <w:t>Title</w:t>
            </w:r>
          </w:p>
        </w:tc>
        <w:tc>
          <w:tcPr>
            <w:tcW w:w="312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/s/ Kathryn W. Dindo</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17, 2015</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Kathryn W. Dindo</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Sidney W. Emery, Jr.</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17, 2015</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Sidney W. Emery, Jr.</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George G. Goldfarb</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17, 2015</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George G. Goldfarb</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/s/ James S. Haines, Jr.</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17, 2015</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6"/>
              </w:rPr>
              <w:t>James S. Haines, Jr.</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 James J. Hoolihan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17, 2015</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James J. Hoolihan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Heidi E. Jimmerson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17, 2015</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Heidi E. Jimmerson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Madeleine W. Ludlow</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17, 2015</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Madeleine W. Ludlow</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Douglas C. Neve</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17, 2015</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Douglas C. Neve</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 Leonard C. Rodman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17, 2015</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Leonard C. Rodman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688"/>
        </w:trPr>
        <w:tc>
          <w:tcPr>
            <w:tcW w:w="3660" w:type="dxa"/>
            <w:vAlign w:val="bottom"/>
          </w:tcPr>
          <w:p>
            <w:pPr>
              <w:spacing w:after="0"/>
              <w:rPr>
                <w:sz w:val="24"/>
                <w:szCs w:val="24"/>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95"/>
              </w:rPr>
              <w:t>ALLETE, Inc. 2014 Form 10-K</w:t>
            </w:r>
          </w:p>
        </w:tc>
        <w:tc>
          <w:tcPr>
            <w:tcW w:w="312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89"/>
              </w:rPr>
              <w:t>65</w:t>
            </w:r>
          </w:p>
        </w:tc>
        <w:tc>
          <w:tcPr>
            <w:tcW w:w="3120" w:type="dxa"/>
            <w:vAlign w:val="bottom"/>
          </w:tcPr>
          <w:p>
            <w:pPr>
              <w:spacing w:after="0"/>
              <w:rPr>
                <w:sz w:val="20"/>
                <w:szCs w:val="20"/>
                <w:color w:val="auto"/>
              </w:rPr>
            </w:pPr>
          </w:p>
        </w:tc>
      </w:tr>
    </w:tbl>
    <w:p>
      <w:pPr>
        <w:sectPr>
          <w:pgSz w:w="11900" w:h="16838" w:orient="portrait"/>
          <w:cols w:equalWidth="0" w:num="1">
            <w:col w:w="11420"/>
          </w:cols>
          <w:pgMar w:left="240" w:top="364" w:right="239" w:bottom="1440" w:gutter="0" w:footer="0" w:header="0"/>
        </w:sectPr>
      </w:pPr>
    </w:p>
    <w:bookmarkStart w:id="65" w:name="page66"/>
    <w:bookmarkEnd w:id="65"/>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comprehensive income, shareholders’ equity and cash flows present fairly, in all material respects, the financial position of ALLETE, Inc. and its subsidiaries (the Company) at December 31, 2014 and December 31, 2013 and the results of their operations and their cash flows for each of the three years in the period ended December 31, 2014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Consolidated Balance Sheet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8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$145.8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814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$1.1 and $1.1)</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103.0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r>
      <w:tr>
        <w:trPr>
          <w:trHeight w:val="243"/>
        </w:trPr>
        <w:tc>
          <w:tcPr>
            <w:tcW w:w="814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82.0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37"/>
        </w:trPr>
        <w:tc>
          <w:tcPr>
            <w:tcW w:w="8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2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418.8</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307.0</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3,286.4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2,576.5</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357.3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263.8</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121.1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114.4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146.3</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62.8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37"/>
        </w:trPr>
        <w:tc>
          <w:tcPr>
            <w:tcW w:w="8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$4,360.8</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$3,476.8</w:t>
            </w:r>
          </w:p>
        </w:tc>
      </w:tr>
      <w:tr>
        <w:trPr>
          <w:trHeight w:val="27"/>
        </w:trPr>
        <w:tc>
          <w:tcPr>
            <w:tcW w:w="8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$134.1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38.7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814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18.0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100.7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814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3.7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120.8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r>
      <w:tr>
        <w:trPr>
          <w:trHeight w:val="237"/>
        </w:trPr>
        <w:tc>
          <w:tcPr>
            <w:tcW w:w="8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416.0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230.2</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1,272.8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1,083.0</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510.7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479.1</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94.2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43"/>
        </w:trPr>
        <w:tc>
          <w:tcPr>
            <w:tcW w:w="814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190.9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133.4</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265.0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r>
      <w:tr>
        <w:trPr>
          <w:trHeight w:val="237"/>
        </w:trPr>
        <w:tc>
          <w:tcPr>
            <w:tcW w:w="8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2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2,749.6</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2,133.9</w:t>
            </w:r>
          </w:p>
        </w:tc>
      </w:tr>
      <w:tr>
        <w:trPr>
          <w:trHeight w:val="27"/>
        </w:trPr>
        <w:tc>
          <w:tcPr>
            <w:tcW w:w="8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12)</w:t>
            </w:r>
          </w:p>
        </w:tc>
        <w:tc>
          <w:tcPr>
            <w:tcW w:w="2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2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w:t>
            </w:r>
          </w:p>
        </w:tc>
        <w:tc>
          <w:tcPr>
            <w:tcW w:w="2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280"/>
              <w:spacing w:after="0"/>
              <w:rPr>
                <w:sz w:val="20"/>
                <w:szCs w:val="20"/>
                <w:color w:val="auto"/>
              </w:rPr>
            </w:pPr>
            <w:r>
              <w:rPr>
                <w:rFonts w:ascii="Arial" w:cs="Arial" w:eastAsia="Arial" w:hAnsi="Arial"/>
                <w:sz w:val="18"/>
                <w:szCs w:val="18"/>
                <w:color w:val="auto"/>
              </w:rPr>
              <w:t>Common Stock Without Par Value, 80.0 Shares Authorized, 45.9 and 41.4 Shares Outstanding</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1,107.6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885.2</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ESOP Shares</w:t>
            </w:r>
          </w:p>
        </w:tc>
        <w:tc>
          <w:tcPr>
            <w:tcW w:w="2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81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160" w:type="dxa"/>
            <w:vAlign w:val="bottom"/>
          </w:tcPr>
          <w:p>
            <w:pPr>
              <w:jc w:val="right"/>
              <w:ind w:right="310"/>
              <w:spacing w:after="0"/>
              <w:rPr>
                <w:sz w:val="20"/>
                <w:szCs w:val="20"/>
                <w:color w:val="auto"/>
              </w:rPr>
            </w:pPr>
            <w:r>
              <w:rPr>
                <w:rFonts w:ascii="Arial" w:cs="Arial" w:eastAsia="Arial" w:hAnsi="Arial"/>
                <w:sz w:val="18"/>
                <w:szCs w:val="18"/>
                <w:color w:val="auto"/>
              </w:rPr>
              <w:t>(21.1)</w:t>
            </w: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530.1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489.1</w:t>
            </w:r>
          </w:p>
        </w:tc>
      </w:tr>
      <w:tr>
        <w:trPr>
          <w:trHeight w:val="237"/>
        </w:trPr>
        <w:tc>
          <w:tcPr>
            <w:tcW w:w="8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ALLETE Equity</w:t>
            </w:r>
          </w:p>
        </w:tc>
        <w:tc>
          <w:tcPr>
            <w:tcW w:w="2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1,609.4</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1,342.9</w:t>
            </w:r>
          </w:p>
        </w:tc>
      </w:tr>
      <w:tr>
        <w:trPr>
          <w:trHeight w:val="27"/>
        </w:trPr>
        <w:tc>
          <w:tcPr>
            <w:tcW w:w="8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Equity</w:t>
            </w:r>
          </w:p>
        </w:tc>
        <w:tc>
          <w:tcPr>
            <w:tcW w:w="2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1,611.2</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1,342.9</w:t>
            </w:r>
          </w:p>
        </w:tc>
      </w:tr>
      <w:tr>
        <w:trPr>
          <w:trHeight w:val="27"/>
        </w:trPr>
        <w:tc>
          <w:tcPr>
            <w:tcW w:w="8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$4,360.8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$3,476.8</w:t>
            </w:r>
          </w:p>
        </w:tc>
      </w:tr>
      <w:tr>
        <w:trPr>
          <w:trHeight w:val="20"/>
        </w:trPr>
        <w:tc>
          <w:tcPr>
            <w:tcW w:w="81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Income</w:t>
            </w:r>
          </w:p>
        </w:tc>
        <w:tc>
          <w:tcPr>
            <w:tcW w:w="2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$1,136.8</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$1,018.4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$961.2</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and Purchased Power</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356.1</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334.8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Operating and Maintenance</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456.2</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412.9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397.1</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135.7</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116.6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948.0</w:t>
            </w:r>
          </w:p>
        </w:tc>
        <w:tc>
          <w:tcPr>
            <w:tcW w:w="15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864.3</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806.0</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188.8</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154.1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(54.8)</w:t>
            </w:r>
          </w:p>
        </w:tc>
        <w:tc>
          <w:tcPr>
            <w:tcW w:w="1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(50.3)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Equity Earnings in ATC</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19.6</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20.3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8.6</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6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(26.6)</w:t>
            </w:r>
          </w:p>
        </w:tc>
        <w:tc>
          <w:tcPr>
            <w:tcW w:w="1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(20.7)</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162.2</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133.4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36.7</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28.7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125.5</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104.7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Less: Non-Controlling Interest in Subsidiaries</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0.7</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$124.8</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$104.7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6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42.9</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39.7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43.1</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39.8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$2.91</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$2.90</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$2.63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$1.96</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0"/>
        </w:trPr>
        <w:tc>
          <w:tcPr>
            <w:tcW w:w="614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4"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Comprehensive Income</w:t>
            </w:r>
          </w:p>
        </w:tc>
        <w:tc>
          <w:tcPr>
            <w:tcW w:w="2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48"/>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$125.5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$104.7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6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Taxes of $(0.2), $– and $0.8</w:t>
            </w: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(0.2)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Derivatives</w:t>
            </w:r>
          </w:p>
        </w:tc>
        <w:tc>
          <w:tcPr>
            <w:tcW w:w="2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Taxes of $0.1, $– and $(0.1)</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0.2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Taxes of $(2.8), $3.3 and $3.9</w:t>
            </w: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(4.0)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121.5</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109.6</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104.0</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26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$120.8</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$109.6</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$104.0</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Cash Flows</w:t>
            </w:r>
          </w:p>
        </w:tc>
        <w:tc>
          <w:tcPr>
            <w:tcW w:w="2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$125.5</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$104.7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 – Equity</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(7.8)</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Income from Equity Investments, Net of Dividends</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(2.6)</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(4.2)</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Sale of Assets / Investments</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135.7</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116.6</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100.2</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Amortization</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Amortization of Power Purchase Agreements</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(12.7)</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32.7</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28.6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2.3</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ESOP Compensation Expense</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9.1</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Expense</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12.8</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21.0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(17.5)</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10.5</w:t>
            </w: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Prepayments and Other</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4.8</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10.9</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29"/>
        </w:trPr>
        <w:tc>
          <w:tcPr>
            <w:tcW w:w="6500" w:type="dxa"/>
            <w:vAlign w:val="bottom"/>
          </w:tcPr>
          <w:p>
            <w:pPr>
              <w:ind w:left="280"/>
              <w:spacing w:after="0"/>
              <w:rPr>
                <w:sz w:val="20"/>
                <w:szCs w:val="20"/>
                <w:color w:val="auto"/>
              </w:rPr>
            </w:pPr>
            <w:r>
              <w:rPr>
                <w:rFonts w:ascii="Arial" w:cs="Arial" w:eastAsia="Arial" w:hAnsi="Arial"/>
                <w:sz w:val="18"/>
                <w:szCs w:val="18"/>
                <w:color w:val="auto"/>
              </w:rPr>
              <w:t>Cash Contributions to Defined Benefit Pension and Other</w:t>
            </w:r>
          </w:p>
        </w:tc>
        <w:tc>
          <w:tcPr>
            <w:tcW w:w="2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500" w:type="dxa"/>
            <w:vAlign w:val="bottom"/>
          </w:tcPr>
          <w:p>
            <w:pPr>
              <w:ind w:left="440"/>
              <w:spacing w:after="0"/>
              <w:rPr>
                <w:sz w:val="20"/>
                <w:szCs w:val="20"/>
                <w:color w:val="auto"/>
              </w:rPr>
            </w:pPr>
            <w:r>
              <w:rPr>
                <w:rFonts w:ascii="Arial" w:cs="Arial" w:eastAsia="Arial" w:hAnsi="Arial"/>
                <w:sz w:val="18"/>
                <w:szCs w:val="18"/>
                <w:color w:val="auto"/>
              </w:rPr>
              <w:t>Postretirement Plans</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(10.8)</w:t>
            </w: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(21.3)</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2.6</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(7.1)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from Operating Activities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269.8</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239.4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r>
      <w:tr>
        <w:trPr>
          <w:trHeight w:val="237"/>
        </w:trPr>
        <w:tc>
          <w:tcPr>
            <w:tcW w:w="6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3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3.6</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(5.0)</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(4.7)</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 of Subsidiaries – Net of Cash Acquired</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(60.3)</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Investment in ATC</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(3.9)</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to Other Investments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33.0</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(572.8)</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(328.5)</w:t>
            </w:r>
          </w:p>
        </w:tc>
        <w:tc>
          <w:tcPr>
            <w:tcW w:w="1040" w:type="dxa"/>
            <w:vAlign w:val="bottom"/>
          </w:tcPr>
          <w:p>
            <w:pPr>
              <w:jc w:val="right"/>
              <w:spacing w:after="0"/>
              <w:rPr>
                <w:sz w:val="20"/>
                <w:szCs w:val="20"/>
                <w:color w:val="auto"/>
              </w:rPr>
            </w:pPr>
            <w:r>
              <w:rPr>
                <w:rFonts w:ascii="Arial" w:cs="Arial" w:eastAsia="Arial" w:hAnsi="Arial"/>
                <w:sz w:val="18"/>
                <w:szCs w:val="18"/>
                <w:color w:val="auto"/>
              </w:rPr>
              <w:t>(405.8)</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Construction Costs for Development Project</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(25.7)</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Cash in Escrow for Acquisition</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5.4</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(5.4)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6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for Investing Activities</w:t>
            </w:r>
          </w:p>
        </w:tc>
        <w:tc>
          <w:tcPr>
            <w:tcW w:w="23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(625.7)</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(336.6)</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(420.1)</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200.6</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98.2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375.0</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169.8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Changes in Restricted Cash</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Notes Payable</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3.7</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Reductions of Long-Term Debt</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(134.5)</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(77.7)</w:t>
            </w: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Non-Controlling Interest</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(6.0)</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Construction Deposits Received for Development Project</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54.3</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2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(83.8)</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(75.2)</w:t>
            </w:r>
          </w:p>
        </w:tc>
        <w:tc>
          <w:tcPr>
            <w:tcW w:w="10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from Financing Activities</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404.4</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113.7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r>
      <w:tr>
        <w:trPr>
          <w:trHeight w:val="237"/>
        </w:trPr>
        <w:tc>
          <w:tcPr>
            <w:tcW w:w="6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Change in Cash and Cash Equivalents</w:t>
            </w:r>
          </w:p>
        </w:tc>
        <w:tc>
          <w:tcPr>
            <w:tcW w:w="2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48.5</w:t>
            </w:r>
          </w:p>
        </w:tc>
        <w:tc>
          <w:tcPr>
            <w:tcW w:w="15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16.5</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6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97.3</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80.8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37"/>
        </w:trPr>
        <w:tc>
          <w:tcPr>
            <w:tcW w:w="6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3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$145.8</w:t>
            </w:r>
          </w:p>
        </w:tc>
        <w:tc>
          <w:tcPr>
            <w:tcW w:w="15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$97.3</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r>
      <w:tr>
        <w:trPr>
          <w:trHeight w:val="27"/>
        </w:trPr>
        <w:tc>
          <w:tcPr>
            <w:tcW w:w="6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4" w:right="239" w:bottom="382"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ALLETE Consolidated Statement of Shareholders’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60" w:type="dxa"/>
            <w:vAlign w:val="bottom"/>
          </w:tcPr>
          <w:p>
            <w:pPr>
              <w:jc w:val="center"/>
              <w:ind w:right="172"/>
              <w:spacing w:after="0"/>
              <w:rPr>
                <w:sz w:val="20"/>
                <w:szCs w:val="20"/>
                <w:color w:val="auto"/>
              </w:rPr>
            </w:pPr>
            <w:r>
              <w:rPr>
                <w:rFonts w:ascii="Arial" w:cs="Arial" w:eastAsia="Arial" w:hAnsi="Arial"/>
                <w:sz w:val="16"/>
                <w:szCs w:val="16"/>
                <w:b w:val="1"/>
                <w:bCs w:val="1"/>
                <w:color w:val="auto"/>
                <w:w w:val="91"/>
              </w:rPr>
              <w:t>Accumulated</w:t>
            </w: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480" w:type="dxa"/>
            <w:vAlign w:val="bottom"/>
          </w:tcPr>
          <w:p>
            <w:pPr>
              <w:spacing w:after="0"/>
              <w:rPr>
                <w:sz w:val="17"/>
                <w:szCs w:val="17"/>
                <w:color w:val="auto"/>
              </w:rPr>
            </w:pPr>
          </w:p>
        </w:tc>
        <w:tc>
          <w:tcPr>
            <w:tcW w:w="1660" w:type="dxa"/>
            <w:vAlign w:val="bottom"/>
          </w:tcPr>
          <w:p>
            <w:pPr>
              <w:jc w:val="center"/>
              <w:ind w:right="172"/>
              <w:spacing w:after="0"/>
              <w:rPr>
                <w:sz w:val="20"/>
                <w:szCs w:val="20"/>
                <w:color w:val="auto"/>
              </w:rPr>
            </w:pPr>
            <w:r>
              <w:rPr>
                <w:rFonts w:ascii="Arial" w:cs="Arial" w:eastAsia="Arial" w:hAnsi="Arial"/>
                <w:sz w:val="16"/>
                <w:szCs w:val="16"/>
                <w:b w:val="1"/>
                <w:bCs w:val="1"/>
                <w:color w:val="auto"/>
                <w:w w:val="93"/>
              </w:rPr>
              <w:t>Other</w:t>
            </w:r>
          </w:p>
        </w:tc>
        <w:tc>
          <w:tcPr>
            <w:tcW w:w="1360" w:type="dxa"/>
            <w:vAlign w:val="bottom"/>
          </w:tcPr>
          <w:p>
            <w:pPr>
              <w:jc w:val="center"/>
              <w:ind w:right="233"/>
              <w:spacing w:after="0"/>
              <w:rPr>
                <w:sz w:val="20"/>
                <w:szCs w:val="20"/>
                <w:color w:val="auto"/>
              </w:rPr>
            </w:pPr>
            <w:r>
              <w:rPr>
                <w:rFonts w:ascii="Arial" w:cs="Arial" w:eastAsia="Arial" w:hAnsi="Arial"/>
                <w:sz w:val="16"/>
                <w:szCs w:val="16"/>
                <w:b w:val="1"/>
                <w:bCs w:val="1"/>
                <w:color w:val="auto"/>
                <w:w w:val="92"/>
              </w:rPr>
              <w:t>Unearned</w:t>
            </w:r>
          </w:p>
        </w:tc>
        <w:tc>
          <w:tcPr>
            <w:tcW w:w="118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Shareholders’</w:t>
            </w:r>
          </w:p>
        </w:tc>
        <w:tc>
          <w:tcPr>
            <w:tcW w:w="1480" w:type="dxa"/>
            <w:vAlign w:val="bottom"/>
          </w:tcPr>
          <w:p>
            <w:pPr>
              <w:jc w:val="right"/>
              <w:ind w:right="391"/>
              <w:spacing w:after="0"/>
              <w:rPr>
                <w:sz w:val="20"/>
                <w:szCs w:val="20"/>
                <w:color w:val="auto"/>
              </w:rPr>
            </w:pPr>
            <w:r>
              <w:rPr>
                <w:rFonts w:ascii="Arial" w:cs="Arial" w:eastAsia="Arial" w:hAnsi="Arial"/>
                <w:sz w:val="16"/>
                <w:szCs w:val="16"/>
                <w:b w:val="1"/>
                <w:bCs w:val="1"/>
                <w:color w:val="auto"/>
              </w:rPr>
              <w:t>Retained</w:t>
            </w:r>
          </w:p>
        </w:tc>
        <w:tc>
          <w:tcPr>
            <w:tcW w:w="166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Comprehensive</w:t>
            </w:r>
          </w:p>
        </w:tc>
        <w:tc>
          <w:tcPr>
            <w:tcW w:w="136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ESOP</w:t>
            </w:r>
          </w:p>
        </w:tc>
        <w:tc>
          <w:tcPr>
            <w:tcW w:w="1180" w:type="dxa"/>
            <w:vAlign w:val="bottom"/>
          </w:tcPr>
          <w:p>
            <w:pPr>
              <w:jc w:val="right"/>
              <w:ind w:right="272"/>
              <w:spacing w:after="0"/>
              <w:rPr>
                <w:sz w:val="20"/>
                <w:szCs w:val="20"/>
                <w:color w:val="auto"/>
              </w:rPr>
            </w:pPr>
            <w:r>
              <w:rPr>
                <w:rFonts w:ascii="Arial" w:cs="Arial" w:eastAsia="Arial" w:hAnsi="Arial"/>
                <w:sz w:val="16"/>
                <w:szCs w:val="16"/>
                <w:b w:val="1"/>
                <w:bCs w:val="1"/>
                <w:color w:val="auto"/>
              </w:rPr>
              <w:t>Common</w:t>
            </w:r>
          </w:p>
        </w:tc>
      </w:tr>
      <w:tr>
        <w:trPr>
          <w:trHeight w:val="210"/>
        </w:trPr>
        <w:tc>
          <w:tcPr>
            <w:tcW w:w="4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480" w:type="dxa"/>
            <w:vAlign w:val="bottom"/>
          </w:tcPr>
          <w:p>
            <w:pPr>
              <w:jc w:val="right"/>
              <w:ind w:right="391"/>
              <w:spacing w:after="0"/>
              <w:rPr>
                <w:sz w:val="20"/>
                <w:szCs w:val="20"/>
                <w:color w:val="auto"/>
              </w:rPr>
            </w:pPr>
            <w:r>
              <w:rPr>
                <w:rFonts w:ascii="Arial" w:cs="Arial" w:eastAsia="Arial" w:hAnsi="Arial"/>
                <w:sz w:val="16"/>
                <w:szCs w:val="16"/>
                <w:b w:val="1"/>
                <w:bCs w:val="1"/>
                <w:color w:val="auto"/>
              </w:rPr>
              <w:t>Earnings</w:t>
            </w:r>
          </w:p>
        </w:tc>
        <w:tc>
          <w:tcPr>
            <w:tcW w:w="1660" w:type="dxa"/>
            <w:vAlign w:val="bottom"/>
          </w:tcPr>
          <w:p>
            <w:pPr>
              <w:jc w:val="center"/>
              <w:ind w:right="152"/>
              <w:spacing w:after="0"/>
              <w:rPr>
                <w:sz w:val="20"/>
                <w:szCs w:val="20"/>
                <w:color w:val="auto"/>
              </w:rPr>
            </w:pPr>
            <w:r>
              <w:rPr>
                <w:rFonts w:ascii="Arial" w:cs="Arial" w:eastAsia="Arial" w:hAnsi="Arial"/>
                <w:sz w:val="16"/>
                <w:szCs w:val="16"/>
                <w:b w:val="1"/>
                <w:bCs w:val="1"/>
                <w:color w:val="auto"/>
                <w:w w:val="90"/>
              </w:rPr>
              <w:t>Income (Loss)</w:t>
            </w:r>
          </w:p>
        </w:tc>
        <w:tc>
          <w:tcPr>
            <w:tcW w:w="1360" w:type="dxa"/>
            <w:vAlign w:val="bottom"/>
          </w:tcPr>
          <w:p>
            <w:pPr>
              <w:jc w:val="center"/>
              <w:ind w:right="253"/>
              <w:spacing w:after="0"/>
              <w:rPr>
                <w:sz w:val="20"/>
                <w:szCs w:val="20"/>
                <w:color w:val="auto"/>
              </w:rPr>
            </w:pPr>
            <w:r>
              <w:rPr>
                <w:rFonts w:ascii="Arial" w:cs="Arial" w:eastAsia="Arial" w:hAnsi="Arial"/>
                <w:sz w:val="16"/>
                <w:szCs w:val="16"/>
                <w:b w:val="1"/>
                <w:bCs w:val="1"/>
                <w:color w:val="auto"/>
                <w:w w:val="86"/>
              </w:rPr>
              <w:t>Shares</w:t>
            </w:r>
          </w:p>
        </w:tc>
        <w:tc>
          <w:tcPr>
            <w:tcW w:w="1180" w:type="dxa"/>
            <w:vAlign w:val="bottom"/>
          </w:tcPr>
          <w:p>
            <w:pPr>
              <w:jc w:val="right"/>
              <w:ind w:right="392"/>
              <w:spacing w:after="0"/>
              <w:rPr>
                <w:sz w:val="20"/>
                <w:szCs w:val="20"/>
                <w:color w:val="auto"/>
              </w:rPr>
            </w:pPr>
            <w:r>
              <w:rPr>
                <w:rFonts w:ascii="Arial" w:cs="Arial" w:eastAsia="Arial" w:hAnsi="Arial"/>
                <w:sz w:val="16"/>
                <w:szCs w:val="16"/>
                <w:b w:val="1"/>
                <w:bCs w:val="1"/>
                <w:color w:val="auto"/>
              </w:rPr>
              <w:t>Stock</w:t>
            </w:r>
          </w:p>
        </w:tc>
      </w:tr>
      <w:tr>
        <w:trPr>
          <w:trHeight w:val="33"/>
        </w:trPr>
        <w:tc>
          <w:tcPr>
            <w:tcW w:w="4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$1,079.3</w:t>
            </w: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$431.6</w:t>
            </w: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$(28.9)</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$(29.0)</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$705.6</w:t>
            </w:r>
          </w:p>
        </w:tc>
      </w:tr>
      <w:tr>
        <w:trPr>
          <w:trHeight w:val="237"/>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5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97.1</w:t>
            </w: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97.1</w:t>
            </w: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Securities – Net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1.2</w:t>
            </w: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Unrealized Loss on Derivatives – Net</w:t>
            </w: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48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Defined Benefit Pension and Other Postretirement</w:t>
            </w:r>
          </w:p>
        </w:tc>
        <w:tc>
          <w:tcPr>
            <w:tcW w:w="15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Plans – Net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4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5.9</w:t>
            </w:r>
          </w:p>
        </w:tc>
        <w:tc>
          <w:tcPr>
            <w:tcW w:w="1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w w:val="95"/>
              </w:rPr>
              <w:t>Total Comprehensive Income Attributable to ALLETE</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104.0</w:t>
            </w:r>
          </w:p>
        </w:tc>
        <w:tc>
          <w:tcPr>
            <w:tcW w:w="1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 Net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500" w:type="dxa"/>
            <w:vAlign w:val="bottom"/>
          </w:tcPr>
          <w:p>
            <w:pPr>
              <w:jc w:val="right"/>
              <w:spacing w:after="0"/>
              <w:rPr>
                <w:sz w:val="20"/>
                <w:szCs w:val="20"/>
                <w:color w:val="auto"/>
              </w:rPr>
            </w:pPr>
            <w:r>
              <w:rPr>
                <w:rFonts w:ascii="Arial" w:cs="Arial" w:eastAsia="Arial" w:hAnsi="Arial"/>
                <w:sz w:val="18"/>
                <w:szCs w:val="18"/>
                <w:color w:val="auto"/>
              </w:rPr>
              <w:t>(69.1)</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(69.1)</w:t>
            </w: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 Shares Earned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4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7.7</w:t>
            </w:r>
          </w:p>
        </w:tc>
        <w:tc>
          <w:tcPr>
            <w:tcW w:w="1180" w:type="dxa"/>
            <w:vAlign w:val="bottom"/>
            <w:tcBorders>
              <w:bottom w:val="single" w:sz="8" w:color="CCEEFF"/>
            </w:tcBorders>
            <w:shd w:val="clear" w:color="auto" w:fill="CCEEFF"/>
          </w:tcPr>
          <w:p>
            <w:pPr>
              <w:spacing w:after="0"/>
              <w:rPr>
                <w:sz w:val="23"/>
                <w:szCs w:val="23"/>
                <w:color w:val="auto"/>
              </w:rPr>
            </w:pPr>
          </w:p>
        </w:tc>
      </w:tr>
      <w:tr>
        <w:trPr>
          <w:trHeight w:val="237"/>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2012</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1,201.0</w:t>
            </w:r>
          </w:p>
        </w:tc>
        <w:tc>
          <w:tcPr>
            <w:tcW w:w="14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459.6</w:t>
            </w:r>
          </w:p>
        </w:tc>
        <w:tc>
          <w:tcPr>
            <w:tcW w:w="16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(22.0)</w:t>
            </w:r>
          </w:p>
        </w:tc>
        <w:tc>
          <w:tcPr>
            <w:tcW w:w="13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(21.3)</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784.7</w:t>
            </w:r>
          </w:p>
        </w:tc>
      </w:tr>
      <w:tr>
        <w:trPr>
          <w:trHeight w:val="27"/>
        </w:trPr>
        <w:tc>
          <w:tcPr>
            <w:tcW w:w="4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104.7</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104.7</w:t>
            </w: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Unrealized Gain on Derivatives – Net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480" w:type="dxa"/>
            <w:vAlign w:val="bottom"/>
          </w:tcPr>
          <w:p>
            <w:pPr>
              <w:spacing w:after="0"/>
              <w:rPr>
                <w:sz w:val="21"/>
                <w:szCs w:val="21"/>
                <w:color w:val="auto"/>
              </w:rPr>
            </w:pPr>
          </w:p>
        </w:tc>
        <w:tc>
          <w:tcPr>
            <w:tcW w:w="1660" w:type="dxa"/>
            <w:vAlign w:val="bottom"/>
          </w:tcPr>
          <w:p>
            <w:pPr>
              <w:jc w:val="right"/>
              <w:ind w:right="172"/>
              <w:spacing w:after="0"/>
              <w:rPr>
                <w:sz w:val="20"/>
                <w:szCs w:val="20"/>
                <w:color w:val="auto"/>
              </w:rPr>
            </w:pPr>
            <w:r>
              <w:rPr>
                <w:rFonts w:ascii="Arial" w:cs="Arial" w:eastAsia="Arial" w:hAnsi="Arial"/>
                <w:sz w:val="18"/>
                <w:szCs w:val="18"/>
                <w:color w:val="auto"/>
              </w:rPr>
              <w:t>0.1</w:t>
            </w: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Defined Benefit Pension and Other Postretirement</w:t>
            </w:r>
          </w:p>
        </w:tc>
        <w:tc>
          <w:tcPr>
            <w:tcW w:w="15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Plans – Net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4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4.8</w:t>
            </w:r>
          </w:p>
        </w:tc>
        <w:tc>
          <w:tcPr>
            <w:tcW w:w="1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w w:val="95"/>
              </w:rPr>
              <w:t>Total Comprehensive Income Attributable to ALLETE</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109.6</w:t>
            </w:r>
          </w:p>
        </w:tc>
        <w:tc>
          <w:tcPr>
            <w:tcW w:w="1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 Net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w:t>
            </w: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500" w:type="dxa"/>
            <w:vAlign w:val="bottom"/>
          </w:tcPr>
          <w:p>
            <w:pPr>
              <w:jc w:val="right"/>
              <w:spacing w:after="0"/>
              <w:rPr>
                <w:sz w:val="20"/>
                <w:szCs w:val="20"/>
                <w:color w:val="auto"/>
              </w:rPr>
            </w:pPr>
            <w:r>
              <w:rPr>
                <w:rFonts w:ascii="Arial" w:cs="Arial" w:eastAsia="Arial" w:hAnsi="Arial"/>
                <w:sz w:val="18"/>
                <w:szCs w:val="18"/>
                <w:color w:val="auto"/>
              </w:rPr>
              <w:t>(75.2)</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(75.2)</w:t>
            </w: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 Shares Earned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4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7.0</w:t>
            </w:r>
          </w:p>
        </w:tc>
        <w:tc>
          <w:tcPr>
            <w:tcW w:w="1180" w:type="dxa"/>
            <w:vAlign w:val="bottom"/>
            <w:tcBorders>
              <w:bottom w:val="single" w:sz="8" w:color="CCEEFF"/>
            </w:tcBorders>
            <w:shd w:val="clear" w:color="auto" w:fill="CCEEFF"/>
          </w:tcPr>
          <w:p>
            <w:pPr>
              <w:spacing w:after="0"/>
              <w:rPr>
                <w:sz w:val="23"/>
                <w:szCs w:val="23"/>
                <w:color w:val="auto"/>
              </w:rPr>
            </w:pPr>
          </w:p>
        </w:tc>
      </w:tr>
      <w:tr>
        <w:trPr>
          <w:trHeight w:val="237"/>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2013</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1,342.9</w:t>
            </w:r>
          </w:p>
        </w:tc>
        <w:tc>
          <w:tcPr>
            <w:tcW w:w="14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489.1</w:t>
            </w:r>
          </w:p>
        </w:tc>
        <w:tc>
          <w:tcPr>
            <w:tcW w:w="16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(17.1)</w:t>
            </w:r>
          </w:p>
        </w:tc>
        <w:tc>
          <w:tcPr>
            <w:tcW w:w="13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(14.3)</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885.2</w:t>
            </w:r>
          </w:p>
        </w:tc>
      </w:tr>
      <w:tr>
        <w:trPr>
          <w:trHeight w:val="27"/>
        </w:trPr>
        <w:tc>
          <w:tcPr>
            <w:tcW w:w="4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125.5</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125.5</w:t>
            </w: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Unrealized Loss on Securities – Net</w:t>
            </w: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48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 – Net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4240" w:type="dxa"/>
            <w:vAlign w:val="bottom"/>
          </w:tcPr>
          <w:p>
            <w:pPr>
              <w:ind w:left="380"/>
              <w:spacing w:after="0"/>
              <w:rPr>
                <w:sz w:val="20"/>
                <w:szCs w:val="20"/>
                <w:color w:val="auto"/>
              </w:rPr>
            </w:pPr>
            <w:r>
              <w:rPr>
                <w:rFonts w:ascii="Arial" w:cs="Arial" w:eastAsia="Arial" w:hAnsi="Arial"/>
                <w:sz w:val="18"/>
                <w:szCs w:val="18"/>
                <w:color w:val="auto"/>
                <w:w w:val="95"/>
              </w:rPr>
              <w:t>Defined Benefit Pension and Other Postretirement</w:t>
            </w:r>
          </w:p>
        </w:tc>
        <w:tc>
          <w:tcPr>
            <w:tcW w:w="1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40" w:type="dxa"/>
            <w:vAlign w:val="bottom"/>
          </w:tcPr>
          <w:p>
            <w:pPr>
              <w:ind w:left="380"/>
              <w:spacing w:after="0"/>
              <w:rPr>
                <w:sz w:val="20"/>
                <w:szCs w:val="20"/>
                <w:color w:val="auto"/>
              </w:rPr>
            </w:pPr>
            <w:r>
              <w:rPr>
                <w:rFonts w:ascii="Arial" w:cs="Arial" w:eastAsia="Arial" w:hAnsi="Arial"/>
                <w:sz w:val="18"/>
                <w:szCs w:val="18"/>
                <w:color w:val="auto"/>
              </w:rPr>
              <w:t>Plans – Net</w:t>
            </w: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1480" w:type="dxa"/>
            <w:vAlign w:val="bottom"/>
          </w:tcPr>
          <w:p>
            <w:pPr>
              <w:spacing w:after="0"/>
              <w:rPr>
                <w:sz w:val="20"/>
                <w:szCs w:val="20"/>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w:t>
            </w: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Non-Controlling Interest in Subsidiaries</w:t>
            </w:r>
          </w:p>
        </w:tc>
        <w:tc>
          <w:tcPr>
            <w:tcW w:w="1500" w:type="dxa"/>
            <w:vAlign w:val="bottom"/>
          </w:tcPr>
          <w:p>
            <w:pPr>
              <w:jc w:val="right"/>
              <w:spacing w:after="0"/>
              <w:rPr>
                <w:sz w:val="20"/>
                <w:szCs w:val="20"/>
                <w:color w:val="auto"/>
              </w:rPr>
            </w:pPr>
            <w:r>
              <w:rPr>
                <w:rFonts w:ascii="Arial" w:cs="Arial" w:eastAsia="Arial" w:hAnsi="Arial"/>
                <w:sz w:val="18"/>
                <w:szCs w:val="18"/>
                <w:color w:val="auto"/>
              </w:rPr>
              <w:t>(0.7)</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(0.7)</w:t>
            </w: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Total Comprehensive Income Attributable to ALLETE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w:t>
            </w:r>
          </w:p>
        </w:tc>
        <w:tc>
          <w:tcPr>
            <w:tcW w:w="1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Common Stock Issued – Net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222.4</w:t>
            </w:r>
          </w:p>
        </w:tc>
        <w:tc>
          <w:tcPr>
            <w:tcW w:w="1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222.4</w:t>
            </w: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(83.8)</w:t>
            </w:r>
          </w:p>
        </w:tc>
        <w:tc>
          <w:tcPr>
            <w:tcW w:w="1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ESOP Shares Earned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60" w:type="dxa"/>
            <w:vAlign w:val="bottom"/>
          </w:tcPr>
          <w:p>
            <w:pPr>
              <w:jc w:val="right"/>
              <w:ind w:right="193"/>
              <w:spacing w:after="0"/>
              <w:rPr>
                <w:sz w:val="20"/>
                <w:szCs w:val="20"/>
                <w:color w:val="auto"/>
              </w:rPr>
            </w:pPr>
            <w:r>
              <w:rPr>
                <w:rFonts w:ascii="Arial" w:cs="Arial" w:eastAsia="Arial" w:hAnsi="Arial"/>
                <w:sz w:val="18"/>
                <w:szCs w:val="18"/>
                <w:color w:val="auto"/>
              </w:rPr>
              <w:t>7.1</w:t>
            </w:r>
          </w:p>
        </w:tc>
        <w:tc>
          <w:tcPr>
            <w:tcW w:w="1180" w:type="dxa"/>
            <w:vAlign w:val="bottom"/>
          </w:tcPr>
          <w:p>
            <w:pPr>
              <w:spacing w:after="0"/>
              <w:rPr>
                <w:sz w:val="21"/>
                <w:szCs w:val="2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$1,609.4</w:t>
            </w: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$530.1</w:t>
            </w: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$(21.1)</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$(7.2)</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$1,107.6</w:t>
            </w:r>
          </w:p>
        </w:tc>
      </w:tr>
      <w:tr>
        <w:trPr>
          <w:trHeight w:val="20"/>
        </w:trPr>
        <w:tc>
          <w:tcPr>
            <w:tcW w:w="4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References in this report to “we,” “us,” and “our” are to ALLETE and its subsidiaries, collectively. We prepare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conformity with 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10, 2015, ALLETE acquired U.S. Water Services for $168 million and a contingent amount to be paid in 2019 based on U.S. Water Services’ future earnings. U.S. Water Services, an integrated industrial water management company headquartered in St. Michael, Minnesota, has a national footprint serving a growing and diverse mix of over 3,600 industrial customers, with recurring revenues and customer retention that exceeds 90 percent. U.S. Water Services provides integrated water management for industry, combining chemical, equipment, engineering and service for customized solutions to reduce water and energy usage and improve efficiency. U.S. Water Services helps customers achieve efficient and sustainable use of their energy systems, is a leading provider to the biofuels industry, and has a growing presence in the power generation and midstream oil and gas industries. The acquisition of U.S. Water Services is consistent with ALLETE’s stated strategy of investing in energy infrastructure and related services to complement its core regulated utility, balance exposure to business cycles and changing demand, and provide potential long-term earnings growth. We expect to finalize the allocation of the purchase price during the first half of 2015. Transaction costs related to the acquisition were expensed as incurred and were not material to the 2014 Consolidated Statement of Income.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Our consolidated financial statements include the accounts of ALLETE and all of our majority-owned subsidiary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material intercompany balances and transactions have been eliminated in consolidation.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Our Regulated Operations and Investments and Other segments were determined in accordance with the guidance on segment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Segmentation is based on the manner in which we operate, assess, and allocate resources to the business.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144,000 retail customers. Minnesota Power also has 16 non-affiliated municipal customers in Minnesota. SWL&amp;P is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our Energy Infrastructure and Related Services businesses; ALLETE Clean Energy and BNI Coal.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and Other also includes ALLETE Properties,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a wholly-owned subsidiary of ALLETE, operates independently of Minnesota Power to develop or acquire capital projects aimed at creating energy solutions via wind, solar, biomass, midstream gas and oil infrastructure, among other energy-related projects. ALLETE Clean Energy intends to market to electric utilities, cooperatives, municipalities, independent power marketers and large end-users across North America through long-term contracts or other sale arrangements, and will be subject to applicable state and federal regulatory jurisdictions.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BNI Coal, a wholly-owned subsidiary, mines and sells lignite coal to two North Dakota mine-mouth generating units, one of which is Square Butte. In 2014, Square Butte supplied 50 percent (227.5 MW) of its output to Minnesota Power under long-term contracts. (See Note 12. Commitments, Guarantees and Contingencies.) Coal sales are recognized when delivered at the cost of production plus a specified profit per ton of coal delivered.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represents our Florida real estate investment. Our current strategy for the assets is to complete and maintain key entitlements and infrastructure improvements without requiring significant additional investment, sell the portfolio when opportunities arise and reinvest the proceeds in our growth initiatives. ALLETE does not intend to acquire additional Florida real estate.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Full profit recognition is recorded on sales of real estate upon closing, provided that cash collections are at least 20 percent of the contract price and the other requirements under the guidance for sales of real estate are met. In certain cases, where there are obligations to perform significant development activities after the date of sale, we recognize profit on a percentage-of-completion basis. From time to time, certain contracts with customers allow us to receive participation revenue from land sales to third parties if various formula-based criteria are achieved.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cases, we pay fees or construct improvements to mitigate offsite traffic impacts. In return, we receive traffic impact fee credits as a result of some of these expenditures. We recognize revenue from the sale of traffic impact fee credits when payment is received.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Land inventories are accounted for in accordance with the accounting standards for property, plant and equipment, and are included in Other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the accounting standards for real estate. The cost of real estate sold includes the actual costs incurred and the estimate of future completion costs allocated to the real estate sold based upon the relative sales value method. Whenever events or circumstances indicate that the carrying value of the real estate may not be recoverable, impairments are recorded and the related assets are adjusted to their estimated fair value. (See Note 8.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We consider all investments purchased with original maturities of three months or less to be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Cash Flows</w:t>
            </w: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7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$51.3</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$47.5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$5.1</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8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Increase in Accounts Payable for Capital Additions to Property, Plant and Equipment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$21.7</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$8.3</w:t>
            </w: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7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$22.4</w:t>
            </w:r>
          </w:p>
        </w:tc>
        <w:tc>
          <w:tcPr>
            <w:tcW w:w="1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AFUDC – Equity</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$7.8</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$4.6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Defined Benefit Pension Plan</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4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balance sheet net of an allowance for doubtful accounts. The allowance is based on our</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of the receivable portfolio under current conditions, overall portfolio quality, review of specific problems and such other factors that, in our judgment, deserve recognition in estimating losses.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Accounts Receivable</w:t>
            </w:r>
          </w:p>
        </w:tc>
        <w:tc>
          <w:tcPr>
            <w:tcW w:w="4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1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4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Billed</w:t>
            </w:r>
          </w:p>
        </w:tc>
        <w:tc>
          <w:tcPr>
            <w:tcW w:w="4180" w:type="dxa"/>
            <w:vAlign w:val="bottom"/>
          </w:tcPr>
          <w:p>
            <w:pPr>
              <w:jc w:val="right"/>
              <w:ind w:right="510"/>
              <w:spacing w:after="0"/>
              <w:rPr>
                <w:sz w:val="20"/>
                <w:szCs w:val="20"/>
                <w:color w:val="auto"/>
              </w:rPr>
            </w:pPr>
            <w:r>
              <w:rPr>
                <w:rFonts w:ascii="Arial" w:cs="Arial" w:eastAsia="Arial" w:hAnsi="Arial"/>
                <w:sz w:val="18"/>
                <w:szCs w:val="18"/>
                <w:color w:val="auto"/>
              </w:rPr>
              <w:t>$85.5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$78.7</w:t>
            </w:r>
          </w:p>
        </w:tc>
      </w:tr>
      <w:tr>
        <w:trPr>
          <w:trHeight w:val="27"/>
        </w:trPr>
        <w:tc>
          <w:tcPr>
            <w:tcW w:w="6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41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18.6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Less: Allowance for Doubtful Accounts</w:t>
            </w:r>
          </w:p>
        </w:tc>
        <w:tc>
          <w:tcPr>
            <w:tcW w:w="418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1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41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$103.0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r>
      <w:tr>
        <w:trPr>
          <w:trHeight w:val="20"/>
        </w:trPr>
        <w:tc>
          <w:tcPr>
            <w:tcW w:w="6140" w:type="dxa"/>
            <w:vAlign w:val="bottom"/>
            <w:shd w:val="clear" w:color="auto" w:fill="000000"/>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Financial instruments that subject us to concentrations of credit risk consist primarily of accounts receivable. Minnesota</w:t>
      </w:r>
      <w:r>
        <w:rPr>
          <w:rFonts w:ascii="Arial" w:cs="Arial" w:eastAsia="Arial" w:hAnsi="Arial"/>
          <w:sz w:val="17"/>
          <w:szCs w:val="17"/>
          <w:b w:val="1"/>
          <w:bCs w:val="1"/>
          <w:color w:val="auto"/>
        </w:rPr>
        <w:t xml:space="preserve"> </w:t>
      </w:r>
      <w:r>
        <w:rPr>
          <w:rFonts w:ascii="Arial" w:cs="Arial" w:eastAsia="Arial" w:hAnsi="Arial"/>
          <w:sz w:val="17"/>
          <w:szCs w:val="17"/>
          <w:color w:val="auto"/>
        </w:rPr>
        <w:t>Power sells electricity to 10 Large Power Customers. Receivables from these customers totaled $14.7 million at December 31, 2014 ($14.2 million at December 31, 2013). Minnesota Power does not obtain collateral to support utility receivables, but monitors the credit standing of major customers. In addition, Minnesota Power’s taconite-producing Large Power Customers are on a weekly billing cycle, which allows us to closely manage collection of amounts due. One of these customers accounted for 10.8 percent of consolidated revenue in 2014 (12.0 percent in 2013; 12.3 percent in 2012).</w:t>
      </w:r>
    </w:p>
    <w:p>
      <w:pPr>
        <w:spacing w:after="0" w:line="16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Long-Term Finance Receivables. </w:t>
      </w:r>
      <w:r>
        <w:rPr>
          <w:rFonts w:ascii="Arial" w:cs="Arial" w:eastAsia="Arial" w:hAnsi="Arial"/>
          <w:sz w:val="16"/>
          <w:szCs w:val="16"/>
          <w:color w:val="auto"/>
        </w:rPr>
        <w:t>Long-term finance receivables relating to our real estate operations are collateralized by property sold, accrue interest at</w:t>
      </w:r>
      <w:r>
        <w:rPr>
          <w:rFonts w:ascii="Arial" w:cs="Arial" w:eastAsia="Arial" w:hAnsi="Arial"/>
          <w:sz w:val="16"/>
          <w:szCs w:val="16"/>
          <w:b w:val="1"/>
          <w:bCs w:val="1"/>
          <w:color w:val="auto"/>
        </w:rPr>
        <w:t xml:space="preserve"> </w:t>
      </w:r>
      <w:r>
        <w:rPr>
          <w:rFonts w:ascii="Arial" w:cs="Arial" w:eastAsia="Arial" w:hAnsi="Arial"/>
          <w:sz w:val="16"/>
          <w:szCs w:val="16"/>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 (See Note 8. Investments.)</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securities are recorded at fair value with unrealized gains and losses included in accumulated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net of tax. Unrealized losses that are other than temporary are recognized in earnings. We use the specific identification method as the basis for determining the cost of securities sold. Our policy is to review available-for-sale securities for other than temporary impairment on a quarterly basis by assessing such factors as the share price trends and the impact of overall market conditions. (See Note 8.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8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8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5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8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8"/>
                <w:szCs w:val="18"/>
                <w:i w:val="1"/>
                <w:iCs w:val="1"/>
                <w:color w:val="auto"/>
              </w:rPr>
              <w:t>(a)</w:t>
            </w:r>
          </w:p>
        </w:tc>
        <w:tc>
          <w:tcPr>
            <w:tcW w:w="4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$29.0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820" w:type="dxa"/>
            <w:vAlign w:val="bottom"/>
          </w:tcPr>
          <w:p>
            <w:pPr>
              <w:jc w:val="right"/>
              <w:ind w:right="510"/>
              <w:spacing w:after="0"/>
              <w:rPr>
                <w:sz w:val="20"/>
                <w:szCs w:val="20"/>
                <w:color w:val="auto"/>
              </w:rPr>
            </w:pPr>
            <w:r>
              <w:rPr>
                <w:rFonts w:ascii="Arial" w:cs="Arial" w:eastAsia="Arial" w:hAnsi="Arial"/>
                <w:sz w:val="18"/>
                <w:szCs w:val="18"/>
                <w:color w:val="auto"/>
              </w:rPr>
              <w:t>51.5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55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$80.5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r>
      <w:tr>
        <w:trPr>
          <w:trHeight w:val="20"/>
        </w:trPr>
        <w:tc>
          <w:tcPr>
            <w:tcW w:w="550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Fuel inventory was lower at December 31, 2013 primarily due to the timing of coal shipments.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recorded at original cost and are reported on the balance sheet net of accumulated</w:t>
      </w:r>
      <w:r>
        <w:rPr>
          <w:rFonts w:ascii="Arial" w:cs="Arial" w:eastAsia="Arial" w:hAnsi="Arial"/>
          <w:sz w:val="17"/>
          <w:szCs w:val="17"/>
          <w:b w:val="1"/>
          <w:bCs w:val="1"/>
          <w:color w:val="auto"/>
        </w:rPr>
        <w:t xml:space="preserve"> </w:t>
      </w:r>
      <w:r>
        <w:rPr>
          <w:rFonts w:ascii="Arial" w:cs="Arial" w:eastAsia="Arial" w:hAnsi="Arial"/>
          <w:sz w:val="17"/>
          <w:szCs w:val="17"/>
          <w:color w:val="auto"/>
        </w:rPr>
        <w:t>depreciation. Expenditures for additions, significant replacements, improvements and major plant overhauls are capitalized; maintenance and repair costs are expensed as incurred. Gains or losses on non-rate base property, plant and equipment are recognized when they are retired or otherwise disposed. When regulated utility property, plant and equipment are retired or otherwise disposed, no gain or loss is recognized in accordance with the accounting standards for the effects of certain types of regulation.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3. Property, Plant and Equipment.)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long-standing ratemaking practices approved by applicable state and federal regulatory commissions have allowed for the recovery of the remaining book value of retired plant assets. We expect to retire Taconite Harbor Unit 3 and convert Laskin to natural gas in the second quarter of 2015, which were included in our 2013 Integrated Resource Plan approved by the MPUC in a November 2013 order. Accordingly, we do not expect any impairment charge as a result of the retirement of Taconite Harbor Unit 3 or conversion of Laskin.</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Land inventory is accounted for as held for use and is recorded at cost. We review our long-lived assets, which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the real estate assets of ALLETE Properties, for indicators of impairment in accordance with the accounting standards for property, plant and equipment on a quarterly basis.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accounting standards for property, plant and equipment, if indicators of impairment exist, we test our real estate assets for recoverability by comparing the carrying amount of the asset to the undiscounted future net cash flows expected to be generated by the asset. Cash flows are assessed at the lowest level of identifiable cash flows, which may be by each land parcel, combining various parcels, or other combinations thereof. Our consideration of possible impairment for our real estate assets requires us to make estimates of future net cash flows on an undiscounted basis.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develop and maintain the operations, including community development district assessments, property taxes and normal operation and maintenance costs. These estimates and expectations are specific to each land parcel or various bulk sales, may vary among each land parcel or bulk sale, and may change in the future. If the excess of undiscounted future net cash flows over the carrying amount of a property is small, there is a greater risk of future impairment in the event of such future changes and any resulting impairment charges could be material.</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recent years, market conditions for real estate in Florida have required us to review our land inventories for impairment. Our undiscounted future net cash flow analysis was estimated using management’s current intent for disposition of each property, which is an estimated selling period of five to ten years based on a December 2014 asset management and disposition plan (Plan) which is reviewed annually for adjustment or modification. Future selling prices have been estimated through management’s best estimate of future sales prices in collaboration and consultation with outside advisors, and based on the best use of the properties over the expected period of sale. Our analysis assumes retail land sales are followed by project bulk sales over a five-year period. If our major development projects are sold in one bulk sale or if the properties are sold differently than anticipated in the Plan, the actual results could be materially different from our undiscounted future net cash flow analysis.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the impairment analysis are particularly dependent on the estimated future sales prices, method of disposition, and holding period for each property. The estimated holding period, as set forth in the Plan, is based on management’s current intent for the use and disposition of each property, and is subject to change in future periods if the intentions of the Company were to change.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projected undiscounted future net cash flows are not adequate to recover the carrying value of an asset, impairment is indicated and may require a write down to the asset’s fair value. Fair value is determined based on best available evidence including comparable sales, current appraised values, property tax assessed values, and discounted cash flow analysis. If fair value of the asset is less than its carrying value, its carrying value is reduced and an impairment charge is recorded in the current period. In 2014, 2013 and 2012, impairment analyses of estimated undiscounted future net cash flows were conducted and indicated that the cash flows were adequate to recover the carrying value of our land inventory. As a result, there was no impairment recorded for the years ended December 31, 2014, 2013, and 2012.</w:t>
      </w:r>
    </w:p>
    <w:p>
      <w:pPr>
        <w:spacing w:after="0" w:line="17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color w:val="auto"/>
        </w:rPr>
        <w:t>ALLETE is exposed to certain risks relating to its business operations that can be managed through the use of derivative instruments. ALLETE</w:t>
      </w:r>
      <w:r>
        <w:rPr>
          <w:rFonts w:ascii="Arial" w:cs="Arial" w:eastAsia="Arial" w:hAnsi="Arial"/>
          <w:sz w:val="16"/>
          <w:szCs w:val="16"/>
          <w:b w:val="1"/>
          <w:bCs w:val="1"/>
          <w:color w:val="auto"/>
        </w:rPr>
        <w:t xml:space="preserve"> </w:t>
      </w:r>
      <w:r>
        <w:rPr>
          <w:rFonts w:ascii="Arial" w:cs="Arial" w:eastAsia="Arial" w:hAnsi="Arial"/>
          <w:sz w:val="16"/>
          <w:szCs w:val="16"/>
          <w:color w:val="auto"/>
        </w:rPr>
        <w:t>may enter into derivative instruments to manage those risks including interest rate risk related to certain variable-rate borrowings. (See Note 9. Derivatives.)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18. Employee Stock and Incentive Plans.)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9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9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4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9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$16.3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Construction Costs for Development Project </w:t>
            </w:r>
            <w:r>
              <w:rPr>
                <w:rFonts w:ascii="Arial" w:cs="Arial" w:eastAsia="Arial" w:hAnsi="Arial"/>
                <w:sz w:val="18"/>
                <w:szCs w:val="18"/>
                <w:i w:val="1"/>
                <w:iCs w:val="1"/>
                <w:color w:val="auto"/>
              </w:rPr>
              <w:t>(a)</w:t>
            </w:r>
          </w:p>
        </w:tc>
        <w:tc>
          <w:tcPr>
            <w:tcW w:w="3920" w:type="dxa"/>
            <w:vAlign w:val="bottom"/>
          </w:tcPr>
          <w:p>
            <w:pPr>
              <w:jc w:val="right"/>
              <w:ind w:right="510"/>
              <w:spacing w:after="0"/>
              <w:rPr>
                <w:sz w:val="20"/>
                <w:szCs w:val="20"/>
                <w:color w:val="auto"/>
              </w:rPr>
            </w:pPr>
            <w:r>
              <w:rPr>
                <w:rFonts w:ascii="Arial" w:cs="Arial" w:eastAsia="Arial" w:hAnsi="Arial"/>
                <w:sz w:val="18"/>
                <w:szCs w:val="18"/>
                <w:color w:val="auto"/>
              </w:rPr>
              <w:t>48.2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i w:val="1"/>
                <w:iCs w:val="1"/>
                <w:color w:val="auto"/>
              </w:rPr>
              <w:t>(b)</w:t>
            </w:r>
          </w:p>
        </w:tc>
        <w:tc>
          <w:tcPr>
            <w:tcW w:w="39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3920" w:type="dxa"/>
            <w:vAlign w:val="bottom"/>
          </w:tcPr>
          <w:p>
            <w:pPr>
              <w:jc w:val="right"/>
              <w:ind w:right="510"/>
              <w:spacing w:after="0"/>
              <w:rPr>
                <w:sz w:val="20"/>
                <w:szCs w:val="20"/>
                <w:color w:val="auto"/>
              </w:rPr>
            </w:pPr>
            <w:r>
              <w:rPr>
                <w:rFonts w:ascii="Arial" w:cs="Arial" w:eastAsia="Arial" w:hAnsi="Arial"/>
                <w:sz w:val="18"/>
                <w:szCs w:val="18"/>
                <w:color w:val="auto"/>
              </w:rPr>
              <w:t>14.8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64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9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$82.0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0"/>
        </w:trPr>
        <w:tc>
          <w:tcPr>
            <w:tcW w:w="640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Construction Costs for Development Project acquired/incurred due to ALLETE Clean Energy’s acquisition on November 20, 2014 of a project to develop and construct a wind energy facility in 2015. (See Other Current Liabilities table and Note 7. Acquisitions.)</w:t>
      </w:r>
    </w:p>
    <w:p>
      <w:pPr>
        <w:ind w:left="340" w:hanging="332"/>
        <w:spacing w:after="0"/>
        <w:tabs>
          <w:tab w:leader="none" w:pos="3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related to ALLETE Clean Energy’s wind energy facilities operating expense and capital distribution reserve requirements.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Non-Current Assets. </w:t>
      </w:r>
      <w:r>
        <w:rPr>
          <w:rFonts w:ascii="Arial" w:cs="Arial" w:eastAsia="Arial" w:hAnsi="Arial"/>
          <w:sz w:val="18"/>
          <w:szCs w:val="18"/>
          <w:color w:val="auto"/>
        </w:rPr>
        <w:t>As of December 31, 2014, included in Other Non-Current Assets on the Consolidated Balance Sheet was restricted cash of $5.3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related to ALLETE Clean Energy’s wind energy facilities debt service and other requirements. As of December 31, 2013, the Company had restricted cash of $5.4 million related to cash held in escrow pending the closing of the wind energy facilities acquisition on January 30, 2014. (See Note 7. Acquisitions.)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3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5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8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35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$19.7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3500" w:type="dxa"/>
            <w:vAlign w:val="bottom"/>
          </w:tcPr>
          <w:p>
            <w:pPr>
              <w:jc w:val="right"/>
              <w:ind w:right="510"/>
              <w:spacing w:after="0"/>
              <w:rPr>
                <w:sz w:val="20"/>
                <w:szCs w:val="20"/>
                <w:color w:val="auto"/>
              </w:rPr>
            </w:pPr>
            <w:r>
              <w:rPr>
                <w:rFonts w:ascii="Arial" w:cs="Arial" w:eastAsia="Arial" w:hAnsi="Arial"/>
                <w:sz w:val="18"/>
                <w:szCs w:val="18"/>
                <w:color w:val="auto"/>
              </w:rPr>
              <w:t>19.4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Construction Deposits Received for Development Project </w:t>
            </w:r>
            <w:r>
              <w:rPr>
                <w:rFonts w:ascii="Arial" w:cs="Arial" w:eastAsia="Arial" w:hAnsi="Arial"/>
                <w:sz w:val="18"/>
                <w:szCs w:val="18"/>
                <w:i w:val="1"/>
                <w:iCs w:val="1"/>
                <w:color w:val="auto"/>
              </w:rPr>
              <w:t>(b)</w:t>
            </w:r>
          </w:p>
        </w:tc>
        <w:tc>
          <w:tcPr>
            <w:tcW w:w="35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54.3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Other</w:t>
            </w:r>
          </w:p>
        </w:tc>
        <w:tc>
          <w:tcPr>
            <w:tcW w:w="3500" w:type="dxa"/>
            <w:vAlign w:val="bottom"/>
          </w:tcPr>
          <w:p>
            <w:pPr>
              <w:jc w:val="right"/>
              <w:ind w:right="510"/>
              <w:spacing w:after="0"/>
              <w:rPr>
                <w:sz w:val="20"/>
                <w:szCs w:val="20"/>
                <w:color w:val="auto"/>
              </w:rPr>
            </w:pPr>
            <w:r>
              <w:rPr>
                <w:rFonts w:ascii="Arial" w:cs="Arial" w:eastAsia="Arial" w:hAnsi="Arial"/>
                <w:sz w:val="18"/>
                <w:szCs w:val="18"/>
                <w:color w:val="auto"/>
              </w:rPr>
              <w:t>27.4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68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35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$120.8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r>
      <w:tr>
        <w:trPr>
          <w:trHeight w:val="20"/>
        </w:trPr>
        <w:tc>
          <w:tcPr>
            <w:tcW w:w="6820" w:type="dxa"/>
            <w:vAlign w:val="bottom"/>
            <w:shd w:val="clear" w:color="auto" w:fill="000000"/>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26"/>
        </w:numPr>
        <w:rPr>
          <w:rFonts w:ascii="Arial" w:cs="Arial" w:eastAsia="Arial" w:hAnsi="Arial"/>
          <w:sz w:val="15"/>
          <w:szCs w:val="15"/>
          <w:i w:val="1"/>
          <w:iCs w:val="1"/>
          <w:color w:val="auto"/>
        </w:rPr>
      </w:pPr>
      <w:r>
        <w:rPr>
          <w:rFonts w:ascii="Arial" w:cs="Arial" w:eastAsia="Arial" w:hAnsi="Arial"/>
          <w:sz w:val="15"/>
          <w:szCs w:val="15"/>
          <w:i w:val="1"/>
          <w:iCs w:val="1"/>
          <w:color w:val="auto"/>
        </w:rPr>
        <w:t>Power Purchase Agreements were acquired in conjunction with the ALLETE Clean Energy wind energy facilities acquisitions in 2014. (See Note 7. Acquisitions.)</w:t>
      </w:r>
    </w:p>
    <w:p>
      <w:pPr>
        <w:spacing w:after="0" w:line="20" w:lineRule="exact"/>
        <w:rPr>
          <w:rFonts w:ascii="Arial" w:cs="Arial" w:eastAsia="Arial" w:hAnsi="Arial"/>
          <w:sz w:val="15"/>
          <w:szCs w:val="15"/>
          <w:i w:val="1"/>
          <w:iCs w:val="1"/>
          <w:color w:val="auto"/>
        </w:rPr>
      </w:pPr>
    </w:p>
    <w:p>
      <w:pPr>
        <w:ind w:left="340" w:right="20" w:hanging="332"/>
        <w:spacing w:after="0" w:line="257"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Construction Deposits Received for Development Project are due to ALLETE Clean Energy’s project to develop and construct a wind energy facility in 2015. (See Prepayment and Other Current Assets table and Note 7. Acquisitions.)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8"/>
                <w:szCs w:val="18"/>
                <w:i w:val="1"/>
                <w:iCs w:val="1"/>
                <w:color w:val="auto"/>
              </w:rPr>
              <w:t>(a)</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$109.2</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(b)</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110.7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45.1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37"/>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Liabilities</w:t>
            </w:r>
          </w:p>
        </w:tc>
        <w:tc>
          <w:tcPr>
            <w:tcW w:w="4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$265.0</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The increase in 2014 is primarily related to BNI Coal for coal mining expansion and ALLETE Clean Energy due to wind energy facilities acquisitions.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27"/>
        </w:numPr>
        <w:rPr>
          <w:rFonts w:ascii="Arial" w:cs="Arial" w:eastAsia="Arial" w:hAnsi="Arial"/>
          <w:sz w:val="15"/>
          <w:szCs w:val="15"/>
          <w:i w:val="1"/>
          <w:iCs w:val="1"/>
          <w:color w:val="auto"/>
        </w:rPr>
      </w:pPr>
      <w:r>
        <w:rPr>
          <w:rFonts w:ascii="Arial" w:cs="Arial" w:eastAsia="Arial" w:hAnsi="Arial"/>
          <w:sz w:val="15"/>
          <w:szCs w:val="15"/>
          <w:i w:val="1"/>
          <w:iCs w:val="1"/>
          <w:color w:val="auto"/>
        </w:rPr>
        <w:t>Power Purchase Agreements were acquired in conjunction with the ALLETE Clean Energy wind energy facilities acquisitions in 2014. (See Note 7. Acquisitions.)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on a quarterly basis. Accruals for environmental matters are recorded when it is probable that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 (See Note 12. Commitments, Guarantees and Contingencies.)</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Regulated utility rates are under the jurisdiction of Minnesota, Wisconsin and federal regulatory authorities. Customers are billed on a</w:t>
      </w:r>
      <w:r>
        <w:rPr>
          <w:rFonts w:ascii="Arial" w:cs="Arial" w:eastAsia="Arial" w:hAnsi="Arial"/>
          <w:sz w:val="17"/>
          <w:szCs w:val="17"/>
          <w:b w:val="1"/>
          <w:bCs w:val="1"/>
          <w:color w:val="auto"/>
        </w:rPr>
        <w:t xml:space="preserve"> </w:t>
      </w:r>
      <w:r>
        <w:rPr>
          <w:rFonts w:ascii="Arial" w:cs="Arial" w:eastAsia="Arial" w:hAnsi="Arial"/>
          <w:sz w:val="17"/>
          <w:szCs w:val="17"/>
          <w:color w:val="auto"/>
        </w:rPr>
        <w:t>cycle basis. Revenue is accrued for service provided but not yet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transmission, renewable energy and environmental expenditures. Fuel and purchased power expense is deferred to match the period in which the revenue for fuel and purchased power expense is collected from customers pursuant to the fuel adjustment clause. BNI Coal recognizes revenue when coal is delivered.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revenue from our cost recovery riders (renewable resources, transmission and environmental improvement) in accordance with the accounting standards for alternative revenue programs. These standards allow for recognizing revenue under an alternative revenue program if the program is established by an order from the utility’s regulatory commission, the order allows automatic adjustment of future rates, the amount of the revenue recognized is objectively determinable and probable of recovery, and the revenue will be collected within 24 months following the end of the annual period in which it is recognized. Revenue recognized using the alternative revenue program guidance is included in Operating Revenue on our Consolidated Statement of Income and Regulatory Assets on our Consolidated Balance Sheet until it is subsequently collected from customers.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Minnesota Power participates in MISO. MISO transactions are accounted for on a net hourly basis in each of the day-ahead and real-time markets. Minnesota Power records net sales in Operating Revenue and net purchases in Fuel and Purchased Power Expense on our Consolidated Statement of Income. The revenues and charges from MISO related to serving retail and municipal electric customers are recorded on a net basis as Fuel and Purchased Power Expense.</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Amortization of Power Purchase Agreements. </w:t>
      </w:r>
      <w:r>
        <w:rPr>
          <w:rFonts w:ascii="Arial" w:cs="Arial" w:eastAsia="Arial" w:hAnsi="Arial"/>
          <w:sz w:val="18"/>
          <w:szCs w:val="18"/>
          <w:color w:val="auto"/>
        </w:rPr>
        <w:t>As part of the ALLETE Clean Energy wind energy facilities acquisitions in 2014, the Company assumed</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PPAs that were at below-market prices and will amortize the liabilities to revenue over the life of the agreements for the difference between contract prices and estimated market prices. In 2014, we recognized $12.7 million of amortization relating to the PPA liabilities in Operating Revenue on the Consolidated Statement of Income.</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straight-line method which approximates the effective interest method.</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 and its subsidiaries file a consolidated federal income tax return as well as combined and separate state income tax returns. We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for income taxes using the liability method in accordance with the accounting standards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the accounting standards for uncertainty in income taxes, we are required to recognize in our financial statements the largest tax benefit of a tax position that is “more-likely-than-not” to be sustained on audit, based solely on the technical merits of the position as of the reporting date. The term “more-likely-than-not” means more than 50 percent likely. (See Note 15. Income Tax Expense.)</w:t>
      </w:r>
    </w:p>
    <w:p>
      <w:pPr>
        <w:spacing w:after="0" w:line="169"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a liability to be remitted to the government entity. We account for the collection and payment of these taxes on a net basis.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Purchase Accounting. </w:t>
      </w:r>
      <w:r>
        <w:rPr>
          <w:rFonts w:ascii="Arial" w:cs="Arial" w:eastAsia="Arial" w:hAnsi="Arial"/>
          <w:sz w:val="16"/>
          <w:szCs w:val="16"/>
          <w:color w:val="auto"/>
        </w:rPr>
        <w:t>In accordance with the authoritative accounting guidance, the purchase price of an acquired business is generally allocated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acquired and liabilities assumed at their estimated fair values on the date of acquisition. Any unallocated purchase price amount is recognized as goodwill on the balance sheet if it exceeds the estimated fair value and as a bargain purchase gain on the income statement if it is below the estimated fair value. Determining the fair value of assets acquired and liabilities assumed requires management’s judgment, the utilization of independent valuation experts and involves the use of significant estimates and assumptions with respect to the timing and amounts of future cash inflows and outflows, discount rates, market prices and asset lives, among other items. The judgments made in the determination of the estimated fair value assigned to the assets acquired and liabilities assumed, as well as the estimated useful life of each asset and the duration of each liability, can materially impact the financial statements in periods after acquisition, such as through depreciation and amortization expense. (See Note 7. Acquisitions.)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Presentation of an Unrecognized Tax Benefit When a Net Operating Loss Carryforward, a Similar Tax Loss, or a Tax Credit Carryforward Exists. </w:t>
      </w:r>
      <w:r>
        <w:rPr>
          <w:rFonts w:ascii="Arial" w:cs="Arial" w:eastAsia="Arial" w:hAnsi="Arial"/>
          <w:sz w:val="18"/>
          <w:szCs w:val="18"/>
          <w:color w:val="auto"/>
        </w:rPr>
        <w:t>In July</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FASB issued an accounting standard update on the financial statement presentation of unrecognized tax benefits when an NOL carryforward, a similar tax loss, or a tax credit carryforward exists. An unrecognized tax benefit, or a portion of an unrecognized tax benefit, should be presented in the financial statements as a reduction to a deferred tax asset for an NOL carryforward, a similar tax loss, or a tax credit carryforward. To the extent an NOL carryforward, a similar tax loss, or a tax credit carryforward is not available at the reporting date to settle any additional income taxes that would result from the disallowance of a tax position or the tax law does not require the entity to use, and the entity does not intend to use, the deferred tax asset for such purpose, the unrecognized tax benefit should be presented in the financial statements as a liability and should not be combined with deferred tax assets. This guidance was adopted in the first quarter of 2014, and did not have a material impact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Reporting Discontinued Operations and Disclosures of Disposals of Components of an Entity</w:t>
      </w:r>
      <w:r>
        <w:rPr>
          <w:rFonts w:ascii="Arial" w:cs="Arial" w:eastAsia="Arial" w:hAnsi="Arial"/>
          <w:sz w:val="16"/>
          <w:szCs w:val="16"/>
          <w:color w:val="auto"/>
        </w:rPr>
        <w:t>. In April 2014, the FASB issued an accounting standard update</w:t>
      </w:r>
      <w:r>
        <w:rPr>
          <w:rFonts w:ascii="Arial" w:cs="Arial" w:eastAsia="Arial" w:hAnsi="Arial"/>
          <w:sz w:val="16"/>
          <w:szCs w:val="16"/>
          <w:i w:val="1"/>
          <w:iCs w:val="1"/>
          <w:color w:val="auto"/>
        </w:rPr>
        <w:t xml:space="preserve"> </w:t>
      </w:r>
      <w:r>
        <w:rPr>
          <w:rFonts w:ascii="Arial" w:cs="Arial" w:eastAsia="Arial" w:hAnsi="Arial"/>
          <w:sz w:val="16"/>
          <w:szCs w:val="16"/>
          <w:color w:val="auto"/>
        </w:rPr>
        <w:t>modifying the criteria for determining which disposals should be presented as discontinued operations and modifying the related disclosure requirements. Additionally, the new guidance requires that a business which qualifies as held for sale upon acquisition should be reported as discontinued operations. The new guidance will be effective beginning in the first quarter of 2015, and will apply prospectively to new disposals and new classifications of disposal groups as held for sale. This guidance is not expected to have a material impact on our consolidated financial position, results of operations or cash flows.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FASB issued amended revenue recognition guidance to clarify the principles for recognizing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This accounting guidance is effective for the Company beginning in the first quarter of 2017 using one of two prescribed retrospective methods. Early adoption is not permitted for public companies. The Company is evaluating the impact of the amended revenue recognition guidance on the Company’s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our Energy Infrastructure and Related Services businesses; ALLETE Clean Energy, our business which acquired four wind energy facilities in 2014 and is developing a wind facility to be sold in 2015, and BNI Coal, our coal mining operations in North Dakota. Investments and Other also includes ALLETE Properties, our Florida real estate investment, and other business development and corporate expenditures, unallocated interest expense, a small amount of non-rate base generation, approximately 5,000 acres of land in Minnesota, and earnings on cash and investments. For a description of our reportable business segments, see Item 1. Business.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Regulated</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Investments</w:t>
            </w:r>
          </w:p>
        </w:tc>
      </w:tr>
      <w:tr>
        <w:trPr>
          <w:trHeight w:val="234"/>
        </w:trPr>
        <w:tc>
          <w:tcPr>
            <w:tcW w:w="6200" w:type="dxa"/>
            <w:vAlign w:val="bottom"/>
          </w:tcPr>
          <w:p>
            <w:pPr>
              <w:spacing w:after="0"/>
              <w:rPr>
                <w:sz w:val="20"/>
                <w:szCs w:val="20"/>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rPr>
              <w:t>Consolidated</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Operations</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2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$1,136.8</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$1,003.5</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$133.3</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356.1</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356.1</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456.2</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345.6</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110.6</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135.7</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118.0</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188.8</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183.8</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(54.8)</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19.6</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19.6</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8.6</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7.8</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162.2</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164.3</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36.7</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125.5</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124.4</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0.7</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Attributable to ALLETE</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$124.8</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$124.4</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2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$4,360.8</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$3,709.6</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$651.2</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$604.3</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$583.5</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76"/>
        </w:trPr>
        <w:tc>
          <w:tcPr>
            <w:tcW w:w="6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Regulated</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Investments</w:t>
            </w:r>
          </w:p>
        </w:tc>
      </w:tr>
      <w:tr>
        <w:trPr>
          <w:trHeight w:val="234"/>
        </w:trPr>
        <w:tc>
          <w:tcPr>
            <w:tcW w:w="6200" w:type="dxa"/>
            <w:vAlign w:val="bottom"/>
          </w:tcPr>
          <w:p>
            <w:pPr>
              <w:spacing w:after="0"/>
              <w:rPr>
                <w:sz w:val="20"/>
                <w:szCs w:val="20"/>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rPr>
              <w:t>Consolidated</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Operations</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2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$1,018.4</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$925.5</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$92.9</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334.8</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334.8</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412.9</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322.4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90.5</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116.6</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110.2</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154.1</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158.1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(50.3)</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20.3</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20.3</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9.3</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4.7</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133.4</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141.0</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28.7</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104.7</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104.9</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$104.7</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$104.9</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2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$3,476.8</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$3,160.8</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$339.5</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$326.3</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53"/>
        </w:trPr>
        <w:tc>
          <w:tcPr>
            <w:tcW w:w="6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Regulated</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Investments</w:t>
            </w:r>
          </w:p>
        </w:tc>
      </w:tr>
      <w:tr>
        <w:trPr>
          <w:trHeight w:val="234"/>
        </w:trPr>
        <w:tc>
          <w:tcPr>
            <w:tcW w:w="6200" w:type="dxa"/>
            <w:vAlign w:val="bottom"/>
          </w:tcPr>
          <w:p>
            <w:pPr>
              <w:spacing w:after="0"/>
              <w:rPr>
                <w:sz w:val="20"/>
                <w:szCs w:val="20"/>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rPr>
              <w:t>Consolidated</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Operations</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and Other</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25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$961.2</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$874.4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308.7</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308.7</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397.1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310.0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87.1</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100.2</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93.9</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155.2</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161.8</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(45.5)</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19.4</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19.4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135.1</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146.5</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38.0</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97.1</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96.1</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2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Attributable to ALLETE</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$97.1</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$96.1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2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2012</w:t>
            </w:r>
          </w:p>
        </w:tc>
        <w:tc>
          <w:tcPr>
            <w:tcW w:w="2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$3,253.4</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$2,962.4</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$432.2</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$418.2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6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4"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NOTE 3. PROPERTY, PLANT AND EQUIPMENT</w:t>
            </w:r>
          </w:p>
        </w:tc>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9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$3,903.3</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355.4</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303.9</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7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(1,260.2)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r>
      <w:tr>
        <w:trPr>
          <w:trHeight w:val="237"/>
        </w:trPr>
        <w:tc>
          <w:tcPr>
            <w:tcW w:w="6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Regulated Utility Plant - Net</w:t>
            </w:r>
          </w:p>
        </w:tc>
        <w:tc>
          <w:tcPr>
            <w:tcW w:w="3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2,998.5</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2,502.2</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Investments and Other Operations </w:t>
            </w:r>
            <w:r>
              <w:rPr>
                <w:rFonts w:ascii="Arial" w:cs="Arial" w:eastAsia="Arial" w:hAnsi="Arial"/>
                <w:sz w:val="18"/>
                <w:szCs w:val="18"/>
                <w:i w:val="1"/>
                <w:iCs w:val="1"/>
                <w:color w:val="auto"/>
              </w:rPr>
              <w:t>(a)</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357.8</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5.9</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7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(75.8)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37"/>
        </w:trPr>
        <w:tc>
          <w:tcPr>
            <w:tcW w:w="6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Investments and Other Operations Plant - Net</w:t>
            </w:r>
          </w:p>
        </w:tc>
        <w:tc>
          <w:tcPr>
            <w:tcW w:w="3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287.9</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$3,286.4</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$2,576.5</w:t>
            </w:r>
          </w:p>
        </w:tc>
      </w:tr>
      <w:tr>
        <w:trPr>
          <w:trHeight w:val="20"/>
        </w:trPr>
        <w:tc>
          <w:tcPr>
            <w:tcW w:w="654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primarily ALLETE Clean Energy, BNI Coal and a small amount of non-rate base generation.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Useful Lives of Property, Plant and Equipment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Generation</w:t>
            </w:r>
          </w:p>
        </w:tc>
        <w:tc>
          <w:tcPr>
            <w:tcW w:w="300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5 to 50 years</w:t>
            </w:r>
          </w:p>
        </w:tc>
        <w:tc>
          <w:tcPr>
            <w:tcW w:w="4140" w:type="dxa"/>
            <w:vAlign w:val="bottom"/>
            <w:tcBorders>
              <w:top w:val="single" w:sz="8" w:color="auto"/>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Distribution</w:t>
            </w:r>
          </w:p>
        </w:tc>
        <w:tc>
          <w:tcPr>
            <w:tcW w:w="262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18 to 65 years</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Transmission</w:t>
            </w:r>
          </w:p>
        </w:tc>
        <w:tc>
          <w:tcPr>
            <w:tcW w:w="3000" w:type="dxa"/>
            <w:vAlign w:val="bottom"/>
          </w:tcPr>
          <w:p>
            <w:pPr>
              <w:ind w:left="680"/>
              <w:spacing w:after="0"/>
              <w:rPr>
                <w:sz w:val="20"/>
                <w:szCs w:val="20"/>
                <w:color w:val="auto"/>
              </w:rPr>
            </w:pPr>
            <w:r>
              <w:rPr>
                <w:rFonts w:ascii="Arial" w:cs="Arial" w:eastAsia="Arial" w:hAnsi="Arial"/>
                <w:sz w:val="18"/>
                <w:szCs w:val="18"/>
                <w:color w:val="auto"/>
              </w:rPr>
              <w:t>44 to 67 years</w:t>
            </w:r>
          </w:p>
        </w:tc>
        <w:tc>
          <w:tcPr>
            <w:tcW w:w="4140" w:type="dxa"/>
            <w:vAlign w:val="bottom"/>
          </w:tcPr>
          <w:p>
            <w:pPr>
              <w:ind w:left="1320"/>
              <w:spacing w:after="0"/>
              <w:rPr>
                <w:sz w:val="20"/>
                <w:szCs w:val="20"/>
                <w:color w:val="auto"/>
              </w:rPr>
            </w:pPr>
            <w:r>
              <w:rPr>
                <w:rFonts w:ascii="Arial" w:cs="Arial" w:eastAsia="Arial" w:hAnsi="Arial"/>
                <w:sz w:val="18"/>
                <w:szCs w:val="18"/>
                <w:color w:val="auto"/>
              </w:rPr>
              <w:t>Investments and Other Operations</w:t>
            </w:r>
          </w:p>
        </w:tc>
        <w:tc>
          <w:tcPr>
            <w:tcW w:w="2620" w:type="dxa"/>
            <w:vAlign w:val="bottom"/>
          </w:tcPr>
          <w:p>
            <w:pPr>
              <w:ind w:left="360"/>
              <w:spacing w:after="0"/>
              <w:rPr>
                <w:sz w:val="20"/>
                <w:szCs w:val="20"/>
                <w:color w:val="auto"/>
              </w:rPr>
            </w:pPr>
            <w:r>
              <w:rPr>
                <w:rFonts w:ascii="Arial" w:cs="Arial" w:eastAsia="Arial" w:hAnsi="Arial"/>
                <w:sz w:val="18"/>
                <w:szCs w:val="18"/>
                <w:color w:val="auto"/>
              </w:rPr>
              <w:t>5 to 44 years</w:t>
            </w:r>
          </w:p>
        </w:tc>
      </w:tr>
      <w:tr>
        <w:trPr>
          <w:trHeight w:val="27"/>
        </w:trPr>
        <w:tc>
          <w:tcPr>
            <w:tcW w:w="16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development or normal operation of the asset. Asset retirement obligations (ARO) relate primarily to the decommissioning of our coal-fired and wind generating facilities and land reclamation at BNI Coal, and are included in Other Non-Current Liabilities on our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Conditional asset retirement obligations have been identified for treated wood poles and remaining polychlorinated biphenyl and asbestos-containing assets; however, removal costs have not been recognized because they are considered immaterial to our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Long-standing ratemaking practices approved by applicable state and federal regulatory commissions have allowed provisions for future plant removal costs in depreciation rates. These plant removal cost recoveries are classified either as AROs or as a regulatory liability for non-ARO obligations. To the extent annual accruals for plant removal costs differ from accruals under approved depreciation rates, a regulatory asset has been established in accordance with the guidance for AROs. (See Note 5. Regulatory Matters.)</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2012</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in estimated cash flows</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Obligation as of December 31, 2013</w:t>
            </w:r>
          </w:p>
        </w:tc>
        <w:tc>
          <w:tcPr>
            <w:tcW w:w="4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Liabilities recognized </w:t>
            </w:r>
            <w:r>
              <w:rPr>
                <w:rFonts w:ascii="Arial" w:cs="Arial" w:eastAsia="Arial" w:hAnsi="Arial"/>
                <w:sz w:val="18"/>
                <w:szCs w:val="18"/>
                <w:i w:val="1"/>
                <w:iCs w:val="1"/>
                <w:color w:val="auto"/>
              </w:rPr>
              <w:t>(a)</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Revisions in estimated cash flows</w:t>
            </w:r>
          </w:p>
        </w:tc>
        <w:tc>
          <w:tcPr>
            <w:tcW w:w="46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7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2014</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r>
      <w:tr>
        <w:trPr>
          <w:trHeight w:val="20"/>
        </w:trPr>
        <w:tc>
          <w:tcPr>
            <w:tcW w:w="6740" w:type="dxa"/>
            <w:vAlign w:val="bottom"/>
            <w:shd w:val="clear" w:color="auto" w:fill="000000"/>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increase in 2014 is primarily related to BNI Coal for coal mining expansion and ALLETE Clean Energy due to wind energy facilities acquisitions.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4. JOINTLY-OWNED FACILITIES AND PROJECTS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80 percent of the 585 MW Boswell Unit 4. While we operate the plant, certain decisions about the operations of Boswell Unit 4 are subject to the oversight of a committee on which we and WPPI Energy, the owner of the remaining 20 percent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participant in the CapX2020 initiative to ensure reliable electric transmission and distribution in the region surrounding our rate-regulated operations in Minnesota, along with other electric cooperatives, municipals, and investor-owned utilities. We are currently participating in one CapX2020 project and have completed two CapX2020 projects with varying ownership percentages.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jointly-owned facilities and projects and the related ownership percentages are as follows: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Accumulated</w:t>
            </w: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Construction Work in</w:t>
            </w:r>
          </w:p>
        </w:tc>
        <w:tc>
          <w:tcPr>
            <w:tcW w:w="1400" w:type="dxa"/>
            <w:vAlign w:val="bottom"/>
          </w:tcPr>
          <w:p>
            <w:pPr>
              <w:spacing w:after="0"/>
              <w:rPr>
                <w:sz w:val="18"/>
                <w:szCs w:val="18"/>
                <w:color w:val="auto"/>
              </w:rPr>
            </w:pPr>
          </w:p>
        </w:tc>
      </w:tr>
      <w:tr>
        <w:trPr>
          <w:trHeight w:val="234"/>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Regulated Utility Plant As of December 31</w:t>
            </w:r>
          </w:p>
        </w:tc>
        <w:tc>
          <w:tcPr>
            <w:tcW w:w="2320" w:type="dxa"/>
            <w:vAlign w:val="bottom"/>
          </w:tcPr>
          <w:p>
            <w:pPr>
              <w:jc w:val="right"/>
              <w:ind w:right="190"/>
              <w:spacing w:after="0"/>
              <w:rPr>
                <w:sz w:val="20"/>
                <w:szCs w:val="20"/>
                <w:color w:val="auto"/>
              </w:rPr>
            </w:pPr>
            <w:r>
              <w:rPr>
                <w:rFonts w:ascii="Arial" w:cs="Arial" w:eastAsia="Arial" w:hAnsi="Arial"/>
                <w:sz w:val="18"/>
                <w:szCs w:val="18"/>
                <w:b w:val="1"/>
                <w:bCs w:val="1"/>
                <w:color w:val="auto"/>
              </w:rPr>
              <w:t>Plant in Service</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Depreciation</w:t>
            </w: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Progress</w:t>
            </w:r>
          </w:p>
        </w:tc>
        <w:tc>
          <w:tcPr>
            <w:tcW w:w="1400" w:type="dxa"/>
            <w:vAlign w:val="bottom"/>
          </w:tcPr>
          <w:p>
            <w:pPr>
              <w:ind w:left="140"/>
              <w:spacing w:after="0"/>
              <w:rPr>
                <w:sz w:val="20"/>
                <w:szCs w:val="20"/>
                <w:color w:val="auto"/>
              </w:rPr>
            </w:pPr>
            <w:r>
              <w:rPr>
                <w:rFonts w:ascii="Arial" w:cs="Arial" w:eastAsia="Arial" w:hAnsi="Arial"/>
                <w:sz w:val="18"/>
                <w:szCs w:val="18"/>
                <w:b w:val="1"/>
                <w:bCs w:val="1"/>
                <w:color w:val="auto"/>
              </w:rPr>
              <w:t>% Ownership</w:t>
            </w:r>
          </w:p>
        </w:tc>
      </w:tr>
      <w:tr>
        <w:trPr>
          <w:trHeight w:val="27"/>
        </w:trPr>
        <w:tc>
          <w:tcPr>
            <w:tcW w:w="4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2014</w:t>
            </w:r>
          </w:p>
        </w:tc>
        <w:tc>
          <w:tcPr>
            <w:tcW w:w="2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160"/>
              <w:spacing w:after="0"/>
              <w:rPr>
                <w:sz w:val="20"/>
                <w:szCs w:val="20"/>
                <w:color w:val="auto"/>
              </w:rPr>
            </w:pPr>
            <w:r>
              <w:rPr>
                <w:rFonts w:ascii="Arial" w:cs="Arial" w:eastAsia="Arial" w:hAnsi="Arial"/>
                <w:sz w:val="18"/>
                <w:szCs w:val="18"/>
                <w:color w:val="auto"/>
              </w:rPr>
              <w:t>Boswell Unit 4</w:t>
            </w:r>
          </w:p>
        </w:tc>
        <w:tc>
          <w:tcPr>
            <w:tcW w:w="2320" w:type="dxa"/>
            <w:vAlign w:val="bottom"/>
          </w:tcPr>
          <w:p>
            <w:pPr>
              <w:jc w:val="right"/>
              <w:ind w:right="130"/>
              <w:spacing w:after="0"/>
              <w:rPr>
                <w:sz w:val="20"/>
                <w:szCs w:val="20"/>
                <w:color w:val="auto"/>
              </w:rPr>
            </w:pPr>
            <w:r>
              <w:rPr>
                <w:rFonts w:ascii="Arial" w:cs="Arial" w:eastAsia="Arial" w:hAnsi="Arial"/>
                <w:sz w:val="18"/>
                <w:szCs w:val="18"/>
                <w:color w:val="auto"/>
              </w:rPr>
              <w:t>$419.1</w:t>
            </w:r>
          </w:p>
        </w:tc>
        <w:tc>
          <w:tcPr>
            <w:tcW w:w="1540" w:type="dxa"/>
            <w:vAlign w:val="bottom"/>
          </w:tcPr>
          <w:p>
            <w:pPr>
              <w:jc w:val="right"/>
              <w:spacing w:after="0"/>
              <w:rPr>
                <w:sz w:val="20"/>
                <w:szCs w:val="20"/>
                <w:color w:val="auto"/>
              </w:rPr>
            </w:pPr>
            <w:r>
              <w:rPr>
                <w:rFonts w:ascii="Arial" w:cs="Arial" w:eastAsia="Arial" w:hAnsi="Arial"/>
                <w:sz w:val="18"/>
                <w:szCs w:val="18"/>
                <w:color w:val="auto"/>
              </w:rPr>
              <w:t>$209.1</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$168.1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7"/>
        </w:trPr>
        <w:tc>
          <w:tcPr>
            <w:tcW w:w="4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CapX2020 Projects</w:t>
            </w:r>
          </w:p>
        </w:tc>
        <w:tc>
          <w:tcPr>
            <w:tcW w:w="2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9.3 - 14.7</w:t>
            </w:r>
          </w:p>
        </w:tc>
      </w:tr>
      <w:tr>
        <w:trPr>
          <w:trHeight w:val="237"/>
        </w:trPr>
        <w:tc>
          <w:tcPr>
            <w:tcW w:w="4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$474.6</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$212.1</w:t>
            </w:r>
          </w:p>
        </w:tc>
        <w:tc>
          <w:tcPr>
            <w:tcW w:w="1400" w:type="dxa"/>
            <w:vAlign w:val="bottom"/>
            <w:tcBorders>
              <w:top w:val="single" w:sz="8" w:color="auto"/>
            </w:tcBorders>
          </w:tcPr>
          <w:p>
            <w:pPr>
              <w:spacing w:after="0"/>
              <w:rPr>
                <w:sz w:val="20"/>
                <w:szCs w:val="20"/>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2013</w:t>
            </w:r>
          </w:p>
        </w:tc>
        <w:tc>
          <w:tcPr>
            <w:tcW w:w="2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160"/>
              <w:spacing w:after="0"/>
              <w:rPr>
                <w:sz w:val="20"/>
                <w:szCs w:val="20"/>
                <w:color w:val="auto"/>
              </w:rPr>
            </w:pPr>
            <w:r>
              <w:rPr>
                <w:rFonts w:ascii="Arial" w:cs="Arial" w:eastAsia="Arial" w:hAnsi="Arial"/>
                <w:sz w:val="18"/>
                <w:szCs w:val="18"/>
                <w:color w:val="auto"/>
              </w:rPr>
              <w:t>Boswell Unit 4</w:t>
            </w:r>
          </w:p>
        </w:tc>
        <w:tc>
          <w:tcPr>
            <w:tcW w:w="2320" w:type="dxa"/>
            <w:vAlign w:val="bottom"/>
          </w:tcPr>
          <w:p>
            <w:pPr>
              <w:jc w:val="right"/>
              <w:ind w:right="130"/>
              <w:spacing w:after="0"/>
              <w:rPr>
                <w:sz w:val="20"/>
                <w:szCs w:val="20"/>
                <w:color w:val="auto"/>
              </w:rPr>
            </w:pPr>
            <w:r>
              <w:rPr>
                <w:rFonts w:ascii="Arial" w:cs="Arial" w:eastAsia="Arial" w:hAnsi="Arial"/>
                <w:sz w:val="18"/>
                <w:szCs w:val="18"/>
                <w:color w:val="auto"/>
              </w:rPr>
              <w:t>$416.1</w:t>
            </w:r>
          </w:p>
        </w:tc>
        <w:tc>
          <w:tcPr>
            <w:tcW w:w="1540" w:type="dxa"/>
            <w:vAlign w:val="bottom"/>
          </w:tcPr>
          <w:p>
            <w:pPr>
              <w:jc w:val="right"/>
              <w:spacing w:after="0"/>
              <w:rPr>
                <w:sz w:val="20"/>
                <w:szCs w:val="20"/>
                <w:color w:val="auto"/>
              </w:rPr>
            </w:pPr>
            <w:r>
              <w:rPr>
                <w:rFonts w:ascii="Arial" w:cs="Arial" w:eastAsia="Arial" w:hAnsi="Arial"/>
                <w:sz w:val="18"/>
                <w:szCs w:val="18"/>
                <w:color w:val="auto"/>
              </w:rPr>
              <w:t>$197.5</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$71.5</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7"/>
        </w:trPr>
        <w:tc>
          <w:tcPr>
            <w:tcW w:w="4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CapX2020 Projects</w:t>
            </w:r>
          </w:p>
        </w:tc>
        <w:tc>
          <w:tcPr>
            <w:tcW w:w="2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57.7</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9.3 - 14.7</w:t>
            </w:r>
          </w:p>
        </w:tc>
      </w:tr>
      <w:tr>
        <w:trPr>
          <w:trHeight w:val="237"/>
        </w:trPr>
        <w:tc>
          <w:tcPr>
            <w:tcW w:w="4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$438.9</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$129.2</w:t>
            </w:r>
          </w:p>
        </w:tc>
        <w:tc>
          <w:tcPr>
            <w:tcW w:w="1400" w:type="dxa"/>
            <w:vAlign w:val="bottom"/>
            <w:tcBorders>
              <w:top w:val="single" w:sz="8" w:color="auto"/>
            </w:tcBorders>
          </w:tcPr>
          <w:p>
            <w:pPr>
              <w:spacing w:after="0"/>
              <w:rPr>
                <w:sz w:val="20"/>
                <w:szCs w:val="20"/>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FERC-Approved Wholesale Rates. </w:t>
      </w:r>
      <w:r>
        <w:rPr>
          <w:rFonts w:ascii="Arial" w:cs="Arial" w:eastAsia="Arial" w:hAnsi="Arial"/>
          <w:sz w:val="16"/>
          <w:szCs w:val="16"/>
          <w:color w:val="auto"/>
        </w:rPr>
        <w:t>Minnesota Power has 16 non-affiliated municipal customers in Minnesota. SWL&amp;P is a Wisconsin utility and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of Minnesota Power. In April 2014, Minnesota Power amended its formula-based wholesale electric sales contract with the Nashwauk Public Utilities Commission, extending the term through June 30, 2026. The electric service agreements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agreement, no termination notice may be given prior to June 30, 2023. Under the agreements with the remaining 15 municipal customers and SWL&amp;P, no termination notices may be given prior to June 30, 2016.</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 which was approved by the MPUC on January 29, 2015. (See Note 1. Operations and Significant Accounting Policies.)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5. REGULATORY MATTERS (Continued)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Renewable Cost Recovery Rider. </w:t>
      </w:r>
      <w:r>
        <w:rPr>
          <w:rFonts w:ascii="Arial" w:cs="Arial" w:eastAsia="Arial" w:hAnsi="Arial"/>
          <w:sz w:val="16"/>
          <w:szCs w:val="16"/>
          <w:color w:val="auto"/>
        </w:rPr>
        <w:t>Construction on the 205 MW Bison 4 wind facility in North Dakota was completed with project costs totaling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$333 million through December 31, 2014. With the completion of Bison 4, the Bison Wind Energy Center in North Dakota consists of 497 MW of nameplate capacity. On January 17, 2014, the MPUC approved Minnesota Power’s petition seeking cost recovery for investments and expenditures related to Bison 4. Customer billing rates for our Bison 1, 2, &amp; 3 wind facilities were approved by the MPUC in a December 2013 order. On April 29, 2014 and November 10, 2014, we filed renewable resources factor filings which include updated costs associated with the Bison Wind Energy Center. Upon approval of the filings, we will be authorized to include updated billing rates on customer bills. (See Note 1. Operations and Significant Accounting Policies.)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29, 2015, the MPUC approved our petition seeking cost recovery for investments and expenditures related to the restoration and repair of Thomson through a renewable resources rider. The total project investment for Thomson is estimated to be approximately $90 million, net of insurance. (See Note 12. Commitments, Guarantees and Contingencies.)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Integrated Resource Plan</w:t>
      </w:r>
      <w:r>
        <w:rPr>
          <w:rFonts w:ascii="Arial" w:cs="Arial" w:eastAsia="Arial" w:hAnsi="Arial"/>
          <w:sz w:val="18"/>
          <w:szCs w:val="18"/>
          <w:color w:val="auto"/>
        </w:rPr>
        <w:t>. In a November 2013 order, the MPUC approved Minnesota Power’s 2013 Integrated Resource Plan which details our</w:t>
      </w:r>
      <w:r>
        <w:rPr>
          <w:rFonts w:ascii="Arial" w:cs="Arial" w:eastAsia="Arial" w:hAnsi="Arial"/>
          <w:sz w:val="18"/>
          <w:szCs w:val="18"/>
          <w:b w:val="1"/>
          <w:b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 Significant elements of the “EnergyForward” plan include major wind investments in North Dakota which were completed in the fourth quarter of 2014, installation of emissions control technology at Boswell Unit 4, planning for the proposed GNTL, conversion of Laskin from coal to natural gas in the second quarter of 2015 and retiring Taconite Harbor Unit 3 in the second quarter of 2015. We are required to submit our 2015 Integrated Resource Plan with the MPUC no later than September 1, 2015.</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Minnesota Mercury Emissions Reduction Act and the Federal MATS rule. In August 2012, Minnesota Power filed its mercury emissions reduction plan for Boswell Unit 4 with the MPUC and the MPCA. The plan proposed that Minnesota Power install pollution controls by early 2016 to address both the Minnesota Mercury Emissions Reduction Act requirements and the Federal MATS rule. Costs to implement the Boswell Unit 4 mercury emissions reduction plan are included in the estimated capital expenditures required for compliance with the MATS rule and are estimated to be approximately $250 million, of which $145 million was spent through December 31, 2014. In November 2013, the MPUC issued an order approving the Boswell Unit 4 mercury emissions reduction plan and cost recovery, establishing an environmental improvement rider. Also in November 2013, environmental intervenors filed a petition for reconsideration with the MPUC which was subsequently denied in an order dated January 17, 2014. The MPUC’s order was affirmed by the Minnesota Court of Appeals on November 3, 2014. In December 2013, Minnesota Power filed a petition with the MPUC to establish customer billing rates for the approved environmental improvement rider based on actual and estimated investments and expenditures, which was approved in an order dated July 2, 2014. On November 26, 2014, we filed an updated environmental improvement factor filing which included updated costs associated with Boswell Unit 4. Upon approval of this filing, we will be authorized to include updated billing rates on customer bills. (See Note 1. Operations and Significant Accounting Policies.)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Great Northern Transmission Line (GNTL)</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Manitoba Hydro have proposed construction of the GNTL, an approximately 220-mile</w:t>
      </w:r>
      <w:r>
        <w:rPr>
          <w:rFonts w:ascii="Arial" w:cs="Arial" w:eastAsia="Arial" w:hAnsi="Arial"/>
          <w:sz w:val="17"/>
          <w:szCs w:val="17"/>
          <w:b w:val="1"/>
          <w:bCs w:val="1"/>
          <w:color w:val="auto"/>
        </w:rPr>
        <w:t xml:space="preserve"> </w:t>
      </w:r>
      <w:r>
        <w:rPr>
          <w:rFonts w:ascii="Arial" w:cs="Arial" w:eastAsia="Arial" w:hAnsi="Arial"/>
          <w:sz w:val="17"/>
          <w:szCs w:val="17"/>
          <w:color w:val="auto"/>
        </w:rPr>
        <w:t>500 kV transmission line, between Manitoba and Minnesota’s Iron Range. The GNTL is subject to various federal and state regulatory approvals. In October 2013, a Certificate of Need application was filed with the MPUC with respect to the GNTL.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 (See Note 12. Commitments, Guarantees and Contingencies.)</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the accounting guidance for the effect of certain types of regulation.</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6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5. REGULATORY MATTERS (Continued)</w:t>
            </w:r>
          </w:p>
        </w:tc>
        <w:tc>
          <w:tcPr>
            <w:tcW w:w="30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7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b w:val="1"/>
                <w:bCs w:val="1"/>
                <w:i w:val="1"/>
                <w:iCs w:val="1"/>
                <w:color w:val="auto"/>
              </w:rPr>
              <w:t>(a)</w:t>
            </w:r>
          </w:p>
        </w:tc>
        <w:tc>
          <w:tcPr>
            <w:tcW w:w="30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Deferred Fuel Adjustment Clause</w:t>
            </w:r>
          </w:p>
        </w:tc>
        <w:tc>
          <w:tcPr>
            <w:tcW w:w="3060" w:type="dxa"/>
            <w:vAlign w:val="bottom"/>
          </w:tcPr>
          <w:p>
            <w:pPr>
              <w:jc w:val="right"/>
              <w:ind w:right="330"/>
              <w:spacing w:after="0"/>
              <w:rPr>
                <w:sz w:val="20"/>
                <w:szCs w:val="20"/>
                <w:color w:val="auto"/>
              </w:rPr>
            </w:pPr>
            <w:r>
              <w:rPr>
                <w:rFonts w:ascii="Arial" w:cs="Arial" w:eastAsia="Arial" w:hAnsi="Arial"/>
                <w:sz w:val="18"/>
                <w:szCs w:val="18"/>
                <w:color w:val="auto"/>
              </w:rPr>
              <w:t>$16.3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7"/>
        </w:trPr>
        <w:tc>
          <w:tcPr>
            <w:tcW w:w="7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Current Regulatory Assets</w:t>
            </w:r>
          </w:p>
        </w:tc>
        <w:tc>
          <w:tcPr>
            <w:tcW w:w="3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37"/>
        </w:trPr>
        <w:tc>
          <w:tcPr>
            <w:tcW w:w="7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0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3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223.9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(c)</w:t>
            </w:r>
          </w:p>
        </w:tc>
        <w:tc>
          <w:tcPr>
            <w:tcW w:w="3060" w:type="dxa"/>
            <w:vAlign w:val="bottom"/>
          </w:tcPr>
          <w:p>
            <w:pPr>
              <w:jc w:val="right"/>
              <w:ind w:right="330"/>
              <w:spacing w:after="0"/>
              <w:rPr>
                <w:sz w:val="20"/>
                <w:szCs w:val="20"/>
                <w:color w:val="auto"/>
              </w:rPr>
            </w:pPr>
            <w:r>
              <w:rPr>
                <w:rFonts w:ascii="Arial" w:cs="Arial" w:eastAsia="Arial" w:hAnsi="Arial"/>
                <w:sz w:val="18"/>
                <w:szCs w:val="18"/>
                <w:color w:val="auto"/>
              </w:rPr>
              <w:t>59.7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
        </w:trPr>
        <w:tc>
          <w:tcPr>
            <w:tcW w:w="7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46.6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3060" w:type="dxa"/>
            <w:vAlign w:val="bottom"/>
          </w:tcPr>
          <w:p>
            <w:pPr>
              <w:jc w:val="right"/>
              <w:ind w:right="330"/>
              <w:spacing w:after="0"/>
              <w:rPr>
                <w:sz w:val="20"/>
                <w:szCs w:val="20"/>
                <w:color w:val="auto"/>
              </w:rPr>
            </w:pPr>
            <w:r>
              <w:rPr>
                <w:rFonts w:ascii="Arial" w:cs="Arial" w:eastAsia="Arial" w:hAnsi="Arial"/>
                <w:sz w:val="18"/>
                <w:szCs w:val="18"/>
                <w:color w:val="auto"/>
              </w:rPr>
              <w:t>17.8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7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3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Other</w:t>
            </w:r>
          </w:p>
        </w:tc>
        <w:tc>
          <w:tcPr>
            <w:tcW w:w="3060" w:type="dxa"/>
            <w:vAlign w:val="bottom"/>
          </w:tcPr>
          <w:p>
            <w:pPr>
              <w:jc w:val="right"/>
              <w:ind w:right="330"/>
              <w:spacing w:after="0"/>
              <w:rPr>
                <w:sz w:val="20"/>
                <w:szCs w:val="20"/>
                <w:color w:val="auto"/>
              </w:rPr>
            </w:pPr>
            <w:r>
              <w:rPr>
                <w:rFonts w:ascii="Arial" w:cs="Arial" w:eastAsia="Arial" w:hAnsi="Arial"/>
                <w:sz w:val="18"/>
                <w:szCs w:val="18"/>
                <w:color w:val="auto"/>
              </w:rPr>
              <w:t>4.3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Regulatory Assets</w:t>
            </w:r>
          </w:p>
        </w:tc>
        <w:tc>
          <w:tcPr>
            <w:tcW w:w="3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357.3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r>
      <w:tr>
        <w:trPr>
          <w:trHeight w:val="237"/>
        </w:trPr>
        <w:tc>
          <w:tcPr>
            <w:tcW w:w="7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Assets</w:t>
            </w:r>
          </w:p>
        </w:tc>
        <w:tc>
          <w:tcPr>
            <w:tcW w:w="30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$373.6</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$286.8</w:t>
            </w:r>
          </w:p>
        </w:tc>
      </w:tr>
      <w:tr>
        <w:trPr>
          <w:trHeight w:val="27"/>
        </w:trPr>
        <w:tc>
          <w:tcPr>
            <w:tcW w:w="7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732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0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Wholesale and Retail Contra AFUDC</w:t>
            </w:r>
          </w:p>
        </w:tc>
        <w:tc>
          <w:tcPr>
            <w:tcW w:w="3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060" w:type="dxa"/>
            <w:vAlign w:val="bottom"/>
          </w:tcPr>
          <w:p>
            <w:pPr>
              <w:jc w:val="right"/>
              <w:ind w:right="330"/>
              <w:spacing w:after="0"/>
              <w:rPr>
                <w:sz w:val="20"/>
                <w:szCs w:val="20"/>
                <w:color w:val="auto"/>
              </w:rPr>
            </w:pPr>
            <w:r>
              <w:rPr>
                <w:rFonts w:ascii="Arial" w:cs="Arial" w:eastAsia="Arial" w:hAnsi="Arial"/>
                <w:sz w:val="18"/>
                <w:szCs w:val="18"/>
                <w:color w:val="auto"/>
              </w:rPr>
              <w:t>22.8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7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3060" w:type="dxa"/>
            <w:vAlign w:val="bottom"/>
          </w:tcPr>
          <w:p>
            <w:pPr>
              <w:jc w:val="right"/>
              <w:ind w:right="330"/>
              <w:spacing w:after="0"/>
              <w:rPr>
                <w:sz w:val="20"/>
                <w:szCs w:val="20"/>
                <w:color w:val="auto"/>
              </w:rPr>
            </w:pPr>
            <w:r>
              <w:rPr>
                <w:rFonts w:ascii="Arial" w:cs="Arial" w:eastAsia="Arial" w:hAnsi="Arial"/>
                <w:sz w:val="18"/>
                <w:szCs w:val="18"/>
                <w:color w:val="auto"/>
              </w:rPr>
              <w:t>3.5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7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37"/>
        </w:trPr>
        <w:tc>
          <w:tcPr>
            <w:tcW w:w="73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Non-Current Regulatory Liabilities</w:t>
            </w:r>
          </w:p>
        </w:tc>
        <w:tc>
          <w:tcPr>
            <w:tcW w:w="30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$94.2</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the Consolidated Balance Sheet. (See Note 17.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are due to capital expenditures related to our Bison Wind Energy Center, investment in CapX2020 projects, and the Boswell Unit 4 environmental upgrade and are recognized in accordance with the accounting standards for alternative revenue programs.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Rainy River Energy, owns approximately 8 percent of ATC, a Wisconsin-based utility that owns and maintains electric transmission assets in parts of Wisconsin, Michigan, Minnesota and Illinois. ATC rates are based on a FERC-approved 12.2 percent return on common equity dedicated to utility plant. We account for our investment in ATC under the equity method of accounting. As of December 31, 2014, our equity investment in ATC was $121.1 million ($114.6 million at December 31, 2013). On January 29, 2015, we invested an additional $0.4 million in ATC. In total, we expect to invest approximately $1.9 million throughout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ALLETE’s Investment in ATC</w:t>
            </w:r>
          </w:p>
        </w:tc>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Beginning Balance</w:t>
            </w:r>
          </w:p>
        </w:tc>
        <w:tc>
          <w:tcPr>
            <w:tcW w:w="4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$114.6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300" w:type="dxa"/>
            <w:vAlign w:val="bottom"/>
          </w:tcPr>
          <w:p>
            <w:pPr>
              <w:jc w:val="right"/>
              <w:ind w:right="370"/>
              <w:spacing w:after="0"/>
              <w:rPr>
                <w:sz w:val="20"/>
                <w:szCs w:val="20"/>
                <w:color w:val="auto"/>
              </w:rPr>
            </w:pPr>
            <w:r>
              <w:rPr>
                <w:rFonts w:ascii="Arial" w:cs="Arial" w:eastAsia="Arial" w:hAnsi="Arial"/>
                <w:sz w:val="18"/>
                <w:szCs w:val="18"/>
                <w:color w:val="auto"/>
              </w:rPr>
              <w:t>3.9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1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300" w:type="dxa"/>
            <w:vAlign w:val="bottom"/>
          </w:tcPr>
          <w:p>
            <w:pPr>
              <w:jc w:val="right"/>
              <w:ind w:right="310"/>
              <w:spacing w:after="0"/>
              <w:rPr>
                <w:sz w:val="20"/>
                <w:szCs w:val="20"/>
                <w:color w:val="auto"/>
              </w:rPr>
            </w:pPr>
            <w:r>
              <w:rPr>
                <w:rFonts w:ascii="Arial" w:cs="Arial" w:eastAsia="Arial" w:hAnsi="Arial"/>
                <w:sz w:val="18"/>
                <w:szCs w:val="18"/>
                <w:color w:val="auto"/>
              </w:rPr>
              <w:t>(17.0)</w:t>
            </w: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6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Ending Balance</w:t>
            </w:r>
          </w:p>
        </w:tc>
        <w:tc>
          <w:tcPr>
            <w:tcW w:w="4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$121.1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r>
      <w:tr>
        <w:trPr>
          <w:trHeight w:val="20"/>
        </w:trPr>
        <w:tc>
          <w:tcPr>
            <w:tcW w:w="61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6. INVESTMENT IN ATC (Continued)</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ATC Summarized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5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$66.4</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520" w:type="dxa"/>
            <w:vAlign w:val="bottom"/>
          </w:tcPr>
          <w:p>
            <w:pPr>
              <w:spacing w:after="0"/>
              <w:rPr>
                <w:sz w:val="21"/>
                <w:szCs w:val="21"/>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3,728.7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3,509.5</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$3,795.1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$3,590.2</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w:t>
            </w:r>
          </w:p>
        </w:tc>
        <w:tc>
          <w:tcPr>
            <w:tcW w:w="3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$313.1</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$381.4</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1,701.0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520" w:type="dxa"/>
            <w:vAlign w:val="bottom"/>
          </w:tcPr>
          <w:p>
            <w:pPr>
              <w:spacing w:after="0"/>
              <w:rPr>
                <w:sz w:val="21"/>
                <w:szCs w:val="21"/>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163.8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126.2</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Equity</w:t>
            </w:r>
          </w:p>
        </w:tc>
        <w:tc>
          <w:tcPr>
            <w:tcW w:w="3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1,617.2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1,532.6</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Members’ Equity</w:t>
            </w:r>
          </w:p>
        </w:tc>
        <w:tc>
          <w:tcPr>
            <w:tcW w:w="3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$3,795.1</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$3,590.2</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88"/>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5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$635.0</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$626.3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$603.2</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520" w:type="dxa"/>
            <w:vAlign w:val="bottom"/>
          </w:tcPr>
          <w:p>
            <w:pPr>
              <w:jc w:val="right"/>
              <w:ind w:right="290"/>
              <w:spacing w:after="0"/>
              <w:rPr>
                <w:sz w:val="20"/>
                <w:szCs w:val="20"/>
                <w:color w:val="auto"/>
              </w:rPr>
            </w:pPr>
            <w:r>
              <w:rPr>
                <w:rFonts w:ascii="Arial" w:cs="Arial" w:eastAsia="Arial" w:hAnsi="Arial"/>
                <w:sz w:val="18"/>
                <w:szCs w:val="18"/>
                <w:color w:val="auto"/>
              </w:rPr>
              <w:t>307.4</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295.1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281.0</w:t>
            </w:r>
          </w:p>
        </w:tc>
      </w:tr>
      <w:tr>
        <w:trPr>
          <w:trHeight w:val="27"/>
        </w:trPr>
        <w:tc>
          <w:tcPr>
            <w:tcW w:w="5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88.9</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83.6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$238.7</w:t>
            </w: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$247.6</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$237.4</w:t>
            </w:r>
          </w:p>
        </w:tc>
      </w:tr>
      <w:tr>
        <w:trPr>
          <w:trHeight w:val="27"/>
        </w:trPr>
        <w:tc>
          <w:tcPr>
            <w:tcW w:w="54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 in Net Income</w:t>
            </w:r>
          </w:p>
        </w:tc>
        <w:tc>
          <w:tcPr>
            <w:tcW w:w="3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$19.6</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0"/>
        </w:trPr>
        <w:tc>
          <w:tcPr>
            <w:tcW w:w="544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2013, several customer groups located within the MISO service area filed a complaint with the FERC requesting, among other things, a reduction in the base return on equity used by MISO transmission owners, including ATC, to 9.15 percent. ATC's current authorized return on equity is 12.2 percent. In the fourth quarter of 2014, FERC ordered formal hearing proceedings to begin and established a date for potential refunds from November 12, 2013. An initial decision in the complaint is expected by November 30, 2015. In the fourth quarter of 2014, ATC recorded approximately an $18 million refund liability as ATC believes that it is probable that a refund will be required upon ultimate resolution of this matter. The refund liability is subject to adjustment in future periods if assumptions in the estimate change. ATC’s refund liability negatively impacted our Equity Earnings in ATC by approximately $1 million after-tax in 2014. We own approximately 8 percent of ATC and estimate that for every 50 basis point reduction in ATC’s allowed return on equity our equity earnings in ATC would be impacted annually by approximately $0.5 million on an after-tax basis.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acquisitions below are consistent with ALLETE’s stated strategy of investing in energy infrastructure and related services to complement its core regulated utility, balance exposure to business cycles and changing demand, and provide potential long-term earnings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ACE Wind Acquisition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30, 2014, ALLETE Clean Energy acquired wind energy facilities located in Lake Benton, Minnesota (Lake Benton), Storm Lake, Iowa (Storm Lake II) and Condon, Oregon (Condon) from The AES Corporation (AES) for $26.9 million. ALLETE Clean Energy also has an option to acquire a fourth wind energy facility from AES in Armenia Mountain, Pennsylvania (Armenia Mountain), in June 2015.</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Lake Benton, Storm Lake II and Condon have 104 MW, 77 MW and 50 MW of generating capability, respectively. Lake Benton and Storm Lake II began commercial operations in 1998,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in June 2015. Armenia Mountain began operations in 2009.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7. ACQUISITIONS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ALLETE Clean Energy acquired a controlling interest in the limited liability company (LLC) which owns Lake Benton and Storm Lake II, and a controlling interest in the LLC that owns Condon. The acquisition was accounted for as a business combination and the purchase price was allocated based on the estimated fair values of the assets acquired and the liabilities assumed at the date of acquisition. In connection with finalizing purchase price accounting, the Company recorded minor adjustments to certain assets and liabilities, which are reflected in the table below. These adjustments had no impact on the results of operations.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204470</wp:posOffset>
            </wp:positionV>
            <wp:extent cx="7143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75"/>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75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3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w:t>
            </w:r>
          </w:p>
        </w:tc>
      </w:tr>
      <w:tr>
        <w:trPr>
          <w:trHeight w:val="27"/>
        </w:trPr>
        <w:tc>
          <w:tcPr>
            <w:tcW w:w="75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6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(b)</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Due Within One Year</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758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75"/>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18"/>
                <w:szCs w:val="18"/>
                <w:i w:val="1"/>
                <w:iCs w:val="1"/>
                <w:color w:val="auto"/>
              </w:rPr>
              <w:t>(c)</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75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and Non-Controlling Interest Assumed</w:t>
            </w:r>
          </w:p>
        </w:tc>
        <w:tc>
          <w:tcPr>
            <w:tcW w:w="3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r>
      <w:tr>
        <w:trPr>
          <w:trHeight w:val="27"/>
        </w:trPr>
        <w:tc>
          <w:tcPr>
            <w:tcW w:w="75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3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758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for the option to purchase Armenia Mountain in 2015, and goodwill of $2.9 million; for tax purposes, the purchase price allocation resulted in no allocation to goodwill.</w:t>
      </w: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Other Current Liabilities included $12.4 million related to the current liabilities portion of the Power Purchase Agreements.</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The purchase price accounting valued the non-controlling interest related to Lake Benton, Storm Lake II and Condon at fair value using the discounted cash flow method. The non-controlling interest related to Lake Benton and Storm Lake II was subsequently purchased by ALLETE Clean Energy.</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 incurred $1.4 million after-tax of acquisition-related costs in 2014, which were expensed when incurred and were recorded in Other Expense on the Consolidated Statement of Income. The pro forma impact of this acquisition was not material to the results of the Company for the years ended December 31, 2014 and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11, 2014, ALLETE Clean Energy purchased the non-controlling interest related to Lake Benton and Storm Lake II for $6.0 million. This was accounted for as an equity transaction, and no gain or loss was recognized in net income or other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Montana-Dakota Utilities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20, 2014, ALLETE Clean Energy acquired a business for $27.0 million which is developing a wind facility near Hettinger, North Dakota. ALLETE Clean Energy will develop and construct a 107 MW wind farm using 43 turbines which will then be sold to Montana-Dakota Utilities Co., a division of MDU Resources Group, Inc., for approximately $200 million. Construction is expected to be completed in December 2015, and the sale is subject to regulatory approvals.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liabilities assumed at the date of acquisition. Fair value measurements were valued primarily using the replacement cost method and determined that the assets acquired amounted to cash of approximately $3.6 million and construction in process of approximately $23.4 million. There were no liabilities assumed and no recognition of goodwill.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expensed as incurred and were not material for the year ended December 31, 2014. The pro forma impacts of this acquisition also were not material to the results of the Company for the years ended December 31, 2014 and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6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7. ACQUISITIONS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2014, $48.2 million of construction costs incurred (including the construction costs acquired) and $54.3 million of construction deposits received from Montana-Dakota Utilities Co. have been classified on the Consolidated Balance Sheet as Other Current Assets and Other Current Liabilities, respectively. Subject to regulatory approval, ALLETE expects revenue to be recognized under the percentage of completion method of accounting as progress toward completion of the project is achieved. Until regulatory approval is obtained, we expect no impact from the project on the Consolidated Statement of Income. Costs to construct the wind facility and deposits received from Montana-Dakota Utilities Co. are reported as Construction Costs for Development Project in investing activities and Construction Deposits Received for Development Project in financing activities on the Consolidated Statement of Cash Flows,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Storm Lake I Acquisition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December 17, 2014, ALLETE Clean Energy acquired a wind generation facility in Storm Lake, Iowa (Storm Lake I) from NRG Energy, Inc. for $15.0 million, subject to a working capital adjustment.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Storm Lake I has 108 MW of generating capability and is located adjacent to Storm Lake II which ALLETE Clean Energy acquired in January 2014. The wind generation facility began commercial operations in 1999 and has a PPA in place for its entire output which expires in 2018.</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preliminary estimated fair values of the assets acquired and liabilities assumed at the date of acquisition, as shown in the table below. The allocation of the purchase price is subject to judgment and the preliminary estimated fair value of the assets acquired and liabilities assumed may be adjusted when the valuation analysis is completed in subsequent periods. Preliminary estimates subject to adjustment in subsequent periods relating primarily to property, plant and equipment and the PPA; subsequent adjustments could impact the amount of goodwill recorded or result in a bargain purchase.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37"/>
        </w:trPr>
        <w:tc>
          <w:tcPr>
            <w:tcW w:w="694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4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(b)</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7"/>
        </w:trPr>
        <w:tc>
          <w:tcPr>
            <w:tcW w:w="694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$0.4 million of restricted cash and an immaterial amount of goodwill; for tax purposes, the purchase price allocation resulted in no allocation to goodwill.</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Other Current Liabilities included $7.5 million related to the current liabilities portion of the Power Purchase Agreements.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were expensed as incurred and were not material for the year ended December 31, 2014. The pro forma impacts of this acquisition also were not material to the results of the Company for the years ended December 31, 2014 and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ALLETE Clean Energy Purchase Agreement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December 31, 2014, ALLETE Clean Energy signed a purchase agreement to acquire wind facilities in southern Minnesota for approximately $47.5 million, subject to a working capital adjustment.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facilities have 97.5 MW of generating capability and are located near our Lake Benton facility acquired in January 2014. The wind facilities began commercial operations in 2003 and have PPAs in place for the entire output, which expire in 2018 and 2023. The acquisition is expected to close in the first quarter of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8.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December 31, 2014, our investment portfolio included the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4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9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$88.2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480" w:type="dxa"/>
            <w:vAlign w:val="bottom"/>
          </w:tcPr>
          <w:p>
            <w:pPr>
              <w:jc w:val="right"/>
              <w:ind w:right="330"/>
              <w:spacing w:after="0"/>
              <w:rPr>
                <w:sz w:val="20"/>
                <w:szCs w:val="20"/>
                <w:color w:val="auto"/>
              </w:rPr>
            </w:pPr>
            <w:r>
              <w:rPr>
                <w:rFonts w:ascii="Arial" w:cs="Arial" w:eastAsia="Arial" w:hAnsi="Arial"/>
                <w:sz w:val="18"/>
                <w:szCs w:val="18"/>
                <w:color w:val="auto"/>
              </w:rPr>
              <w:t>18.9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59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(b)</w:t>
            </w:r>
          </w:p>
        </w:tc>
        <w:tc>
          <w:tcPr>
            <w:tcW w:w="4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Other</w:t>
            </w:r>
          </w:p>
        </w:tc>
        <w:tc>
          <w:tcPr>
            <w:tcW w:w="448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9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$114.4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r>
      <w:tr>
        <w:trPr>
          <w:trHeight w:val="20"/>
        </w:trPr>
        <w:tc>
          <w:tcPr>
            <w:tcW w:w="590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As of December 31, 2014, the aggregate amount of available-for-sale corporate debt securities maturing in one year or less was $0.6 million, in one year to less than three years was $1.7 million, in three years to less than five years was $2.6 million, and in five or more years was $5.9 million.</w:t>
      </w:r>
    </w:p>
    <w:p>
      <w:pPr>
        <w:ind w:left="340" w:hanging="332"/>
        <w:spacing w:after="0"/>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During 2014, cash included in Other Investments was transferred to Cash and Cash Equivalents.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3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72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31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$85.4</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724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3160" w:type="dxa"/>
            <w:vAlign w:val="bottom"/>
          </w:tcPr>
          <w:p>
            <w:pPr>
              <w:jc w:val="right"/>
              <w:ind w:right="410"/>
              <w:spacing w:after="0"/>
              <w:rPr>
                <w:sz w:val="20"/>
                <w:szCs w:val="20"/>
                <w:color w:val="auto"/>
              </w:rPr>
            </w:pPr>
            <w:r>
              <w:rPr>
                <w:rFonts w:ascii="Arial" w:cs="Arial" w:eastAsia="Arial" w:hAnsi="Arial"/>
                <w:sz w:val="18"/>
                <w:szCs w:val="18"/>
                <w:color w:val="auto"/>
              </w:rPr>
              <w:t>(2.2)</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0.6</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7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3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83.8</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7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31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Other</w:t>
            </w:r>
          </w:p>
        </w:tc>
        <w:tc>
          <w:tcPr>
            <w:tcW w:w="3160" w:type="dxa"/>
            <w:vAlign w:val="bottom"/>
          </w:tcPr>
          <w:p>
            <w:pPr>
              <w:jc w:val="right"/>
              <w:ind w:right="470"/>
              <w:spacing w:after="0"/>
              <w:rPr>
                <w:sz w:val="20"/>
                <w:szCs w:val="20"/>
                <w:color w:val="auto"/>
              </w:rPr>
            </w:pPr>
            <w:r>
              <w:rPr>
                <w:rFonts w:ascii="Arial" w:cs="Arial" w:eastAsia="Arial" w:hAnsi="Arial"/>
                <w:sz w:val="18"/>
                <w:szCs w:val="18"/>
                <w:color w:val="auto"/>
              </w:rPr>
              <w:t>3.2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72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31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$88.2</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0"/>
        </w:trPr>
        <w:tc>
          <w:tcPr>
            <w:tcW w:w="724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indicators of impairment on a quarterly basis and no impairments were recorded for the year ended December 31, 2014 (none for the years ended December 31, 2013 and 2012).</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Long-Term Finance Receivables</w:t>
      </w:r>
      <w:r>
        <w:rPr>
          <w:rFonts w:ascii="Arial" w:cs="Arial" w:eastAsia="Arial" w:hAnsi="Arial"/>
          <w:sz w:val="18"/>
          <w:szCs w:val="18"/>
          <w:color w:val="auto"/>
        </w:rPr>
        <w:t>. As of December 31, 2014, long-term finance receivables were $1.2 million net of an allowance ($1.4 million net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as of December 31, 2013). Long-term finance receivables are collateralized by property sold, accrue interest at market-based rates and are net of an allowance for doubtful accounts. As of December 31, 2014, the allowance for doubtful accounts amounted to $0.6 million ($0.6 million as of December 31, 2013).</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purchaser defaults on a sales contract, the legal remedy is usually limited to terminating the contract and retaining the purchaser’s deposit. The property is then available for resale. Contract purchasers may incur significant costs during due diligence, planning, designing and marketing the property before the contract closes, therefore they may have substantially more at risk than the deposit.</w:t>
      </w:r>
    </w:p>
    <w:p>
      <w:pPr>
        <w:spacing w:after="0" w:line="17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Available-for-Sale Investments. </w:t>
      </w:r>
      <w:r>
        <w:rPr>
          <w:rFonts w:ascii="Arial" w:cs="Arial" w:eastAsia="Arial" w:hAnsi="Arial"/>
          <w:sz w:val="17"/>
          <w:szCs w:val="17"/>
          <w:color w:val="auto"/>
        </w:rPr>
        <w:t>We account for our available-for-sale portfolio in accordance with the guidance for certain investments in debt and equity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Our available-for-sale securities portfolio consisted of securities held in other postretirement plans to fund employee benefits.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8. INVESTMENTS (Continued)</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80" w:type="dxa"/>
            <w:vAlign w:val="bottom"/>
          </w:tcPr>
          <w:p>
            <w:pPr>
              <w:spacing w:after="0"/>
              <w:rPr>
                <w:sz w:val="20"/>
                <w:szCs w:val="20"/>
                <w:color w:val="auto"/>
              </w:rPr>
            </w:pPr>
          </w:p>
        </w:tc>
        <w:tc>
          <w:tcPr>
            <w:tcW w:w="3080" w:type="dxa"/>
            <w:vAlign w:val="bottom"/>
            <w:gridSpan w:val="2"/>
          </w:tcPr>
          <w:p>
            <w:pPr>
              <w:ind w:left="920"/>
              <w:spacing w:after="0"/>
              <w:rPr>
                <w:sz w:val="20"/>
                <w:szCs w:val="20"/>
                <w:color w:val="auto"/>
              </w:rPr>
            </w:pPr>
            <w:r>
              <w:rPr>
                <w:rFonts w:ascii="Arial" w:cs="Arial" w:eastAsia="Arial" w:hAnsi="Arial"/>
                <w:sz w:val="18"/>
                <w:szCs w:val="18"/>
                <w:b w:val="1"/>
                <w:bCs w:val="1"/>
                <w:color w:val="auto"/>
              </w:rPr>
              <w:t>Gross Unrealized</w:t>
            </w:r>
          </w:p>
        </w:tc>
        <w:tc>
          <w:tcPr>
            <w:tcW w:w="1700" w:type="dxa"/>
            <w:vAlign w:val="bottom"/>
          </w:tcPr>
          <w:p>
            <w:pPr>
              <w:spacing w:after="0"/>
              <w:rPr>
                <w:sz w:val="20"/>
                <w:szCs w:val="20"/>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08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Cost</w:t>
            </w:r>
          </w:p>
        </w:tc>
        <w:tc>
          <w:tcPr>
            <w:tcW w:w="1600" w:type="dxa"/>
            <w:vAlign w:val="bottom"/>
          </w:tcPr>
          <w:p>
            <w:pPr>
              <w:ind w:left="600"/>
              <w:spacing w:after="0"/>
              <w:rPr>
                <w:sz w:val="20"/>
                <w:szCs w:val="20"/>
                <w:color w:val="auto"/>
              </w:rPr>
            </w:pPr>
            <w:r>
              <w:rPr>
                <w:rFonts w:ascii="Arial" w:cs="Arial" w:eastAsia="Arial" w:hAnsi="Arial"/>
                <w:sz w:val="18"/>
                <w:szCs w:val="18"/>
                <w:b w:val="1"/>
                <w:bCs w:val="1"/>
                <w:color w:val="auto"/>
              </w:rPr>
              <w:t>Gain</w:t>
            </w:r>
          </w:p>
        </w:tc>
        <w:tc>
          <w:tcPr>
            <w:tcW w:w="1480" w:type="dxa"/>
            <w:vAlign w:val="bottom"/>
          </w:tcPr>
          <w:p>
            <w:pPr>
              <w:ind w:left="620"/>
              <w:spacing w:after="0"/>
              <w:rPr>
                <w:sz w:val="20"/>
                <w:szCs w:val="20"/>
                <w:color w:val="auto"/>
              </w:rPr>
            </w:pPr>
            <w:r>
              <w:rPr>
                <w:rFonts w:ascii="Arial" w:cs="Arial" w:eastAsia="Arial" w:hAnsi="Arial"/>
                <w:sz w:val="18"/>
                <w:szCs w:val="18"/>
                <w:b w:val="1"/>
                <w:bCs w:val="1"/>
                <w:color w:val="auto"/>
              </w:rPr>
              <w:t>Loss</w:t>
            </w:r>
          </w:p>
        </w:tc>
        <w:tc>
          <w:tcPr>
            <w:tcW w:w="170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35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080" w:type="dxa"/>
            <w:vAlign w:val="bottom"/>
            <w:tcBorders>
              <w:bottom w:val="single" w:sz="8" w:color="CCEEFF"/>
            </w:tcBorders>
            <w:shd w:val="clear" w:color="auto" w:fill="CCEEFF"/>
          </w:tcPr>
          <w:p>
            <w:pPr>
              <w:jc w:val="center"/>
              <w:ind w:left="1390"/>
              <w:spacing w:after="0"/>
              <w:rPr>
                <w:sz w:val="20"/>
                <w:szCs w:val="20"/>
                <w:color w:val="auto"/>
              </w:rPr>
            </w:pPr>
            <w:r>
              <w:rPr>
                <w:rFonts w:ascii="Arial" w:cs="Arial" w:eastAsia="Arial" w:hAnsi="Arial"/>
                <w:sz w:val="18"/>
                <w:szCs w:val="18"/>
                <w:color w:val="auto"/>
                <w:w w:val="88"/>
              </w:rPr>
              <w:t>$19.6</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$0.9</w:t>
            </w:r>
          </w:p>
        </w:tc>
        <w:tc>
          <w:tcPr>
            <w:tcW w:w="17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$18.9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2013</w:t>
            </w:r>
          </w:p>
        </w:tc>
        <w:tc>
          <w:tcPr>
            <w:tcW w:w="3080" w:type="dxa"/>
            <w:vAlign w:val="bottom"/>
          </w:tcPr>
          <w:p>
            <w:pPr>
              <w:jc w:val="center"/>
              <w:ind w:left="1390"/>
              <w:spacing w:after="0"/>
              <w:rPr>
                <w:sz w:val="20"/>
                <w:szCs w:val="20"/>
                <w:color w:val="auto"/>
              </w:rPr>
            </w:pPr>
            <w:r>
              <w:rPr>
                <w:rFonts w:ascii="Arial" w:cs="Arial" w:eastAsia="Arial" w:hAnsi="Arial"/>
                <w:sz w:val="18"/>
                <w:szCs w:val="18"/>
                <w:color w:val="auto"/>
                <w:w w:val="88"/>
              </w:rPr>
              <w:t>$18.3</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640"/>
              <w:spacing w:after="0"/>
              <w:rPr>
                <w:sz w:val="20"/>
                <w:szCs w:val="20"/>
                <w:color w:val="auto"/>
              </w:rPr>
            </w:pPr>
            <w:r>
              <w:rPr>
                <w:rFonts w:ascii="Arial" w:cs="Arial" w:eastAsia="Arial" w:hAnsi="Arial"/>
                <w:sz w:val="18"/>
                <w:szCs w:val="18"/>
                <w:color w:val="auto"/>
              </w:rPr>
              <w:t>$0.6</w:t>
            </w:r>
          </w:p>
        </w:tc>
        <w:tc>
          <w:tcPr>
            <w:tcW w:w="1700" w:type="dxa"/>
            <w:vAlign w:val="bottom"/>
          </w:tcPr>
          <w:p>
            <w:pPr>
              <w:jc w:val="center"/>
              <w:ind w:left="10"/>
              <w:spacing w:after="0"/>
              <w:rPr>
                <w:sz w:val="20"/>
                <w:szCs w:val="20"/>
                <w:color w:val="auto"/>
              </w:rPr>
            </w:pPr>
            <w:r>
              <w:rPr>
                <w:rFonts w:ascii="Arial" w:cs="Arial" w:eastAsia="Arial" w:hAnsi="Arial"/>
                <w:sz w:val="18"/>
                <w:szCs w:val="18"/>
                <w:color w:val="auto"/>
                <w:w w:val="88"/>
              </w:rPr>
              <w:t>$17.7</w:t>
            </w:r>
          </w:p>
        </w:tc>
      </w:tr>
      <w:tr>
        <w:trPr>
          <w:trHeight w:val="27"/>
        </w:trPr>
        <w:tc>
          <w:tcPr>
            <w:tcW w:w="3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3080" w:type="dxa"/>
            <w:vAlign w:val="bottom"/>
            <w:tcBorders>
              <w:bottom w:val="single" w:sz="8" w:color="CCEEFF"/>
            </w:tcBorders>
            <w:shd w:val="clear" w:color="auto" w:fill="CCEEFF"/>
          </w:tcPr>
          <w:p>
            <w:pPr>
              <w:jc w:val="center"/>
              <w:ind w:left="1390"/>
              <w:spacing w:after="0"/>
              <w:rPr>
                <w:sz w:val="20"/>
                <w:szCs w:val="20"/>
                <w:color w:val="auto"/>
              </w:rPr>
            </w:pPr>
            <w:r>
              <w:rPr>
                <w:rFonts w:ascii="Arial" w:cs="Arial" w:eastAsia="Arial" w:hAnsi="Arial"/>
                <w:sz w:val="18"/>
                <w:szCs w:val="18"/>
                <w:color w:val="auto"/>
                <w:w w:val="88"/>
              </w:rPr>
              <w:t>$27.4</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$1.1</w:t>
            </w:r>
          </w:p>
        </w:tc>
        <w:tc>
          <w:tcPr>
            <w:tcW w:w="17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$26.8</w:t>
            </w:r>
          </w:p>
        </w:tc>
      </w:tr>
      <w:tr>
        <w:trPr>
          <w:trHeight w:val="20"/>
        </w:trPr>
        <w:tc>
          <w:tcPr>
            <w:tcW w:w="356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3760" w:type="dxa"/>
            <w:vAlign w:val="bottom"/>
          </w:tcPr>
          <w:p>
            <w:pPr>
              <w:jc w:val="center"/>
              <w:ind w:left="1950"/>
              <w:spacing w:after="0"/>
              <w:rPr>
                <w:sz w:val="20"/>
                <w:szCs w:val="20"/>
                <w:color w:val="auto"/>
              </w:rPr>
            </w:pPr>
            <w:r>
              <w:rPr>
                <w:rFonts w:ascii="Arial" w:cs="Arial" w:eastAsia="Arial" w:hAnsi="Arial"/>
                <w:sz w:val="18"/>
                <w:szCs w:val="18"/>
                <w:b w:val="1"/>
                <w:bCs w:val="1"/>
                <w:color w:val="auto"/>
                <w:w w:val="96"/>
              </w:rPr>
              <w:t>Net</w:t>
            </w:r>
          </w:p>
        </w:tc>
        <w:tc>
          <w:tcPr>
            <w:tcW w:w="94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Gross Realized</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760" w:type="dxa"/>
            <w:vAlign w:val="bottom"/>
          </w:tcPr>
          <w:p>
            <w:pPr>
              <w:jc w:val="center"/>
              <w:ind w:left="1950"/>
              <w:spacing w:after="0"/>
              <w:rPr>
                <w:sz w:val="20"/>
                <w:szCs w:val="20"/>
                <w:color w:val="auto"/>
              </w:rPr>
            </w:pPr>
            <w:r>
              <w:rPr>
                <w:rFonts w:ascii="Arial" w:cs="Arial" w:eastAsia="Arial" w:hAnsi="Arial"/>
                <w:sz w:val="18"/>
                <w:szCs w:val="18"/>
                <w:b w:val="1"/>
                <w:bCs w:val="1"/>
                <w:color w:val="auto"/>
                <w:w w:val="83"/>
              </w:rPr>
              <w:t>Proceeds</w:t>
            </w:r>
          </w:p>
        </w:tc>
        <w:tc>
          <w:tcPr>
            <w:tcW w:w="940" w:type="dxa"/>
            <w:vAlign w:val="bottom"/>
          </w:tcPr>
          <w:p>
            <w:pPr>
              <w:ind w:left="540"/>
              <w:spacing w:after="0"/>
              <w:rPr>
                <w:sz w:val="20"/>
                <w:szCs w:val="20"/>
                <w:color w:val="auto"/>
              </w:rPr>
            </w:pPr>
            <w:r>
              <w:rPr>
                <w:rFonts w:ascii="Arial" w:cs="Arial" w:eastAsia="Arial" w:hAnsi="Arial"/>
                <w:sz w:val="18"/>
                <w:szCs w:val="18"/>
                <w:b w:val="1"/>
                <w:bCs w:val="1"/>
                <w:color w:val="auto"/>
                <w:w w:val="94"/>
              </w:rPr>
              <w:t>Gain</w:t>
            </w:r>
          </w:p>
        </w:tc>
        <w:tc>
          <w:tcPr>
            <w:tcW w:w="2180" w:type="dxa"/>
            <w:vAlign w:val="bottom"/>
          </w:tcPr>
          <w:p>
            <w:pPr>
              <w:jc w:val="center"/>
              <w:ind w:left="490"/>
              <w:spacing w:after="0"/>
              <w:rPr>
                <w:sz w:val="20"/>
                <w:szCs w:val="20"/>
                <w:color w:val="auto"/>
              </w:rPr>
            </w:pPr>
            <w:r>
              <w:rPr>
                <w:rFonts w:ascii="Arial" w:cs="Arial" w:eastAsia="Arial" w:hAnsi="Arial"/>
                <w:sz w:val="18"/>
                <w:szCs w:val="18"/>
                <w:b w:val="1"/>
                <w:bCs w:val="1"/>
                <w:color w:val="auto"/>
                <w:w w:val="85"/>
              </w:rPr>
              <w:t>Loss</w:t>
            </w:r>
          </w:p>
        </w:tc>
      </w:tr>
      <w:tr>
        <w:trPr>
          <w:trHeight w:val="27"/>
        </w:trPr>
        <w:tc>
          <w:tcPr>
            <w:tcW w:w="45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760" w:type="dxa"/>
            <w:vAlign w:val="bottom"/>
            <w:tcBorders>
              <w:bottom w:val="single" w:sz="8" w:color="CCEEFF"/>
            </w:tcBorders>
            <w:shd w:val="clear" w:color="auto" w:fill="CCEEFF"/>
          </w:tcPr>
          <w:p>
            <w:pPr>
              <w:jc w:val="center"/>
              <w:ind w:left="1950"/>
              <w:spacing w:after="0"/>
              <w:rPr>
                <w:sz w:val="20"/>
                <w:szCs w:val="20"/>
                <w:color w:val="auto"/>
              </w:rPr>
            </w:pPr>
            <w:r>
              <w:rPr>
                <w:rFonts w:ascii="Arial" w:cs="Arial" w:eastAsia="Arial" w:hAnsi="Arial"/>
                <w:sz w:val="18"/>
                <w:szCs w:val="18"/>
                <w:color w:val="auto"/>
                <w:w w:val="91"/>
              </w:rPr>
              <w:t>$3.6</w:t>
            </w:r>
          </w:p>
        </w:tc>
        <w:tc>
          <w:tcPr>
            <w:tcW w:w="9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5"/>
              </w:rPr>
              <w:t>$0.2</w:t>
            </w:r>
          </w:p>
        </w:tc>
        <w:tc>
          <w:tcPr>
            <w:tcW w:w="21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2013</w:t>
            </w:r>
          </w:p>
        </w:tc>
        <w:tc>
          <w:tcPr>
            <w:tcW w:w="3760" w:type="dxa"/>
            <w:vAlign w:val="bottom"/>
          </w:tcPr>
          <w:p>
            <w:pPr>
              <w:jc w:val="center"/>
              <w:ind w:left="1950"/>
              <w:spacing w:after="0"/>
              <w:rPr>
                <w:sz w:val="20"/>
                <w:szCs w:val="20"/>
                <w:color w:val="auto"/>
              </w:rPr>
            </w:pPr>
            <w:r>
              <w:rPr>
                <w:rFonts w:ascii="Arial" w:cs="Arial" w:eastAsia="Arial" w:hAnsi="Arial"/>
                <w:sz w:val="18"/>
                <w:szCs w:val="18"/>
                <w:color w:val="auto"/>
                <w:w w:val="88"/>
              </w:rPr>
              <w:t>$16.1</w:t>
            </w: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85"/>
              </w:rPr>
              <w:t>$2.2</w:t>
            </w:r>
          </w:p>
        </w:tc>
        <w:tc>
          <w:tcPr>
            <w:tcW w:w="2180" w:type="dxa"/>
            <w:vAlign w:val="bottom"/>
          </w:tcPr>
          <w:p>
            <w:pPr>
              <w:jc w:val="center"/>
              <w:ind w:left="510"/>
              <w:spacing w:after="0"/>
              <w:rPr>
                <w:sz w:val="20"/>
                <w:szCs w:val="20"/>
                <w:color w:val="auto"/>
              </w:rPr>
            </w:pPr>
            <w:r>
              <w:rPr>
                <w:rFonts w:ascii="Arial" w:cs="Arial" w:eastAsia="Arial" w:hAnsi="Arial"/>
                <w:sz w:val="18"/>
                <w:szCs w:val="18"/>
                <w:color w:val="auto"/>
                <w:w w:val="99"/>
              </w:rPr>
              <w:t>—</w:t>
            </w:r>
          </w:p>
        </w:tc>
      </w:tr>
      <w:tr>
        <w:trPr>
          <w:trHeight w:val="27"/>
        </w:trPr>
        <w:tc>
          <w:tcPr>
            <w:tcW w:w="4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3760" w:type="dxa"/>
            <w:vAlign w:val="bottom"/>
            <w:tcBorders>
              <w:bottom w:val="single" w:sz="8" w:color="CCEEFF"/>
            </w:tcBorders>
            <w:shd w:val="clear" w:color="auto" w:fill="CCEEFF"/>
          </w:tcPr>
          <w:p>
            <w:pPr>
              <w:jc w:val="center"/>
              <w:ind w:left="1950"/>
              <w:spacing w:after="0"/>
              <w:rPr>
                <w:sz w:val="20"/>
                <w:szCs w:val="20"/>
                <w:color w:val="auto"/>
              </w:rPr>
            </w:pPr>
            <w:r>
              <w:rPr>
                <w:rFonts w:ascii="Arial" w:cs="Arial" w:eastAsia="Arial" w:hAnsi="Arial"/>
                <w:sz w:val="18"/>
                <w:szCs w:val="18"/>
                <w:color w:val="auto"/>
                <w:w w:val="91"/>
              </w:rPr>
              <w:t>$1.5</w:t>
            </w:r>
          </w:p>
        </w:tc>
        <w:tc>
          <w:tcPr>
            <w:tcW w:w="9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r>
      <w:tr>
        <w:trPr>
          <w:trHeight w:val="20"/>
        </w:trPr>
        <w:tc>
          <w:tcPr>
            <w:tcW w:w="454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one variable-to-fixed interest rate swap (Swap), designated as a cash flow hedge, in order to manage the interest rate risk associated with a $75.0 million term loan which represents approximately 5 percent of the Company’s outstanding long-term debt, including long-term debt due within one year, as of December 31, 2014. (See Note 11. Short-Term and Long-Term Debt.) The Swap has an effective date of August 26, 2014, and matures on August 25, 2015. The Swap involves the receipt of the one-month LIBOR in exchange for fixed interest payments over the life of the agreement at 0.75 percent without an exchange of the underlying notional amount. Cash flows from the Swap are expected to be highly effective. If it is determined that the Swap ceases to be effective, we will prospectively discontinue hedge accounting. When applicable, we use the shortcut method to assess hedge effectiveness. If the shortcut method is not applicable, we assess effectiveness using the “change-in-variable-cash-flows” method. Our assessment of hedge effectiveness resulted in no ineffectiveness recorded for the year ended December 31, 2014. As of December 31, 2014, the fair value of the Swap was a $0.3 million liability which was included in Other Current Liabilities on the Consolidated Balance Sheet. The fair value as of December 31, 2013, included an additional variable to fixed interest rate swap that expired on August 26, 2014, with an aggregate fair value at December 31, 2013 of $0.6 million of which $0.3 million was included in Other Non-Current Liabilities and $0.3 million was included in Other Current Liabilities on the Consolidated Balance Sheet. Changes in the fair value of the Swap were recorded in Accumulated Other Comprehensive Loss on the Consolidated Balance Sheet. Cash flows from the Swap are presented in the same category as the hedged item on the Consolidated Statement of Cash Flows. Amounts recorded in Other Comprehensive Income related to the Swap will be recorded in earnings when the hedged transactions occurs or when it is probable it will not occur. Gains or losses on the interest rate hedging transaction are reflected as a component of Interest Expense on the Consolidated Statement of Income.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mutual fund investments held to fund employee benefits.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10. FAIR VALUE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fixed income securities, and derivative instruments consisting of cash flow hedges.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December 31, 2014 and 2013.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tables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53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Fair Value as of December 31, 2014</w:t>
            </w:r>
          </w:p>
        </w:tc>
        <w:tc>
          <w:tcPr>
            <w:tcW w:w="680" w:type="dxa"/>
            <w:vAlign w:val="bottom"/>
          </w:tcPr>
          <w:p>
            <w:pPr>
              <w:spacing w:after="0"/>
              <w:rPr>
                <w:sz w:val="20"/>
                <w:szCs w:val="20"/>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Level 3</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5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 Equity Securities</w:t>
            </w:r>
          </w:p>
        </w:tc>
        <w:tc>
          <w:tcPr>
            <w:tcW w:w="2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$8.1</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Available-for-sale – Corporate Debt Securities</w:t>
            </w:r>
          </w:p>
        </w:tc>
        <w:tc>
          <w:tcPr>
            <w:tcW w:w="2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$10.8</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5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2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$11.0</w:t>
            </w:r>
          </w:p>
        </w:tc>
        <w:tc>
          <w:tcPr>
            <w:tcW w:w="11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$10.8</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5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91"/>
        </w:trPr>
        <w:tc>
          <w:tcPr>
            <w:tcW w:w="54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$16.2</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5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$16.5</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$11.0</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$(5.7)</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on the Consolidated Balance Sheet.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4"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NOTE 10. FAIR VALUE (Continued)</w:t>
            </w:r>
          </w:p>
        </w:tc>
        <w:tc>
          <w:tcPr>
            <w:tcW w:w="2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94"/>
        </w:trPr>
        <w:tc>
          <w:tcPr>
            <w:tcW w:w="5440" w:type="dxa"/>
            <w:vAlign w:val="bottom"/>
          </w:tcPr>
          <w:p>
            <w:pPr>
              <w:spacing w:after="0"/>
              <w:rPr>
                <w:sz w:val="24"/>
                <w:szCs w:val="24"/>
                <w:color w:val="auto"/>
              </w:rPr>
            </w:pPr>
          </w:p>
        </w:tc>
        <w:tc>
          <w:tcPr>
            <w:tcW w:w="53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Fair Value as of December 31, 2013</w:t>
            </w:r>
          </w:p>
        </w:tc>
        <w:tc>
          <w:tcPr>
            <w:tcW w:w="680" w:type="dxa"/>
            <w:vAlign w:val="bottom"/>
          </w:tcPr>
          <w:p>
            <w:pPr>
              <w:spacing w:after="0"/>
              <w:rPr>
                <w:sz w:val="24"/>
                <w:szCs w:val="24"/>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Level 3</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5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 Equity Securities</w:t>
            </w:r>
          </w:p>
        </w:tc>
        <w:tc>
          <w:tcPr>
            <w:tcW w:w="2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$7.9</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Available-for-sale – Corporate Debt Securities</w:t>
            </w:r>
          </w:p>
        </w:tc>
        <w:tc>
          <w:tcPr>
            <w:tcW w:w="2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$9.8</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5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2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34.2</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$42.1</w:t>
            </w:r>
          </w:p>
        </w:tc>
        <w:tc>
          <w:tcPr>
            <w:tcW w:w="11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$9.8</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5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91"/>
        </w:trPr>
        <w:tc>
          <w:tcPr>
            <w:tcW w:w="54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$16.8</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0.6</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$17.4</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$42.1</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$(7.6)</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and Other Non-Current Liabilities on the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in Level 3 during the years ended December 31, 2014 or 2013.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policy is to recognize transfers in and transfers out as of the actual date of the event or change in circumstances that caused the transfer. For the years ended December 31, 2014 and 2013, there were no transfers in or out of Levels 1, 2 or 3.</w:t>
      </w:r>
    </w:p>
    <w:p>
      <w:pPr>
        <w:spacing w:after="0" w:line="166"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 listed in the table below, the estimated fair value of all financial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approximates the carrying amount. The fair value for the item below was based on quoted market prices for the same or similar instruments (Level 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2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Carrying Amount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4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December 31, 2014</w:t>
            </w:r>
          </w:p>
        </w:tc>
        <w:tc>
          <w:tcPr>
            <w:tcW w:w="4120" w:type="dxa"/>
            <w:vAlign w:val="bottom"/>
          </w:tcPr>
          <w:p>
            <w:pPr>
              <w:jc w:val="center"/>
              <w:ind w:left="1690"/>
              <w:spacing w:after="0"/>
              <w:rPr>
                <w:sz w:val="20"/>
                <w:szCs w:val="20"/>
                <w:color w:val="auto"/>
              </w:rPr>
            </w:pPr>
            <w:r>
              <w:rPr>
                <w:rFonts w:ascii="Arial" w:cs="Arial" w:eastAsia="Arial" w:hAnsi="Arial"/>
                <w:sz w:val="18"/>
                <w:szCs w:val="18"/>
                <w:color w:val="auto"/>
                <w:w w:val="88"/>
              </w:rPr>
              <w:t>$1,373.5</w:t>
            </w: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88"/>
              </w:rPr>
              <w:t>$1,484.5</w:t>
            </w:r>
          </w:p>
        </w:tc>
      </w:tr>
      <w:tr>
        <w:trPr>
          <w:trHeight w:val="27"/>
        </w:trPr>
        <w:tc>
          <w:tcPr>
            <w:tcW w:w="5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2013</w:t>
            </w:r>
          </w:p>
        </w:tc>
        <w:tc>
          <w:tcPr>
            <w:tcW w:w="412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88"/>
              </w:rPr>
              <w:t>$1,110.2</w:t>
            </w:r>
          </w:p>
        </w:tc>
        <w:tc>
          <w:tcPr>
            <w:tcW w:w="18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8"/>
              </w:rPr>
              <w:t>$1,131.7</w:t>
            </w:r>
          </w:p>
        </w:tc>
      </w:tr>
      <w:tr>
        <w:trPr>
          <w:trHeight w:val="20"/>
        </w:trPr>
        <w:tc>
          <w:tcPr>
            <w:tcW w:w="546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11. SHORT-TERM AND LONG-TERM DEBT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December 31, 2014, total short-term debt outstanding was $104.4 million ($27.2 million as of December 31, 2013) and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due within one year and notes payable.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we had bank lines of credit aggregating $408.4 million ($406.4 million as of December 31, 2013), the majority of which expire in November 2018. We had $47.5 million outstanding in standby letters of credit and $3.7 million outstanding in draws under our lines of credit as of December 31, 2014 ($5.4 million in standby letters of credit and no draws outstanding as of December 31, 2013).</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As of December 31, 2014, total long-term debt outstanding was $1,272.8 million ($1,083.0 million as of December 31, 2013). In</w:t>
      </w:r>
      <w:r>
        <w:rPr>
          <w:rFonts w:ascii="Arial" w:cs="Arial" w:eastAsia="Arial" w:hAnsi="Arial"/>
          <w:sz w:val="17"/>
          <w:szCs w:val="17"/>
          <w:b w:val="1"/>
          <w:bCs w:val="1"/>
          <w:color w:val="auto"/>
        </w:rPr>
        <w:t xml:space="preserve"> </w:t>
      </w:r>
      <w:r>
        <w:rPr>
          <w:rFonts w:ascii="Arial" w:cs="Arial" w:eastAsia="Arial" w:hAnsi="Arial"/>
          <w:sz w:val="17"/>
          <w:szCs w:val="17"/>
          <w:color w:val="auto"/>
        </w:rPr>
        <w:t>conjunction with ALLETE Clean Energy’s January 30, 2014 wind energy facilities acquisition, ALLETE Clean Energy assumed $23.3 million of long-term debt, including $2.2 million due within one year. (See Note 7. Acquisitions.) The aggregate amount of long-term debt maturing in 2015 is $100.7 million ($24.9 million in 2016; $54.6 million in 2017; $54.8 million in 2018; $46.9 million in 2019; and $1,091.6 million thereafter). Substantially all of our regulated electric plant is subject to the lien of the mortgage collateralizing outstanding first mortgage bonds. The mortgages contain non-financial covenants customary in utility mortgages, including restrictions on our ability to incur liens, dispose of assets, and merge with other entities.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During 2014, we issued $375.0 million of ALLETE first mortgage bonds (Bonds) in the private placement market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3"/>
              </w:rPr>
              <w:t>Interest Rate</w:t>
            </w:r>
          </w:p>
        </w:tc>
      </w:tr>
      <w:tr>
        <w:trPr>
          <w:trHeight w:val="27"/>
        </w:trPr>
        <w:tc>
          <w:tcPr>
            <w:tcW w:w="2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4, 2014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15, 2024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$60 Million</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3.69%</w:t>
            </w:r>
          </w:p>
        </w:tc>
      </w:tr>
      <w:tr>
        <w:trPr>
          <w:trHeight w:val="243"/>
        </w:trPr>
        <w:tc>
          <w:tcPr>
            <w:tcW w:w="2900" w:type="dxa"/>
            <w:vAlign w:val="bottom"/>
          </w:tcPr>
          <w:p>
            <w:pPr>
              <w:jc w:val="center"/>
              <w:spacing w:after="0"/>
              <w:rPr>
                <w:sz w:val="20"/>
                <w:szCs w:val="20"/>
                <w:color w:val="auto"/>
              </w:rPr>
            </w:pPr>
            <w:r>
              <w:rPr>
                <w:rFonts w:ascii="Arial" w:cs="Arial" w:eastAsia="Arial" w:hAnsi="Arial"/>
                <w:sz w:val="18"/>
                <w:szCs w:val="18"/>
                <w:color w:val="auto"/>
                <w:w w:val="90"/>
              </w:rPr>
              <w:t>March 4, 2014</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March 15, 2044</w:t>
            </w:r>
          </w:p>
        </w:tc>
        <w:tc>
          <w:tcPr>
            <w:tcW w:w="296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4.95%</w:t>
            </w:r>
          </w:p>
        </w:tc>
      </w:tr>
      <w:tr>
        <w:trPr>
          <w:trHeight w:val="27"/>
        </w:trPr>
        <w:tc>
          <w:tcPr>
            <w:tcW w:w="2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26, 2014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15, 2022</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$75 Million</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3.40%</w:t>
            </w:r>
          </w:p>
        </w:tc>
      </w:tr>
      <w:tr>
        <w:trPr>
          <w:trHeight w:val="243"/>
        </w:trPr>
        <w:tc>
          <w:tcPr>
            <w:tcW w:w="2900" w:type="dxa"/>
            <w:vAlign w:val="bottom"/>
          </w:tcPr>
          <w:p>
            <w:pPr>
              <w:jc w:val="center"/>
              <w:spacing w:after="0"/>
              <w:rPr>
                <w:sz w:val="20"/>
                <w:szCs w:val="20"/>
                <w:color w:val="auto"/>
              </w:rPr>
            </w:pPr>
            <w:r>
              <w:rPr>
                <w:rFonts w:ascii="Arial" w:cs="Arial" w:eastAsia="Arial" w:hAnsi="Arial"/>
                <w:sz w:val="18"/>
                <w:szCs w:val="18"/>
                <w:color w:val="auto"/>
                <w:w w:val="87"/>
              </w:rPr>
              <w:t>June 26, 2014</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July 15, 2044</w:t>
            </w:r>
          </w:p>
        </w:tc>
        <w:tc>
          <w:tcPr>
            <w:tcW w:w="296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5.05%</w:t>
            </w:r>
          </w:p>
        </w:tc>
      </w:tr>
      <w:tr>
        <w:trPr>
          <w:trHeight w:val="27"/>
        </w:trPr>
        <w:tc>
          <w:tcPr>
            <w:tcW w:w="2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16, 2014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2021</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$60 Million</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3.02%</w:t>
            </w:r>
          </w:p>
        </w:tc>
      </w:tr>
      <w:tr>
        <w:trPr>
          <w:trHeight w:val="243"/>
        </w:trPr>
        <w:tc>
          <w:tcPr>
            <w:tcW w:w="2900" w:type="dxa"/>
            <w:vAlign w:val="bottom"/>
          </w:tcPr>
          <w:p>
            <w:pPr>
              <w:jc w:val="center"/>
              <w:spacing w:after="0"/>
              <w:rPr>
                <w:sz w:val="20"/>
                <w:szCs w:val="20"/>
                <w:color w:val="auto"/>
              </w:rPr>
            </w:pPr>
            <w:r>
              <w:rPr>
                <w:rFonts w:ascii="Arial" w:cs="Arial" w:eastAsia="Arial" w:hAnsi="Arial"/>
                <w:sz w:val="18"/>
                <w:szCs w:val="18"/>
                <w:color w:val="auto"/>
                <w:w w:val="88"/>
              </w:rPr>
              <w:t>September 16, 2014</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September 15, 2029</w:t>
            </w:r>
          </w:p>
        </w:tc>
        <w:tc>
          <w:tcPr>
            <w:tcW w:w="2960" w:type="dxa"/>
            <w:vAlign w:val="bottom"/>
          </w:tcPr>
          <w:p>
            <w:pPr>
              <w:jc w:val="center"/>
              <w:spacing w:after="0"/>
              <w:rPr>
                <w:sz w:val="20"/>
                <w:szCs w:val="20"/>
                <w:color w:val="auto"/>
              </w:rPr>
            </w:pPr>
            <w:r>
              <w:rPr>
                <w:rFonts w:ascii="Arial" w:cs="Arial" w:eastAsia="Arial" w:hAnsi="Arial"/>
                <w:sz w:val="18"/>
                <w:szCs w:val="18"/>
                <w:color w:val="auto"/>
                <w:w w:val="97"/>
              </w:rPr>
              <w:t>$50 Million</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3.74%</w:t>
            </w:r>
          </w:p>
        </w:tc>
      </w:tr>
      <w:tr>
        <w:trPr>
          <w:trHeight w:val="27"/>
        </w:trPr>
        <w:tc>
          <w:tcPr>
            <w:tcW w:w="2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16, 2014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2044</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$50 Million</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4.39%</w:t>
            </w:r>
          </w:p>
        </w:tc>
      </w:tr>
      <w:tr>
        <w:trPr>
          <w:trHeight w:val="20"/>
        </w:trPr>
        <w:tc>
          <w:tcPr>
            <w:tcW w:w="290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the option to prepay all or a portion of the Bonds at its discretion, subject to a make-whole provision; however, each series of bonds is redeemable at par, including, in each case, accrued and unpaid interest, six months prior to the maturity date. The Bonds are subject to additional terms and conditions which are customary for these types of transactions. The Company used the proceeds from the sale of the Bonds to refinance debt, fund utility capital expenditures and/or for general corporate purposes. The Bonds were sold in reliance on an exemption from registration under Section 4(a)(2) of the Securities Act of 1933, as amended, to institutional accredited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6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11. SHORT-TERM AND LONG-TERM DEBT (Continued)</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3" w:lineRule="exact"/>
        <w:rPr>
          <w:sz w:val="20"/>
          <w:szCs w:val="20"/>
          <w:color w:val="auto"/>
        </w:rPr>
      </w:pPr>
    </w:p>
    <w:p>
      <w:pPr>
        <w:ind w:left="40"/>
        <w:spacing w:after="0"/>
        <w:tabs>
          <w:tab w:leader="none" w:pos="9820" w:val="left"/>
          <w:tab w:leader="none" w:pos="10940" w:val="left"/>
        </w:tabs>
        <w:rPr>
          <w:sz w:val="20"/>
          <w:szCs w:val="20"/>
          <w:color w:val="auto"/>
        </w:rPr>
      </w:pPr>
      <w:r>
        <w:rPr>
          <w:rFonts w:ascii="Arial" w:cs="Arial" w:eastAsia="Arial" w:hAnsi="Arial"/>
          <w:sz w:val="18"/>
          <w:szCs w:val="18"/>
          <w:b w:val="1"/>
          <w:bCs w:val="1"/>
          <w:color w:val="auto"/>
        </w:rPr>
        <w:t>As of December 31</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Mortgage Bonds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6.94%</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2014</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$18.0</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2016</w:t>
            </w:r>
          </w:p>
        </w:tc>
        <w:tc>
          <w:tcPr>
            <w:tcW w:w="2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1.83%</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2018</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50.0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2019</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5.28%</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2020</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35.0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2021</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2021</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2022</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7660" w:type="dxa"/>
            <w:vAlign w:val="bottom"/>
          </w:tcPr>
          <w:p>
            <w:pPr>
              <w:ind w:left="20"/>
              <w:spacing w:after="0"/>
              <w:rPr>
                <w:sz w:val="20"/>
                <w:szCs w:val="20"/>
                <w:color w:val="auto"/>
              </w:rPr>
            </w:pPr>
            <w:r>
              <w:rPr>
                <w:rFonts w:ascii="Arial" w:cs="Arial" w:eastAsia="Arial" w:hAnsi="Arial"/>
                <w:sz w:val="18"/>
                <w:szCs w:val="18"/>
                <w:color w:val="auto"/>
              </w:rPr>
              <w:t>Pollution Control Series F Due 2022</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111.0</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2023</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2024</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2025</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5.10%</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2025</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30.0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2026</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5.99%</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2027</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2028</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3.74%</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2029</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50.0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2036</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6.00%</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2040</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35.0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2040</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4.08%</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2042</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85.0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2043</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2044</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40.0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2044</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4.39%</w:t>
            </w:r>
          </w:p>
        </w:tc>
        <w:tc>
          <w:tcPr>
            <w:tcW w:w="7660" w:type="dxa"/>
            <w:vAlign w:val="bottom"/>
          </w:tcPr>
          <w:p>
            <w:pPr>
              <w:ind w:left="20"/>
              <w:spacing w:after="0"/>
              <w:rPr>
                <w:sz w:val="20"/>
                <w:szCs w:val="20"/>
                <w:color w:val="auto"/>
              </w:rPr>
            </w:pPr>
            <w:r>
              <w:rPr>
                <w:rFonts w:ascii="Arial" w:cs="Arial" w:eastAsia="Arial" w:hAnsi="Arial"/>
                <w:sz w:val="18"/>
                <w:szCs w:val="18"/>
                <w:color w:val="auto"/>
              </w:rPr>
              <w:t>Series Due 2044</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50.0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Term Loan Variable Rate Due 2015</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Senior Unsecured Notes 5.99% Due 2017</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50.0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32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Demand Revenue Refunding Bonds Series 1997 A Due 2015 – 2020</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24.6</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27.8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832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SWL&amp;P First Mortgage Bonds 4.15% Series Due 2028</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Long-Term Debt, 0.08% – 7.50% Due 2015 – 2037</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59.1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832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1,373.5</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1,110.2</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Less: Due Within One Year</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100.7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832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Debt</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$1,272.8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$1,083.0</w:t>
            </w:r>
          </w:p>
        </w:tc>
      </w:tr>
      <w:tr>
        <w:trPr>
          <w:trHeight w:val="20"/>
        </w:trPr>
        <w:tc>
          <w:tcPr>
            <w:tcW w:w="660" w:type="dxa"/>
            <w:vAlign w:val="bottom"/>
            <w:shd w:val="clear" w:color="auto" w:fill="000000"/>
          </w:tcPr>
          <w:p>
            <w:pPr>
              <w:spacing w:after="0" w:line="20" w:lineRule="exact"/>
              <w:rPr>
                <w:sz w:val="1"/>
                <w:szCs w:val="1"/>
                <w:color w:val="auto"/>
              </w:rPr>
            </w:pPr>
          </w:p>
        </w:tc>
        <w:tc>
          <w:tcPr>
            <w:tcW w:w="76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covenant requires ALLETE to maintain a ratio of indebtedness to total capitalization (as the amounts are calculated in accordance with the respective long-term debt arrangements) of less than or equal to 0.65 to 1.00, measured quarterly. As of December 31, 2014, our ratio was approximately 0.47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2014, ALLETE was in compliance with its financial covenants.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12.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Agreement,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2014, Square Butte had total debt outstanding of $402.9 million. Annual debt service for Square Butte is expected to be approximately $45 million in each of the next five years, 2015 through 2019,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cost of power purchased from Square Butte during 2014 was $70.1 million ($71.1 million in 2013; $67.1 million in 2012). This reflects Minnesota Power’s pro rata share of total Square Butte costs based on the 50 percent output entitlement. Included in this amount was Minnesota Power’s pro rata share of interest expense of $10.5 million in 2014 ($10.5 million in 2013; $11.1 million in 2012). Minnesota Power’s payments to Square Butte are approved as a purchased power expense for ratemaking purposes by both the MPUC and the FERC.</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Minnkota Power Sales Agreement. </w:t>
      </w:r>
      <w:r>
        <w:rPr>
          <w:rFonts w:ascii="Arial" w:cs="Arial" w:eastAsia="Arial" w:hAnsi="Arial"/>
          <w:sz w:val="16"/>
          <w:szCs w:val="16"/>
          <w:color w:val="auto"/>
        </w:rPr>
        <w:t>In December 2009, Minnesota Power entered into a power sales agreement with Minnkota Power, which commenced June</w:t>
      </w:r>
      <w:r>
        <w:rPr>
          <w:rFonts w:ascii="Arial" w:cs="Arial" w:eastAsia="Arial" w:hAnsi="Arial"/>
          <w:sz w:val="16"/>
          <w:szCs w:val="16"/>
          <w:i w:val="1"/>
          <w:iCs w:val="1"/>
          <w:color w:val="auto"/>
        </w:rPr>
        <w:t xml:space="preserve"> </w:t>
      </w:r>
      <w:r>
        <w:rPr>
          <w:rFonts w:ascii="Arial" w:cs="Arial" w:eastAsia="Arial" w:hAnsi="Arial"/>
          <w:sz w:val="16"/>
          <w:szCs w:val="16"/>
          <w:color w:val="auto"/>
        </w:rPr>
        <w:t>1, 2014. Under the power sales agreement, Minnesota Power is selling a portion of its output from Square Butte to Minnkota Power, resulting in Minnkota Power’s net entitlement increasing and Minnesota Power’s net entitlement decreasing until Minnesota Power’s share is eliminated at the end of 2025.</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from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Minnesota Power entered into two long-term wind PPAs with an affiliate of NextEra Energy, Inc. to purchase the output from</w:t>
      </w:r>
      <w:r>
        <w:rPr>
          <w:rFonts w:ascii="Arial" w:cs="Arial" w:eastAsia="Arial" w:hAnsi="Arial"/>
          <w:sz w:val="18"/>
          <w:szCs w:val="18"/>
          <w:i w:val="1"/>
          <w:iCs w:val="1"/>
          <w:color w:val="auto"/>
        </w:rPr>
        <w:t xml:space="preserve"> </w:t>
      </w:r>
      <w:r>
        <w:rPr>
          <w:rFonts w:ascii="Arial" w:cs="Arial" w:eastAsia="Arial" w:hAnsi="Arial"/>
          <w:sz w:val="18"/>
          <w:szCs w:val="18"/>
          <w:color w:val="auto"/>
        </w:rPr>
        <w:t>Oliver Wind I (50 MW) and Oliver Wind II (48 MW)—wind facilities located near Center, North Dakota that expire in 2031 and 2032, respectively. Each agreement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Construction of Manitoba Hydro’s hydroelectric generation facility commenced in the third quarter of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2014, Minnesota Power and Manitoba Hydro signed a long-term PPA that provides for Minnesota Power to purchase up to 133 MW of energy from Manitoba Hydro for 20 years beginning in 2020. The agreement was approved by the MPUC in an order dated January 30, 2015, and is subject to the construction of the GNTL.</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Great River Energy PPAs. </w:t>
      </w:r>
      <w:r>
        <w:rPr>
          <w:rFonts w:ascii="Arial" w:cs="Arial" w:eastAsia="Arial" w:hAnsi="Arial"/>
          <w:sz w:val="16"/>
          <w:szCs w:val="16"/>
          <w:color w:val="auto"/>
        </w:rPr>
        <w:t>In August 2014 and January 2015, Minnesota Power and Great River Energy signed long-term PPAs that provide for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to purchase 50 MW of capacity and energy under the first PPA and 50 MW of capacity only under the second PPA. The PPAs commence in June 2016 and expire in May 2020. Both contracts have fixed capacity pricing. The energy price in the first PPA is based on a formula that includes an annual fixed price component adjusted for changes in a natural gas index as well as market prices. Both PPAs are subject to MPUC approval.</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Construction on the 205 MW Bison 4 wind facility in North Dakota was completed with project costs totaling approximately $333 million through December 31, 2014. With the completion of Bison 4, the Bison Wind Energy Center in North Dakota consists of 497 MW of nameplate capacity. On January 17, 2014, the MPUC approved Minnesota Power’s petition seeking cost recovery for investments and expenditures related to Bison 4. Customer billing rates for our Bison 1, 2, &amp; 3 wind facilities were approved by the MPUC in a December 2013 order. On April 29, 2014 and November 10, 2014, we filed renewable resources factor filings which include updated costs associated with the Bison Wind Energy Center. Upon approval of the filings, we will be authorized to include updated billing rates on customer bills.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Hydro Operations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June 2012, record rainfall and flooding occurred near Duluth, Minnesota, and surrounding areas. The flooding impacted Minnesota</w:t>
      </w:r>
      <w:r>
        <w:rPr>
          <w:rFonts w:ascii="Arial" w:cs="Arial" w:eastAsia="Arial" w:hAnsi="Arial"/>
          <w:sz w:val="18"/>
          <w:szCs w:val="18"/>
          <w:b w:val="1"/>
          <w:bCs w:val="1"/>
          <w:color w:val="auto"/>
        </w:rPr>
        <w:t xml:space="preserve"> </w:t>
      </w:r>
      <w:r>
        <w:rPr>
          <w:rFonts w:ascii="Arial" w:cs="Arial" w:eastAsia="Arial" w:hAnsi="Arial"/>
          <w:sz w:val="18"/>
          <w:szCs w:val="18"/>
          <w:color w:val="auto"/>
        </w:rPr>
        <w:t>Power’s St. Louis River hydro system, particularly Thomson, which had damage to the forebay canal and flooding at the facility. The forebay rebuild is complete and Minnesota Power commenced filling the forebay canal on October 9, 2014. Thomson returned to partial generation in the fourth quarter of 2014 and work is ongoing towards returning to full generation early in 2015. Total project costs are estimated to be approximately $90 million, net of insurance. On January 29, 2015, the MPUC approved our petition seeking cost recovery of investments and expenditures related to the restoration and repair of Thomson through a renewable resources rider.</w:t>
      </w:r>
    </w:p>
    <w:p>
      <w:pPr>
        <w:spacing w:after="0" w:line="18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We have coal supply agreements providing for the purchase of a significant portion of our coal requirements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dates through December 2015. We also have coal transportation agreements in place for the delivery of a significant portion of our coal requirements with expiration dates through December 2015. Minnesota Power is currently in discussions regarding the extension of our coal supply and transportation contracts beyond 2015. Our minimum annual payment obligation under these supply and transportation agreements is $38.3 million for 2015. The delivered costs of fuel for Minnesota Power’s generation are recoverable from Minnesota Power’s utility customers through the fuel adjustment clause.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Coal, Rail and Shipping Contracts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Rail congestion has negatively impacted customers throughout the Upper Midwest, affecting commerce by rail including, but not limited to, agriculture, commodity, intermodal and energy industries. We have experienced delays in coal deliveries resulting in lower coal inventory levels in 2013 and throughout much of 2014 at our generating stations in Northeastern Minnesota. Minnesota Power filed a notice of fuel supply emergency with the U.S. Department of Energy on September 22, 2014 in response to inadequate rail deliveries. Rail deliveries increased late in 2014, building inventories to normal levels by year end 2014. On December 30, 2014, the Surface Transportation Board ordered BNSF Railway to submit a detailed description of the contingency plans it would use to mitigate an acute coal inventory shortage at one or more generating stations in a region. Minnesota Power’s exposure to price risk for purchased power is significantly mitigated by the current ratemaking process and regulatory framework, which allows recovery of fuel costs in excess of those included in base rates.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2022. The aggregate amount of minimum lease payments for all operating leases is $13.4 million in 2015, $11.4 million in 2016, $10.6 million in 2017, $9.5 million in 2018, $8.3 million in 2019 and $27.3 million thereafter. Total lease expense was $14.8 million in 2014 ($13.8 million in 2013; $11.5 million in 2012).</w:t>
      </w:r>
    </w:p>
    <w:p>
      <w:pPr>
        <w:spacing w:after="0" w:line="18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Transmission</w:t>
      </w:r>
      <w:r>
        <w:rPr>
          <w:rFonts w:ascii="Arial" w:cs="Arial" w:eastAsia="Arial" w:hAnsi="Arial"/>
          <w:sz w:val="16"/>
          <w:szCs w:val="16"/>
          <w:color w:val="auto"/>
        </w:rPr>
        <w:t>. We continue to make investments in transmission opportunities that strengthen or enhance the transmission grid or take advantage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Transmission Investments. </w:t>
      </w:r>
      <w:r>
        <w:rPr>
          <w:rFonts w:ascii="Arial" w:cs="Arial" w:eastAsia="Arial" w:hAnsi="Arial"/>
          <w:sz w:val="17"/>
          <w:szCs w:val="17"/>
          <w:color w:val="auto"/>
        </w:rPr>
        <w:t>Minnesota Power has an approved cost recovery rider in place for certain transmission investments and expenditures. In</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 which was approved by the MPUC on January 29,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is currently participating in the construction of one CapX2020 transmission line project. Minnesota Power also participated in two CapX2020 projects which were previously completed and placed into service in 2011 and 2012. In June 2011, the MPUC approved the route permit for the Minnesota portion of the Fargo to St. Cloud project, of which the final phase is currently under construction and expected to be in service in the second quarter of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projected costs of the three transmission line projects and the allocation agreements among participating utilities, in total Minnesota Power plans to invest approximately $105 million in the CapX2020 initiative through 2015, of which $99 million was spent through December 31, 2014. As future CapX2020 projects are identified, Minnesota Power may elect to participate on a project-by-project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with respect to the GNTL.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In an order dated July 2, 2014, the MPUC determined the route permit application to be complete.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New Source Review (NSR). </w:t>
      </w:r>
      <w:r>
        <w:rPr>
          <w:rFonts w:ascii="Arial" w:cs="Arial" w:eastAsia="Arial" w:hAnsi="Arial"/>
          <w:sz w:val="18"/>
          <w:szCs w:val="18"/>
          <w:color w:val="auto"/>
        </w:rPr>
        <w:t>In August 2008, Minnesota Power received a Notice of Violation (NOV) from the EPA asserting violations of the NSR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Clean Air Act at Boswell Units 1, 2, 3 and 4 and Laskin Unit 2. The NOV asserted that seven projects undertaken at these coal-fired plants between the years 1981 and 2000 should have been reviewed under the NSR requirements and that Boswell Unit 4’s Title V permit was violated. In April 2011, Minnesota Power received a NOV alleging that two projects undertaken at Rapids Energy Center in 2004 and 2005 should have been reviewed under the NSR requirements and that the Rapids Energy Center’s Title V permit was violated.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 reached a settlement with the EPA regarding these NOVs and entered into a Consent Decree which was approved by the U.S. District Court for the District of Minnesota (Court) on September 29, 2014. The Consent Decree covers Minnesota Power’s Boswell, Laskin, Taconite Harbor, and Rapids Energy Centers. The Consent Decree provides for more stringent emissions limits at all affected units, the option of refueling, retrofits or retirements at some units, and the addition of 200 MW of wind energy. Minnesota Power is required to spend $4.2 million on environmental mitigation projects over the next five years. Under the terms of the Consent Decree, Minnesota Power also paid a $1.4 million civil penalty which was recognized as an expense in 2013. In 2014, the Company recorded an expense associated with the environmental mitigation projects.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6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2005, the Company has, and will, invest more than $600 million to reduce sulfur dioxide, nitrogen oxide, mercury and particulate matters emissions at its thermal generation facilities, and between 2010 and 2014 placed in service nearly 500 MW of renewable wind energy, which fulfills certain obligations under the Consent Decree. In addition, Minnesota Power’s EnergyForward plan addresses many of the requirements included in the Consent Decree. Under the EnergyForward plan, Minnesota Power intends to: 1) retire Taconite Harbor Unit 3, 2) convert Laskin from coal to natural gas, and 3) install emission controls at Boswell Unit 4.</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Consent Decree further requires that, by no later than December 31, 2018, Boswell Units 1 and 2 must be retired, refueled, repowered, or emissions rerouted to an existing Boswell scrubber. Minnesota Power estimates that if the units are not retired, capital expenditures could range between $20 million and $40 million. We are evaluating our options with regard to Boswell Units 1 and 2 to comply with the Consent Decree and future anticipated environmental regulations. We are required to notify the EPA no later than December 31, 2016, whether we will retire, refuel, repower or reroute Boswell Units 1 and 2. We believe that future capital expenditures or costs to retire would likely be eligible for recovery in rates over time subject to regulatory approval in a rate proceeding.</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On April 29, 2014, the U.S. Supreme Court issued an opinion reversing an August 2012 U.S. Court of Appeals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D.C. Circuit decision that had vacated the CSAPR. The EPA filed a motion with the U.S. Court of Appeals for the D.C. Circuit on June 26, 2014, to have the stay of CSAPR lifted and the CSAPR compliance deadlines tolled by three years. On October 23, 2014, the U.S. Court of Appeals for the D.C. Circuit granted the EPA's motion, allowing the first compliance period, Phase I, to begin on January 1, 2015, with Phase II beginning in 2017.</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CSAPR requires five states in the eastern half of the United States, including Minnesota, to significantly improve air quality by reducing power plant emissions that contribute to ozone or fine particulate pollution in other states. These states are required to make summertime NO</w:t>
      </w:r>
      <w:r>
        <w:rPr>
          <w:rFonts w:ascii="Arial" w:cs="Arial" w:eastAsia="Arial" w:hAnsi="Arial"/>
          <w:sz w:val="11"/>
          <w:szCs w:val="11"/>
          <w:color w:val="auto"/>
        </w:rPr>
        <w:t>x</w:t>
      </w:r>
      <w:r>
        <w:rPr>
          <w:rFonts w:ascii="Arial" w:cs="Arial" w:eastAsia="Arial" w:hAnsi="Arial"/>
          <w:sz w:val="17"/>
          <w:szCs w:val="17"/>
          <w:color w:val="auto"/>
        </w:rPr>
        <w:t xml:space="preserve"> reductions under the CSAPR ozone season control program. CSAPR does not require installation of controls; rather it requires that facilities have sufficient allowances to cover their emissions on an annual basis. These allowances will be allocated to facilities from each state’s annual budget and can be bought and sold.</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December 2014, the EPA distributed the CSAPR allowances to CSAPR-subject units for the Phase I years (2015 and 2016). Phase II allowances (2017-2020) have not been distributed. Based on our initial accounting of the NO</w:t>
      </w:r>
      <w:r>
        <w:rPr>
          <w:rFonts w:ascii="Arial" w:cs="Arial" w:eastAsia="Arial" w:hAnsi="Arial"/>
          <w:sz w:val="11"/>
          <w:szCs w:val="11"/>
          <w:color w:val="auto"/>
        </w:rPr>
        <w:t>x</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Phase I allowances already issued, and our review of the CSAPR Phase II allowances not yet issued, we currently expect projected generation levels and emission rates will be in compliance in both Phase I and Phase II.</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Regional Haze. </w:t>
      </w:r>
      <w:r>
        <w:rPr>
          <w:rFonts w:ascii="Arial" w:cs="Arial" w:eastAsia="Arial" w:hAnsi="Arial"/>
          <w:sz w:val="18"/>
          <w:szCs w:val="18"/>
          <w:color w:val="auto"/>
        </w:rPr>
        <w:t>The federal Regional Haze Rule requires states to submit SIPs to the EPA to address regional haze visibility impairment in 156 federally-protected parks and wilderness areas. Under the first phase of the Regional Haze Rule, certain large stationary sources, built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legal challenges at both the state and federal levels, there is currently no applicable compliance deadline for the Regional Haze Rule. As part of our 2013 Integrated Resource Plan, which was approved by the MPUC in November 2013, we plan to retire Taconite Harbor Unit 3 in the second quarter of 2015. We believe that the Taconite Harbor Unit 3 retirement will be accomplished before any compliance deadline takes effect.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environmental upgrade to April 1, 2016. Compliance at Boswell Unit 4 to address the final MATS rule is expected to result in capital expenditures of approximately $250 million through 2016, of which $145 million was spent through December 31, 2014. Boswell Unit 3 is also subject to the MATS rule; however, the emission reduction investments completed in 2009 at our Boswell Unit 3 generating unit substantially meet the requirements of the MATS rule. Our “EnergyForward” plan, which was approved as part of our 2013 Integrated Resource Plan by the MPUC in a November 2013 order, also includes the conversion of Laskin Units 1 and 2 to natural gas in 2015 to position the Company for MATS compliance. On January 9, 2014, the MPCA approved Minnesota Power’s application to extend the deadline for Taconite Harbor Unit 3 to comply with MATS to June 1, 2015, in order to align the Unit 3 retirement with MISO’s resource planning year.</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Mercury Emissions Reduction Act. </w:t>
      </w:r>
      <w:r>
        <w:rPr>
          <w:rFonts w:ascii="Arial" w:cs="Arial" w:eastAsia="Arial" w:hAnsi="Arial"/>
          <w:sz w:val="18"/>
          <w:szCs w:val="18"/>
          <w:color w:val="auto"/>
        </w:rPr>
        <w:t>In order to comply with the 2006 Minnesota Mercury Emissions Reduction Act, Minnesota Power must</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a mercury emissions reduction project for Boswell Unit 4 by December 31, 2018. The Boswell Unit 4 environmental upgrade discussed above, which is required to be completed by April 1, 2016 (see Mercury and Air Toxics Standards (MATS) Rule), will fulfill the requirements of the Minnesota Mercury Emissions Reduction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Maximum Achievable Control Technology (Industrial Boiler MACT)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costs for complying with the final rule are not expected to be material at this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On November 25, 2014, the EPA proposed a 65 to 70 parts per billion (ppb) NAAQS for ground level ozone. The EPA is proposing to update both the primary ozone standard and the secondary standard. Both standards would be 8-hour standards set within a range of 65 to 70 ppb. The EPA is also seeking comment on levels for the primary standard as low as 60 ppb. The EPA has announced it will accept comments on all aspects of the proposal, including retaining the existing standard. A final rule is expected to be issued in the fourth quarter of 2015. The costs for complying with the final ozone NAAQS cannot be estimated at this time.</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Particulate Matter NAAQS in September 2006. Since then, the EPA has established more stringent 24-hour</w:t>
      </w:r>
      <w:r>
        <w:rPr>
          <w:rFonts w:ascii="Arial" w:cs="Arial" w:eastAsia="Arial" w:hAnsi="Arial"/>
          <w:sz w:val="17"/>
          <w:szCs w:val="17"/>
          <w:i w:val="1"/>
          <w:iCs w:val="1"/>
          <w:color w:val="auto"/>
        </w:rPr>
        <w:t xml:space="preserve"> </w:t>
      </w:r>
      <w:r>
        <w:rPr>
          <w:rFonts w:ascii="Arial" w:cs="Arial" w:eastAsia="Arial" w:hAnsi="Arial"/>
          <w:sz w:val="17"/>
          <w:szCs w:val="17"/>
          <w:color w:val="auto"/>
        </w:rPr>
        <w:t>and annual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standards; the 24-hour coarse particulate matter standard has remained unchanged. In December 2012, the EPA issued a final rule implementing a more stringent annual PM</w:t>
      </w:r>
      <w:r>
        <w:rPr>
          <w:rFonts w:ascii="Arial" w:cs="Arial" w:eastAsia="Arial" w:hAnsi="Arial"/>
          <w:sz w:val="11"/>
          <w:szCs w:val="11"/>
          <w:color w:val="auto"/>
        </w:rPr>
        <w:t>2.5</w:t>
      </w:r>
      <w:r>
        <w:rPr>
          <w:rFonts w:ascii="Arial" w:cs="Arial" w:eastAsia="Arial" w:hAnsi="Arial"/>
          <w:sz w:val="17"/>
          <w:szCs w:val="17"/>
          <w:color w:val="auto"/>
        </w:rPr>
        <w:t xml:space="preserve"> standard, while retaining the current 24-hour PM</w:t>
      </w:r>
      <w:r>
        <w:rPr>
          <w:rFonts w:ascii="Arial" w:cs="Arial" w:eastAsia="Arial" w:hAnsi="Arial"/>
          <w:sz w:val="11"/>
          <w:szCs w:val="11"/>
          <w:color w:val="auto"/>
        </w:rPr>
        <w:t>2.5</w:t>
      </w:r>
      <w:r>
        <w:rPr>
          <w:rFonts w:ascii="Arial" w:cs="Arial" w:eastAsia="Arial" w:hAnsi="Arial"/>
          <w:sz w:val="17"/>
          <w:szCs w:val="17"/>
          <w:color w:val="auto"/>
        </w:rPr>
        <w:t xml:space="preserve"> standard. To implement the new annual PM</w:t>
      </w:r>
      <w:r>
        <w:rPr>
          <w:rFonts w:ascii="Arial" w:cs="Arial" w:eastAsia="Arial" w:hAnsi="Arial"/>
          <w:sz w:val="11"/>
          <w:szCs w:val="11"/>
          <w:color w:val="auto"/>
        </w:rPr>
        <w:t>2.5</w:t>
      </w:r>
      <w:r>
        <w:rPr>
          <w:rFonts w:ascii="Arial" w:cs="Arial" w:eastAsia="Arial" w:hAnsi="Arial"/>
          <w:sz w:val="17"/>
          <w:szCs w:val="17"/>
          <w:color w:val="auto"/>
        </w:rPr>
        <w:t xml:space="preserve"> standard, the EPA is also revising aspects of relevant monitoring, designation and permitting requirements. New projects and permits must comply with the new standard, which is generally demonstrated by modeling at the facility level.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The EPA asked states to submit attainment designations by December 2013, based on already available monitoring data. The EPA issued designations of 2012 fine particulate attainment status on December 18, 2014. Minnesota retained attainment status; however, Minnesota sources may ultimately be required to reduce their emissions to assist with attainment in neighboring states. Accordingly, the costs for complying with the final Particulate Matter NAAQS cannot be estimated at this time.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NAAQS. </w:t>
      </w:r>
      <w:r>
        <w:rPr>
          <w:rFonts w:ascii="Arial" w:cs="Arial" w:eastAsia="Arial" w:hAnsi="Arial"/>
          <w:sz w:val="17"/>
          <w:szCs w:val="17"/>
          <w:color w:val="auto"/>
        </w:rPr>
        <w:t>During 2010, the EPA finalized one-hour NAAQS for SO</w:t>
      </w:r>
      <w:r>
        <w:rPr>
          <w:rFonts w:ascii="Arial" w:cs="Arial" w:eastAsia="Arial" w:hAnsi="Arial"/>
          <w:sz w:val="11"/>
          <w:szCs w:val="11"/>
          <w:color w:val="auto"/>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 NO</w:t>
      </w:r>
      <w:r>
        <w:rPr>
          <w:rFonts w:ascii="Arial" w:cs="Arial" w:eastAsia="Arial" w:hAnsi="Arial"/>
          <w:sz w:val="11"/>
          <w:szCs w:val="11"/>
          <w:color w:val="auto"/>
        </w:rPr>
        <w:t>2</w:t>
      </w:r>
      <w:r>
        <w:rPr>
          <w:rFonts w:ascii="Arial" w:cs="Arial" w:eastAsia="Arial" w:hAnsi="Arial"/>
          <w:sz w:val="17"/>
          <w:szCs w:val="17"/>
          <w:color w:val="auto"/>
        </w:rPr>
        <w:t>. Ambient monitoring data indicates that Minnesota will likely be</w:t>
      </w:r>
      <w:r>
        <w:rPr>
          <w:rFonts w:ascii="Arial" w:cs="Arial" w:eastAsia="Arial" w:hAnsi="Arial"/>
          <w:sz w:val="17"/>
          <w:szCs w:val="17"/>
          <w:i w:val="1"/>
          <w:iCs w:val="1"/>
          <w:color w:val="auto"/>
        </w:rPr>
        <w:t xml:space="preserve"> </w:t>
      </w:r>
      <w:r>
        <w:rPr>
          <w:rFonts w:ascii="Arial" w:cs="Arial" w:eastAsia="Arial" w:hAnsi="Arial"/>
          <w:sz w:val="17"/>
          <w:szCs w:val="17"/>
          <w:color w:val="auto"/>
        </w:rPr>
        <w:t>in compliance with these new standards; however, the one-hour SO</w:t>
      </w:r>
      <w:r>
        <w:rPr>
          <w:rFonts w:ascii="Arial" w:cs="Arial" w:eastAsia="Arial" w:hAnsi="Arial"/>
          <w:sz w:val="11"/>
          <w:szCs w:val="11"/>
          <w:color w:val="auto"/>
        </w:rPr>
        <w:t>2</w:t>
      </w:r>
      <w:r>
        <w:rPr>
          <w:rFonts w:ascii="Arial" w:cs="Arial" w:eastAsia="Arial" w:hAnsi="Arial"/>
          <w:sz w:val="17"/>
          <w:szCs w:val="17"/>
          <w:color w:val="auto"/>
        </w:rPr>
        <w:t xml:space="preserve"> NAAQS also may require the EPA to evaluate modeling data to determine attainment. In April 2012, the MPCA notified Minnesota Power that modeling had been suspended as a result of the EPA’s announcement that the SIP submittals would not require modeling demonstrations for states, such as Minnesota, where ambient monitors indicate compliance with the new standard. The EPA notified states that their infrastructure SIPs for maintaining attainment of the standard were required to be submitted to the EPA for approval by June 2013. However, the State of Minnesota has delayed completing the documents pending EPA guidance to states for preparing the SIP submittal. The MPCA has indicated it will communicate with affected sources once it has more information on how the state will meet the EPA’s SIP requirements. Guidance was expected in 2013 but has been delayed. Currently, compliance with these new NAAQS is expected to be required as early as 2017. The costs for complying with the final standards cannot be estimated at this time.</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2014, the Fond du Lac Band of Lake Superior Chippewa (Band) announced that it had petitioned the EPA to redesignate its reservation air shed from Class II to Class I air quality pursuant to Section 164(c) of the Clean Air Act. The Band does not currently possess authority to directly regulate air quality. Federal Class I air shed status, if granted, would allow the Band to impose more stringent Clean Air Act protections within the boundaries of the Fond du Lac reservation, including the reservation air shed, near Cloquet, Minnesota. Five other reservations across the U.S. have applied for and received Class I status. A public hearing was held by the Band on October 2, 2014, and the public comment period on the petition expired on November 10, 2014. The Band is now preparing responses to the comments after which the Band will make a formal submittal request to the EPA. There is no deadline for the approval, denial, or modification of the request by the EPA. The Company has requested additional clarification from the Band and the MPCA on the final regulatory structure that may arise from a Class I redesignation. We are unable to determine the impact of potential Class I status on the Company’s operations at this time.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6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May 2010, the EPA issued the Prevention of Significant Deterioration (PSD) and Title V Greenhouse Gas Tailoring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U.S. Supreme Court invalidated the aspect of the Tailoring Rule that established lower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2014, the EPA announced a proposed rule under Section 111(d) of the Clean Air Act for existing power plants entitled “Carbon Pollution Emission Guidelines for Existing Stationary Sources: Electric Generating Units” (CPP). The EPA is expected to finalize such rules by the summer of 2015. In the CPP, the EPA proposes to set state-specific goals for CO</w:t>
      </w:r>
      <w:r>
        <w:rPr>
          <w:rFonts w:ascii="Arial" w:cs="Arial" w:eastAsia="Arial" w:hAnsi="Arial"/>
          <w:sz w:val="11"/>
          <w:szCs w:val="11"/>
          <w:color w:val="auto"/>
        </w:rPr>
        <w:t>2</w:t>
      </w:r>
      <w:r>
        <w:rPr>
          <w:rFonts w:ascii="Arial" w:cs="Arial" w:eastAsia="Arial" w:hAnsi="Arial"/>
          <w:sz w:val="16"/>
          <w:szCs w:val="16"/>
          <w:color w:val="auto"/>
        </w:rPr>
        <w:t xml:space="preserve"> emissions from the power sector. The EPA maintains such goals are achievable if a state undertakes a combination of measures across its power sector that constitute the EPA’s guideline for a Best System of Emission Reductions (BSER).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EPA proposed that BSER is comprised of four building blocks: 1) improved fossil fuel power plant efficiency, 2) increased reliance on low-emitting power sources by generating more electricity from existing natural gas combined cycle units, 3) building more or preserving existing zero- and low-emitting power sources, including renewable and nuclear energy, and 4) more efficient electricity use by consumers.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EPA then established state goals, expressed as a carbon intensity target in CO</w:t>
      </w:r>
      <w:r>
        <w:rPr>
          <w:rFonts w:ascii="Arial" w:cs="Arial" w:eastAsia="Arial" w:hAnsi="Arial"/>
          <w:sz w:val="11"/>
          <w:szCs w:val="11"/>
          <w:color w:val="auto"/>
        </w:rPr>
        <w:t>2</w:t>
      </w:r>
      <w:r>
        <w:rPr>
          <w:rFonts w:ascii="Arial" w:cs="Arial" w:eastAsia="Arial" w:hAnsi="Arial"/>
          <w:sz w:val="16"/>
          <w:szCs w:val="16"/>
          <w:color w:val="auto"/>
        </w:rPr>
        <w:t xml:space="preserve"> tons per megawatt hour, by estimating the achievability of the building blocks in each state. Using 2012 emissions data, the EPA derived interim goals for states to be met over the years 2020-2029, as well as a final goal to be met in 2030 and thereafter. Under the CPP, each state would be required to develop a state implementation plan by June 30, 2016. Minnesota Power is currently evaluating the CPP as it relates to the State of Minnesota and its potential impact on the Company. We submitted comments on the CPP to the EPA.</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has already initiated several measures consistent with those called for under the CAP and CPP. Minnesota Power is implementing its “EnergyForward” strategic plan that provides for significant emission reductions and diversifying its electricity generation mix to include more renewable and natural gas energy. (See Note 5. Regulatory Matters.)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6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On April 14, 2014, a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power purchase agreements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The State of Minnesota appealed the decision to the U.S. Court of Appeals for the Eighth Circuit on May 16,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published in the Federal Register on August 15, 2014, with an effective date of October 14, 2014. The Section 316(b) standards will be implemented through NPDES permits issued to the covered facilities with compliance timing dependent on individual NPDES renewal schedules. No NPDEC permits have been re-issued containing 316(b) requirements since the final rule was published, so at this time we are unable to determine the final cost of compliance; however, our preliminary assessment suggests costs of compliance could be up to approximately $15 million. We would seek recovery of any additional costs through a general rate case.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In April 2013, the EPA announced proposed revisions to the federal effluent guidelines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in June 2013, and public comments were due in September 2013. The EPA is expected to issue the final rule by September 30, 2015. Compliance with the final rule, as proposed,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generates coal ash at all five of its coal-fired electric generating facilities. Two facilities store ash in</w:t>
      </w:r>
      <w:r>
        <w:rPr>
          <w:rFonts w:ascii="Arial" w:cs="Arial" w:eastAsia="Arial" w:hAnsi="Arial"/>
          <w:sz w:val="18"/>
          <w:szCs w:val="18"/>
          <w:i w:val="1"/>
          <w:iCs w:val="1"/>
          <w:color w:val="auto"/>
        </w:rPr>
        <w:t xml:space="preserve"> </w:t>
      </w:r>
      <w:r>
        <w:rPr>
          <w:rFonts w:ascii="Arial" w:cs="Arial" w:eastAsia="Arial" w:hAnsi="Arial"/>
          <w:sz w:val="18"/>
          <w:szCs w:val="18"/>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(CCR) generated by the electric utility sector. The proposal sought comments on three general regulatory schemes for coal ash under Subtitle D of Resource Conservation and Recovery Act (RCRA) (non-hazardous) or Subtitle C of RCRA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6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12.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EPA issued the final CCR rule on December 19, 2014 under Subtitle D (non-hazardous) of RCRA. The rule includes additional requirements for new landfill and impoundment construction as well as closure activities related to certain existing impoundments. The final rule also includes provisions that could incentivize early closure of existing impoundments within a three-year window. Costs of compliance, primarily for Boswell and Laskin, could be up to approximately $130 million. The Company continues to work on minimizing costs on behalf of customers through evaluation of beneficial re-use and recycling of CCR and CCR-related waters. We would seek recovery of any additional costs through a general rate case.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In January 2014, ALLETE Clean Energy acquired three wind energy facilities–Lake Benton, Storm Lake II and Condon–from</w:t>
      </w:r>
      <w:r>
        <w:rPr>
          <w:rFonts w:ascii="Arial" w:cs="Arial" w:eastAsia="Arial" w:hAnsi="Arial"/>
          <w:sz w:val="17"/>
          <w:szCs w:val="17"/>
          <w:b w:val="1"/>
          <w:bCs w:val="1"/>
          <w:color w:val="auto"/>
        </w:rPr>
        <w:t xml:space="preserve"> </w:t>
      </w:r>
      <w:r>
        <w:rPr>
          <w:rFonts w:ascii="Arial" w:cs="Arial" w:eastAsia="Arial" w:hAnsi="Arial"/>
          <w:sz w:val="17"/>
          <w:szCs w:val="17"/>
          <w:color w:val="auto"/>
        </w:rPr>
        <w:t>AES. All three wind energy facilities have PPAs in place for their entire output, which expire in various years between 2019 and 2032. On December 17, 2014, ALLETE Clean Energy acquired a wind facility, Storm Lake I, which has a PPA in place for its entire output which expires in 2018. On December 31, 2014, ALLETE Clean Energy signed a purchase agreement to acquire a wind facility in southern Minnesota and has PPAs in place for the entire output, which expire in 2018 and 2023. The acquisition is expected to close in the first quarter of 2015. (See Note 7. Acquisitions.)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December 31, 2014, BNI Coal had surety bonds outstanding of $49.5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the coal supply agreements obligate the customers to provide for the closing costs, additional assurance is required by federal and state regulations. In addition to the surety bonds, BNI Coal has secured a letter of credit for an additional $0.6 million to provide for BNI Coal’s total reclamation liability, which is currently estimated at $49.3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December 31, 2014, ALLETE Properties, through its subsidiaries, had surety bonds outstanding and letters of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totaling $10.2 million primarily related to development and maintenance obligations for various projects. The estimated cost of the remaining development work is approximately $7.4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December 31, 2014, we owned 72 percent of the assessable land in the Town Center District (73 percent at December 31, 2013) and 93 percent of the assessable land in the Palm Coast Park District (93 percent at December 31, 2013).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Notice of Potential Clean Air Act Citizen Lawsuit. </w:t>
      </w:r>
      <w:r>
        <w:rPr>
          <w:rFonts w:ascii="Arial" w:cs="Arial" w:eastAsia="Arial" w:hAnsi="Arial"/>
          <w:sz w:val="17"/>
          <w:szCs w:val="17"/>
          <w:color w:val="auto"/>
        </w:rPr>
        <w:t>In July 2013, the Sierra Club submitted to Minnesota Power a notice of intent to file a citizen suit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Clean Air Act, which it supplemented in March 2014.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December 31, 2014, because a potential loss is not currently probable or reasonably estimable.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are involved in litigation arising in the normal course of business. Also in the normal course of business, we are involved in tax, regulatory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64"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NOTE 13. COMMON STOCK AND EARNINGS PER SHARE</w:t>
            </w:r>
          </w:p>
        </w:tc>
        <w:tc>
          <w:tcPr>
            <w:tcW w:w="3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94"/>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Summary of Common Stock</w:t>
            </w:r>
          </w:p>
        </w:tc>
        <w:tc>
          <w:tcPr>
            <w:tcW w:w="332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w:t>
            </w:r>
          </w:p>
        </w:tc>
      </w:tr>
      <w:tr>
        <w:trPr>
          <w:trHeight w:val="270"/>
        </w:trPr>
        <w:tc>
          <w:tcPr>
            <w:tcW w:w="7000" w:type="dxa"/>
            <w:vAlign w:val="bottom"/>
          </w:tcPr>
          <w:p>
            <w:pPr>
              <w:spacing w:after="0"/>
              <w:rPr>
                <w:sz w:val="23"/>
                <w:szCs w:val="23"/>
                <w:color w:val="auto"/>
              </w:rPr>
            </w:pPr>
          </w:p>
        </w:tc>
        <w:tc>
          <w:tcPr>
            <w:tcW w:w="3320" w:type="dxa"/>
            <w:vAlign w:val="bottom"/>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Millions</w:t>
            </w:r>
          </w:p>
        </w:tc>
      </w:tr>
      <w:tr>
        <w:trPr>
          <w:trHeight w:val="27"/>
        </w:trPr>
        <w:tc>
          <w:tcPr>
            <w:tcW w:w="70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37,513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Employee Stock Purchase Program</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474</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95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1,275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2012</w:t>
            </w:r>
          </w:p>
        </w:tc>
        <w:tc>
          <w:tcPr>
            <w:tcW w:w="3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39,377</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784.7</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Purchase Program</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Invest Direct</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395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Options and Stock Awards</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1,312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63.4</w:t>
            </w:r>
          </w:p>
        </w:tc>
      </w:tr>
      <w:tr>
        <w:trPr>
          <w:trHeight w:val="27"/>
        </w:trPr>
        <w:tc>
          <w:tcPr>
            <w:tcW w:w="70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41,401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885.2</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Employee Stock Purchase Program</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18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78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1,851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Forward Sale Agreement and Issuance</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1,807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Pension</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396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2014</w:t>
            </w:r>
          </w:p>
        </w:tc>
        <w:tc>
          <w:tcPr>
            <w:tcW w:w="3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45,929</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$1,107.6</w:t>
            </w:r>
          </w:p>
        </w:tc>
      </w:tr>
      <w:tr>
        <w:trPr>
          <w:trHeight w:val="27"/>
        </w:trPr>
        <w:tc>
          <w:tcPr>
            <w:tcW w:w="70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Equity Issuance Program. </w:t>
      </w:r>
      <w:r>
        <w:rPr>
          <w:rFonts w:ascii="Arial" w:cs="Arial" w:eastAsia="Arial" w:hAnsi="Arial"/>
          <w:sz w:val="17"/>
          <w:szCs w:val="17"/>
          <w:color w:val="auto"/>
        </w:rPr>
        <w:t>We entered into a distribution agreement with Lampert Capital Markets, Inc., in February 2008, as amended most recently in May</w:t>
      </w:r>
      <w:r>
        <w:rPr>
          <w:rFonts w:ascii="Arial" w:cs="Arial" w:eastAsia="Arial" w:hAnsi="Arial"/>
          <w:sz w:val="17"/>
          <w:szCs w:val="17"/>
          <w:b w:val="1"/>
          <w:bCs w:val="1"/>
          <w:color w:val="auto"/>
        </w:rPr>
        <w:t xml:space="preserve"> </w:t>
      </w:r>
      <w:r>
        <w:rPr>
          <w:rFonts w:ascii="Arial" w:cs="Arial" w:eastAsia="Arial" w:hAnsi="Arial"/>
          <w:sz w:val="17"/>
          <w:szCs w:val="17"/>
          <w:color w:val="auto"/>
        </w:rPr>
        <w:t>2014, with respect to the issuance and sale of up to an aggregate of 9.6 million shares of our common stock, without par value, of which 1.3 million shares remain available for issuance. For the year ended December 31, 2014, 1.9 million shares of common stock were issued under this agreement resulting in net proceeds of $90.0 million (1.3 million shares for net proceeds of $63.4 million for the year ended December 31, 2013). The shares sold in 2012 through August 1, 2013, were offered and sold pursuant to Registration Statement No. 333-170289. On August 2, 2013, we filed Registration Statement No. 333-190335, pursuant to which the remaining shares will continue to be offered for sale, from time to time.</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difference between basic and diluted earnings per share, if any, arises from outstanding stock options, non-vested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performance share awards granted under our Executive Long-Term Incentive Compensation Plan and common shares under the forward sale agreement (described below). In 2014 and 2013, in accordance with accounting standards for earnings per share, no options to purchase shares of common stock were excluded from the computation of diluted earnings per share because the option exercise prices were greater than the average market prices. In 2012, there were 0.2 million shares excluded because the option exercise prices were greater than the average market prices; therefore, their effect would have been anti-dilutive.</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Forward Sale Agreement and Issuance of Common Stock</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On February 26, 2014, ALLETE entered into a confirmation of forward sale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a forward counterparty in connection with a public offering of 2.8 million shares of ALLETE common stock. The use of an equity forward transaction substantially eliminates future equity market price risk by fixing a common equity offering sales price under the then existing market conditions, while mitigating immediate share dilution resulting from the offering by postponing the actual issuance of common stock until funds are needed in accordance with our capital investment strategy.</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Agreement, the forward counterparty (or its affiliate) borrowed 2.8 million shares of ALLETE common stock (borrowed shares) from third parties and sold them to the underwriters. ALLETE had the right to elect physical, cash or net share settlement under the forward sales agreement, for all or a portion of its obligations under the Agreement. In the event that ALLETE elected physical settlement of the Agreement, it would deliver shares of its common stock in exchange for cash proceeds at the then-applicable forward sale price. The forward sale price was initially $48.01 per share, subject to adjustment as provided in the Agreement. On September 5, 2014, ALLETE physically settled a portion of its obligations under the Agreement by having delivered approximately 1.4 million shares of common stock in exchange for cash proceeds of $65.0 million. On February 4, 2015, ALLETE physically settled the remaining portion of its obligation under the Agreement by delivering approximately 1.4 million shares for cash proceeds of $65.4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6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13. COMMON STOCK AND EARNINGS PER SHARE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on March 4, 2014, the Company issued and sold the option shares to the underwriters at a price to ALLETE equal to the initial forward sale price for proceeds of $20.2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forward transaction was reflected in ALLETE’s diluted earnings per share using the treasury stock method, which resulted in no material dilutive impact to ALLETE’s diluted earnings per share for the year ended December 31, 2014. Prior to any settlement date, any dilutive effect of the Agreement on our earnings per share would only occur during periods when the average market price per share of our common stock is above the per share adjusted forward sales price described above.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equity forward transaction is accounted for as an equity instrument in accordance with the accounting guidance for distinguishing liabilities from equity and the guidance for derivatives. Under the accounting guidance, the transaction qualifies for an exception from derivative accounting because the forward sale transaction is indexed to ALLETE’s stock.</w:t>
      </w:r>
    </w:p>
    <w:p>
      <w:pPr>
        <w:spacing w:after="0" w:line="177"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 xml:space="preserve">Contributions to Pension. </w:t>
      </w:r>
      <w:r>
        <w:rPr>
          <w:rFonts w:ascii="Arial" w:cs="Arial" w:eastAsia="Arial" w:hAnsi="Arial"/>
          <w:sz w:val="16"/>
          <w:szCs w:val="16"/>
          <w:color w:val="auto"/>
        </w:rPr>
        <w:t>In 2014, we contributed approximately 0.4 million shares of ALLETE common stock to our pension plan, which had an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$19.5 million when contributed. There were no contributions of ALLETE common stock to our pension plan in 2013 or 2012. These shares of ALLETE common stock were contributed in reliance upon an exemption available pursuant to Section 4(a)(2) of the Securities Act of 1933, as amended.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3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220" w:type="dxa"/>
            <w:vAlign w:val="bottom"/>
          </w:tcPr>
          <w:p>
            <w:pPr>
              <w:spacing w:after="0"/>
              <w:rPr>
                <w:sz w:val="23"/>
                <w:szCs w:val="23"/>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Dilutive</w:t>
            </w:r>
          </w:p>
        </w:tc>
        <w:tc>
          <w:tcPr>
            <w:tcW w:w="1060" w:type="dxa"/>
            <w:vAlign w:val="bottom"/>
          </w:tcPr>
          <w:p>
            <w:pPr>
              <w:spacing w:after="0"/>
              <w:rPr>
                <w:sz w:val="23"/>
                <w:szCs w:val="23"/>
                <w:color w:val="auto"/>
              </w:rPr>
            </w:pP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220" w:type="dxa"/>
            <w:vAlign w:val="bottom"/>
          </w:tcPr>
          <w:p>
            <w:pPr>
              <w:jc w:val="right"/>
              <w:ind w:right="230"/>
              <w:spacing w:after="0"/>
              <w:rPr>
                <w:sz w:val="20"/>
                <w:szCs w:val="20"/>
                <w:color w:val="auto"/>
              </w:rPr>
            </w:pPr>
            <w:r>
              <w:rPr>
                <w:rFonts w:ascii="Arial" w:cs="Arial" w:eastAsia="Arial" w:hAnsi="Arial"/>
                <w:sz w:val="18"/>
                <w:szCs w:val="18"/>
                <w:b w:val="1"/>
                <w:bCs w:val="1"/>
                <w:color w:val="auto"/>
              </w:rPr>
              <w:t>Basic</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Securities</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Diluted</w:t>
            </w:r>
          </w:p>
        </w:tc>
      </w:tr>
      <w:tr>
        <w:trPr>
          <w:trHeight w:val="27"/>
        </w:trPr>
        <w:tc>
          <w:tcPr>
            <w:tcW w:w="5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3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3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3220" w:type="dxa"/>
            <w:vAlign w:val="bottom"/>
          </w:tcPr>
          <w:p>
            <w:pPr>
              <w:jc w:val="right"/>
              <w:ind w:right="230"/>
              <w:spacing w:after="0"/>
              <w:rPr>
                <w:sz w:val="20"/>
                <w:szCs w:val="20"/>
                <w:color w:val="auto"/>
              </w:rPr>
            </w:pPr>
            <w:r>
              <w:rPr>
                <w:rFonts w:ascii="Arial" w:cs="Arial" w:eastAsia="Arial" w:hAnsi="Arial"/>
                <w:sz w:val="18"/>
                <w:szCs w:val="18"/>
                <w:color w:val="auto"/>
              </w:rPr>
              <w:t>$124.8</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$124.8</w:t>
            </w:r>
          </w:p>
        </w:tc>
      </w:tr>
      <w:tr>
        <w:trPr>
          <w:trHeight w:val="27"/>
        </w:trPr>
        <w:tc>
          <w:tcPr>
            <w:tcW w:w="5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3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42.9</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20" w:type="dxa"/>
            <w:vAlign w:val="bottom"/>
          </w:tcPr>
          <w:p>
            <w:pPr>
              <w:jc w:val="right"/>
              <w:ind w:right="230"/>
              <w:spacing w:after="0"/>
              <w:rPr>
                <w:sz w:val="20"/>
                <w:szCs w:val="20"/>
                <w:color w:val="auto"/>
              </w:rPr>
            </w:pPr>
            <w:r>
              <w:rPr>
                <w:rFonts w:ascii="Arial" w:cs="Arial" w:eastAsia="Arial" w:hAnsi="Arial"/>
                <w:sz w:val="18"/>
                <w:szCs w:val="18"/>
                <w:color w:val="auto"/>
              </w:rPr>
              <w:t>$2.91</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5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3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3220" w:type="dxa"/>
            <w:vAlign w:val="bottom"/>
          </w:tcPr>
          <w:p>
            <w:pPr>
              <w:jc w:val="right"/>
              <w:ind w:right="230"/>
              <w:spacing w:after="0"/>
              <w:rPr>
                <w:sz w:val="20"/>
                <w:szCs w:val="20"/>
                <w:color w:val="auto"/>
              </w:rPr>
            </w:pPr>
            <w:r>
              <w:rPr>
                <w:rFonts w:ascii="Arial" w:cs="Arial" w:eastAsia="Arial" w:hAnsi="Arial"/>
                <w:sz w:val="18"/>
                <w:szCs w:val="18"/>
                <w:color w:val="auto"/>
              </w:rPr>
              <w:t>$104.7</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3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39.7</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20" w:type="dxa"/>
            <w:vAlign w:val="bottom"/>
          </w:tcPr>
          <w:p>
            <w:pPr>
              <w:jc w:val="right"/>
              <w:ind w:right="230"/>
              <w:spacing w:after="0"/>
              <w:rPr>
                <w:sz w:val="20"/>
                <w:szCs w:val="20"/>
                <w:color w:val="auto"/>
              </w:rPr>
            </w:pPr>
            <w:r>
              <w:rPr>
                <w:rFonts w:ascii="Arial" w:cs="Arial" w:eastAsia="Arial" w:hAnsi="Arial"/>
                <w:sz w:val="18"/>
                <w:szCs w:val="18"/>
                <w:color w:val="auto"/>
              </w:rPr>
              <w:t>$2.64</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5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3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3220" w:type="dxa"/>
            <w:vAlign w:val="bottom"/>
          </w:tcPr>
          <w:p>
            <w:pPr>
              <w:jc w:val="right"/>
              <w:ind w:right="230"/>
              <w:spacing w:after="0"/>
              <w:rPr>
                <w:sz w:val="20"/>
                <w:szCs w:val="20"/>
                <w:color w:val="auto"/>
              </w:rPr>
            </w:pPr>
            <w:r>
              <w:rPr>
                <w:rFonts w:ascii="Arial" w:cs="Arial" w:eastAsia="Arial" w:hAnsi="Arial"/>
                <w:sz w:val="18"/>
                <w:szCs w:val="18"/>
                <w:color w:val="auto"/>
              </w:rPr>
              <w:t>$97.1</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7"/>
        </w:trPr>
        <w:tc>
          <w:tcPr>
            <w:tcW w:w="5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3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37.6</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20" w:type="dxa"/>
            <w:vAlign w:val="bottom"/>
          </w:tcPr>
          <w:p>
            <w:pPr>
              <w:jc w:val="right"/>
              <w:ind w:right="230"/>
              <w:spacing w:after="0"/>
              <w:rPr>
                <w:sz w:val="20"/>
                <w:szCs w:val="20"/>
                <w:color w:val="auto"/>
              </w:rPr>
            </w:pPr>
            <w:r>
              <w:rPr>
                <w:rFonts w:ascii="Arial" w:cs="Arial" w:eastAsia="Arial" w:hAnsi="Arial"/>
                <w:sz w:val="18"/>
                <w:szCs w:val="18"/>
                <w:color w:val="auto"/>
              </w:rPr>
              <w:t>$2.59</w:t>
            </w:r>
          </w:p>
        </w:tc>
        <w:tc>
          <w:tcPr>
            <w:tcW w:w="1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5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858"/>
        </w:trPr>
        <w:tc>
          <w:tcPr>
            <w:tcW w:w="5680" w:type="dxa"/>
            <w:vAlign w:val="bottom"/>
          </w:tcPr>
          <w:p>
            <w:pPr>
              <w:spacing w:after="0"/>
              <w:rPr>
                <w:sz w:val="20"/>
                <w:szCs w:val="20"/>
                <w:color w:val="auto"/>
              </w:rPr>
            </w:pPr>
            <w:r>
              <w:rPr>
                <w:rFonts w:ascii="Arial" w:cs="Arial" w:eastAsia="Arial" w:hAnsi="Arial"/>
                <w:sz w:val="18"/>
                <w:szCs w:val="18"/>
                <w:b w:val="1"/>
                <w:bCs w:val="1"/>
                <w:color w:val="auto"/>
              </w:rPr>
              <w:t>NOTE 14. OTHER INCOME (EXPENSE)</w:t>
            </w:r>
          </w:p>
        </w:tc>
        <w:tc>
          <w:tcPr>
            <w:tcW w:w="3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94"/>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2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 – Equity</w:t>
            </w:r>
          </w:p>
        </w:tc>
        <w:tc>
          <w:tcPr>
            <w:tcW w:w="3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322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w:t>
            </w:r>
          </w:p>
        </w:tc>
        <w:tc>
          <w:tcPr>
            <w:tcW w:w="3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3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$8.6</w:t>
            </w:r>
          </w:p>
        </w:tc>
        <w:tc>
          <w:tcPr>
            <w:tcW w:w="1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$9.3</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64"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NOTE 15. INCOME TAX EXPENSE</w:t>
            </w: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9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5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5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58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2.9</w:t>
            </w:r>
          </w:p>
        </w:tc>
        <w:tc>
          <w:tcPr>
            <w:tcW w:w="13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5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35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4.0</w:t>
            </w:r>
          </w:p>
        </w:tc>
        <w:tc>
          <w:tcPr>
            <w:tcW w:w="1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0.1</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55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3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580" w:type="dxa"/>
            <w:vAlign w:val="bottom"/>
          </w:tcPr>
          <w:p>
            <w:pPr>
              <w:jc w:val="right"/>
              <w:ind w:right="450"/>
              <w:spacing w:after="0"/>
              <w:rPr>
                <w:sz w:val="20"/>
                <w:szCs w:val="20"/>
                <w:color w:val="auto"/>
              </w:rPr>
            </w:pPr>
            <w:r>
              <w:rPr>
                <w:rFonts w:ascii="Arial" w:cs="Arial" w:eastAsia="Arial" w:hAnsi="Arial"/>
                <w:sz w:val="18"/>
                <w:szCs w:val="18"/>
                <w:color w:val="auto"/>
              </w:rPr>
              <w:t>25.3</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22.9</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7"/>
        </w:trPr>
        <w:tc>
          <w:tcPr>
            <w:tcW w:w="5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5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8.2</w:t>
            </w: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6.5</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580" w:type="dxa"/>
            <w:vAlign w:val="bottom"/>
          </w:tcPr>
          <w:p>
            <w:pPr>
              <w:jc w:val="right"/>
              <w:ind w:right="390"/>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(0.8)</w:t>
            </w: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5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5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32.7</w:t>
            </w: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28.6</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5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$36.7</w:t>
            </w:r>
          </w:p>
        </w:tc>
        <w:tc>
          <w:tcPr>
            <w:tcW w:w="1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$28.7</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6" w:lineRule="auto"/>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2014, 2013, and 2012, the federal and state current tax expense was minimal due to NOLs which resulted from the bonus depreciation provisions of the Tax Increase Prevention Act of 2014 and the American Taxpayer Relief Act of 2012. The federal and state NOLs will be carried forward to offset future taxable income. The year ended 2014 includes the resolution of an IRS examination for the tax years 2005-2009 and the impacts of initiatives implemented on the 2013 federal and state tax returns to utilize tax carryforwards that may have expired.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7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7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r>
      <w:tr>
        <w:trPr>
          <w:trHeight w:val="27"/>
        </w:trPr>
        <w:tc>
          <w:tcPr>
            <w:tcW w:w="61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$162.2</w:t>
            </w: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$133.4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1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2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$56.8</w:t>
            </w: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$46.7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27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7.2</w:t>
            </w: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274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61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Production Tax Credits</w:t>
            </w:r>
          </w:p>
        </w:tc>
        <w:tc>
          <w:tcPr>
            <w:tcW w:w="27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(23.7)</w:t>
            </w:r>
          </w:p>
        </w:tc>
        <w:tc>
          <w:tcPr>
            <w:tcW w:w="14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(19.2)</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Other</w:t>
            </w:r>
          </w:p>
        </w:tc>
        <w:tc>
          <w:tcPr>
            <w:tcW w:w="274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(0.9)</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61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$36.7</w:t>
            </w: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$38.0</w:t>
            </w:r>
          </w:p>
        </w:tc>
      </w:tr>
      <w:tr>
        <w:trPr>
          <w:trHeight w:val="20"/>
        </w:trPr>
        <w:tc>
          <w:tcPr>
            <w:tcW w:w="61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effective tax rate on income was 22.6 percent for 2014 (21.5 percent for 2013; 28.1 percent for 2012). The 2014, 2013, and 2012 effective rates were primarily impacted by production tax credits and by the deduction for AFUDC-Equity (included in Regulatory Differences for Utility Plant,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64"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NOTE 15. INCOME TAX EXPENSE (Continued)</w:t>
            </w:r>
          </w:p>
        </w:tc>
        <w:tc>
          <w:tcPr>
            <w:tcW w:w="38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Deferred Tax Assets and Liabilities</w:t>
            </w:r>
          </w:p>
        </w:tc>
        <w:tc>
          <w:tcPr>
            <w:tcW w:w="3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8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6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Employee Benefits and Compensation</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$102.2</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w:t>
            </w: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Related</w:t>
            </w:r>
          </w:p>
        </w:tc>
        <w:tc>
          <w:tcPr>
            <w:tcW w:w="3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102.7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NOL Carryforwards</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156.5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112.8</w:t>
            </w: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Carryforwards</w:t>
            </w:r>
          </w:p>
        </w:tc>
        <w:tc>
          <w:tcPr>
            <w:tcW w:w="3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95.7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Power Purchase Agreements</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51.8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37"/>
        </w:trPr>
        <w:tc>
          <w:tcPr>
            <w:tcW w:w="66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Gross Deferred Tax Assets</w:t>
            </w:r>
          </w:p>
        </w:tc>
        <w:tc>
          <w:tcPr>
            <w:tcW w:w="38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525.9</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333.3</w:t>
            </w: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38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6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Deferred Tax Assets</w:t>
            </w:r>
          </w:p>
        </w:tc>
        <w:tc>
          <w:tcPr>
            <w:tcW w:w="38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$503.8</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$325.3</w:t>
            </w:r>
          </w:p>
        </w:tc>
      </w:tr>
      <w:tr>
        <w:trPr>
          <w:trHeight w:val="27"/>
        </w:trPr>
        <w:tc>
          <w:tcPr>
            <w:tcW w:w="66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Property Related</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$848.8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$656.2</w:t>
            </w: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Asset for Benefit Obligations</w:t>
            </w:r>
          </w:p>
        </w:tc>
        <w:tc>
          <w:tcPr>
            <w:tcW w:w="3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89.9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Unamortized Investment Tax Credits</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10.3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Partnership Basis Differences</w:t>
            </w:r>
          </w:p>
        </w:tc>
        <w:tc>
          <w:tcPr>
            <w:tcW w:w="3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Other</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16.1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66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$1,007.0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$785.4</w:t>
            </w:r>
          </w:p>
        </w:tc>
      </w:tr>
      <w:tr>
        <w:trPr>
          <w:trHeight w:val="237"/>
        </w:trPr>
        <w:tc>
          <w:tcPr>
            <w:tcW w:w="6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Deferred Income Taxes</w:t>
            </w:r>
          </w:p>
        </w:tc>
        <w:tc>
          <w:tcPr>
            <w:tcW w:w="38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$503.2</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$460.1</w:t>
            </w:r>
          </w:p>
        </w:tc>
      </w:tr>
      <w:tr>
        <w:trPr>
          <w:trHeight w:val="27"/>
        </w:trPr>
        <w:tc>
          <w:tcPr>
            <w:tcW w:w="66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Recorded as:</w:t>
            </w:r>
          </w:p>
        </w:tc>
        <w:tc>
          <w:tcPr>
            <w:tcW w:w="3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Net Current Deferred Tax Assets</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$7.5</w:t>
            </w: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Long-Term Deferred Tax Liabilities</w:t>
            </w:r>
          </w:p>
        </w:tc>
        <w:tc>
          <w:tcPr>
            <w:tcW w:w="3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510.7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479.1</w:t>
            </w:r>
          </w:p>
        </w:tc>
      </w:tr>
      <w:tr>
        <w:trPr>
          <w:trHeight w:val="237"/>
        </w:trPr>
        <w:tc>
          <w:tcPr>
            <w:tcW w:w="6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Deferred Income Taxes</w:t>
            </w:r>
          </w:p>
        </w:tc>
        <w:tc>
          <w:tcPr>
            <w:tcW w:w="38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$503.2</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$460.1</w:t>
            </w:r>
          </w:p>
        </w:tc>
      </w:tr>
      <w:tr>
        <w:trPr>
          <w:trHeight w:val="27"/>
        </w:trPr>
        <w:tc>
          <w:tcPr>
            <w:tcW w:w="66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61"/>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NOL and Tax Credit Carryforwards</w:t>
            </w:r>
          </w:p>
        </w:tc>
        <w:tc>
          <w:tcPr>
            <w:tcW w:w="3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6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Federal NOL Carryforwards </w:t>
            </w:r>
            <w:r>
              <w:rPr>
                <w:rFonts w:ascii="Arial" w:cs="Arial" w:eastAsia="Arial" w:hAnsi="Arial"/>
                <w:sz w:val="18"/>
                <w:szCs w:val="18"/>
                <w:i w:val="1"/>
                <w:iCs w:val="1"/>
                <w:color w:val="auto"/>
              </w:rPr>
              <w:t>(a)</w:t>
            </w:r>
          </w:p>
        </w:tc>
        <w:tc>
          <w:tcPr>
            <w:tcW w:w="3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$413.7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Federal Tax Credit Carryforwards</w:t>
            </w:r>
          </w:p>
        </w:tc>
        <w:tc>
          <w:tcPr>
            <w:tcW w:w="3820" w:type="dxa"/>
            <w:vAlign w:val="bottom"/>
          </w:tcPr>
          <w:p>
            <w:pPr>
              <w:jc w:val="right"/>
              <w:ind w:right="290"/>
              <w:spacing w:after="0"/>
              <w:rPr>
                <w:sz w:val="20"/>
                <w:szCs w:val="20"/>
                <w:color w:val="auto"/>
              </w:rPr>
            </w:pPr>
            <w:r>
              <w:rPr>
                <w:rFonts w:ascii="Arial" w:cs="Arial" w:eastAsia="Arial" w:hAnsi="Arial"/>
                <w:sz w:val="18"/>
                <w:szCs w:val="18"/>
                <w:color w:val="auto"/>
              </w:rPr>
              <w:t>$59.3</w:t>
            </w: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66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8"/>
                <w:szCs w:val="18"/>
                <w:i w:val="1"/>
                <w:iCs w:val="1"/>
                <w:color w:val="auto"/>
              </w:rPr>
              <w:t>(a)</w:t>
            </w:r>
          </w:p>
        </w:tc>
        <w:tc>
          <w:tcPr>
            <w:tcW w:w="3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$184.7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 xml:space="preserve">State Tax Credit Carryforwards </w:t>
            </w:r>
            <w:r>
              <w:rPr>
                <w:rFonts w:ascii="Arial" w:cs="Arial" w:eastAsia="Arial" w:hAnsi="Arial"/>
                <w:sz w:val="18"/>
                <w:szCs w:val="18"/>
                <w:i w:val="1"/>
                <w:iCs w:val="1"/>
                <w:color w:val="auto"/>
              </w:rPr>
              <w:t>(b)</w:t>
            </w:r>
          </w:p>
        </w:tc>
        <w:tc>
          <w:tcPr>
            <w:tcW w:w="3820" w:type="dxa"/>
            <w:vAlign w:val="bottom"/>
          </w:tcPr>
          <w:p>
            <w:pPr>
              <w:jc w:val="right"/>
              <w:ind w:right="290"/>
              <w:spacing w:after="0"/>
              <w:rPr>
                <w:sz w:val="20"/>
                <w:szCs w:val="20"/>
                <w:color w:val="auto"/>
              </w:rPr>
            </w:pPr>
            <w:r>
              <w:rPr>
                <w:rFonts w:ascii="Arial" w:cs="Arial" w:eastAsia="Arial" w:hAnsi="Arial"/>
                <w:sz w:val="18"/>
                <w:szCs w:val="18"/>
                <w:color w:val="auto"/>
              </w:rPr>
              <w:t>$14.7</w:t>
            </w: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Pretax amounts.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Net of a $21.7 million valuation allowance as of December 31, 2014 ($7.7 million as of December 31, 2013).</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federal NOL and tax credit carryforward periods expire between 2030 and 2035. We expect to fully utilize the federal NOL and federal tax credit carryforwards; therefore no federal valuation allowance has been recognized as of December 31, 2014. The state NOL and tax credit carryforward periods expire between 2025 and 2035. We have established a valuation allowance against certain state NOL and tax credits that we do not expect to utilize before their expiration.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64"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NOTE 15. INCOME TAX EXPENSE (Continued)</w:t>
            </w:r>
          </w:p>
        </w:tc>
        <w:tc>
          <w:tcPr>
            <w:tcW w:w="2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94"/>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Gross Unrecognized Income Tax Benefits</w:t>
            </w:r>
          </w:p>
        </w:tc>
        <w:tc>
          <w:tcPr>
            <w:tcW w:w="27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27"/>
        </w:trPr>
        <w:tc>
          <w:tcPr>
            <w:tcW w:w="58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$2.7</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$11.4</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the Current Year</w:t>
            </w:r>
          </w:p>
        </w:tc>
        <w:tc>
          <w:tcPr>
            <w:tcW w:w="2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1.0</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1.3</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(8.7)</w:t>
            </w:r>
          </w:p>
        </w:tc>
      </w:tr>
      <w:tr>
        <w:trPr>
          <w:trHeight w:val="27"/>
        </w:trPr>
        <w:tc>
          <w:tcPr>
            <w:tcW w:w="58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Settlements</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(2.9)</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Lapse of Statute</w:t>
            </w:r>
          </w:p>
        </w:tc>
        <w:tc>
          <w:tcPr>
            <w:tcW w:w="2780" w:type="dxa"/>
            <w:vAlign w:val="bottom"/>
          </w:tcPr>
          <w:p>
            <w:pPr>
              <w:jc w:val="right"/>
              <w:ind w:right="450"/>
              <w:spacing w:after="0"/>
              <w:rPr>
                <w:sz w:val="20"/>
                <w:szCs w:val="20"/>
                <w:color w:val="auto"/>
              </w:rPr>
            </w:pPr>
            <w:r>
              <w:rPr>
                <w:rFonts w:ascii="Arial" w:cs="Arial" w:eastAsia="Arial" w:hAnsi="Arial"/>
                <w:sz w:val="18"/>
                <w:szCs w:val="18"/>
                <w:color w:val="auto"/>
              </w:rPr>
              <w:t>(0.2)</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$2.0</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w:t>
            </w:r>
          </w:p>
        </w:tc>
      </w:tr>
      <w:tr>
        <w:trPr>
          <w:trHeight w:val="20"/>
        </w:trPr>
        <w:tc>
          <w:tcPr>
            <w:tcW w:w="584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gross unrecognized tax benefits as of December 31, 2014, include $0.4 million of net unrecognized tax benefits which, if recognized, would affect the annual effective income tax rate. The decrease in the unrecognized tax benefit balance of $2.9 million in 2013 was due to the removal of our uncertain tax positions for positions effectively settled with the IRS for tax years 2005 through 2009. The decrease in the unrecognized tax benefit balance of $8.7 million in 2012 was due to the removal of our uncertain tax position for our tax accounting method change for deductible repairs. During 2012, the IRS issued a directive from its Large Business and International Division to its local examination teams that led to the removal of the repairs uncertain tax position in 2012.</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2014, we had no accrued interest ($0.5 million for 2013 and $0.5 million for 2012) related to unrecognized tax benefits included on our Consolidated Balance Sheet due to our NOL carryforwards. We classify interest related to unrecognized tax benefits as interest expense and tax-related penalties in operating expenses on our Consolidated Statement of Income. In 2014, we recognized a decrease in interest expense of $0.5 million related to unrecognized tax benefits on our Consolidated Statement of Income (zero for 2013 and decrease of $0.6 million for 2012). There were no penalties recognized in 2014, 2013 or 2012. The unrecognized tax benefit amounts have been presented as reductions to the tax benefits associated with NOL and tax credit carryforwards on our Consolidated Balance Sheet.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settled with the IRS for the audit of tax years 2005 through 2009. ALLETE is no longer subject to federal examination for years before 2011, or state examination for years before 2010.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next 12 months it is reasonably possible the amount of unrecognized tax benefits could be reduced by $0.1 million due to the expiration of the statute of limitations. This amount is primarily due to temporary tax positions.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2013, the U.S. Treasury issued final regulations addressing the tax consequences associated with the acquisition, production and improvement of tangible property. The regulations are generally effective for tax years beginning January 1, 2014. As ALLETE is adopting certain utility-specific guidance for deductible repairs previously issued by the IRS, the issuance will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6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16. RECLASSIFICATIONS OUT OF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year ended December 31, 2014,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Unrealized Gains</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Defined Benefit</w:t>
            </w:r>
          </w:p>
        </w:tc>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Gains and</w:t>
            </w:r>
          </w:p>
        </w:tc>
        <w:tc>
          <w:tcPr>
            <w:tcW w:w="9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and Losses on</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Pension, Other</w:t>
            </w:r>
          </w:p>
        </w:tc>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83"/>
              </w:rPr>
              <w:t>Losses on</w:t>
            </w:r>
          </w:p>
        </w:tc>
        <w:tc>
          <w:tcPr>
            <w:tcW w:w="9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Available-for-sale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Postretirement</w:t>
            </w:r>
          </w:p>
        </w:tc>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Cash Flow</w:t>
            </w:r>
          </w:p>
        </w:tc>
        <w:tc>
          <w:tcPr>
            <w:tcW w:w="9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04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3"/>
              </w:rPr>
              <w:t>Items</w:t>
            </w: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Hedge</w:t>
            </w: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49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2014</w:t>
            </w:r>
          </w:p>
        </w:tc>
        <w:tc>
          <w:tcPr>
            <w:tcW w:w="20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4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$(16.7)</w:t>
            </w:r>
          </w:p>
        </w:tc>
        <w:tc>
          <w:tcPr>
            <w:tcW w:w="1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(0.3)</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(5.2)</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Amounts Reclassified From Accumulated Other Comprehensive</w:t>
            </w:r>
          </w:p>
        </w:tc>
        <w:tc>
          <w:tcPr>
            <w:tcW w:w="20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2"/>
        </w:trPr>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2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1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4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 (Loss)</w:t>
            </w:r>
          </w:p>
        </w:tc>
        <w:tc>
          <w:tcPr>
            <w:tcW w:w="20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(0.2)</w:t>
            </w:r>
          </w:p>
        </w:tc>
        <w:tc>
          <w:tcPr>
            <w:tcW w:w="1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(4.0)</w:t>
            </w:r>
          </w:p>
        </w:tc>
        <w:tc>
          <w:tcPr>
            <w:tcW w:w="1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9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$(20.7)</w:t>
            </w:r>
          </w:p>
        </w:tc>
        <w:tc>
          <w:tcPr>
            <w:tcW w:w="1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49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year ended December 31, 2014,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Year Ended</w:t>
            </w:r>
          </w:p>
        </w:tc>
      </w:tr>
      <w:tr>
        <w:trPr>
          <w:trHeight w:val="270"/>
        </w:trPr>
        <w:tc>
          <w:tcPr>
            <w:tcW w:w="918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918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9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20"/>
                <w:szCs w:val="20"/>
                <w:color w:val="auto"/>
              </w:rPr>
            </w:pP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0.1</w:t>
            </w:r>
          </w:p>
        </w:tc>
      </w:tr>
      <w:tr>
        <w:trPr>
          <w:trHeight w:val="27"/>
        </w:trPr>
        <w:tc>
          <w:tcPr>
            <w:tcW w:w="91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4"/>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r>
      <w:tr>
        <w:trPr>
          <w:trHeight w:val="291"/>
        </w:trPr>
        <w:tc>
          <w:tcPr>
            <w:tcW w:w="918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24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$0.3</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0.8</w:t>
            </w: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2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$(1.2)</w:t>
            </w:r>
          </w:p>
        </w:tc>
      </w:tr>
      <w:tr>
        <w:trPr>
          <w:trHeight w:val="27"/>
        </w:trPr>
        <w:tc>
          <w:tcPr>
            <w:tcW w:w="9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r>
      <w:tr>
        <w:trPr>
          <w:trHeight w:val="20"/>
        </w:trPr>
        <w:tc>
          <w:tcPr>
            <w:tcW w:w="91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our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our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17.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64"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16. RECLASSIFICATIONS OUT OF ACCUMULATED OTHER COMPREHENSIVE INCOME (LOSS)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year ended December 31, 2013,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Gains</w:t>
            </w:r>
          </w:p>
        </w:tc>
        <w:tc>
          <w:tcPr>
            <w:tcW w:w="1860" w:type="dxa"/>
            <w:vAlign w:val="bottom"/>
          </w:tcPr>
          <w:p>
            <w:pPr>
              <w:jc w:val="right"/>
              <w:ind w:right="270"/>
              <w:spacing w:after="0"/>
              <w:rPr>
                <w:sz w:val="20"/>
                <w:szCs w:val="20"/>
                <w:color w:val="auto"/>
              </w:rPr>
            </w:pPr>
            <w:r>
              <w:rPr>
                <w:rFonts w:ascii="Arial" w:cs="Arial" w:eastAsia="Arial" w:hAnsi="Arial"/>
                <w:sz w:val="18"/>
                <w:szCs w:val="18"/>
                <w:b w:val="1"/>
                <w:bCs w:val="1"/>
                <w:color w:val="auto"/>
              </w:rPr>
              <w:t>Defined Benefit</w:t>
            </w: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Gains and</w:t>
            </w:r>
          </w:p>
        </w:tc>
        <w:tc>
          <w:tcPr>
            <w:tcW w:w="10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5"/>
              </w:rPr>
              <w:t>and Losses on</w:t>
            </w: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rPr>
              <w:t>Pension, Other</w:t>
            </w: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Losses on</w:t>
            </w:r>
          </w:p>
        </w:tc>
        <w:tc>
          <w:tcPr>
            <w:tcW w:w="10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Available-for-sale</w:t>
            </w: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Cash Flow</w:t>
            </w:r>
          </w:p>
        </w:tc>
        <w:tc>
          <w:tcPr>
            <w:tcW w:w="100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Items</w:t>
            </w: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Hedge</w:t>
            </w: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5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2013</w:t>
            </w:r>
          </w:p>
        </w:tc>
        <w:tc>
          <w:tcPr>
            <w:tcW w:w="20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$(21.5)</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Amounts Reclassified From Accumulated Other Comprehensive</w:t>
            </w:r>
          </w:p>
        </w:tc>
        <w:tc>
          <w:tcPr>
            <w:tcW w:w="20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2"/>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50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20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1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$(16.7)</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50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year ended December 31, 2013,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Year Ended</w:t>
            </w:r>
          </w:p>
        </w:tc>
      </w:tr>
      <w:tr>
        <w:trPr>
          <w:trHeight w:val="270"/>
        </w:trPr>
        <w:tc>
          <w:tcPr>
            <w:tcW w:w="918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918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9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20"/>
                <w:szCs w:val="20"/>
                <w:color w:val="auto"/>
              </w:rPr>
            </w:pP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(0.9)</w:t>
            </w:r>
          </w:p>
        </w:tc>
      </w:tr>
      <w:tr>
        <w:trPr>
          <w:trHeight w:val="27"/>
        </w:trPr>
        <w:tc>
          <w:tcPr>
            <w:tcW w:w="91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4"/>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r>
      <w:tr>
        <w:trPr>
          <w:trHeight w:val="291"/>
        </w:trPr>
        <w:tc>
          <w:tcPr>
            <w:tcW w:w="918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24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2240" w:type="dxa"/>
            <w:vAlign w:val="bottom"/>
          </w:tcPr>
          <w:p>
            <w:pPr>
              <w:jc w:val="right"/>
              <w:ind w:right="290"/>
              <w:spacing w:after="0"/>
              <w:rPr>
                <w:sz w:val="20"/>
                <w:szCs w:val="20"/>
                <w:color w:val="auto"/>
              </w:rPr>
            </w:pPr>
            <w:r>
              <w:rPr>
                <w:rFonts w:ascii="Arial" w:cs="Arial" w:eastAsia="Arial" w:hAnsi="Arial"/>
                <w:sz w:val="18"/>
                <w:szCs w:val="18"/>
                <w:color w:val="auto"/>
              </w:rPr>
              <w:t>$0.8</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(2.7)</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2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2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$(1.6)</w:t>
            </w:r>
          </w:p>
        </w:tc>
      </w:tr>
      <w:tr>
        <w:trPr>
          <w:trHeight w:val="27"/>
        </w:trPr>
        <w:tc>
          <w:tcPr>
            <w:tcW w:w="9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r>
      <w:tr>
        <w:trPr>
          <w:trHeight w:val="20"/>
        </w:trPr>
        <w:tc>
          <w:tcPr>
            <w:tcW w:w="91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our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our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17. Pension and Other Postretirement Benefit Plans.)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PENSION AND OTHER POSTRETIREMENT BENEFIT PLANS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noncontributory union and non-union defined benefit pension plans covering eligible employees. The plans provide defined benefits based on years of service and final average pay. In 2014, we contributed $19.5 million to the plans, all of which was contributed in shares of ALLETE common stock (no contributions in 2013; $7.3 million in 2012). We also have a defined contribution RSOP covering substantially all employees. The 2014 plan year employer contributions, which are made through the employee stock ownership plan portion of the RSOP, totaled $9.1 million ($8.4 million for the 2013 plan year; $7.7 million for the 2012 plan year). (See Note 13. Common Stock and Earnings Per Share and Note 18. Employee Stock and Incentive Plans.)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6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non-union defined benefit pension plan was amended to suspend further crediting of service to the plan and to close the plan to new participants. In conjunction with those amendments, contributions were increased to the RSOP. In 2010, the Minnesota Power union defined benefit pension plan was amended to close the plan to new participants beginning February 1, 2011.</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postretirement health care and life insurance plans covering eligible employees. In 2010, our postretirement health plan was amended to close the plan to employees hired after January 31, 2011. The full eligibility requirement was also amended in 2010, to require employees to be at least age 55 with 10 years of participation in the plan. In 2014, our postretirement life plan was amended to close the plan to non-union employees retiring after December 31, 2015.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2014, no contributions were made to the VEBAs ($10.8 million in 2013; $1.5 million in 2012) and no contributions were made to the grantor trusts ($2.0 million in 2013; none in 2012).</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We do not expect to make any contributions to the defined benefit pension plan or the defined benefit postretirement health and life plan in 2015.</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Accounting for defined benefit pension and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our Consolidated Balance Sheet, in accordance with the accounting standards for Regulated Operations. The defined benefit pension and postretirement health and life benefit expense (credits) associated with our other non-rate base operations are recognized in accumulated other comprehensive income.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64"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94"/>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Pension Obligation and Funded Status</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$661.4</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$577.6</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Benefit Obligation</w:t>
            </w:r>
          </w:p>
        </w:tc>
        <w:tc>
          <w:tcPr>
            <w:tcW w:w="2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 Beginning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$622.8</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$652.1</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8.3</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9.9</w:t>
            </w: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29.8</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26.0</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72.6</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(49.2)</w:t>
            </w: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(36.9)</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(33.5)</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17.9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17.5</w:t>
            </w: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 End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$714.5</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$622.8</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Plan Assets</w:t>
            </w:r>
          </w:p>
        </w:tc>
        <w:tc>
          <w:tcPr>
            <w:tcW w:w="2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Beginning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$501.6</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$460.1</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41.0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56.5</w:t>
            </w: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Employer Contribution </w:t>
            </w:r>
            <w:r>
              <w:rPr>
                <w:rFonts w:ascii="Arial" w:cs="Arial" w:eastAsia="Arial" w:hAnsi="Arial"/>
                <w:sz w:val="18"/>
                <w:szCs w:val="18"/>
                <w:i w:val="1"/>
                <w:iCs w:val="1"/>
                <w:color w:val="auto"/>
              </w:rPr>
              <w:t>(a)</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38.5</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(36.9)</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(33.5)</w:t>
            </w: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End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$544.2</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$501.6</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Funded Status, End of Year</w:t>
            </w:r>
          </w:p>
        </w:tc>
        <w:tc>
          <w:tcPr>
            <w:tcW w:w="21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$(170.3)</w:t>
            </w: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$(121.2)</w:t>
            </w: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800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1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$(169.1)</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participant contributions noted above.</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pension costs that are reported as a component within our Consolidated Balance Sheet, reflected in long-term regulatory assets or liabilities and accumulated other comprehensive income, consist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Unrecognized Pension Costs</w:t>
            </w:r>
          </w:p>
        </w:tc>
        <w:tc>
          <w:tcPr>
            <w:tcW w:w="4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3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3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$250.4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4380" w:type="dxa"/>
            <w:vAlign w:val="bottom"/>
          </w:tcPr>
          <w:p>
            <w:pPr>
              <w:jc w:val="right"/>
              <w:ind w:right="330"/>
              <w:spacing w:after="0"/>
              <w:rPr>
                <w:sz w:val="20"/>
                <w:szCs w:val="20"/>
                <w:color w:val="auto"/>
              </w:rPr>
            </w:pPr>
            <w:r>
              <w:rPr>
                <w:rFonts w:ascii="Arial" w:cs="Arial" w:eastAsia="Arial" w:hAnsi="Arial"/>
                <w:sz w:val="18"/>
                <w:szCs w:val="18"/>
                <w:color w:val="auto"/>
              </w:rPr>
              <w:t>0.2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Unrecognized Pension Costs</w:t>
            </w:r>
          </w:p>
        </w:tc>
        <w:tc>
          <w:tcPr>
            <w:tcW w:w="43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$250.6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r>
      <w:tr>
        <w:trPr>
          <w:trHeight w:val="20"/>
        </w:trPr>
        <w:tc>
          <w:tcPr>
            <w:tcW w:w="60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Pension Expense</w:t>
            </w:r>
          </w:p>
        </w:tc>
        <w:tc>
          <w:tcPr>
            <w:tcW w:w="3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r>
      <w:tr>
        <w:trPr>
          <w:trHeight w:val="27"/>
        </w:trPr>
        <w:tc>
          <w:tcPr>
            <w:tcW w:w="5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$8.3</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140" w:type="dxa"/>
            <w:vAlign w:val="bottom"/>
          </w:tcPr>
          <w:p>
            <w:pPr>
              <w:jc w:val="right"/>
              <w:ind w:right="470"/>
              <w:spacing w:after="0"/>
              <w:rPr>
                <w:sz w:val="20"/>
                <w:szCs w:val="20"/>
                <w:color w:val="auto"/>
              </w:rPr>
            </w:pPr>
            <w:r>
              <w:rPr>
                <w:rFonts w:ascii="Arial" w:cs="Arial" w:eastAsia="Arial" w:hAnsi="Arial"/>
                <w:sz w:val="18"/>
                <w:szCs w:val="18"/>
                <w:color w:val="auto"/>
              </w:rPr>
              <w:t>29.8</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26.0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26.4</w:t>
            </w:r>
          </w:p>
        </w:tc>
      </w:tr>
      <w:tr>
        <w:trPr>
          <w:trHeight w:val="27"/>
        </w:trPr>
        <w:tc>
          <w:tcPr>
            <w:tcW w:w="5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1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(38.2)</w:t>
            </w:r>
          </w:p>
        </w:tc>
        <w:tc>
          <w:tcPr>
            <w:tcW w:w="14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(35.2)</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3140" w:type="dxa"/>
            <w:vAlign w:val="bottom"/>
          </w:tcPr>
          <w:p>
            <w:pPr>
              <w:jc w:val="right"/>
              <w:ind w:right="470"/>
              <w:spacing w:after="0"/>
              <w:rPr>
                <w:sz w:val="20"/>
                <w:szCs w:val="20"/>
                <w:color w:val="auto"/>
              </w:rPr>
            </w:pPr>
            <w:r>
              <w:rPr>
                <w:rFonts w:ascii="Arial" w:cs="Arial" w:eastAsia="Arial" w:hAnsi="Arial"/>
                <w:sz w:val="18"/>
                <w:szCs w:val="18"/>
                <w:color w:val="auto"/>
              </w:rPr>
              <w:t>14.2</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21.5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17.5</w:t>
            </w:r>
          </w:p>
        </w:tc>
      </w:tr>
      <w:tr>
        <w:trPr>
          <w:trHeight w:val="27"/>
        </w:trPr>
        <w:tc>
          <w:tcPr>
            <w:tcW w:w="5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3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0.3</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Pension Expense</w:t>
            </w:r>
          </w:p>
        </w:tc>
        <w:tc>
          <w:tcPr>
            <w:tcW w:w="3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$14.4</w:t>
            </w: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$22.5</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$17.9</w:t>
            </w:r>
          </w:p>
        </w:tc>
      </w:tr>
      <w:tr>
        <w:trPr>
          <w:trHeight w:val="27"/>
        </w:trPr>
        <w:tc>
          <w:tcPr>
            <w:tcW w:w="5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64"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76"/>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Other Changes in Pension Plan Assets and Benefit Obligations Recognized in</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and Regulatory Assets or Liabilities</w:t>
            </w: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r>
      <w:tr>
        <w:trPr>
          <w:trHeight w:val="27"/>
        </w:trPr>
        <w:tc>
          <w:tcPr>
            <w:tcW w:w="8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w:t>
            </w:r>
          </w:p>
        </w:tc>
        <w:tc>
          <w:tcPr>
            <w:tcW w:w="1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$69.8</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$(70.4)</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1880" w:type="dxa"/>
            <w:vAlign w:val="bottom"/>
          </w:tcPr>
          <w:p>
            <w:pPr>
              <w:jc w:val="right"/>
              <w:ind w:right="410"/>
              <w:spacing w:after="0"/>
              <w:rPr>
                <w:sz w:val="20"/>
                <w:szCs w:val="20"/>
                <w:color w:val="auto"/>
              </w:rPr>
            </w:pPr>
            <w:r>
              <w:rPr>
                <w:rFonts w:ascii="Arial" w:cs="Arial" w:eastAsia="Arial" w:hAnsi="Arial"/>
                <w:sz w:val="18"/>
                <w:szCs w:val="18"/>
                <w:color w:val="auto"/>
              </w:rPr>
              <w:t>(0.3)</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Loss</w:t>
            </w:r>
          </w:p>
        </w:tc>
        <w:tc>
          <w:tcPr>
            <w:tcW w:w="1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(14.2)</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w:t>
            </w:r>
          </w:p>
        </w:tc>
      </w:tr>
      <w:tr>
        <w:trPr>
          <w:trHeight w:val="237"/>
        </w:trPr>
        <w:tc>
          <w:tcPr>
            <w:tcW w:w="8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18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$55.3</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$(92.2)</w:t>
            </w:r>
          </w:p>
        </w:tc>
      </w:tr>
      <w:tr>
        <w:trPr>
          <w:trHeight w:val="27"/>
        </w:trPr>
        <w:tc>
          <w:tcPr>
            <w:tcW w:w="8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88"/>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8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$714.5</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$622.8</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$661.4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$577.6</w:t>
            </w: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$544.2</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$501.6</w:t>
            </w:r>
          </w:p>
        </w:tc>
      </w:tr>
      <w:tr>
        <w:trPr>
          <w:trHeight w:val="588"/>
        </w:trPr>
        <w:tc>
          <w:tcPr>
            <w:tcW w:w="8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18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r>
      <w:tr>
        <w:trPr>
          <w:trHeight w:val="27"/>
        </w:trPr>
        <w:tc>
          <w:tcPr>
            <w:tcW w:w="8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1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Obligation, Beginning of Year</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$151.9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$168.8</w:t>
            </w: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3.4</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7.3</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6.8</w:t>
            </w: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1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18.1</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880" w:type="dxa"/>
            <w:vAlign w:val="bottom"/>
          </w:tcPr>
          <w:p>
            <w:pPr>
              <w:jc w:val="right"/>
              <w:ind w:right="410"/>
              <w:spacing w:after="0"/>
              <w:rPr>
                <w:sz w:val="20"/>
                <w:szCs w:val="20"/>
                <w:color w:val="auto"/>
              </w:rPr>
            </w:pPr>
            <w:r>
              <w:rPr>
                <w:rFonts w:ascii="Arial" w:cs="Arial" w:eastAsia="Arial" w:hAnsi="Arial"/>
                <w:sz w:val="18"/>
                <w:szCs w:val="18"/>
                <w:color w:val="auto"/>
              </w:rPr>
              <w:t>(8.9)</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(9.9)</w:t>
            </w: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1880" w:type="dxa"/>
            <w:vAlign w:val="bottom"/>
          </w:tcPr>
          <w:p>
            <w:pPr>
              <w:jc w:val="right"/>
              <w:ind w:right="410"/>
              <w:spacing w:after="0"/>
              <w:rPr>
                <w:sz w:val="20"/>
                <w:szCs w:val="20"/>
                <w:color w:val="auto"/>
              </w:rPr>
            </w:pPr>
            <w:r>
              <w:rPr>
                <w:rFonts w:ascii="Arial" w:cs="Arial" w:eastAsia="Arial" w:hAnsi="Arial"/>
                <w:sz w:val="18"/>
                <w:szCs w:val="18"/>
                <w:color w:val="auto"/>
              </w:rPr>
              <w:t>(2.9)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Curtailments</w:t>
            </w:r>
          </w:p>
        </w:tc>
        <w:tc>
          <w:tcPr>
            <w:tcW w:w="1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 xml:space="preserve">Settlements </w:t>
            </w:r>
            <w:r>
              <w:rPr>
                <w:rFonts w:ascii="Arial" w:cs="Arial" w:eastAsia="Arial" w:hAnsi="Arial"/>
                <w:sz w:val="18"/>
                <w:szCs w:val="18"/>
                <w:i w:val="1"/>
                <w:iCs w:val="1"/>
                <w:color w:val="auto"/>
              </w:rPr>
              <w:t>(a)</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8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End of Year</w:t>
            </w:r>
          </w:p>
        </w:tc>
        <w:tc>
          <w:tcPr>
            <w:tcW w:w="1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$170.9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$151.9</w:t>
            </w:r>
          </w:p>
        </w:tc>
      </w:tr>
      <w:tr>
        <w:trPr>
          <w:trHeight w:val="237"/>
        </w:trPr>
        <w:tc>
          <w:tcPr>
            <w:tcW w:w="8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Plan Assets</w:t>
            </w:r>
          </w:p>
        </w:tc>
        <w:tc>
          <w:tcPr>
            <w:tcW w:w="18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Beginning of Year</w:t>
            </w:r>
          </w:p>
        </w:tc>
        <w:tc>
          <w:tcPr>
            <w:tcW w:w="1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$157.0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$131.0</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11.6</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21.4</w:t>
            </w: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w:t>
            </w:r>
          </w:p>
        </w:tc>
        <w:tc>
          <w:tcPr>
            <w:tcW w:w="1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11.7</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1880" w:type="dxa"/>
            <w:vAlign w:val="bottom"/>
          </w:tcPr>
          <w:p>
            <w:pPr>
              <w:jc w:val="right"/>
              <w:ind w:right="470"/>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8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(9.1)</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r>
      <w:tr>
        <w:trPr>
          <w:trHeight w:val="237"/>
        </w:trPr>
        <w:tc>
          <w:tcPr>
            <w:tcW w:w="8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Fair Value, End of Year</w:t>
            </w:r>
          </w:p>
        </w:tc>
        <w:tc>
          <w:tcPr>
            <w:tcW w:w="18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$163.2</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$157.0</w:t>
            </w:r>
          </w:p>
        </w:tc>
      </w:tr>
      <w:tr>
        <w:trPr>
          <w:trHeight w:val="27"/>
        </w:trPr>
        <w:tc>
          <w:tcPr>
            <w:tcW w:w="8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End of Year</w:t>
            </w:r>
          </w:p>
        </w:tc>
        <w:tc>
          <w:tcPr>
            <w:tcW w:w="18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$(7.7)</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r>
      <w:tr>
        <w:trPr>
          <w:trHeight w:val="291"/>
        </w:trPr>
        <w:tc>
          <w:tcPr>
            <w:tcW w:w="840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5"/>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Net Postretirement Health and Life Amounts Recognized in Consolidated Balance Sheet Consist of:</w:t>
            </w:r>
          </w:p>
        </w:tc>
        <w:tc>
          <w:tcPr>
            <w:tcW w:w="18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8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Non-Current Assets</w:t>
            </w:r>
          </w:p>
        </w:tc>
        <w:tc>
          <w:tcPr>
            <w:tcW w:w="18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$6.6</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$19.4</w:t>
            </w:r>
          </w:p>
        </w:tc>
      </w:tr>
      <w:tr>
        <w:trPr>
          <w:trHeight w:val="27"/>
        </w:trPr>
        <w:tc>
          <w:tcPr>
            <w:tcW w:w="8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8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$(0.9)</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$(13.4)</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 of the termination of a legacy benefit plan.</w:t>
      </w:r>
    </w:p>
    <w:p>
      <w:pPr>
        <w:sectPr>
          <w:pgSz w:w="11900" w:h="16838" w:orient="portrait"/>
          <w:cols w:equalWidth="0" w:num="1">
            <w:col w:w="11420"/>
          </w:cols>
          <w:pgMar w:left="240" w:top="36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2014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64"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 to the accounting standards for retirement benefits, only assets in the VEBAs are treated as plan assets in the above table for the purpose of determining funded status. In addition to the postretirement health and life assets reported in the previous table, we had $17.9 million in irrevocable grantor trusts included in Other Investments on our Consolidated Balance Sheet at December 31, 2014 ($17.8 million at December 31, 2013).</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our Consolidated Balance Sheet, reflected in regulatory long-term assets or liabilities and accumulated other comprehensive income, consist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2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160" w:type="dxa"/>
            <w:vAlign w:val="bottom"/>
          </w:tcPr>
          <w:p>
            <w:pPr>
              <w:spacing w:after="0"/>
              <w:rPr>
                <w:sz w:val="23"/>
                <w:szCs w:val="23"/>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r>
      <w:tr>
        <w:trPr>
          <w:trHeight w:val="27"/>
        </w:trPr>
        <w:tc>
          <w:tcPr>
            <w:tcW w:w="6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w:t>
            </w:r>
          </w:p>
        </w:tc>
        <w:tc>
          <w:tcPr>
            <w:tcW w:w="2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$(9.0)</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2160" w:type="dxa"/>
            <w:vAlign w:val="bottom"/>
          </w:tcPr>
          <w:p>
            <w:pPr>
              <w:spacing w:after="0"/>
              <w:rPr>
                <w:sz w:val="21"/>
                <w:szCs w:val="21"/>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(10.6)</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(10.1)</w:t>
            </w:r>
          </w:p>
        </w:tc>
      </w:tr>
      <w:tr>
        <w:trPr>
          <w:trHeight w:val="27"/>
        </w:trPr>
        <w:tc>
          <w:tcPr>
            <w:tcW w:w="6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Unrecognized Postretirement Health and Life Credit</w:t>
            </w:r>
          </w:p>
        </w:tc>
        <w:tc>
          <w:tcPr>
            <w:tcW w:w="2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$(3.7)</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$(19.1)</w:t>
            </w:r>
          </w:p>
        </w:tc>
      </w:tr>
      <w:tr>
        <w:trPr>
          <w:trHeight w:val="588"/>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Components of Net Periodic Postretirement Health and Life Expense</w:t>
            </w:r>
          </w:p>
        </w:tc>
        <w:tc>
          <w:tcPr>
            <w:tcW w:w="2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r>
      <w:tr>
        <w:trPr>
          <w:trHeight w:val="27"/>
        </w:trPr>
        <w:tc>
          <w:tcPr>
            <w:tcW w:w="6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$3.4</w:t>
            </w:r>
          </w:p>
        </w:tc>
        <w:tc>
          <w:tcPr>
            <w:tcW w:w="1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$3.9</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160" w:type="dxa"/>
            <w:vAlign w:val="bottom"/>
          </w:tcPr>
          <w:p>
            <w:pPr>
              <w:jc w:val="right"/>
              <w:ind w:right="410"/>
              <w:spacing w:after="0"/>
              <w:rPr>
                <w:sz w:val="20"/>
                <w:szCs w:val="20"/>
                <w:color w:val="auto"/>
              </w:rPr>
            </w:pPr>
            <w:r>
              <w:rPr>
                <w:rFonts w:ascii="Arial" w:cs="Arial" w:eastAsia="Arial" w:hAnsi="Arial"/>
                <w:sz w:val="18"/>
                <w:szCs w:val="18"/>
                <w:color w:val="auto"/>
              </w:rPr>
              <w:t>7.3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6.8</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9.4</w:t>
            </w:r>
          </w:p>
        </w:tc>
      </w:tr>
      <w:tr>
        <w:trPr>
          <w:trHeight w:val="27"/>
        </w:trPr>
        <w:tc>
          <w:tcPr>
            <w:tcW w:w="6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(10.3)</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(9.7)</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2160" w:type="dxa"/>
            <w:vAlign w:val="bottom"/>
          </w:tcPr>
          <w:p>
            <w:pPr>
              <w:jc w:val="right"/>
              <w:ind w:right="410"/>
              <w:spacing w:after="0"/>
              <w:rPr>
                <w:sz w:val="20"/>
                <w:szCs w:val="20"/>
                <w:color w:val="auto"/>
              </w:rPr>
            </w:pPr>
            <w:r>
              <w:rPr>
                <w:rFonts w:ascii="Arial" w:cs="Arial" w:eastAsia="Arial" w:hAnsi="Arial"/>
                <w:sz w:val="18"/>
                <w:szCs w:val="18"/>
                <w:color w:val="auto"/>
              </w:rPr>
              <w:t>0.5</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7.5</w:t>
            </w:r>
          </w:p>
        </w:tc>
      </w:tr>
      <w:tr>
        <w:trPr>
          <w:trHeight w:val="27"/>
        </w:trPr>
        <w:tc>
          <w:tcPr>
            <w:tcW w:w="6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(2.5)</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21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6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Effect of Plan Settlement </w:t>
            </w:r>
            <w:r>
              <w:rPr>
                <w:rFonts w:ascii="Arial" w:cs="Arial" w:eastAsia="Arial" w:hAnsi="Arial"/>
                <w:sz w:val="18"/>
                <w:szCs w:val="18"/>
                <w:i w:val="1"/>
                <w:iCs w:val="1"/>
                <w:color w:val="auto"/>
              </w:rPr>
              <w:t>(a)</w:t>
            </w:r>
          </w:p>
        </w:tc>
        <w:tc>
          <w:tcPr>
            <w:tcW w:w="2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Postretirement Health and Life Expense (Credit)</w:t>
            </w:r>
          </w:p>
        </w:tc>
        <w:tc>
          <w:tcPr>
            <w:tcW w:w="2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$(1.6)</w:t>
            </w:r>
          </w:p>
        </w:tc>
        <w:tc>
          <w:tcPr>
            <w:tcW w:w="14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$(1.5)</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 of the termination of a legacy benefit plan.</w:t>
      </w:r>
    </w:p>
    <w:p>
      <w:pPr>
        <w:spacing w:after="0" w:line="348" w:lineRule="exact"/>
        <w:rPr>
          <w:sz w:val="20"/>
          <w:szCs w:val="20"/>
          <w:color w:val="auto"/>
        </w:rPr>
      </w:pPr>
    </w:p>
    <w:p>
      <w:pPr>
        <w:ind w:left="40" w:right="5160"/>
        <w:spacing w:after="0" w:line="317" w:lineRule="auto"/>
        <w:rPr>
          <w:sz w:val="20"/>
          <w:szCs w:val="20"/>
          <w:color w:val="auto"/>
        </w:rPr>
      </w:pPr>
      <w:r>
        <w:rPr>
          <w:rFonts w:ascii="Arial" w:cs="Arial" w:eastAsia="Arial" w:hAnsi="Arial"/>
          <w:sz w:val="16"/>
          <w:szCs w:val="16"/>
          <w:b w:val="1"/>
          <w:bCs w:val="1"/>
          <w:color w:val="auto"/>
        </w:rPr>
        <w:t>Other Changes in Postretirement Benefit Plan Assets and Benefit Obligations Recognized in Other Comprehensive Income and Regulatory Assets or Liabilities</w:t>
      </w: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3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w:t>
            </w:r>
          </w:p>
        </w:tc>
        <w:tc>
          <w:tcPr>
            <w:tcW w:w="2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$16.4</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$(30.2)</w:t>
            </w:r>
          </w:p>
        </w:tc>
      </w:tr>
      <w:tr>
        <w:trPr>
          <w:trHeight w:val="243"/>
        </w:trPr>
        <w:tc>
          <w:tcPr>
            <w:tcW w:w="2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Prior Service Credit Arising During the Period</w:t>
            </w:r>
          </w:p>
        </w:tc>
        <w:tc>
          <w:tcPr>
            <w:tcW w:w="236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w:t>
            </w:r>
          </w:p>
        </w:tc>
        <w:tc>
          <w:tcPr>
            <w:tcW w:w="2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2.5</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r>
      <w:tr>
        <w:trPr>
          <w:trHeight w:val="243"/>
        </w:trPr>
        <w:tc>
          <w:tcPr>
            <w:tcW w:w="20" w:type="dxa"/>
            <w:vAlign w:val="bottom"/>
          </w:tcPr>
          <w:p>
            <w:pPr>
              <w:spacing w:after="0"/>
              <w:rPr>
                <w:sz w:val="21"/>
                <w:szCs w:val="21"/>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Amortization of Loss</w:t>
            </w:r>
          </w:p>
        </w:tc>
        <w:tc>
          <w:tcPr>
            <w:tcW w:w="2360" w:type="dxa"/>
            <w:vAlign w:val="bottom"/>
          </w:tcPr>
          <w:p>
            <w:pPr>
              <w:jc w:val="right"/>
              <w:ind w:right="330"/>
              <w:spacing w:after="0"/>
              <w:rPr>
                <w:sz w:val="20"/>
                <w:szCs w:val="20"/>
                <w:color w:val="auto"/>
              </w:rPr>
            </w:pPr>
            <w:r>
              <w:rPr>
                <w:rFonts w:ascii="Arial" w:cs="Arial" w:eastAsia="Arial" w:hAnsi="Arial"/>
                <w:sz w:val="18"/>
                <w:szCs w:val="18"/>
                <w:color w:val="auto"/>
              </w:rPr>
              <w:t>(0.5)</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Amount Recognized due to Plan Settlement </w:t>
            </w:r>
            <w:r>
              <w:rPr>
                <w:rFonts w:ascii="Arial" w:cs="Arial" w:eastAsia="Arial" w:hAnsi="Arial"/>
                <w:sz w:val="18"/>
                <w:szCs w:val="18"/>
                <w:i w:val="1"/>
                <w:iCs w:val="1"/>
                <w:color w:val="auto"/>
              </w:rPr>
              <w:t>(a)</w:t>
            </w:r>
          </w:p>
        </w:tc>
        <w:tc>
          <w:tcPr>
            <w:tcW w:w="2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37"/>
        </w:trPr>
        <w:tc>
          <w:tcPr>
            <w:tcW w:w="20" w:type="dxa"/>
            <w:vAlign w:val="bottom"/>
          </w:tcPr>
          <w:p>
            <w:pPr>
              <w:spacing w:after="0"/>
              <w:rPr>
                <w:sz w:val="20"/>
                <w:szCs w:val="20"/>
                <w:color w:val="auto"/>
              </w:rPr>
            </w:pPr>
          </w:p>
        </w:tc>
        <w:tc>
          <w:tcPr>
            <w:tcW w:w="7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23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$15.4</w:t>
            </w: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$(29.5)</w:t>
            </w:r>
          </w:p>
        </w:tc>
      </w:tr>
      <w:tr>
        <w:trPr>
          <w:trHeight w:val="27"/>
        </w:trPr>
        <w:tc>
          <w:tcPr>
            <w:tcW w:w="784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8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Result of the termination of a legacy benefit plan.</w:t>
            </w:r>
          </w:p>
        </w:tc>
        <w:tc>
          <w:tcPr>
            <w:tcW w:w="2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64"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tc>
        <w:tc>
          <w:tcPr>
            <w:tcW w:w="19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1980" w:type="dxa"/>
            <w:vAlign w:val="bottom"/>
          </w:tcPr>
          <w:p>
            <w:pPr>
              <w:spacing w:after="0"/>
              <w:rPr>
                <w:sz w:val="24"/>
                <w:szCs w:val="24"/>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7900" w:type="dxa"/>
            <w:vAlign w:val="bottom"/>
          </w:tcPr>
          <w:p>
            <w:pPr>
              <w:spacing w:after="0"/>
              <w:rPr>
                <w:sz w:val="20"/>
                <w:szCs w:val="20"/>
                <w:color w:val="auto"/>
              </w:rPr>
            </w:pPr>
          </w:p>
        </w:tc>
        <w:tc>
          <w:tcPr>
            <w:tcW w:w="1980" w:type="dxa"/>
            <w:vAlign w:val="bottom"/>
          </w:tcPr>
          <w:p>
            <w:pPr>
              <w:jc w:val="right"/>
              <w:ind w:right="370"/>
              <w:spacing w:after="0"/>
              <w:rPr>
                <w:sz w:val="20"/>
                <w:szCs w:val="20"/>
                <w:color w:val="auto"/>
              </w:rPr>
            </w:pPr>
            <w:r>
              <w:rPr>
                <w:rFonts w:ascii="Arial" w:cs="Arial" w:eastAsia="Arial" w:hAnsi="Arial"/>
                <w:sz w:val="18"/>
                <w:szCs w:val="18"/>
                <w:b w:val="1"/>
                <w:bCs w:val="1"/>
                <w:color w:val="auto"/>
              </w:rPr>
              <w:t>Pension</w:t>
            </w: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Health and Life</w:t>
            </w:r>
          </w:p>
        </w:tc>
      </w:tr>
      <w:tr>
        <w:trPr>
          <w:trHeight w:val="27"/>
        </w:trPr>
        <w:tc>
          <w:tcPr>
            <w:tcW w:w="79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2015</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$36.5</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7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$37.1</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2017</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$38.2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7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$39.0</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2019</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$39.9</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7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2020 – 2024</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$207.8</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0"/>
        </w:trPr>
        <w:tc>
          <w:tcPr>
            <w:tcW w:w="79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pension and postretirement health and life costs recorded in regulatory long-term assets or liabilities and accumulated other comprehensive income expected to be recognized as a component of net pension and postretirement benefit costs for the year ending December 31, 2015,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Postretirement</w:t>
            </w:r>
          </w:p>
        </w:tc>
      </w:tr>
      <w:tr>
        <w:trPr>
          <w:trHeight w:val="234"/>
        </w:trPr>
        <w:tc>
          <w:tcPr>
            <w:tcW w:w="6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Pension</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Health and Life</w:t>
            </w:r>
          </w:p>
        </w:tc>
      </w:tr>
      <w:tr>
        <w:trPr>
          <w:trHeight w:val="27"/>
        </w:trPr>
        <w:tc>
          <w:tcPr>
            <w:tcW w:w="60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$17.9</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Prior Service Cost (Credit)</w:t>
            </w:r>
          </w:p>
        </w:tc>
        <w:tc>
          <w:tcPr>
            <w:tcW w:w="25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(3.0)</w:t>
            </w:r>
          </w:p>
        </w:tc>
      </w:tr>
      <w:tr>
        <w:trPr>
          <w:trHeight w:val="27"/>
        </w:trPr>
        <w:tc>
          <w:tcPr>
            <w:tcW w:w="60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Pension and Postretirement Health and Life Cost (Credit)</w:t>
            </w:r>
          </w:p>
        </w:tc>
        <w:tc>
          <w:tcPr>
            <w:tcW w:w="25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$18.1</w:t>
            </w:r>
          </w:p>
        </w:tc>
        <w:tc>
          <w:tcPr>
            <w:tcW w:w="1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w:t>
            </w:r>
          </w:p>
        </w:tc>
      </w:tr>
      <w:tr>
        <w:trPr>
          <w:trHeight w:val="588"/>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Assumptions Used to Determine Benefit Obligation</w:t>
            </w:r>
          </w:p>
        </w:tc>
        <w:tc>
          <w:tcPr>
            <w:tcW w:w="25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560" w:type="dxa"/>
            <w:vAlign w:val="bottom"/>
          </w:tcPr>
          <w:p>
            <w:pPr>
              <w:spacing w:after="0"/>
              <w:rPr>
                <w:sz w:val="23"/>
                <w:szCs w:val="23"/>
                <w:color w:val="auto"/>
              </w:rPr>
            </w:pPr>
          </w:p>
        </w:tc>
        <w:tc>
          <w:tcPr>
            <w:tcW w:w="12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2014</w:t>
            </w:r>
          </w:p>
        </w:tc>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60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Pension</w:t>
            </w:r>
          </w:p>
        </w:tc>
        <w:tc>
          <w:tcPr>
            <w:tcW w:w="2560" w:type="dxa"/>
            <w:vAlign w:val="bottom"/>
          </w:tcPr>
          <w:p>
            <w:pPr>
              <w:spacing w:after="0"/>
              <w:rPr>
                <w:sz w:val="21"/>
                <w:szCs w:val="21"/>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0"/>
              </w:rPr>
              <w:t>4.30%</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4.93%</w:t>
            </w:r>
          </w:p>
        </w:tc>
      </w:tr>
      <w:tr>
        <w:trPr>
          <w:trHeight w:val="27"/>
        </w:trPr>
        <w:tc>
          <w:tcPr>
            <w:tcW w:w="6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Health and Life</w:t>
            </w:r>
          </w:p>
        </w:tc>
        <w:tc>
          <w:tcPr>
            <w:tcW w:w="2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4.33%</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4.96%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2560" w:type="dxa"/>
            <w:vAlign w:val="bottom"/>
          </w:tcPr>
          <w:p>
            <w:pPr>
              <w:spacing w:after="0"/>
              <w:rPr>
                <w:sz w:val="21"/>
                <w:szCs w:val="21"/>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2"/>
              </w:rPr>
              <w:t>3.70 - 4.30%</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0"/>
              </w:rPr>
              <w:t>3.70 - 4.30%</w:t>
            </w:r>
          </w:p>
        </w:tc>
      </w:tr>
      <w:tr>
        <w:trPr>
          <w:trHeight w:val="27"/>
        </w:trPr>
        <w:tc>
          <w:tcPr>
            <w:tcW w:w="6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Trend Rates</w:t>
            </w:r>
          </w:p>
        </w:tc>
        <w:tc>
          <w:tcPr>
            <w:tcW w:w="2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Trend Rate</w:t>
            </w:r>
          </w:p>
        </w:tc>
        <w:tc>
          <w:tcPr>
            <w:tcW w:w="2560" w:type="dxa"/>
            <w:vAlign w:val="bottom"/>
          </w:tcPr>
          <w:p>
            <w:pPr>
              <w:spacing w:after="0"/>
              <w:rPr>
                <w:sz w:val="21"/>
                <w:szCs w:val="21"/>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0"/>
              </w:rPr>
              <w:t>6.75%</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7.25%</w:t>
            </w:r>
          </w:p>
        </w:tc>
      </w:tr>
      <w:tr>
        <w:trPr>
          <w:trHeight w:val="27"/>
        </w:trPr>
        <w:tc>
          <w:tcPr>
            <w:tcW w:w="6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Ultimate Trend Rate</w:t>
            </w:r>
          </w:p>
        </w:tc>
        <w:tc>
          <w:tcPr>
            <w:tcW w:w="2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5.00%</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5.00%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Year Ultimate Trend Rate Effective</w:t>
            </w:r>
          </w:p>
        </w:tc>
        <w:tc>
          <w:tcPr>
            <w:tcW w:w="2560" w:type="dxa"/>
            <w:vAlign w:val="bottom"/>
          </w:tcPr>
          <w:p>
            <w:pPr>
              <w:spacing w:after="0"/>
              <w:rPr>
                <w:sz w:val="21"/>
                <w:szCs w:val="21"/>
                <w:color w:val="auto"/>
              </w:rPr>
            </w:pPr>
          </w:p>
        </w:tc>
        <w:tc>
          <w:tcPr>
            <w:tcW w:w="1280" w:type="dxa"/>
            <w:vAlign w:val="bottom"/>
          </w:tcPr>
          <w:p>
            <w:pPr>
              <w:jc w:val="center"/>
              <w:ind w:left="150"/>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89"/>
              </w:rPr>
              <w:t>2020</w:t>
            </w:r>
          </w:p>
        </w:tc>
      </w:tr>
      <w:tr>
        <w:trPr>
          <w:trHeight w:val="621"/>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Net Periodic Benefit Costs</w:t>
            </w:r>
          </w:p>
        </w:tc>
        <w:tc>
          <w:tcPr>
            <w:tcW w:w="2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560" w:type="dxa"/>
            <w:vAlign w:val="bottom"/>
          </w:tcPr>
          <w:p>
            <w:pPr>
              <w:jc w:val="center"/>
              <w:ind w:left="1230"/>
              <w:spacing w:after="0"/>
              <w:rPr>
                <w:sz w:val="20"/>
                <w:szCs w:val="20"/>
                <w:color w:val="auto"/>
              </w:rPr>
            </w:pPr>
            <w:r>
              <w:rPr>
                <w:rFonts w:ascii="Arial" w:cs="Arial" w:eastAsia="Arial" w:hAnsi="Arial"/>
                <w:sz w:val="18"/>
                <w:szCs w:val="18"/>
                <w:b w:val="1"/>
                <w:bCs w:val="1"/>
                <w:color w:val="auto"/>
                <w:w w:val="89"/>
              </w:rPr>
              <w:t>2014</w:t>
            </w:r>
          </w:p>
        </w:tc>
        <w:tc>
          <w:tcPr>
            <w:tcW w:w="12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2013</w:t>
            </w:r>
          </w:p>
        </w:tc>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0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560" w:type="dxa"/>
            <w:vAlign w:val="bottom"/>
            <w:tcBorders>
              <w:bottom w:val="single" w:sz="8" w:color="CCEEFF"/>
            </w:tcBorders>
            <w:shd w:val="clear" w:color="auto" w:fill="CCEEFF"/>
          </w:tcPr>
          <w:p>
            <w:pPr>
              <w:jc w:val="center"/>
              <w:ind w:left="1230"/>
              <w:spacing w:after="0"/>
              <w:rPr>
                <w:sz w:val="20"/>
                <w:szCs w:val="20"/>
                <w:color w:val="auto"/>
              </w:rPr>
            </w:pPr>
            <w:r>
              <w:rPr>
                <w:rFonts w:ascii="Arial" w:cs="Arial" w:eastAsia="Arial" w:hAnsi="Arial"/>
                <w:sz w:val="18"/>
                <w:szCs w:val="18"/>
                <w:color w:val="auto"/>
                <w:w w:val="90"/>
              </w:rPr>
              <w:t>4.93 - 4.96%</w:t>
            </w:r>
          </w:p>
        </w:tc>
        <w:tc>
          <w:tcPr>
            <w:tcW w:w="12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2"/>
              </w:rPr>
              <w:t>4.10 - 4.13%</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4.54 - 4.56%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2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w:t>
            </w:r>
          </w:p>
        </w:tc>
        <w:tc>
          <w:tcPr>
            <w:tcW w:w="256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8.00%</w:t>
            </w:r>
          </w:p>
        </w:tc>
        <w:tc>
          <w:tcPr>
            <w:tcW w:w="12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0"/>
              </w:rPr>
              <w:t>8.25%</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8.25%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Postretirement Health and Life</w:t>
            </w:r>
          </w:p>
        </w:tc>
        <w:tc>
          <w:tcPr>
            <w:tcW w:w="2560" w:type="dxa"/>
            <w:vAlign w:val="bottom"/>
          </w:tcPr>
          <w:p>
            <w:pPr>
              <w:jc w:val="center"/>
              <w:ind w:left="1230"/>
              <w:spacing w:after="0"/>
              <w:rPr>
                <w:sz w:val="20"/>
                <w:szCs w:val="20"/>
                <w:color w:val="auto"/>
              </w:rPr>
            </w:pPr>
            <w:r>
              <w:rPr>
                <w:rFonts w:ascii="Arial" w:cs="Arial" w:eastAsia="Arial" w:hAnsi="Arial"/>
                <w:sz w:val="18"/>
                <w:szCs w:val="18"/>
                <w:color w:val="auto"/>
                <w:w w:val="90"/>
              </w:rPr>
              <w:t>6.40 - 8.00%</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2"/>
              </w:rPr>
              <w:t>6.60 - 8.25%</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0"/>
              </w:rPr>
              <w:t>6.60 - 8.25%</w:t>
            </w:r>
          </w:p>
        </w:tc>
      </w:tr>
      <w:tr>
        <w:trPr>
          <w:trHeight w:val="27"/>
        </w:trPr>
        <w:tc>
          <w:tcPr>
            <w:tcW w:w="6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2560" w:type="dxa"/>
            <w:vAlign w:val="bottom"/>
            <w:tcBorders>
              <w:bottom w:val="single" w:sz="8" w:color="CCEEFF"/>
            </w:tcBorders>
            <w:shd w:val="clear" w:color="auto" w:fill="CCEEFF"/>
          </w:tcPr>
          <w:p>
            <w:pPr>
              <w:jc w:val="center"/>
              <w:ind w:left="1230"/>
              <w:spacing w:after="0"/>
              <w:rPr>
                <w:sz w:val="20"/>
                <w:szCs w:val="20"/>
                <w:color w:val="auto"/>
              </w:rPr>
            </w:pPr>
            <w:r>
              <w:rPr>
                <w:rFonts w:ascii="Arial" w:cs="Arial" w:eastAsia="Arial" w:hAnsi="Arial"/>
                <w:sz w:val="18"/>
                <w:szCs w:val="18"/>
                <w:color w:val="auto"/>
                <w:w w:val="90"/>
              </w:rPr>
              <w:t>3.70 - 4.30%</w:t>
            </w:r>
          </w:p>
        </w:tc>
        <w:tc>
          <w:tcPr>
            <w:tcW w:w="12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2"/>
              </w:rPr>
              <w:t>4.30 - 4.60%</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4.30 - 4.60%</w:t>
            </w:r>
          </w:p>
        </w:tc>
      </w:tr>
      <w:tr>
        <w:trPr>
          <w:trHeight w:val="20"/>
        </w:trPr>
        <w:tc>
          <w:tcPr>
            <w:tcW w:w="60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64"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discount rate is computed using a yield curve adjusted for ALLETE’s projected cash flows to match our plan characteristics. The yield curve is determined using high-quality long-term corporate bond rates at the valuation date. We believe the adjusted discount curve used in this comparison does not materially differ in duration and cash flows from our pension obligation. The decrease in the discount rates used as of December 31, 2014 increased the pension and postretirement health and life benefit obligations by approximately $53 million and $14 million,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actuarial assumptions about mortality to calculate the pension and postretirement health and life benefit obligations. In 2014, revised mortality tables were released, and the Company adopted updated mortality tables as of December 31, 2014. The adoption of updated mortality tables increased the pension and postretirement health and life benefit obligations as of December 31, 2014 by approximately $25 million and $8 million, respectively.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Sensitivity of a One-Percentage-Point Change in Health Care Trend Rates</w:t>
            </w:r>
          </w:p>
        </w:tc>
        <w:tc>
          <w:tcPr>
            <w:tcW w:w="28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7140" w:type="dxa"/>
            <w:vAlign w:val="bottom"/>
          </w:tcPr>
          <w:p>
            <w:pPr>
              <w:spacing w:after="0"/>
              <w:rPr>
                <w:sz w:val="21"/>
                <w:szCs w:val="21"/>
                <w:color w:val="auto"/>
              </w:rPr>
            </w:pPr>
          </w:p>
        </w:tc>
        <w:tc>
          <w:tcPr>
            <w:tcW w:w="2800" w:type="dxa"/>
            <w:vAlign w:val="bottom"/>
          </w:tcPr>
          <w:p>
            <w:pPr>
              <w:jc w:val="right"/>
              <w:ind w:right="350"/>
              <w:spacing w:after="0"/>
              <w:rPr>
                <w:sz w:val="20"/>
                <w:szCs w:val="20"/>
                <w:color w:val="auto"/>
              </w:rPr>
            </w:pPr>
            <w:r>
              <w:rPr>
                <w:rFonts w:ascii="Arial" w:cs="Arial" w:eastAsia="Arial" w:hAnsi="Arial"/>
                <w:sz w:val="18"/>
                <w:szCs w:val="18"/>
                <w:b w:val="1"/>
                <w:bCs w:val="1"/>
                <w:color w:val="auto"/>
              </w:rPr>
              <w:t>One Percent</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One Percent</w:t>
            </w:r>
          </w:p>
        </w:tc>
      </w:tr>
      <w:tr>
        <w:trPr>
          <w:trHeight w:val="234"/>
        </w:trPr>
        <w:tc>
          <w:tcPr>
            <w:tcW w:w="7140" w:type="dxa"/>
            <w:vAlign w:val="bottom"/>
          </w:tcPr>
          <w:p>
            <w:pPr>
              <w:spacing w:after="0"/>
              <w:rPr>
                <w:sz w:val="20"/>
                <w:szCs w:val="20"/>
                <w:color w:val="auto"/>
              </w:rPr>
            </w:pPr>
          </w:p>
        </w:tc>
        <w:tc>
          <w:tcPr>
            <w:tcW w:w="2800" w:type="dxa"/>
            <w:vAlign w:val="bottom"/>
          </w:tcPr>
          <w:p>
            <w:pPr>
              <w:jc w:val="right"/>
              <w:ind w:right="490"/>
              <w:spacing w:after="0"/>
              <w:rPr>
                <w:sz w:val="20"/>
                <w:szCs w:val="20"/>
                <w:color w:val="auto"/>
              </w:rPr>
            </w:pPr>
            <w:r>
              <w:rPr>
                <w:rFonts w:ascii="Arial" w:cs="Arial" w:eastAsia="Arial" w:hAnsi="Arial"/>
                <w:sz w:val="18"/>
                <w:szCs w:val="18"/>
                <w:b w:val="1"/>
                <w:bCs w:val="1"/>
                <w:color w:val="auto"/>
              </w:rPr>
              <w:t>Increase</w:t>
            </w: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Decrease</w:t>
            </w:r>
          </w:p>
        </w:tc>
      </w:tr>
      <w:tr>
        <w:trPr>
          <w:trHeight w:val="27"/>
        </w:trPr>
        <w:tc>
          <w:tcPr>
            <w:tcW w:w="7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7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of Postretirement Health and Life Service and Interest Cost</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Effect on Postretirement Health and Life Obligation</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$21.6</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$(17.7)</w:t>
            </w:r>
          </w:p>
        </w:tc>
      </w:tr>
      <w:tr>
        <w:trPr>
          <w:trHeight w:val="27"/>
        </w:trPr>
        <w:tc>
          <w:tcPr>
            <w:tcW w:w="7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Actual Plan Asset Allocations</w:t>
            </w:r>
          </w:p>
        </w:tc>
        <w:tc>
          <w:tcPr>
            <w:tcW w:w="1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Postretirement</w:t>
            </w:r>
          </w:p>
        </w:tc>
        <w:tc>
          <w:tcPr>
            <w:tcW w:w="9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0" w:type="dxa"/>
            <w:vAlign w:val="bottom"/>
          </w:tcPr>
          <w:p>
            <w:pPr>
              <w:jc w:val="right"/>
              <w:ind w:right="1310"/>
              <w:spacing w:after="0"/>
              <w:rPr>
                <w:sz w:val="20"/>
                <w:szCs w:val="20"/>
                <w:color w:val="auto"/>
              </w:rPr>
            </w:pPr>
            <w:r>
              <w:rPr>
                <w:rFonts w:ascii="Arial" w:cs="Arial" w:eastAsia="Arial" w:hAnsi="Arial"/>
                <w:sz w:val="18"/>
                <w:szCs w:val="18"/>
                <w:b w:val="1"/>
                <w:bCs w:val="1"/>
                <w:color w:val="auto"/>
                <w:w w:val="82"/>
              </w:rPr>
              <w:t>Pension</w:t>
            </w:r>
          </w:p>
        </w:tc>
        <w:tc>
          <w:tcPr>
            <w:tcW w:w="29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8"/>
                <w:szCs w:val="18"/>
                <w:b w:val="1"/>
                <w:bCs w:val="1"/>
                <w:i w:val="1"/>
                <w:iCs w:val="1"/>
                <w:color w:val="auto"/>
              </w:rPr>
              <w:t>(a)</w:t>
            </w:r>
          </w:p>
        </w:tc>
      </w:tr>
      <w:tr>
        <w:trPr>
          <w:trHeight w:val="270"/>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20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1980" w:type="dxa"/>
            <w:vAlign w:val="bottom"/>
          </w:tcPr>
          <w:p>
            <w:pPr>
              <w:jc w:val="right"/>
              <w:ind w:right="109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51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2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48%</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52%</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58%</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63%</w:t>
            </w: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34%</w:t>
            </w:r>
          </w:p>
        </w:tc>
        <w:tc>
          <w:tcPr>
            <w:tcW w:w="1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34%</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8%</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19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6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100%</w:t>
            </w: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r>
      <w:tr>
        <w:trPr>
          <w:trHeight w:val="27"/>
        </w:trPr>
        <w:tc>
          <w:tcPr>
            <w:tcW w:w="462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46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VEBAs and irrevocable grantor trusts.</w:t>
            </w:r>
          </w:p>
        </w:tc>
        <w:tc>
          <w:tcPr>
            <w:tcW w:w="18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of ALLETE common stock included in pension plan equity securities as of December 31, 2014 (no shares as of December 31, 2013).</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2013, the defined benefit pension plan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continue to be diversified to achieve strong returns within managed risk. Equity securities are diversified among domestic companies with large, mid and small market capitalizations, as well as investments in international companies. The majority of debt securities are made up of investment grade bonds. Below are the current targeted allocations as of December 31, 2014.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Plan Asset Target Allocations</w:t>
            </w:r>
          </w:p>
        </w:tc>
        <w:tc>
          <w:tcPr>
            <w:tcW w:w="4160" w:type="dxa"/>
            <w:vAlign w:val="bottom"/>
          </w:tcPr>
          <w:p>
            <w:pPr>
              <w:spacing w:after="0"/>
              <w:rPr>
                <w:sz w:val="18"/>
                <w:szCs w:val="18"/>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340" w:type="dxa"/>
            <w:vAlign w:val="bottom"/>
          </w:tcPr>
          <w:p>
            <w:pPr>
              <w:spacing w:after="0"/>
              <w:rPr>
                <w:sz w:val="20"/>
                <w:szCs w:val="20"/>
                <w:color w:val="auto"/>
              </w:rPr>
            </w:pPr>
          </w:p>
        </w:tc>
        <w:tc>
          <w:tcPr>
            <w:tcW w:w="4160" w:type="dxa"/>
            <w:vAlign w:val="bottom"/>
          </w:tcPr>
          <w:p>
            <w:pPr>
              <w:jc w:val="right"/>
              <w:ind w:right="430"/>
              <w:spacing w:after="0"/>
              <w:rPr>
                <w:sz w:val="20"/>
                <w:szCs w:val="20"/>
                <w:color w:val="auto"/>
              </w:rPr>
            </w:pPr>
            <w:r>
              <w:rPr>
                <w:rFonts w:ascii="Arial" w:cs="Arial" w:eastAsia="Arial" w:hAnsi="Arial"/>
                <w:sz w:val="18"/>
                <w:szCs w:val="18"/>
                <w:b w:val="1"/>
                <w:bCs w:val="1"/>
                <w:color w:val="auto"/>
              </w:rPr>
              <w:t>Pension</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8"/>
                <w:szCs w:val="18"/>
                <w:b w:val="1"/>
                <w:bCs w:val="1"/>
                <w:i w:val="1"/>
                <w:iCs w:val="1"/>
                <w:color w:val="auto"/>
              </w:rPr>
              <w:t>(a)</w:t>
            </w:r>
          </w:p>
        </w:tc>
      </w:tr>
      <w:tr>
        <w:trPr>
          <w:trHeight w:val="27"/>
        </w:trPr>
        <w:tc>
          <w:tcPr>
            <w:tcW w:w="53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416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60%</w:t>
            </w:r>
          </w:p>
        </w:tc>
      </w:tr>
      <w:tr>
        <w:trPr>
          <w:trHeight w:val="27"/>
        </w:trPr>
        <w:tc>
          <w:tcPr>
            <w:tcW w:w="53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4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37%</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416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7"/>
        </w:trPr>
        <w:tc>
          <w:tcPr>
            <w:tcW w:w="53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r>
      <w:tr>
        <w:trPr>
          <w:trHeight w:val="20"/>
        </w:trPr>
        <w:tc>
          <w:tcPr>
            <w:tcW w:w="534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64"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various U.S. equity securities, public mutual funds, and futures. These instruments are valued using the closing price from the applicable exchange or whose value is quoted and readily traded daily.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This category includes various bonds and non-public funds whose underlying investments may be level 1 or level 2 securities.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private equity funds and real estate valued through external appraisal processes. Valuation methodologies incorporate pricing models, discounted cash flow models, and similar techniques which utilize capitalization rates, discount rates, cash flows and other factors.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Pension Fair Value</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2014</w:t>
            </w:r>
          </w:p>
        </w:tc>
        <w:tc>
          <w:tcPr>
            <w:tcW w:w="112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$56.4</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13.6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24.4</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46.1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45.9</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201.0</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$43.3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$351.6</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$72.2</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61" w:lineRule="auto"/>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classified under U.S. Equity Securities consist of money market funds (Level 1) and actively-managed funds (Level 2), which are combined with futures, and settle daily, to achieve the returns of the U.S. Equity Securities Large-cap, Mid-cap Growth, and Small-cap funds. Our exposure with respect to these investments includes both the futures and the underlying investments.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6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540" w:type="dxa"/>
            <w:vAlign w:val="bottom"/>
          </w:tcPr>
          <w:p>
            <w:pPr>
              <w:jc w:val="right"/>
              <w:ind w:right="270"/>
              <w:spacing w:after="0"/>
              <w:rPr>
                <w:sz w:val="20"/>
                <w:szCs w:val="20"/>
                <w:color w:val="auto"/>
              </w:rPr>
            </w:pPr>
            <w:r>
              <w:rPr>
                <w:rFonts w:ascii="Arial" w:cs="Arial" w:eastAsia="Arial" w:hAnsi="Arial"/>
                <w:sz w:val="18"/>
                <w:szCs w:val="18"/>
                <w:b w:val="1"/>
                <w:bCs w:val="1"/>
                <w:color w:val="auto"/>
              </w:rPr>
              <w:t>Private Equity Funds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2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45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$46.8</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540" w:type="dxa"/>
            <w:vAlign w:val="bottom"/>
          </w:tcPr>
          <w:p>
            <w:pPr>
              <w:jc w:val="right"/>
              <w:ind w:right="490"/>
              <w:spacing w:after="0"/>
              <w:rPr>
                <w:sz w:val="20"/>
                <w:szCs w:val="20"/>
                <w:color w:val="auto"/>
              </w:rPr>
            </w:pPr>
            <w:r>
              <w:rPr>
                <w:rFonts w:ascii="Arial" w:cs="Arial" w:eastAsia="Arial" w:hAnsi="Arial"/>
                <w:sz w:val="18"/>
                <w:szCs w:val="18"/>
                <w:color w:val="auto"/>
              </w:rPr>
              <w:t>1.2</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2.8</w:t>
            </w:r>
          </w:p>
        </w:tc>
      </w:tr>
      <w:tr>
        <w:trPr>
          <w:trHeight w:val="27"/>
        </w:trPr>
        <w:tc>
          <w:tcPr>
            <w:tcW w:w="52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45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(4.7)</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2014</w:t>
            </w:r>
          </w:p>
        </w:tc>
        <w:tc>
          <w:tcPr>
            <w:tcW w:w="45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$43.3</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$28.9</w:t>
            </w:r>
          </w:p>
        </w:tc>
      </w:tr>
      <w:tr>
        <w:trPr>
          <w:trHeight w:val="27"/>
        </w:trPr>
        <w:tc>
          <w:tcPr>
            <w:tcW w:w="52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2013</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26.7</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28.2</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61.2</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43.5</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130.1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36.4</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$46.8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$194.1</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$73.3</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61" w:lineRule="auto"/>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classified under U.S. Equity Securities consist of money market funds (Level 1) and actively-managed funds (Level 2), which are combined with futures, and settle daily, to achieve the returns of the U.S. Equity Securities Large-cap, Mid-cap Growth, and Small-cap funds. Our exposure with respect to these investments includes both the futures and the underlying investments.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540" w:type="dxa"/>
            <w:vAlign w:val="bottom"/>
          </w:tcPr>
          <w:p>
            <w:pPr>
              <w:jc w:val="right"/>
              <w:ind w:right="270"/>
              <w:spacing w:after="0"/>
              <w:rPr>
                <w:sz w:val="20"/>
                <w:szCs w:val="20"/>
                <w:color w:val="auto"/>
              </w:rPr>
            </w:pPr>
            <w:r>
              <w:rPr>
                <w:rFonts w:ascii="Arial" w:cs="Arial" w:eastAsia="Arial" w:hAnsi="Arial"/>
                <w:sz w:val="18"/>
                <w:szCs w:val="18"/>
                <w:b w:val="1"/>
                <w:bCs w:val="1"/>
                <w:color w:val="auto"/>
              </w:rPr>
              <w:t>Private Equity Funds</w:t>
            </w: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2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45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$58.9</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$24.9</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540" w:type="dxa"/>
            <w:vAlign w:val="bottom"/>
          </w:tcPr>
          <w:p>
            <w:pPr>
              <w:jc w:val="right"/>
              <w:ind w:right="490"/>
              <w:spacing w:after="0"/>
              <w:rPr>
                <w:sz w:val="20"/>
                <w:szCs w:val="20"/>
                <w:color w:val="auto"/>
              </w:rPr>
            </w:pPr>
            <w:r>
              <w:rPr>
                <w:rFonts w:ascii="Arial" w:cs="Arial" w:eastAsia="Arial" w:hAnsi="Arial"/>
                <w:sz w:val="18"/>
                <w:szCs w:val="18"/>
                <w:color w:val="auto"/>
              </w:rPr>
              <w:t>2.3</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2.1</w:t>
            </w:r>
          </w:p>
        </w:tc>
      </w:tr>
      <w:tr>
        <w:trPr>
          <w:trHeight w:val="27"/>
        </w:trPr>
        <w:tc>
          <w:tcPr>
            <w:tcW w:w="52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45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(14.4)</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2013</w:t>
            </w:r>
          </w:p>
        </w:tc>
        <w:tc>
          <w:tcPr>
            <w:tcW w:w="45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$46.8</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$26.5</w:t>
            </w:r>
          </w:p>
        </w:tc>
      </w:tr>
      <w:tr>
        <w:trPr>
          <w:trHeight w:val="27"/>
        </w:trPr>
        <w:tc>
          <w:tcPr>
            <w:tcW w:w="52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6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Postretirement Health and Life Fair Value</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2014</w:t>
            </w:r>
          </w:p>
        </w:tc>
        <w:tc>
          <w:tcPr>
            <w:tcW w:w="112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20.0</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30.6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44.5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$12.9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w:t>
            </w:r>
          </w:p>
        </w:tc>
      </w:tr>
      <w:tr>
        <w:trPr>
          <w:trHeight w:val="20"/>
        </w:trPr>
        <w:tc>
          <w:tcPr>
            <w:tcW w:w="5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classified under U.S. Equity Securities consist of mutual funds (Level 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524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5240" w:type="dxa"/>
            <w:vAlign w:val="bottom"/>
          </w:tcPr>
          <w:p>
            <w:pPr>
              <w:jc w:val="right"/>
              <w:ind w:right="3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61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24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5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240" w:type="dxa"/>
            <w:vAlign w:val="bottom"/>
          </w:tcPr>
          <w:p>
            <w:pPr>
              <w:jc w:val="right"/>
              <w:ind w:right="250"/>
              <w:spacing w:after="0"/>
              <w:rPr>
                <w:sz w:val="20"/>
                <w:szCs w:val="20"/>
                <w:color w:val="auto"/>
              </w:rPr>
            </w:pPr>
            <w:r>
              <w:rPr>
                <w:rFonts w:ascii="Arial" w:cs="Arial" w:eastAsia="Arial" w:hAnsi="Arial"/>
                <w:sz w:val="18"/>
                <w:szCs w:val="18"/>
                <w:color w:val="auto"/>
              </w:rPr>
              <w:t>1.4</w:t>
            </w:r>
          </w:p>
        </w:tc>
      </w:tr>
      <w:tr>
        <w:trPr>
          <w:trHeight w:val="27"/>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5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2014</w:t>
            </w:r>
          </w:p>
        </w:tc>
        <w:tc>
          <w:tcPr>
            <w:tcW w:w="5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$12.9</w:t>
            </w:r>
          </w:p>
        </w:tc>
      </w:tr>
      <w:tr>
        <w:trPr>
          <w:trHeight w:val="27"/>
        </w:trPr>
        <w:tc>
          <w:tcPr>
            <w:tcW w:w="61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2013</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17.6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33.4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30.8</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$15.5</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$13.1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$15.5</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r>
      <w:tr>
        <w:trPr>
          <w:trHeight w:val="20"/>
        </w:trPr>
        <w:tc>
          <w:tcPr>
            <w:tcW w:w="5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classified under U.S. Equity Securities consist of mutual funds (Level 1).</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2014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64"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17.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5260" w:type="dxa"/>
            <w:vAlign w:val="bottom"/>
          </w:tcPr>
          <w:p>
            <w:pPr>
              <w:spacing w:after="0"/>
              <w:rPr>
                <w:sz w:val="20"/>
                <w:szCs w:val="20"/>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5260" w:type="dxa"/>
            <w:vAlign w:val="bottom"/>
          </w:tcPr>
          <w:p>
            <w:pPr>
              <w:jc w:val="right"/>
              <w:ind w:right="9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616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26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5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$13.5</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260" w:type="dxa"/>
            <w:vAlign w:val="bottom"/>
          </w:tcPr>
          <w:p>
            <w:pPr>
              <w:jc w:val="right"/>
              <w:ind w:right="350"/>
              <w:spacing w:after="0"/>
              <w:rPr>
                <w:sz w:val="20"/>
                <w:szCs w:val="20"/>
                <w:color w:val="auto"/>
              </w:rPr>
            </w:pPr>
            <w:r>
              <w:rPr>
                <w:rFonts w:ascii="Arial" w:cs="Arial" w:eastAsia="Arial" w:hAnsi="Arial"/>
                <w:sz w:val="18"/>
                <w:szCs w:val="18"/>
                <w:color w:val="auto"/>
              </w:rPr>
              <w:t>2.4</w:t>
            </w:r>
          </w:p>
        </w:tc>
      </w:tr>
      <w:tr>
        <w:trPr>
          <w:trHeight w:val="27"/>
        </w:trPr>
        <w:tc>
          <w:tcPr>
            <w:tcW w:w="61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5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2013</w:t>
            </w:r>
          </w:p>
        </w:tc>
        <w:tc>
          <w:tcPr>
            <w:tcW w:w="5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$13.1</w:t>
            </w:r>
          </w:p>
        </w:tc>
      </w:tr>
      <w:tr>
        <w:trPr>
          <w:trHeight w:val="27"/>
        </w:trPr>
        <w:tc>
          <w:tcPr>
            <w:tcW w:w="616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EMPLOYEE STOCK AND INCENTIVE PLANS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Employee Stock Ownership Plan. </w:t>
      </w:r>
      <w:r>
        <w:rPr>
          <w:rFonts w:ascii="Arial" w:cs="Arial" w:eastAsia="Arial" w:hAnsi="Arial"/>
          <w:sz w:val="17"/>
          <w:szCs w:val="17"/>
          <w:color w:val="auto"/>
        </w:rPr>
        <w:t>We sponsor a leveraged ESOP within the RSOP. Eligible employees may contribute to the RSOP plan as of their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hire. In 1990, the ESOP issued a $75.0 million note (term not to exceed 25 years at 10.25 percent) to use as consideration for 2.8 million shares (1.9 million shares adjusted for stock splits) of our newly issued common stock. The note was refinanced in 2006 at 6 percent. We make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the debt. As the debt is repaid, shares are released from collateral and allocated to participants based on the proportion of debt service paid in the year. As shares are released from collateral, we report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$9.1 million in 2014 ($8.4 million in 2013; $7.7 million in 2012).</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currently held and purchased by the ESOP will be treated as unearned ESOP shares and not considered outstanding for earnings per share computations. ESOP shares are included in earnings per share computations after they are allocated to participants.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3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 Shares</w:t>
            </w:r>
          </w:p>
        </w:tc>
        <w:tc>
          <w:tcPr>
            <w:tcW w:w="3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Allocated</w:t>
            </w:r>
          </w:p>
        </w:tc>
        <w:tc>
          <w:tcPr>
            <w:tcW w:w="3780" w:type="dxa"/>
            <w:vAlign w:val="bottom"/>
          </w:tcPr>
          <w:p>
            <w:pPr>
              <w:jc w:val="right"/>
              <w:ind w:right="410"/>
              <w:spacing w:after="0"/>
              <w:rPr>
                <w:sz w:val="20"/>
                <w:szCs w:val="20"/>
                <w:color w:val="auto"/>
              </w:rPr>
            </w:pPr>
            <w:r>
              <w:rPr>
                <w:rFonts w:ascii="Arial" w:cs="Arial" w:eastAsia="Arial" w:hAnsi="Arial"/>
                <w:sz w:val="18"/>
                <w:szCs w:val="18"/>
                <w:color w:val="auto"/>
              </w:rPr>
              <w:t>1.9</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w:t>
            </w:r>
          </w:p>
        </w:tc>
        <w:tc>
          <w:tcPr>
            <w:tcW w:w="37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0.3</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7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2.2</w:t>
            </w:r>
          </w:p>
        </w:tc>
        <w:tc>
          <w:tcPr>
            <w:tcW w:w="13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2.5</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3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Unallocated Shares</w:t>
            </w:r>
          </w:p>
        </w:tc>
        <w:tc>
          <w:tcPr>
            <w:tcW w:w="37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$13.2</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0"/>
        </w:trPr>
        <w:tc>
          <w:tcPr>
            <w:tcW w:w="530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Stock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Executive Long-Term Incentive Compensation Plan (Executive Plan), share-based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to key employees through a broad range of methods, including non-qualified and incentive stock options, performance shares, performance units, restricted stock, stock appreciation rights and other awards. There are 0.8 million shares of common stock reserved for issuance under the Executive Plan, with 0.6 million of these shares available for issuance as of December 31, 2014.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6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18. EMPLOYEE STOCK AND INCENTIVE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the following types of share-based awards outstanding:</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These options allow for the purchase of shares of common stock at a price equal to the market value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retirement eligible. Stock options have not been granted under our Executive Plan since 2008.</w:t>
      </w:r>
    </w:p>
    <w:p>
      <w:pPr>
        <w:spacing w:after="0" w:line="18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18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Under the performance share awards plan, the number of shares earned is contingent upon attaining specific market goals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performance period. Market goals are measured by total shareholder return relative to a group of peer companies.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is determined by the probability of meeting the total shareholder return goals. Compensation cost is recognized over the three-year performance period based on our estimate of the number of shares which will be earned by the award recipients.</w:t>
      </w:r>
    </w:p>
    <w:p>
      <w:pPr>
        <w:spacing w:after="0" w:line="19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units plan, shares for retirement eligible participants vest monthly over a three-year period. For non-retirement eligible participants,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19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Because the discount is not greater than 5 percent, we are not required to apply fair value accounting to these awards.</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0.7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 Benefit</w:t>
            </w:r>
          </w:p>
        </w:tc>
        <w:tc>
          <w:tcPr>
            <w:tcW w:w="34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$1.0</w:t>
            </w: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364"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NOTE 18. EMPLOYEE STOCK AND INCENTIVE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share-based compensation costs during the years ended December 31, 2014, 2013 or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the total unrecognized compensation cost for the performance share awards and restricted stock units not yet recognized in our Consolidated Statements of Income was $1.8 million and $0.7 million, respectively. These amounts are expected to be recognized over a weighted-average period of 1.6 years for performance share awards and 1.7 years for restricted stock units.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The following table presents information regarding our outstanding stock options as of December 31, 2014, 2013 and 2012.</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1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1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080" w:type="dxa"/>
            <w:vAlign w:val="bottom"/>
          </w:tcPr>
          <w:p>
            <w:pPr>
              <w:spacing w:after="0"/>
              <w:rPr>
                <w:sz w:val="18"/>
                <w:szCs w:val="18"/>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08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8"/>
                <w:szCs w:val="18"/>
                <w:color w:val="auto"/>
              </w:rPr>
              <w:t>Outstanding as of January 1,</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108,299</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$44.10</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395,678</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$42.28</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460,234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$41.68</w:t>
            </w:r>
          </w:p>
        </w:tc>
      </w:tr>
      <w:tr>
        <w:trPr>
          <w:trHeight w:val="27"/>
        </w:trPr>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(42,020)</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$43.65</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(287,379)</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$41.60</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(49,075)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$35.84</w:t>
            </w:r>
          </w:p>
        </w:tc>
      </w:tr>
      <w:tr>
        <w:trPr>
          <w:trHeight w:val="27"/>
        </w:trPr>
        <w:tc>
          <w:tcPr>
            <w:tcW w:w="3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(15,481)</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$44.86</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as of December 31,</w:t>
            </w:r>
          </w:p>
        </w:tc>
        <w:tc>
          <w:tcPr>
            <w:tcW w:w="16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66,279</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$44.39</w:t>
            </w: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108,299</w:t>
            </w: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$44.10</w:t>
            </w:r>
          </w:p>
        </w:tc>
        <w:tc>
          <w:tcPr>
            <w:tcW w:w="1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395,678</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$42.28</w:t>
            </w:r>
          </w:p>
        </w:tc>
      </w:tr>
      <w:tr>
        <w:trPr>
          <w:trHeight w:val="27"/>
        </w:trPr>
        <w:tc>
          <w:tcPr>
            <w:tcW w:w="3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as of December 31,</w:t>
            </w:r>
          </w:p>
        </w:tc>
        <w:tc>
          <w:tcPr>
            <w:tcW w:w="1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66,279</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$44.39</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108,299</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$43.17</w:t>
            </w:r>
          </w:p>
        </w:tc>
        <w:tc>
          <w:tcPr>
            <w:tcW w:w="1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395,678</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$41.71</w:t>
            </w:r>
          </w:p>
        </w:tc>
      </w:tr>
      <w:tr>
        <w:trPr>
          <w:trHeight w:val="20"/>
        </w:trPr>
        <w:tc>
          <w:tcPr>
            <w:tcW w:w="30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Stock options have not been granted since 2008. The weighted-average grant-date intrinsic value of options granted in 2008 was $6.18.</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non-qualified stock options exercised was approximately $1.8 million in 2014. The intrinsic value of a stock award is the amount by which the fair value of the underlying stock exceeds the exercise price of the award. The total intrinsic value of options exercised was $0.4 million during 2014 ($2.2 million in 2013; $0.3 million in 2012).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42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Range of Exercise Price</w:t>
            </w:r>
          </w:p>
        </w:tc>
      </w:tr>
      <w:tr>
        <w:trPr>
          <w:trHeight w:val="27"/>
        </w:trPr>
        <w:tc>
          <w:tcPr>
            <w:tcW w:w="80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1780" w:type="dxa"/>
            <w:vAlign w:val="bottom"/>
          </w:tcPr>
          <w:p>
            <w:pPr>
              <w:jc w:val="right"/>
              <w:ind w:right="210"/>
              <w:spacing w:after="0"/>
              <w:rPr>
                <w:sz w:val="20"/>
                <w:szCs w:val="20"/>
                <w:color w:val="auto"/>
              </w:rPr>
            </w:pPr>
            <w:r>
              <w:rPr>
                <w:rFonts w:ascii="Arial" w:cs="Arial" w:eastAsia="Arial" w:hAnsi="Arial"/>
                <w:sz w:val="18"/>
                <w:szCs w:val="18"/>
                <w:b w:val="1"/>
                <w:bCs w:val="1"/>
                <w:color w:val="auto"/>
              </w:rPr>
              <w:t>$39.10 to $41.35</w:t>
            </w: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auto"/>
              </w:rPr>
              <w:t>$44.15 to $48.65</w:t>
            </w:r>
          </w:p>
        </w:tc>
      </w:tr>
      <w:tr>
        <w:trPr>
          <w:trHeight w:val="27"/>
        </w:trPr>
        <w:tc>
          <w:tcPr>
            <w:tcW w:w="8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w:t>
            </w: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Number Outstanding and Exercisable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21,849</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44,430</w:t>
            </w:r>
          </w:p>
        </w:tc>
      </w:tr>
      <w:tr>
        <w:trPr>
          <w:trHeight w:val="27"/>
        </w:trPr>
        <w:tc>
          <w:tcPr>
            <w:tcW w:w="8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Remaining Contractual Life (Years)</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Weighted Average Exercise Price</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$39.27</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$46.90</w:t>
            </w:r>
          </w:p>
        </w:tc>
      </w:tr>
      <w:tr>
        <w:trPr>
          <w:trHeight w:val="27"/>
        </w:trPr>
        <w:tc>
          <w:tcPr>
            <w:tcW w:w="8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Aggregate Intrinsic Value (Millions)</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0"/>
        </w:trPr>
        <w:tc>
          <w:tcPr>
            <w:tcW w:w="80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Performance Shares. </w:t>
      </w:r>
      <w:r>
        <w:rPr>
          <w:rFonts w:ascii="Arial" w:cs="Arial" w:eastAsia="Arial" w:hAnsi="Arial"/>
          <w:sz w:val="17"/>
          <w:szCs w:val="17"/>
          <w:color w:val="auto"/>
        </w:rPr>
        <w:t>The following table presents information regarding our non-vested performance shares as of December 31, 2014, 2013 and 2012.</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1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4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Number of</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Grant Date</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Non-vested as of January 1,</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114,765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$47.02</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107,899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$40.73</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128,333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$36.54</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3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47,992</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$46.47</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45,830</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$52.15</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38,764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$44.70</w:t>
            </w:r>
          </w:p>
        </w:tc>
      </w:tr>
      <w:tr>
        <w:trPr>
          <w:trHeight w:val="243"/>
        </w:trPr>
        <w:tc>
          <w:tcPr>
            <w:tcW w:w="2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Awarded</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(36,515)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$42.01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(18,605)</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$35.10</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(41,009)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$34.25</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Unearned Grant Award</w:t>
            </w:r>
          </w:p>
        </w:tc>
        <w:tc>
          <w:tcPr>
            <w:tcW w:w="13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(18,606)</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$35.10</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(17,575)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$34.25</w:t>
            </w:r>
          </w:p>
        </w:tc>
      </w:tr>
      <w:tr>
        <w:trPr>
          <w:trHeight w:val="243"/>
        </w:trPr>
        <w:tc>
          <w:tcPr>
            <w:tcW w:w="2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(6,607)</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$48.29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(1,753)</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$47.26</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(614)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$34.49</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as of December 31,</w:t>
            </w:r>
          </w:p>
        </w:tc>
        <w:tc>
          <w:tcPr>
            <w:tcW w:w="13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119,635</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$48.26</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114,765</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$47.02</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107,899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$40.73</w:t>
            </w:r>
          </w:p>
        </w:tc>
      </w:tr>
      <w:tr>
        <w:trPr>
          <w:trHeight w:val="224"/>
        </w:trPr>
        <w:tc>
          <w:tcPr>
            <w:tcW w:w="20" w:type="dxa"/>
            <w:vAlign w:val="bottom"/>
          </w:tcPr>
          <w:p>
            <w:pPr>
              <w:spacing w:after="0"/>
              <w:rPr>
                <w:sz w:val="19"/>
                <w:szCs w:val="19"/>
                <w:color w:val="auto"/>
              </w:rPr>
            </w:pPr>
          </w:p>
        </w:tc>
        <w:tc>
          <w:tcPr>
            <w:tcW w:w="354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4"/>
              </w:rPr>
              <w:t>(a)  Shares granted include accrued dividends.</w:t>
            </w:r>
          </w:p>
        </w:tc>
        <w:tc>
          <w:tcPr>
            <w:tcW w:w="1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364"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NOTE 18. EMPLOYEE STOCK AND INCENTIVE PLANS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43,081 and 38,344 performance shares granted in January 2014 and 2015, for the three-year performance periods ending in 2016 and 2017, respectively. The ultimate issuance is contingent upon the attainment of certain future market goals of ALLETE during the performance periods. The grant date fair value of the performance shares granted was $2.0 million and $2.3 million,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36,515 performance shares awarded in February 2014 for the three-year performance period ending in 2013. There were no performance shares awarded in February 2015 for the three-year performance period ending in 2014. The grant date fair value of the shares awarded was $1.5 million and zero,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The following table presents information regarding our available restricted stock units as of December 31, 2014, 2013 and 2012.</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jc w:val="right"/>
              <w:ind w:right="1030"/>
              <w:spacing w:after="0"/>
              <w:rPr>
                <w:sz w:val="20"/>
                <w:szCs w:val="20"/>
                <w:color w:val="auto"/>
              </w:rPr>
            </w:pPr>
            <w:r>
              <w:rPr>
                <w:rFonts w:ascii="Arial" w:cs="Arial" w:eastAsia="Arial" w:hAnsi="Arial"/>
                <w:sz w:val="18"/>
                <w:szCs w:val="18"/>
                <w:b w:val="1"/>
                <w:bCs w:val="1"/>
                <w:color w:val="auto"/>
                <w:w w:val="94"/>
              </w:rPr>
              <w:t>2014</w:t>
            </w:r>
          </w:p>
        </w:tc>
        <w:tc>
          <w:tcPr>
            <w:tcW w:w="1040" w:type="dxa"/>
            <w:vAlign w:val="bottom"/>
          </w:tcPr>
          <w:p>
            <w:pPr>
              <w:spacing w:after="0"/>
              <w:rPr>
                <w:sz w:val="20"/>
                <w:szCs w:val="20"/>
                <w:color w:val="auto"/>
              </w:rPr>
            </w:pPr>
          </w:p>
        </w:tc>
        <w:tc>
          <w:tcPr>
            <w:tcW w:w="1540" w:type="dxa"/>
            <w:vAlign w:val="bottom"/>
          </w:tcPr>
          <w:p>
            <w:pPr>
              <w:jc w:val="right"/>
              <w:ind w:right="1050"/>
              <w:spacing w:after="0"/>
              <w:rPr>
                <w:sz w:val="20"/>
                <w:szCs w:val="20"/>
                <w:color w:val="auto"/>
              </w:rPr>
            </w:pPr>
            <w:r>
              <w:rPr>
                <w:rFonts w:ascii="Arial" w:cs="Arial" w:eastAsia="Arial" w:hAnsi="Arial"/>
                <w:sz w:val="18"/>
                <w:szCs w:val="18"/>
                <w:b w:val="1"/>
                <w:bCs w:val="1"/>
                <w:color w:val="auto"/>
                <w:w w:val="94"/>
              </w:rPr>
              <w:t>2013</w:t>
            </w:r>
          </w:p>
        </w:tc>
        <w:tc>
          <w:tcPr>
            <w:tcW w:w="1040" w:type="dxa"/>
            <w:vAlign w:val="bottom"/>
          </w:tcPr>
          <w:p>
            <w:pPr>
              <w:spacing w:after="0"/>
              <w:rPr>
                <w:sz w:val="20"/>
                <w:szCs w:val="20"/>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Weighted-</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Fair Value</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Fair Value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55,982</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63,464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$32.57</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19,645</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$48.44</w:t>
            </w:r>
          </w:p>
        </w:tc>
        <w:tc>
          <w:tcPr>
            <w:tcW w:w="1040" w:type="dxa"/>
            <w:vAlign w:val="bottom"/>
          </w:tcPr>
          <w:p>
            <w:pPr>
              <w:jc w:val="right"/>
              <w:spacing w:after="0"/>
              <w:rPr>
                <w:sz w:val="20"/>
                <w:szCs w:val="20"/>
                <w:color w:val="auto"/>
              </w:rPr>
            </w:pPr>
            <w:r>
              <w:rPr>
                <w:rFonts w:ascii="Arial" w:cs="Arial" w:eastAsia="Arial" w:hAnsi="Arial"/>
                <w:sz w:val="18"/>
                <w:szCs w:val="18"/>
                <w:color w:val="auto"/>
              </w:rPr>
              <w:t>21,440</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$43.41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18,162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$40.83</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(18,860)</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$37.64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$29.43</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(2,879)</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$45.92</w:t>
            </w:r>
          </w:p>
        </w:tc>
        <w:tc>
          <w:tcPr>
            <w:tcW w:w="1040" w:type="dxa"/>
            <w:vAlign w:val="bottom"/>
          </w:tcPr>
          <w:p>
            <w:pPr>
              <w:jc w:val="right"/>
              <w:spacing w:after="0"/>
              <w:rPr>
                <w:sz w:val="20"/>
                <w:szCs w:val="20"/>
                <w:color w:val="auto"/>
              </w:rPr>
            </w:pPr>
            <w:r>
              <w:rPr>
                <w:rFonts w:ascii="Arial" w:cs="Arial" w:eastAsia="Arial" w:hAnsi="Arial"/>
                <w:sz w:val="18"/>
                <w:szCs w:val="18"/>
                <w:color w:val="auto"/>
              </w:rPr>
              <w:t>(934)</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$41.02</w:t>
            </w:r>
          </w:p>
        </w:tc>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$31.80</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53,888</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$44.47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55,982</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$40.85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56,415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$36.61</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8"/>
              </w:rPr>
              <w:t>(a)  Shares granted include accrued dividends.</w:t>
            </w:r>
          </w:p>
        </w:tc>
        <w:tc>
          <w:tcPr>
            <w:tcW w:w="10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17,491 and 15,633 restricted stock units granted in January 2014 and 2015, for the vesting periods ending in 2016 and 2017, respectively. The grant date fair value of the restricted stock units granted was $0.9 million and $0.9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18,860 restricted stock units awarded in 2014. The grant date fair value of the shares awarded was $0.7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17,815 restricted stock units awarded in February 2015. The grant date fair value of the shares awarded was $0.7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any one quarterly period is not necessarily indicative of the results which may be expected for the year.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29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 31</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 30</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 30</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Dec. 31</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Millions Except Earnings Per Share</w:t>
            </w:r>
          </w:p>
        </w:tc>
        <w:tc>
          <w:tcPr>
            <w:tcW w:w="2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2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940" w:type="dxa"/>
            <w:vAlign w:val="bottom"/>
          </w:tcPr>
          <w:p>
            <w:pPr>
              <w:jc w:val="right"/>
              <w:ind w:right="330"/>
              <w:spacing w:after="0"/>
              <w:rPr>
                <w:sz w:val="20"/>
                <w:szCs w:val="20"/>
                <w:color w:val="auto"/>
              </w:rPr>
            </w:pPr>
            <w:r>
              <w:rPr>
                <w:rFonts w:ascii="Arial" w:cs="Arial" w:eastAsia="Arial" w:hAnsi="Arial"/>
                <w:sz w:val="18"/>
                <w:szCs w:val="18"/>
                <w:color w:val="auto"/>
              </w:rPr>
              <w:t>$296.5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$260.7</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$288.9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$290.7</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$48.3</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$28.2</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$60.8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2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$33.5</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$16.8</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$41.6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2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2940" w:type="dxa"/>
            <w:vAlign w:val="bottom"/>
          </w:tcPr>
          <w:p>
            <w:pPr>
              <w:jc w:val="right"/>
              <w:ind w:right="330"/>
              <w:spacing w:after="0"/>
              <w:rPr>
                <w:sz w:val="20"/>
                <w:szCs w:val="20"/>
                <w:color w:val="auto"/>
              </w:rPr>
            </w:pPr>
            <w:r>
              <w:rPr>
                <w:rFonts w:ascii="Arial" w:cs="Arial" w:eastAsia="Arial" w:hAnsi="Arial"/>
                <w:sz w:val="18"/>
                <w:szCs w:val="18"/>
                <w:color w:val="auto"/>
              </w:rPr>
              <w:t>$0.81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$0.40</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$0.97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$0.73</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$0.40</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$0.97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r>
      <w:tr>
        <w:trPr>
          <w:trHeight w:val="237"/>
        </w:trPr>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2013</w:t>
            </w:r>
          </w:p>
        </w:tc>
        <w:tc>
          <w:tcPr>
            <w:tcW w:w="2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$263.8</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$235.6</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$251.0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$44.4</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$24.4</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$38.4</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$32.5</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$14.0</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Per Share of Common Stock</w:t>
            </w:r>
          </w:p>
        </w:tc>
        <w:tc>
          <w:tcPr>
            <w:tcW w:w="2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$0.83</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$0.36</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$0.63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r>
      <w:tr>
        <w:trPr>
          <w:trHeight w:val="237"/>
        </w:trPr>
        <w:tc>
          <w:tcPr>
            <w:tcW w:w="47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$0.83</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$0.35</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$0.63</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$0.82</w:t>
            </w:r>
          </w:p>
        </w:tc>
      </w:tr>
      <w:tr>
        <w:trPr>
          <w:trHeight w:val="27"/>
        </w:trPr>
        <w:tc>
          <w:tcPr>
            <w:tcW w:w="4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64"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Valuation and Qualifying Accounts and Reserves</w:t>
            </w: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0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88"/>
              </w:rPr>
              <w:t>Balance at</w:t>
            </w:r>
          </w:p>
        </w:tc>
        <w:tc>
          <w:tcPr>
            <w:tcW w:w="2420" w:type="dxa"/>
            <w:vAlign w:val="bottom"/>
            <w:gridSpan w:val="2"/>
          </w:tcPr>
          <w:p>
            <w:pPr>
              <w:ind w:left="1000"/>
              <w:spacing w:after="0"/>
              <w:rPr>
                <w:sz w:val="20"/>
                <w:szCs w:val="20"/>
                <w:color w:val="auto"/>
              </w:rPr>
            </w:pPr>
            <w:r>
              <w:rPr>
                <w:rFonts w:ascii="Arial" w:cs="Arial" w:eastAsia="Arial" w:hAnsi="Arial"/>
                <w:sz w:val="18"/>
                <w:szCs w:val="18"/>
                <w:b w:val="1"/>
                <w:bCs w:val="1"/>
                <w:color w:val="auto"/>
              </w:rPr>
              <w:t>Additions</w:t>
            </w:r>
          </w:p>
        </w:tc>
        <w:tc>
          <w:tcPr>
            <w:tcW w:w="320" w:type="dxa"/>
            <w:vAlign w:val="bottom"/>
          </w:tcPr>
          <w:p>
            <w:pPr>
              <w:spacing w:after="0"/>
              <w:rPr>
                <w:sz w:val="24"/>
                <w:szCs w:val="24"/>
                <w:color w:val="auto"/>
              </w:rPr>
            </w:pPr>
          </w:p>
        </w:tc>
        <w:tc>
          <w:tcPr>
            <w:tcW w:w="14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Deductions</w:t>
            </w: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Beginning of</w:t>
            </w: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Charged to</w:t>
            </w: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from</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End of</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Period</w:t>
            </w: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Charges</w:t>
            </w:r>
          </w:p>
        </w:tc>
        <w:tc>
          <w:tcPr>
            <w:tcW w:w="32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 xml:space="preserve">Reserves </w:t>
            </w:r>
            <w:r>
              <w:rPr>
                <w:rFonts w:ascii="Arial" w:cs="Arial" w:eastAsia="Arial" w:hAnsi="Arial"/>
                <w:sz w:val="18"/>
                <w:szCs w:val="18"/>
                <w:b w:val="1"/>
                <w:bCs w:val="1"/>
                <w:i w:val="1"/>
                <w:iCs w:val="1"/>
                <w:color w:val="auto"/>
                <w:w w:val="87"/>
              </w:rPr>
              <w:t>(a)</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Deducted from Related Assets</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Reserve For Uncollectible Accounts</w:t>
            </w: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Asset Valuation Allowance</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2012</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$5.6</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2014</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$14.1</w:t>
            </w:r>
          </w:p>
        </w:tc>
        <w:tc>
          <w:tcPr>
            <w:tcW w:w="9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uncollectible accounts written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2014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36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10(e)6</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Award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2015</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Base Salary</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00"/>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Times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9"/>
        </w:trPr>
        <w:tc>
          <w:tcPr>
            <w:tcW w:w="3840" w:type="dxa"/>
            <w:vAlign w:val="bottom"/>
            <w:gridSpan w:val="4"/>
          </w:tcPr>
          <w:p>
            <w:pPr>
              <w:spacing w:after="0"/>
              <w:rPr>
                <w:sz w:val="20"/>
                <w:szCs w:val="20"/>
                <w:color w:val="auto"/>
              </w:rPr>
            </w:pPr>
            <w:r>
              <w:rPr>
                <w:rFonts w:ascii="Arial" w:cs="Arial" w:eastAsia="Arial" w:hAnsi="Arial"/>
                <w:sz w:val="18"/>
                <w:szCs w:val="18"/>
                <w:color w:val="auto"/>
              </w:rPr>
              <w:t>Award Opportunity (percent of base salary)</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20"/>
        </w:trPr>
        <w:tc>
          <w:tcPr>
            <w:tcW w:w="3840" w:type="dxa"/>
            <w:vAlign w:val="bottom"/>
            <w:gridSpan w:val="4"/>
          </w:tcPr>
          <w:p>
            <w:pPr>
              <w:spacing w:after="0"/>
              <w:rPr>
                <w:sz w:val="20"/>
                <w:szCs w:val="20"/>
                <w:color w:val="auto"/>
              </w:rPr>
            </w:pPr>
            <w:r>
              <w:rPr>
                <w:rFonts w:ascii="Arial" w:cs="Arial" w:eastAsia="Arial" w:hAnsi="Arial"/>
                <w:sz w:val="18"/>
                <w:szCs w:val="18"/>
                <w:b w:val="1"/>
                <w:bCs w:val="1"/>
                <w:color w:val="auto"/>
              </w:rPr>
              <w:t>Equals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00"/>
        </w:trPr>
        <w:tc>
          <w:tcPr>
            <w:tcW w:w="3840" w:type="dxa"/>
            <w:vAlign w:val="bottom"/>
            <w:gridSpan w:val="4"/>
          </w:tcPr>
          <w:p>
            <w:pPr>
              <w:spacing w:after="0"/>
              <w:rPr>
                <w:sz w:val="20"/>
                <w:szCs w:val="20"/>
                <w:color w:val="auto"/>
              </w:rPr>
            </w:pPr>
            <w:r>
              <w:rPr>
                <w:rFonts w:ascii="Arial" w:cs="Arial" w:eastAsia="Arial" w:hAnsi="Arial"/>
                <w:sz w:val="18"/>
                <w:szCs w:val="18"/>
                <w:color w:val="auto"/>
              </w:rPr>
              <w:t>Target Award</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9440" w:type="dxa"/>
            <w:vAlign w:val="bottom"/>
            <w:gridSpan w:val="12"/>
          </w:tcPr>
          <w:p>
            <w:pPr>
              <w:jc w:val="center"/>
              <w:ind w:right="6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588"/>
        </w:trPr>
        <w:tc>
          <w:tcPr>
            <w:tcW w:w="20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20"/>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Goal Performance Level</w:t>
            </w:r>
          </w:p>
        </w:tc>
        <w:tc>
          <w:tcPr>
            <w:tcW w:w="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2"/>
                <w:szCs w:val="22"/>
                <w:b w:val="1"/>
                <w:bCs w:val="1"/>
                <w:color w:val="auto"/>
                <w:w w:val="91"/>
              </w:rPr>
              <w:t>Target Award</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r>
      <w:tr>
        <w:trPr>
          <w:trHeight w:val="243"/>
        </w:trPr>
        <w:tc>
          <w:tcPr>
            <w:tcW w:w="20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Superior</w:t>
            </w:r>
          </w:p>
        </w:tc>
        <w:tc>
          <w:tcPr>
            <w:tcW w:w="520" w:type="dxa"/>
            <w:vAlign w:val="bottom"/>
          </w:tcPr>
          <w:p>
            <w:pPr>
              <w:spacing w:after="0"/>
              <w:rPr>
                <w:sz w:val="21"/>
                <w:szCs w:val="21"/>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200%</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1"/>
              </w:rPr>
              <w:t>100%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Threshold</w:t>
            </w:r>
          </w:p>
        </w:tc>
        <w:tc>
          <w:tcPr>
            <w:tcW w:w="520" w:type="dxa"/>
            <w:vAlign w:val="bottom"/>
          </w:tcPr>
          <w:p>
            <w:pPr>
              <w:spacing w:after="0"/>
              <w:rPr>
                <w:sz w:val="20"/>
                <w:szCs w:val="20"/>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8"/>
                <w:szCs w:val="18"/>
                <w:color w:val="auto"/>
                <w:w w:val="90"/>
              </w:rPr>
              <w:t>37.5%</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Below Threshold</w:t>
            </w:r>
          </w:p>
        </w:tc>
        <w:tc>
          <w:tcPr>
            <w:tcW w:w="520" w:type="dxa"/>
            <w:vAlign w:val="bottom"/>
          </w:tcPr>
          <w:p>
            <w:pPr>
              <w:spacing w:after="0"/>
              <w:rPr>
                <w:sz w:val="20"/>
                <w:szCs w:val="20"/>
                <w:color w:val="auto"/>
              </w:rPr>
            </w:pPr>
          </w:p>
        </w:tc>
        <w:tc>
          <w:tcPr>
            <w:tcW w:w="1320" w:type="dxa"/>
            <w:vAlign w:val="bottom"/>
            <w:gridSpan w:val="2"/>
          </w:tcPr>
          <w:p>
            <w:pPr>
              <w:jc w:val="center"/>
              <w:ind w:left="702"/>
              <w:spacing w:after="0"/>
              <w:rPr>
                <w:sz w:val="20"/>
                <w:szCs w:val="20"/>
                <w:color w:val="auto"/>
              </w:rPr>
            </w:pPr>
            <w:r>
              <w:rPr>
                <w:rFonts w:ascii="Arial" w:cs="Arial" w:eastAsia="Arial" w:hAnsi="Arial"/>
                <w:sz w:val="18"/>
                <w:szCs w:val="18"/>
                <w:color w:val="auto"/>
                <w:w w:val="92"/>
              </w:rPr>
              <w:t>0%</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4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64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22"/>
                <w:szCs w:val="22"/>
                <w:b w:val="1"/>
                <w:bCs w:val="1"/>
                <w:color w:val="auto"/>
                <w:w w:val="88"/>
              </w:rPr>
              <w:t>Goals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3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4"/>
              </w:rPr>
              <w:t>Goal</w:t>
            </w:r>
          </w:p>
        </w:tc>
      </w:tr>
      <w:tr>
        <w:trPr>
          <w:trHeight w:val="284"/>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5"/>
              <w:spacing w:after="0"/>
              <w:rPr>
                <w:sz w:val="20"/>
                <w:szCs w:val="20"/>
                <w:color w:val="auto"/>
              </w:rPr>
            </w:pPr>
            <w:r>
              <w:rPr>
                <w:rFonts w:ascii="Arial" w:cs="Arial" w:eastAsia="Arial" w:hAnsi="Arial"/>
                <w:sz w:val="20"/>
                <w:szCs w:val="20"/>
                <w:b w:val="1"/>
                <w:bCs w:val="1"/>
                <w:color w:val="auto"/>
                <w:w w:val="88"/>
              </w:rPr>
              <w:t>Weighting</w:t>
            </w:r>
          </w:p>
        </w:tc>
      </w:tr>
      <w:tr>
        <w:trPr>
          <w:trHeight w:val="284"/>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rPr>
              <w:t>Financial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640" w:type="dxa"/>
            <w:vAlign w:val="bottom"/>
            <w:gridSpan w:val="3"/>
          </w:tcPr>
          <w:p>
            <w:pPr>
              <w:ind w:left="1640"/>
              <w:spacing w:after="0"/>
              <w:rPr>
                <w:sz w:val="20"/>
                <w:szCs w:val="20"/>
                <w:color w:val="auto"/>
              </w:rPr>
            </w:pPr>
            <w:r>
              <w:rPr>
                <w:rFonts w:ascii="Arial" w:cs="Arial" w:eastAsia="Arial" w:hAnsi="Arial"/>
                <w:sz w:val="20"/>
                <w:szCs w:val="20"/>
                <w:color w:val="auto"/>
              </w:rPr>
              <w:t>Net Income</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4"/>
              </w:rPr>
              <w:t>50%</w:t>
            </w:r>
          </w:p>
        </w:tc>
        <w:tc>
          <w:tcPr>
            <w:tcW w:w="2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5900" w:type="dxa"/>
            <w:vAlign w:val="bottom"/>
            <w:gridSpan w:val="6"/>
          </w:tcPr>
          <w:p>
            <w:pPr>
              <w:ind w:left="1640"/>
              <w:spacing w:after="0"/>
              <w:rPr>
                <w:sz w:val="20"/>
                <w:szCs w:val="20"/>
                <w:color w:val="auto"/>
              </w:rPr>
            </w:pPr>
            <w:r>
              <w:rPr>
                <w:rFonts w:ascii="Arial" w:cs="Arial" w:eastAsia="Arial" w:hAnsi="Arial"/>
                <w:sz w:val="20"/>
                <w:szCs w:val="20"/>
                <w:color w:val="auto"/>
              </w:rPr>
              <w:t>Cash from Operating Activities</w:t>
            </w: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4"/>
              </w:rPr>
              <w:t>25%</w:t>
            </w:r>
          </w:p>
        </w:tc>
        <w:tc>
          <w:tcPr>
            <w:tcW w:w="240" w:type="dxa"/>
            <w:vAlign w:val="bottom"/>
          </w:tcPr>
          <w:p>
            <w:pPr>
              <w:spacing w:after="0"/>
              <w:rPr>
                <w:sz w:val="24"/>
                <w:szCs w:val="24"/>
                <w:color w:val="auto"/>
              </w:rPr>
            </w:pPr>
          </w:p>
        </w:tc>
      </w:tr>
      <w:tr>
        <w:trPr>
          <w:trHeight w:val="563"/>
        </w:trPr>
        <w:tc>
          <w:tcPr>
            <w:tcW w:w="3840" w:type="dxa"/>
            <w:vAlign w:val="bottom"/>
            <w:gridSpan w:val="4"/>
          </w:tcPr>
          <w:p>
            <w:pPr>
              <w:ind w:left="140"/>
              <w:spacing w:after="0"/>
              <w:rPr>
                <w:sz w:val="20"/>
                <w:szCs w:val="20"/>
                <w:color w:val="auto"/>
              </w:rPr>
            </w:pPr>
            <w:r>
              <w:rPr>
                <w:rFonts w:ascii="Arial" w:cs="Arial" w:eastAsia="Arial" w:hAnsi="Arial"/>
                <w:sz w:val="20"/>
                <w:szCs w:val="20"/>
                <w:b w:val="1"/>
                <w:bCs w:val="1"/>
                <w:color w:val="auto"/>
                <w:w w:val="92"/>
              </w:rPr>
              <w:t>Strategic &amp; Operational Positioning Goals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gridSpan w:val="4"/>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25%</w:t>
            </w:r>
          </w:p>
        </w:tc>
        <w:tc>
          <w:tcPr>
            <w:tcW w:w="24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00" w:type="dxa"/>
            <w:vAlign w:val="bottom"/>
            <w:gridSpan w:val="5"/>
          </w:tcPr>
          <w:p>
            <w:pPr>
              <w:jc w:val="center"/>
              <w:ind w:left="2665"/>
              <w:spacing w:after="0"/>
              <w:rPr>
                <w:sz w:val="20"/>
                <w:szCs w:val="20"/>
                <w:color w:val="auto"/>
              </w:rPr>
            </w:pPr>
            <w:r>
              <w:rPr>
                <w:rFonts w:ascii="Arial" w:cs="Arial" w:eastAsia="Arial" w:hAnsi="Arial"/>
                <w:sz w:val="20"/>
                <w:szCs w:val="20"/>
                <w:b w:val="1"/>
                <w:bCs w:val="1"/>
                <w:color w:val="auto"/>
                <w:w w:val="97"/>
              </w:rPr>
              <w:t>100%</w:t>
            </w:r>
          </w:p>
        </w:tc>
        <w:tc>
          <w:tcPr>
            <w:tcW w:w="240" w:type="dxa"/>
            <w:vAlign w:val="bottom"/>
          </w:tcPr>
          <w:p>
            <w:pPr>
              <w:spacing w:after="0"/>
              <w:rPr>
                <w:sz w:val="24"/>
                <w:szCs w:val="24"/>
                <w:color w:val="auto"/>
              </w:rPr>
            </w:pPr>
          </w:p>
        </w:tc>
      </w:tr>
    </w:tbl>
    <w:p>
      <w:pPr>
        <w:spacing w:after="0" w:line="225"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Annual Incentive Plan Compensation is subject to recoupment as defined in the Compensation Recovery policy.</w:t>
      </w:r>
    </w:p>
    <w:p>
      <w:pPr>
        <w:sectPr>
          <w:pgSz w:w="11900" w:h="16838" w:orient="portrait"/>
          <w:cols w:equalWidth="0" w:num="1">
            <w:col w:w="11420"/>
          </w:cols>
          <w:pgMar w:left="240" w:top="121" w:right="2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AND AFFILIATED COMPANIES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PLAN II</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Effective January 1, 2015</w:t>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80" w:type="dxa"/>
            <w:vAlign w:val="bottom"/>
          </w:tcPr>
          <w:p>
            <w:pPr>
              <w:spacing w:after="0"/>
              <w:rPr>
                <w:sz w:val="22"/>
                <w:szCs w:val="22"/>
                <w:color w:val="auto"/>
              </w:rPr>
            </w:pPr>
          </w:p>
        </w:tc>
        <w:tc>
          <w:tcPr>
            <w:tcW w:w="7800" w:type="dxa"/>
            <w:vAlign w:val="bottom"/>
          </w:tcPr>
          <w:p>
            <w:pPr>
              <w:ind w:left="3640"/>
              <w:spacing w:after="0"/>
              <w:rPr>
                <w:sz w:val="20"/>
                <w:szCs w:val="20"/>
                <w:color w:val="auto"/>
              </w:rPr>
            </w:pPr>
            <w:r>
              <w:rPr>
                <w:rFonts w:ascii="Arial" w:cs="Arial" w:eastAsia="Arial" w:hAnsi="Arial"/>
                <w:sz w:val="20"/>
                <w:szCs w:val="20"/>
                <w:b w:val="1"/>
                <w:bCs w:val="1"/>
                <w:color w:val="auto"/>
              </w:rPr>
              <w:t>TABLE OF CONTENTS</w:t>
            </w:r>
          </w:p>
        </w:tc>
        <w:tc>
          <w:tcPr>
            <w:tcW w:w="2500" w:type="dxa"/>
            <w:vAlign w:val="bottom"/>
          </w:tcPr>
          <w:p>
            <w:pPr>
              <w:spacing w:after="0"/>
              <w:rPr>
                <w:sz w:val="22"/>
                <w:szCs w:val="22"/>
                <w:color w:val="auto"/>
              </w:rPr>
            </w:pPr>
          </w:p>
        </w:tc>
      </w:tr>
      <w:tr>
        <w:trPr>
          <w:trHeight w:val="527"/>
        </w:trPr>
        <w:tc>
          <w:tcPr>
            <w:tcW w:w="980" w:type="dxa"/>
            <w:vAlign w:val="bottom"/>
          </w:tcPr>
          <w:p>
            <w:pPr>
              <w:spacing w:after="0"/>
              <w:rPr>
                <w:sz w:val="20"/>
                <w:szCs w:val="20"/>
                <w:color w:val="auto"/>
              </w:rPr>
            </w:pPr>
            <w:r>
              <w:rPr>
                <w:rFonts w:ascii="Arial" w:cs="Arial" w:eastAsia="Arial" w:hAnsi="Arial"/>
                <w:sz w:val="20"/>
                <w:szCs w:val="20"/>
                <w:color w:val="auto"/>
              </w:rPr>
              <w:t>S</w:t>
            </w:r>
            <w:r>
              <w:rPr>
                <w:rFonts w:ascii="Arial" w:cs="Arial" w:eastAsia="Arial" w:hAnsi="Arial"/>
                <w:sz w:val="16"/>
                <w:szCs w:val="16"/>
                <w:color w:val="auto"/>
              </w:rPr>
              <w:t>ECTION</w:t>
            </w:r>
          </w:p>
        </w:tc>
        <w:tc>
          <w:tcPr>
            <w:tcW w:w="7800" w:type="dxa"/>
            <w:vAlign w:val="bottom"/>
          </w:tcPr>
          <w:p>
            <w:pPr>
              <w:ind w:left="4920"/>
              <w:spacing w:after="0"/>
              <w:rPr>
                <w:sz w:val="20"/>
                <w:szCs w:val="20"/>
                <w:color w:val="auto"/>
              </w:rPr>
            </w:pPr>
            <w:r>
              <w:rPr>
                <w:rFonts w:ascii="Arial" w:cs="Arial" w:eastAsia="Arial" w:hAnsi="Arial"/>
                <w:sz w:val="20"/>
                <w:szCs w:val="20"/>
                <w:color w:val="auto"/>
              </w:rPr>
              <w:t>H</w:t>
            </w:r>
            <w:r>
              <w:rPr>
                <w:rFonts w:ascii="Arial" w:cs="Arial" w:eastAsia="Arial" w:hAnsi="Arial"/>
                <w:sz w:val="16"/>
                <w:szCs w:val="16"/>
                <w:color w:val="auto"/>
              </w:rPr>
              <w:t>EADING</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88"/>
        </w:trPr>
        <w:tc>
          <w:tcPr>
            <w:tcW w:w="980" w:type="dxa"/>
            <w:vAlign w:val="bottom"/>
          </w:tcPr>
          <w:p>
            <w:pPr>
              <w:spacing w:after="0"/>
              <w:rPr>
                <w:sz w:val="20"/>
                <w:szCs w:val="20"/>
                <w:color w:val="auto"/>
              </w:rPr>
            </w:pPr>
            <w:r>
              <w:rPr>
                <w:rFonts w:ascii="Arial" w:cs="Arial" w:eastAsia="Arial" w:hAnsi="Arial"/>
                <w:sz w:val="20"/>
                <w:szCs w:val="20"/>
                <w:color w:val="auto"/>
                <w:w w:val="94"/>
              </w:rPr>
              <w:t>ARTICLE 1</w:t>
            </w:r>
          </w:p>
        </w:tc>
        <w:tc>
          <w:tcPr>
            <w:tcW w:w="7800" w:type="dxa"/>
            <w:vAlign w:val="bottom"/>
          </w:tcPr>
          <w:p>
            <w:pPr>
              <w:ind w:left="860"/>
              <w:spacing w:after="0"/>
              <w:rPr>
                <w:sz w:val="20"/>
                <w:szCs w:val="20"/>
                <w:color w:val="auto"/>
              </w:rPr>
            </w:pPr>
            <w:r>
              <w:rPr>
                <w:rFonts w:ascii="Arial" w:cs="Arial" w:eastAsia="Arial" w:hAnsi="Arial"/>
                <w:sz w:val="20"/>
                <w:szCs w:val="20"/>
                <w:color w:val="auto"/>
              </w:rPr>
              <w:t>Establishment and Purpose</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1.1</w:t>
            </w:r>
          </w:p>
        </w:tc>
        <w:tc>
          <w:tcPr>
            <w:tcW w:w="7800" w:type="dxa"/>
            <w:vAlign w:val="bottom"/>
          </w:tcPr>
          <w:p>
            <w:pPr>
              <w:spacing w:after="0"/>
              <w:rPr>
                <w:sz w:val="20"/>
                <w:szCs w:val="20"/>
                <w:color w:val="auto"/>
              </w:rPr>
            </w:pPr>
            <w:r>
              <w:rPr>
                <w:rFonts w:ascii="Arial" w:cs="Arial" w:eastAsia="Arial" w:hAnsi="Arial"/>
                <w:sz w:val="20"/>
                <w:szCs w:val="20"/>
                <w:color w:val="auto"/>
              </w:rPr>
              <w:t>Establishment</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1.2</w:t>
            </w:r>
          </w:p>
        </w:tc>
        <w:tc>
          <w:tcPr>
            <w:tcW w:w="7800" w:type="dxa"/>
            <w:vAlign w:val="bottom"/>
          </w:tcPr>
          <w:p>
            <w:pPr>
              <w:spacing w:after="0"/>
              <w:rPr>
                <w:sz w:val="20"/>
                <w:szCs w:val="20"/>
                <w:color w:val="auto"/>
              </w:rPr>
            </w:pPr>
            <w:r>
              <w:rPr>
                <w:rFonts w:ascii="Arial" w:cs="Arial" w:eastAsia="Arial" w:hAnsi="Arial"/>
                <w:sz w:val="20"/>
                <w:szCs w:val="20"/>
                <w:color w:val="auto"/>
              </w:rPr>
              <w:t>Compensation Recovery Policy</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8"/>
        </w:trPr>
        <w:tc>
          <w:tcPr>
            <w:tcW w:w="980" w:type="dxa"/>
            <w:vAlign w:val="bottom"/>
          </w:tcPr>
          <w:p>
            <w:pPr>
              <w:spacing w:after="0"/>
              <w:rPr>
                <w:sz w:val="20"/>
                <w:szCs w:val="20"/>
                <w:color w:val="auto"/>
              </w:rPr>
            </w:pPr>
            <w:r>
              <w:rPr>
                <w:rFonts w:ascii="Arial" w:cs="Arial" w:eastAsia="Arial" w:hAnsi="Arial"/>
                <w:sz w:val="20"/>
                <w:szCs w:val="20"/>
                <w:color w:val="auto"/>
                <w:w w:val="94"/>
              </w:rPr>
              <w:t>ARTICLE 2</w:t>
            </w:r>
          </w:p>
        </w:tc>
        <w:tc>
          <w:tcPr>
            <w:tcW w:w="7800" w:type="dxa"/>
            <w:vAlign w:val="bottom"/>
          </w:tcPr>
          <w:p>
            <w:pPr>
              <w:ind w:left="860"/>
              <w:spacing w:after="0"/>
              <w:rPr>
                <w:sz w:val="20"/>
                <w:szCs w:val="20"/>
                <w:color w:val="auto"/>
              </w:rPr>
            </w:pPr>
            <w:r>
              <w:rPr>
                <w:rFonts w:ascii="Arial" w:cs="Arial" w:eastAsia="Arial" w:hAnsi="Arial"/>
                <w:sz w:val="20"/>
                <w:szCs w:val="20"/>
                <w:color w:val="auto"/>
              </w:rPr>
              <w:t>Section 409A Plans and Organization</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2.1</w:t>
            </w:r>
          </w:p>
        </w:tc>
        <w:tc>
          <w:tcPr>
            <w:tcW w:w="7800" w:type="dxa"/>
            <w:vAlign w:val="bottom"/>
          </w:tcPr>
          <w:p>
            <w:pPr>
              <w:spacing w:after="0"/>
              <w:rPr>
                <w:sz w:val="20"/>
                <w:szCs w:val="20"/>
                <w:color w:val="auto"/>
              </w:rPr>
            </w:pPr>
            <w:r>
              <w:rPr>
                <w:rFonts w:ascii="Arial" w:cs="Arial" w:eastAsia="Arial" w:hAnsi="Arial"/>
                <w:sz w:val="20"/>
                <w:szCs w:val="20"/>
                <w:color w:val="auto"/>
              </w:rPr>
              <w:t>Section 409A Plans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2.2</w:t>
            </w:r>
          </w:p>
        </w:tc>
        <w:tc>
          <w:tcPr>
            <w:tcW w:w="7800" w:type="dxa"/>
            <w:vAlign w:val="bottom"/>
          </w:tcPr>
          <w:p>
            <w:pPr>
              <w:spacing w:after="0"/>
              <w:rPr>
                <w:sz w:val="20"/>
                <w:szCs w:val="20"/>
                <w:color w:val="auto"/>
              </w:rPr>
            </w:pPr>
            <w:r>
              <w:rPr>
                <w:rFonts w:ascii="Arial" w:cs="Arial" w:eastAsia="Arial" w:hAnsi="Arial"/>
                <w:sz w:val="20"/>
                <w:szCs w:val="20"/>
                <w:color w:val="auto"/>
              </w:rPr>
              <w:t>Organization</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2.3</w:t>
            </w:r>
          </w:p>
        </w:tc>
        <w:tc>
          <w:tcPr>
            <w:tcW w:w="7800" w:type="dxa"/>
            <w:vAlign w:val="bottom"/>
          </w:tcPr>
          <w:p>
            <w:pPr>
              <w:spacing w:after="0"/>
              <w:rPr>
                <w:sz w:val="20"/>
                <w:szCs w:val="20"/>
                <w:color w:val="auto"/>
              </w:rPr>
            </w:pPr>
            <w:r>
              <w:rPr>
                <w:rFonts w:ascii="Arial" w:cs="Arial" w:eastAsia="Arial" w:hAnsi="Arial"/>
                <w:sz w:val="20"/>
                <w:szCs w:val="20"/>
                <w:color w:val="auto"/>
              </w:rPr>
              <w:t>Section 409A Compliance</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8"/>
        </w:trPr>
        <w:tc>
          <w:tcPr>
            <w:tcW w:w="980" w:type="dxa"/>
            <w:vAlign w:val="bottom"/>
          </w:tcPr>
          <w:p>
            <w:pPr>
              <w:spacing w:after="0"/>
              <w:rPr>
                <w:sz w:val="20"/>
                <w:szCs w:val="20"/>
                <w:color w:val="auto"/>
              </w:rPr>
            </w:pPr>
            <w:r>
              <w:rPr>
                <w:rFonts w:ascii="Arial" w:cs="Arial" w:eastAsia="Arial" w:hAnsi="Arial"/>
                <w:sz w:val="20"/>
                <w:szCs w:val="20"/>
                <w:color w:val="auto"/>
                <w:w w:val="94"/>
              </w:rPr>
              <w:t>ARTICLE 3</w:t>
            </w:r>
          </w:p>
        </w:tc>
        <w:tc>
          <w:tcPr>
            <w:tcW w:w="7800" w:type="dxa"/>
            <w:vAlign w:val="bottom"/>
          </w:tcPr>
          <w:p>
            <w:pPr>
              <w:ind w:left="860"/>
              <w:spacing w:after="0"/>
              <w:rPr>
                <w:sz w:val="20"/>
                <w:szCs w:val="20"/>
                <w:color w:val="auto"/>
              </w:rPr>
            </w:pPr>
            <w:r>
              <w:rPr>
                <w:rFonts w:ascii="Arial" w:cs="Arial" w:eastAsia="Arial" w:hAnsi="Arial"/>
                <w:sz w:val="20"/>
                <w:szCs w:val="20"/>
                <w:color w:val="auto"/>
              </w:rPr>
              <w:t>Administration</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3.1</w:t>
            </w:r>
          </w:p>
        </w:tc>
        <w:tc>
          <w:tcPr>
            <w:tcW w:w="7800" w:type="dxa"/>
            <w:vAlign w:val="bottom"/>
          </w:tcPr>
          <w:p>
            <w:pPr>
              <w:spacing w:after="0"/>
              <w:rPr>
                <w:sz w:val="20"/>
                <w:szCs w:val="20"/>
                <w:color w:val="auto"/>
              </w:rPr>
            </w:pPr>
            <w:r>
              <w:rPr>
                <w:rFonts w:ascii="Arial" w:cs="Arial" w:eastAsia="Arial" w:hAnsi="Arial"/>
                <w:sz w:val="20"/>
                <w:szCs w:val="20"/>
                <w:color w:val="auto"/>
              </w:rPr>
              <w:t>Administrator</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3.2</w:t>
            </w:r>
          </w:p>
        </w:tc>
        <w:tc>
          <w:tcPr>
            <w:tcW w:w="7800" w:type="dxa"/>
            <w:vAlign w:val="bottom"/>
          </w:tcPr>
          <w:p>
            <w:pPr>
              <w:spacing w:after="0"/>
              <w:rPr>
                <w:sz w:val="20"/>
                <w:szCs w:val="20"/>
                <w:color w:val="auto"/>
              </w:rPr>
            </w:pPr>
            <w:r>
              <w:rPr>
                <w:rFonts w:ascii="Arial" w:cs="Arial" w:eastAsia="Arial" w:hAnsi="Arial"/>
                <w:sz w:val="20"/>
                <w:szCs w:val="20"/>
                <w:color w:val="auto"/>
              </w:rPr>
              <w:t>Duties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3.3</w:t>
            </w:r>
          </w:p>
        </w:tc>
        <w:tc>
          <w:tcPr>
            <w:tcW w:w="7800" w:type="dxa"/>
            <w:vAlign w:val="bottom"/>
          </w:tcPr>
          <w:p>
            <w:pPr>
              <w:spacing w:after="0"/>
              <w:rPr>
                <w:sz w:val="20"/>
                <w:szCs w:val="20"/>
                <w:color w:val="auto"/>
              </w:rPr>
            </w:pPr>
            <w:r>
              <w:rPr>
                <w:rFonts w:ascii="Arial" w:cs="Arial" w:eastAsia="Arial" w:hAnsi="Arial"/>
                <w:sz w:val="20"/>
                <w:szCs w:val="20"/>
                <w:color w:val="auto"/>
              </w:rPr>
              <w:t>Agents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3.4</w:t>
            </w:r>
          </w:p>
        </w:tc>
        <w:tc>
          <w:tcPr>
            <w:tcW w:w="7800" w:type="dxa"/>
            <w:vAlign w:val="bottom"/>
          </w:tcPr>
          <w:p>
            <w:pPr>
              <w:spacing w:after="0"/>
              <w:rPr>
                <w:sz w:val="20"/>
                <w:szCs w:val="20"/>
                <w:color w:val="auto"/>
              </w:rPr>
            </w:pPr>
            <w:r>
              <w:rPr>
                <w:rFonts w:ascii="Arial" w:cs="Arial" w:eastAsia="Arial" w:hAnsi="Arial"/>
                <w:sz w:val="20"/>
                <w:szCs w:val="20"/>
                <w:color w:val="auto"/>
              </w:rPr>
              <w:t>Binding Effect of Decisions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3.5</w:t>
            </w:r>
          </w:p>
        </w:tc>
        <w:tc>
          <w:tcPr>
            <w:tcW w:w="7800" w:type="dxa"/>
            <w:vAlign w:val="bottom"/>
          </w:tcPr>
          <w:p>
            <w:pPr>
              <w:spacing w:after="0"/>
              <w:rPr>
                <w:sz w:val="20"/>
                <w:szCs w:val="20"/>
                <w:color w:val="auto"/>
              </w:rPr>
            </w:pPr>
            <w:r>
              <w:rPr>
                <w:rFonts w:ascii="Arial" w:cs="Arial" w:eastAsia="Arial" w:hAnsi="Arial"/>
                <w:sz w:val="20"/>
                <w:szCs w:val="20"/>
                <w:color w:val="auto"/>
              </w:rPr>
              <w:t>Employer Information</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8"/>
        </w:trPr>
        <w:tc>
          <w:tcPr>
            <w:tcW w:w="980" w:type="dxa"/>
            <w:vAlign w:val="bottom"/>
          </w:tcPr>
          <w:p>
            <w:pPr>
              <w:spacing w:after="0"/>
              <w:rPr>
                <w:sz w:val="20"/>
                <w:szCs w:val="20"/>
                <w:color w:val="auto"/>
              </w:rPr>
            </w:pPr>
            <w:r>
              <w:rPr>
                <w:rFonts w:ascii="Arial" w:cs="Arial" w:eastAsia="Arial" w:hAnsi="Arial"/>
                <w:sz w:val="20"/>
                <w:szCs w:val="20"/>
                <w:color w:val="auto"/>
                <w:w w:val="94"/>
              </w:rPr>
              <w:t>ARTICLE 4</w:t>
            </w:r>
          </w:p>
        </w:tc>
        <w:tc>
          <w:tcPr>
            <w:tcW w:w="7800" w:type="dxa"/>
            <w:vAlign w:val="bottom"/>
          </w:tcPr>
          <w:p>
            <w:pPr>
              <w:ind w:left="860"/>
              <w:spacing w:after="0"/>
              <w:rPr>
                <w:sz w:val="20"/>
                <w:szCs w:val="20"/>
                <w:color w:val="auto"/>
              </w:rPr>
            </w:pPr>
            <w:r>
              <w:rPr>
                <w:rFonts w:ascii="Arial" w:cs="Arial" w:eastAsia="Arial" w:hAnsi="Arial"/>
                <w:sz w:val="20"/>
                <w:szCs w:val="20"/>
                <w:color w:val="auto"/>
              </w:rPr>
              <w:t>Participation</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4.1</w:t>
            </w:r>
          </w:p>
        </w:tc>
        <w:tc>
          <w:tcPr>
            <w:tcW w:w="7800" w:type="dxa"/>
            <w:vAlign w:val="bottom"/>
          </w:tcPr>
          <w:p>
            <w:pPr>
              <w:spacing w:after="0"/>
              <w:rPr>
                <w:sz w:val="20"/>
                <w:szCs w:val="20"/>
                <w:color w:val="auto"/>
              </w:rPr>
            </w:pPr>
            <w:r>
              <w:rPr>
                <w:rFonts w:ascii="Arial" w:cs="Arial" w:eastAsia="Arial" w:hAnsi="Arial"/>
                <w:sz w:val="20"/>
                <w:szCs w:val="20"/>
                <w:color w:val="auto"/>
              </w:rPr>
              <w:t>Eligibility and Commencement of Participation</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4.2</w:t>
            </w:r>
          </w:p>
        </w:tc>
        <w:tc>
          <w:tcPr>
            <w:tcW w:w="7800" w:type="dxa"/>
            <w:vAlign w:val="bottom"/>
          </w:tcPr>
          <w:p>
            <w:pPr>
              <w:spacing w:after="0"/>
              <w:rPr>
                <w:sz w:val="20"/>
                <w:szCs w:val="20"/>
                <w:color w:val="auto"/>
              </w:rPr>
            </w:pPr>
            <w:r>
              <w:rPr>
                <w:rFonts w:ascii="Arial" w:cs="Arial" w:eastAsia="Arial" w:hAnsi="Arial"/>
                <w:sz w:val="20"/>
                <w:szCs w:val="20"/>
                <w:color w:val="auto"/>
              </w:rPr>
              <w:t>Special Rule for Initial Participation</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4.3</w:t>
            </w:r>
          </w:p>
        </w:tc>
        <w:tc>
          <w:tcPr>
            <w:tcW w:w="7800" w:type="dxa"/>
            <w:vAlign w:val="bottom"/>
          </w:tcPr>
          <w:p>
            <w:pPr>
              <w:spacing w:after="0"/>
              <w:rPr>
                <w:sz w:val="20"/>
                <w:szCs w:val="20"/>
                <w:color w:val="auto"/>
              </w:rPr>
            </w:pPr>
            <w:r>
              <w:rPr>
                <w:rFonts w:ascii="Arial" w:cs="Arial" w:eastAsia="Arial" w:hAnsi="Arial"/>
                <w:sz w:val="20"/>
                <w:szCs w:val="20"/>
                <w:color w:val="auto"/>
              </w:rPr>
              <w:t>Termination of Participation</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8"/>
        </w:trPr>
        <w:tc>
          <w:tcPr>
            <w:tcW w:w="980" w:type="dxa"/>
            <w:vAlign w:val="bottom"/>
          </w:tcPr>
          <w:p>
            <w:pPr>
              <w:spacing w:after="0"/>
              <w:rPr>
                <w:sz w:val="20"/>
                <w:szCs w:val="20"/>
                <w:color w:val="auto"/>
              </w:rPr>
            </w:pPr>
            <w:r>
              <w:rPr>
                <w:rFonts w:ascii="Arial" w:cs="Arial" w:eastAsia="Arial" w:hAnsi="Arial"/>
                <w:sz w:val="20"/>
                <w:szCs w:val="20"/>
                <w:color w:val="auto"/>
                <w:w w:val="94"/>
              </w:rPr>
              <w:t>ARTICLE 5</w:t>
            </w:r>
          </w:p>
        </w:tc>
        <w:tc>
          <w:tcPr>
            <w:tcW w:w="7800" w:type="dxa"/>
            <w:vAlign w:val="bottom"/>
          </w:tcPr>
          <w:p>
            <w:pPr>
              <w:ind w:left="860"/>
              <w:spacing w:after="0"/>
              <w:rPr>
                <w:sz w:val="20"/>
                <w:szCs w:val="20"/>
                <w:color w:val="auto"/>
              </w:rPr>
            </w:pPr>
            <w:r>
              <w:rPr>
                <w:rFonts w:ascii="Arial" w:cs="Arial" w:eastAsia="Arial" w:hAnsi="Arial"/>
                <w:sz w:val="20"/>
                <w:szCs w:val="20"/>
                <w:color w:val="auto"/>
              </w:rPr>
              <w:t>Annual Make-Up Award</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5.1</w:t>
            </w:r>
          </w:p>
        </w:tc>
        <w:tc>
          <w:tcPr>
            <w:tcW w:w="7800" w:type="dxa"/>
            <w:vAlign w:val="bottom"/>
          </w:tcPr>
          <w:p>
            <w:pPr>
              <w:spacing w:after="0"/>
              <w:rPr>
                <w:sz w:val="20"/>
                <w:szCs w:val="20"/>
                <w:color w:val="auto"/>
              </w:rPr>
            </w:pPr>
            <w:r>
              <w:rPr>
                <w:rFonts w:ascii="Arial" w:cs="Arial" w:eastAsia="Arial" w:hAnsi="Arial"/>
                <w:sz w:val="20"/>
                <w:szCs w:val="20"/>
                <w:color w:val="auto"/>
              </w:rPr>
              <w:t>Eligibility</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8"/>
        </w:trPr>
        <w:tc>
          <w:tcPr>
            <w:tcW w:w="8780" w:type="dxa"/>
            <w:vAlign w:val="bottom"/>
            <w:gridSpan w:val="2"/>
          </w:tcPr>
          <w:p>
            <w:pPr>
              <w:ind w:left="680"/>
              <w:spacing w:after="0"/>
              <w:rPr>
                <w:sz w:val="20"/>
                <w:szCs w:val="20"/>
                <w:color w:val="auto"/>
              </w:rPr>
            </w:pPr>
            <w:r>
              <w:rPr>
                <w:rFonts w:ascii="Arial" w:cs="Arial" w:eastAsia="Arial" w:hAnsi="Arial"/>
                <w:sz w:val="20"/>
                <w:szCs w:val="20"/>
                <w:color w:val="auto"/>
              </w:rPr>
              <w:t>5.2 Amount of Annual Make-Up Award</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5.3</w:t>
            </w:r>
          </w:p>
        </w:tc>
        <w:tc>
          <w:tcPr>
            <w:tcW w:w="7800" w:type="dxa"/>
            <w:vAlign w:val="bottom"/>
          </w:tcPr>
          <w:p>
            <w:pPr>
              <w:spacing w:after="0"/>
              <w:rPr>
                <w:sz w:val="20"/>
                <w:szCs w:val="20"/>
                <w:color w:val="auto"/>
              </w:rPr>
            </w:pPr>
            <w:r>
              <w:rPr>
                <w:rFonts w:ascii="Arial" w:cs="Arial" w:eastAsia="Arial" w:hAnsi="Arial"/>
                <w:sz w:val="20"/>
                <w:szCs w:val="20"/>
                <w:color w:val="auto"/>
              </w:rPr>
              <w:t>Payment</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5.4</w:t>
            </w:r>
          </w:p>
        </w:tc>
        <w:tc>
          <w:tcPr>
            <w:tcW w:w="7800" w:type="dxa"/>
            <w:vAlign w:val="bottom"/>
          </w:tcPr>
          <w:p>
            <w:pPr>
              <w:spacing w:after="0"/>
              <w:rPr>
                <w:sz w:val="20"/>
                <w:szCs w:val="20"/>
                <w:color w:val="auto"/>
              </w:rPr>
            </w:pPr>
            <w:r>
              <w:rPr>
                <w:rFonts w:ascii="Arial" w:cs="Arial" w:eastAsia="Arial" w:hAnsi="Arial"/>
                <w:sz w:val="20"/>
                <w:szCs w:val="20"/>
                <w:color w:val="auto"/>
              </w:rPr>
              <w:t>Forfeiture of Annual Make-Up Award</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8"/>
        </w:trPr>
        <w:tc>
          <w:tcPr>
            <w:tcW w:w="980" w:type="dxa"/>
            <w:vAlign w:val="bottom"/>
          </w:tcPr>
          <w:p>
            <w:pPr>
              <w:spacing w:after="0"/>
              <w:rPr>
                <w:sz w:val="20"/>
                <w:szCs w:val="20"/>
                <w:color w:val="auto"/>
              </w:rPr>
            </w:pPr>
            <w:r>
              <w:rPr>
                <w:rFonts w:ascii="Arial" w:cs="Arial" w:eastAsia="Arial" w:hAnsi="Arial"/>
                <w:sz w:val="20"/>
                <w:szCs w:val="20"/>
                <w:color w:val="auto"/>
                <w:w w:val="94"/>
              </w:rPr>
              <w:t>ARTICLE 6</w:t>
            </w:r>
          </w:p>
        </w:tc>
        <w:tc>
          <w:tcPr>
            <w:tcW w:w="7800" w:type="dxa"/>
            <w:vAlign w:val="bottom"/>
          </w:tcPr>
          <w:p>
            <w:pPr>
              <w:ind w:left="860"/>
              <w:spacing w:after="0"/>
              <w:rPr>
                <w:sz w:val="20"/>
                <w:szCs w:val="20"/>
                <w:color w:val="auto"/>
              </w:rPr>
            </w:pPr>
            <w:r>
              <w:rPr>
                <w:rFonts w:ascii="Arial" w:cs="Arial" w:eastAsia="Arial" w:hAnsi="Arial"/>
                <w:sz w:val="20"/>
                <w:szCs w:val="20"/>
                <w:color w:val="auto"/>
              </w:rPr>
              <w:t>SERP II Account Balance Plan for Employees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6.1</w:t>
            </w:r>
          </w:p>
        </w:tc>
        <w:tc>
          <w:tcPr>
            <w:tcW w:w="7800" w:type="dxa"/>
            <w:vAlign w:val="bottom"/>
          </w:tcPr>
          <w:p>
            <w:pPr>
              <w:spacing w:after="0"/>
              <w:rPr>
                <w:sz w:val="20"/>
                <w:szCs w:val="20"/>
                <w:color w:val="auto"/>
              </w:rPr>
            </w:pPr>
            <w:r>
              <w:rPr>
                <w:rFonts w:ascii="Arial" w:cs="Arial" w:eastAsia="Arial" w:hAnsi="Arial"/>
                <w:sz w:val="20"/>
                <w:szCs w:val="20"/>
                <w:color w:val="auto"/>
              </w:rPr>
              <w:t>Elective Deferrals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6.2</w:t>
            </w:r>
          </w:p>
        </w:tc>
        <w:tc>
          <w:tcPr>
            <w:tcW w:w="7800" w:type="dxa"/>
            <w:vAlign w:val="bottom"/>
          </w:tcPr>
          <w:p>
            <w:pPr>
              <w:spacing w:after="0"/>
              <w:rPr>
                <w:sz w:val="20"/>
                <w:szCs w:val="20"/>
                <w:color w:val="auto"/>
              </w:rPr>
            </w:pPr>
            <w:r>
              <w:rPr>
                <w:rFonts w:ascii="Arial" w:cs="Arial" w:eastAsia="Arial" w:hAnsi="Arial"/>
                <w:sz w:val="20"/>
                <w:szCs w:val="20"/>
                <w:color w:val="auto"/>
              </w:rPr>
              <w:t>Non-Elective Deferrals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6.3</w:t>
            </w:r>
          </w:p>
        </w:tc>
        <w:tc>
          <w:tcPr>
            <w:tcW w:w="7800" w:type="dxa"/>
            <w:vAlign w:val="bottom"/>
          </w:tcPr>
          <w:p>
            <w:pPr>
              <w:spacing w:after="0"/>
              <w:rPr>
                <w:sz w:val="20"/>
                <w:szCs w:val="20"/>
                <w:color w:val="auto"/>
              </w:rPr>
            </w:pPr>
            <w:r>
              <w:rPr>
                <w:rFonts w:ascii="Arial" w:cs="Arial" w:eastAsia="Arial" w:hAnsi="Arial"/>
                <w:sz w:val="20"/>
                <w:szCs w:val="20"/>
                <w:color w:val="auto"/>
              </w:rPr>
              <w:t>FICA and Other Taxes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6.4</w:t>
            </w:r>
          </w:p>
        </w:tc>
        <w:tc>
          <w:tcPr>
            <w:tcW w:w="7800" w:type="dxa"/>
            <w:vAlign w:val="bottom"/>
          </w:tcPr>
          <w:p>
            <w:pPr>
              <w:spacing w:after="0"/>
              <w:rPr>
                <w:sz w:val="20"/>
                <w:szCs w:val="20"/>
                <w:color w:val="auto"/>
              </w:rPr>
            </w:pPr>
            <w:r>
              <w:rPr>
                <w:rFonts w:ascii="Arial" w:cs="Arial" w:eastAsia="Arial" w:hAnsi="Arial"/>
                <w:sz w:val="20"/>
                <w:szCs w:val="20"/>
                <w:color w:val="auto"/>
              </w:rPr>
              <w:t>Distributions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6.5</w:t>
            </w:r>
          </w:p>
        </w:tc>
        <w:tc>
          <w:tcPr>
            <w:tcW w:w="7800" w:type="dxa"/>
            <w:vAlign w:val="bottom"/>
          </w:tcPr>
          <w:p>
            <w:pPr>
              <w:spacing w:after="0"/>
              <w:rPr>
                <w:sz w:val="20"/>
                <w:szCs w:val="20"/>
                <w:color w:val="auto"/>
              </w:rPr>
            </w:pPr>
            <w:r>
              <w:rPr>
                <w:rFonts w:ascii="Arial" w:cs="Arial" w:eastAsia="Arial" w:hAnsi="Arial"/>
                <w:sz w:val="20"/>
                <w:szCs w:val="20"/>
                <w:color w:val="auto"/>
              </w:rPr>
              <w:t>Additional Distribution Rules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6.6</w:t>
            </w:r>
          </w:p>
        </w:tc>
        <w:tc>
          <w:tcPr>
            <w:tcW w:w="7800" w:type="dxa"/>
            <w:vAlign w:val="bottom"/>
          </w:tcPr>
          <w:p>
            <w:pPr>
              <w:spacing w:after="0"/>
              <w:rPr>
                <w:sz w:val="20"/>
                <w:szCs w:val="20"/>
                <w:color w:val="auto"/>
              </w:rPr>
            </w:pPr>
            <w:r>
              <w:rPr>
                <w:rFonts w:ascii="Arial" w:cs="Arial" w:eastAsia="Arial" w:hAnsi="Arial"/>
                <w:sz w:val="20"/>
                <w:szCs w:val="20"/>
                <w:color w:val="auto"/>
              </w:rPr>
              <w:t>Subsequent Changes in Time and Form of Distributions</w:t>
            </w:r>
          </w:p>
        </w:tc>
        <w:tc>
          <w:tcPr>
            <w:tcW w:w="250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8"/>
        </w:trPr>
        <w:tc>
          <w:tcPr>
            <w:tcW w:w="980" w:type="dxa"/>
            <w:vAlign w:val="bottom"/>
          </w:tcPr>
          <w:p>
            <w:pPr>
              <w:spacing w:after="0"/>
              <w:rPr>
                <w:sz w:val="20"/>
                <w:szCs w:val="20"/>
                <w:color w:val="auto"/>
              </w:rPr>
            </w:pPr>
            <w:r>
              <w:rPr>
                <w:rFonts w:ascii="Arial" w:cs="Arial" w:eastAsia="Arial" w:hAnsi="Arial"/>
                <w:sz w:val="20"/>
                <w:szCs w:val="20"/>
                <w:color w:val="auto"/>
                <w:w w:val="94"/>
              </w:rPr>
              <w:t>ARTICLE 7</w:t>
            </w:r>
          </w:p>
        </w:tc>
        <w:tc>
          <w:tcPr>
            <w:tcW w:w="7800" w:type="dxa"/>
            <w:vAlign w:val="bottom"/>
          </w:tcPr>
          <w:p>
            <w:pPr>
              <w:ind w:left="860"/>
              <w:spacing w:after="0"/>
              <w:rPr>
                <w:sz w:val="20"/>
                <w:szCs w:val="20"/>
                <w:color w:val="auto"/>
              </w:rPr>
            </w:pPr>
            <w:r>
              <w:rPr>
                <w:rFonts w:ascii="Arial" w:cs="Arial" w:eastAsia="Arial" w:hAnsi="Arial"/>
                <w:sz w:val="20"/>
                <w:szCs w:val="20"/>
                <w:color w:val="auto"/>
              </w:rPr>
              <w:t>Accounts and Investments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901" w:orient="portrait"/>
          <w:cols w:equalWidth="0" w:num="1">
            <w:col w:w="11280"/>
          </w:cols>
          <w:pgMar w:left="280" w:top="115" w:right="339" w:bottom="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7.1 Establishment of Accounts</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7.2 Timing of Credits to Accounts</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00"/>
          </w:cols>
          <w:pgMar w:left="960" w:top="406"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50"/>
        </w:trPr>
        <w:tc>
          <w:tcPr>
            <w:tcW w:w="980" w:type="dxa"/>
            <w:vAlign w:val="bottom"/>
          </w:tcPr>
          <w:p>
            <w:pPr>
              <w:spacing w:after="0"/>
              <w:rPr>
                <w:sz w:val="20"/>
                <w:szCs w:val="20"/>
                <w:color w:val="auto"/>
              </w:rPr>
            </w:pPr>
            <w:r>
              <w:rPr>
                <w:rFonts w:ascii="Arial" w:cs="Arial" w:eastAsia="Arial" w:hAnsi="Arial"/>
                <w:sz w:val="20"/>
                <w:szCs w:val="20"/>
                <w:color w:val="auto"/>
              </w:rPr>
              <w:t>S</w:t>
            </w:r>
            <w:r>
              <w:rPr>
                <w:rFonts w:ascii="Arial" w:cs="Arial" w:eastAsia="Arial" w:hAnsi="Arial"/>
                <w:sz w:val="16"/>
                <w:szCs w:val="16"/>
                <w:color w:val="auto"/>
              </w:rPr>
              <w:t>ECTION</w:t>
            </w:r>
          </w:p>
        </w:tc>
        <w:tc>
          <w:tcPr>
            <w:tcW w:w="820" w:type="dxa"/>
            <w:vAlign w:val="bottom"/>
          </w:tcPr>
          <w:p>
            <w:pPr>
              <w:spacing w:after="0"/>
              <w:rPr>
                <w:sz w:val="21"/>
                <w:szCs w:val="21"/>
                <w:color w:val="auto"/>
              </w:rPr>
            </w:pPr>
          </w:p>
        </w:tc>
        <w:tc>
          <w:tcPr>
            <w:tcW w:w="9480" w:type="dxa"/>
            <w:vAlign w:val="bottom"/>
          </w:tcPr>
          <w:p>
            <w:pPr>
              <w:jc w:val="right"/>
              <w:ind w:right="4528"/>
              <w:spacing w:after="0"/>
              <w:rPr>
                <w:sz w:val="20"/>
                <w:szCs w:val="20"/>
                <w:color w:val="auto"/>
              </w:rPr>
            </w:pPr>
            <w:r>
              <w:rPr>
                <w:rFonts w:ascii="Arial" w:cs="Arial" w:eastAsia="Arial" w:hAnsi="Arial"/>
                <w:sz w:val="20"/>
                <w:szCs w:val="20"/>
                <w:color w:val="auto"/>
              </w:rPr>
              <w:t>H</w:t>
            </w:r>
            <w:r>
              <w:rPr>
                <w:rFonts w:ascii="Arial" w:cs="Arial" w:eastAsia="Arial" w:hAnsi="Arial"/>
                <w:sz w:val="16"/>
                <w:szCs w:val="16"/>
                <w:color w:val="auto"/>
              </w:rPr>
              <w:t>EADING</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7.3</w:t>
            </w:r>
          </w:p>
        </w:tc>
        <w:tc>
          <w:tcPr>
            <w:tcW w:w="820" w:type="dxa"/>
            <w:vAlign w:val="bottom"/>
          </w:tcPr>
          <w:p>
            <w:pPr>
              <w:spacing w:after="0"/>
              <w:rPr>
                <w:sz w:val="20"/>
                <w:szCs w:val="20"/>
                <w:color w:val="auto"/>
              </w:rPr>
            </w:pPr>
            <w:r>
              <w:rPr>
                <w:rFonts w:ascii="Arial" w:cs="Arial" w:eastAsia="Arial" w:hAnsi="Arial"/>
                <w:sz w:val="20"/>
                <w:szCs w:val="20"/>
                <w:color w:val="auto"/>
              </w:rPr>
              <w:t>Vesting</w:t>
            </w:r>
          </w:p>
        </w:tc>
        <w:tc>
          <w:tcPr>
            <w:tcW w:w="948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7.4</w:t>
            </w:r>
          </w:p>
        </w:tc>
        <w:tc>
          <w:tcPr>
            <w:tcW w:w="10300" w:type="dxa"/>
            <w:vAlign w:val="bottom"/>
            <w:gridSpan w:val="2"/>
          </w:tcPr>
          <w:p>
            <w:pPr>
              <w:spacing w:after="0"/>
              <w:rPr>
                <w:sz w:val="20"/>
                <w:szCs w:val="20"/>
                <w:color w:val="auto"/>
              </w:rPr>
            </w:pPr>
            <w:r>
              <w:rPr>
                <w:rFonts w:ascii="Arial" w:cs="Arial" w:eastAsia="Arial" w:hAnsi="Arial"/>
                <w:sz w:val="20"/>
                <w:szCs w:val="20"/>
                <w:color w:val="auto"/>
              </w:rPr>
              <w:t>Investments</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7.5</w:t>
            </w:r>
          </w:p>
        </w:tc>
        <w:tc>
          <w:tcPr>
            <w:tcW w:w="10300" w:type="dxa"/>
            <w:vAlign w:val="bottom"/>
            <w:gridSpan w:val="2"/>
          </w:tcPr>
          <w:p>
            <w:pPr>
              <w:spacing w:after="0"/>
              <w:rPr>
                <w:sz w:val="20"/>
                <w:szCs w:val="20"/>
                <w:color w:val="auto"/>
              </w:rPr>
            </w:pPr>
            <w:r>
              <w:rPr>
                <w:rFonts w:ascii="Arial" w:cs="Arial" w:eastAsia="Arial" w:hAnsi="Arial"/>
                <w:sz w:val="20"/>
                <w:szCs w:val="20"/>
                <w:color w:val="auto"/>
              </w:rPr>
              <w:t>Valuation Date</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8"/>
        </w:trPr>
        <w:tc>
          <w:tcPr>
            <w:tcW w:w="980" w:type="dxa"/>
            <w:vAlign w:val="bottom"/>
          </w:tcPr>
          <w:p>
            <w:pPr>
              <w:spacing w:after="0"/>
              <w:rPr>
                <w:sz w:val="20"/>
                <w:szCs w:val="20"/>
                <w:color w:val="auto"/>
              </w:rPr>
            </w:pPr>
            <w:r>
              <w:rPr>
                <w:rFonts w:ascii="Arial" w:cs="Arial" w:eastAsia="Arial" w:hAnsi="Arial"/>
                <w:sz w:val="20"/>
                <w:szCs w:val="20"/>
                <w:color w:val="auto"/>
                <w:w w:val="94"/>
              </w:rPr>
              <w:t>ARTICLE 8</w:t>
            </w:r>
          </w:p>
        </w:tc>
        <w:tc>
          <w:tcPr>
            <w:tcW w:w="820" w:type="dxa"/>
            <w:vAlign w:val="bottom"/>
          </w:tcPr>
          <w:p>
            <w:pPr>
              <w:spacing w:after="0"/>
              <w:rPr>
                <w:sz w:val="24"/>
                <w:szCs w:val="24"/>
                <w:color w:val="auto"/>
              </w:rPr>
            </w:pPr>
          </w:p>
        </w:tc>
        <w:tc>
          <w:tcPr>
            <w:tcW w:w="9480" w:type="dxa"/>
            <w:vAlign w:val="bottom"/>
          </w:tcPr>
          <w:p>
            <w:pPr>
              <w:ind w:left="40"/>
              <w:spacing w:after="0"/>
              <w:rPr>
                <w:sz w:val="20"/>
                <w:szCs w:val="20"/>
                <w:color w:val="auto"/>
              </w:rPr>
            </w:pPr>
            <w:r>
              <w:rPr>
                <w:rFonts w:ascii="Arial" w:cs="Arial" w:eastAsia="Arial" w:hAnsi="Arial"/>
                <w:sz w:val="20"/>
                <w:szCs w:val="20"/>
                <w:color w:val="auto"/>
              </w:rPr>
              <w:t>SERP II Retirement Benefit</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8.1</w:t>
            </w:r>
          </w:p>
        </w:tc>
        <w:tc>
          <w:tcPr>
            <w:tcW w:w="820" w:type="dxa"/>
            <w:vAlign w:val="bottom"/>
          </w:tcPr>
          <w:p>
            <w:pPr>
              <w:spacing w:after="0"/>
              <w:rPr>
                <w:sz w:val="20"/>
                <w:szCs w:val="20"/>
                <w:color w:val="auto"/>
              </w:rPr>
            </w:pPr>
            <w:r>
              <w:rPr>
                <w:rFonts w:ascii="Arial" w:cs="Arial" w:eastAsia="Arial" w:hAnsi="Arial"/>
                <w:sz w:val="20"/>
                <w:szCs w:val="20"/>
                <w:color w:val="auto"/>
              </w:rPr>
              <w:t>Eligibility</w:t>
            </w:r>
          </w:p>
        </w:tc>
        <w:tc>
          <w:tcPr>
            <w:tcW w:w="9480" w:type="dxa"/>
            <w:vAlign w:val="bottom"/>
          </w:tcPr>
          <w:p>
            <w:pPr>
              <w:spacing w:after="0"/>
              <w:rPr>
                <w:sz w:val="24"/>
                <w:szCs w:val="24"/>
                <w:color w:val="auto"/>
              </w:rPr>
            </w:pP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8.2</w:t>
            </w:r>
          </w:p>
        </w:tc>
        <w:tc>
          <w:tcPr>
            <w:tcW w:w="10300" w:type="dxa"/>
            <w:vAlign w:val="bottom"/>
            <w:gridSpan w:val="2"/>
          </w:tcPr>
          <w:p>
            <w:pPr>
              <w:spacing w:after="0"/>
              <w:rPr>
                <w:sz w:val="20"/>
                <w:szCs w:val="20"/>
                <w:color w:val="auto"/>
              </w:rPr>
            </w:pPr>
            <w:r>
              <w:rPr>
                <w:rFonts w:ascii="Arial" w:cs="Arial" w:eastAsia="Arial" w:hAnsi="Arial"/>
                <w:sz w:val="20"/>
                <w:szCs w:val="20"/>
                <w:color w:val="auto"/>
              </w:rPr>
              <w:t>Vesting and Forfeiture</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8.3</w:t>
            </w:r>
          </w:p>
        </w:tc>
        <w:tc>
          <w:tcPr>
            <w:tcW w:w="10300" w:type="dxa"/>
            <w:vAlign w:val="bottom"/>
            <w:gridSpan w:val="2"/>
          </w:tcPr>
          <w:p>
            <w:pPr>
              <w:spacing w:after="0"/>
              <w:rPr>
                <w:sz w:val="20"/>
                <w:szCs w:val="20"/>
                <w:color w:val="auto"/>
              </w:rPr>
            </w:pPr>
            <w:r>
              <w:rPr>
                <w:rFonts w:ascii="Arial" w:cs="Arial" w:eastAsia="Arial" w:hAnsi="Arial"/>
                <w:sz w:val="20"/>
                <w:szCs w:val="20"/>
                <w:color w:val="auto"/>
              </w:rPr>
              <w:t>Retirement Benefit</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8.4</w:t>
            </w:r>
          </w:p>
        </w:tc>
        <w:tc>
          <w:tcPr>
            <w:tcW w:w="10300" w:type="dxa"/>
            <w:vAlign w:val="bottom"/>
            <w:gridSpan w:val="2"/>
          </w:tcPr>
          <w:p>
            <w:pPr>
              <w:spacing w:after="0"/>
              <w:rPr>
                <w:sz w:val="20"/>
                <w:szCs w:val="20"/>
                <w:color w:val="auto"/>
              </w:rPr>
            </w:pPr>
            <w:r>
              <w:rPr>
                <w:rFonts w:ascii="Arial" w:cs="Arial" w:eastAsia="Arial" w:hAnsi="Arial"/>
                <w:sz w:val="20"/>
                <w:szCs w:val="20"/>
                <w:color w:val="auto"/>
              </w:rPr>
              <w:t>Forfeiture of Vested Retirement Benefit for Misconduct</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8.5</w:t>
            </w:r>
          </w:p>
        </w:tc>
        <w:tc>
          <w:tcPr>
            <w:tcW w:w="10300" w:type="dxa"/>
            <w:vAlign w:val="bottom"/>
            <w:gridSpan w:val="2"/>
          </w:tcPr>
          <w:p>
            <w:pPr>
              <w:spacing w:after="0"/>
              <w:rPr>
                <w:sz w:val="20"/>
                <w:szCs w:val="20"/>
                <w:color w:val="auto"/>
              </w:rPr>
            </w:pPr>
            <w:r>
              <w:rPr>
                <w:rFonts w:ascii="Arial" w:cs="Arial" w:eastAsia="Arial" w:hAnsi="Arial"/>
                <w:sz w:val="20"/>
                <w:szCs w:val="20"/>
                <w:color w:val="auto"/>
              </w:rPr>
              <w:t>Time and Form of Distributions</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8.6</w:t>
            </w:r>
          </w:p>
        </w:tc>
        <w:tc>
          <w:tcPr>
            <w:tcW w:w="10300" w:type="dxa"/>
            <w:vAlign w:val="bottom"/>
            <w:gridSpan w:val="2"/>
          </w:tcPr>
          <w:p>
            <w:pPr>
              <w:spacing w:after="0"/>
              <w:rPr>
                <w:sz w:val="20"/>
                <w:szCs w:val="20"/>
                <w:color w:val="auto"/>
              </w:rPr>
            </w:pPr>
            <w:r>
              <w:rPr>
                <w:rFonts w:ascii="Arial" w:cs="Arial" w:eastAsia="Arial" w:hAnsi="Arial"/>
                <w:sz w:val="20"/>
                <w:szCs w:val="20"/>
                <w:color w:val="auto"/>
              </w:rPr>
              <w:t>Additional Distribution Rules</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8.7</w:t>
            </w:r>
          </w:p>
        </w:tc>
        <w:tc>
          <w:tcPr>
            <w:tcW w:w="10300" w:type="dxa"/>
            <w:vAlign w:val="bottom"/>
            <w:gridSpan w:val="2"/>
          </w:tcPr>
          <w:p>
            <w:pPr>
              <w:spacing w:after="0"/>
              <w:rPr>
                <w:sz w:val="20"/>
                <w:szCs w:val="20"/>
                <w:color w:val="auto"/>
              </w:rPr>
            </w:pPr>
            <w:r>
              <w:rPr>
                <w:rFonts w:ascii="Arial" w:cs="Arial" w:eastAsia="Arial" w:hAnsi="Arial"/>
                <w:sz w:val="20"/>
                <w:szCs w:val="20"/>
                <w:color w:val="auto"/>
              </w:rPr>
              <w:t>Subsequent Changes in Time and Form of Payment</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8.8</w:t>
            </w:r>
          </w:p>
        </w:tc>
        <w:tc>
          <w:tcPr>
            <w:tcW w:w="10300" w:type="dxa"/>
            <w:vAlign w:val="bottom"/>
            <w:gridSpan w:val="2"/>
          </w:tcPr>
          <w:p>
            <w:pPr>
              <w:spacing w:after="0"/>
              <w:rPr>
                <w:sz w:val="20"/>
                <w:szCs w:val="20"/>
                <w:color w:val="auto"/>
              </w:rPr>
            </w:pPr>
            <w:r>
              <w:rPr>
                <w:rFonts w:ascii="Arial" w:cs="Arial" w:eastAsia="Arial" w:hAnsi="Arial"/>
                <w:sz w:val="20"/>
                <w:szCs w:val="20"/>
                <w:color w:val="auto"/>
              </w:rPr>
              <w:t>FICA and Other Taxes</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8"/>
        </w:trPr>
        <w:tc>
          <w:tcPr>
            <w:tcW w:w="980" w:type="dxa"/>
            <w:vAlign w:val="bottom"/>
          </w:tcPr>
          <w:p>
            <w:pPr>
              <w:spacing w:after="0"/>
              <w:rPr>
                <w:sz w:val="20"/>
                <w:szCs w:val="20"/>
                <w:color w:val="auto"/>
              </w:rPr>
            </w:pPr>
            <w:r>
              <w:rPr>
                <w:rFonts w:ascii="Arial" w:cs="Arial" w:eastAsia="Arial" w:hAnsi="Arial"/>
                <w:sz w:val="20"/>
                <w:szCs w:val="20"/>
                <w:color w:val="auto"/>
                <w:w w:val="94"/>
              </w:rPr>
              <w:t>ARTICLE 9</w:t>
            </w:r>
          </w:p>
        </w:tc>
        <w:tc>
          <w:tcPr>
            <w:tcW w:w="820" w:type="dxa"/>
            <w:vAlign w:val="bottom"/>
          </w:tcPr>
          <w:p>
            <w:pPr>
              <w:spacing w:after="0"/>
              <w:rPr>
                <w:sz w:val="24"/>
                <w:szCs w:val="24"/>
                <w:color w:val="auto"/>
              </w:rPr>
            </w:pPr>
          </w:p>
        </w:tc>
        <w:tc>
          <w:tcPr>
            <w:tcW w:w="9480" w:type="dxa"/>
            <w:vAlign w:val="bottom"/>
          </w:tcPr>
          <w:p>
            <w:pPr>
              <w:ind w:left="40"/>
              <w:spacing w:after="0"/>
              <w:rPr>
                <w:sz w:val="20"/>
                <w:szCs w:val="20"/>
                <w:color w:val="auto"/>
              </w:rPr>
            </w:pPr>
            <w:r>
              <w:rPr>
                <w:rFonts w:ascii="Arial" w:cs="Arial" w:eastAsia="Arial" w:hAnsi="Arial"/>
                <w:sz w:val="20"/>
                <w:szCs w:val="20"/>
                <w:color w:val="auto"/>
              </w:rPr>
              <w:t>Payment Acceleration and Delay</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9.1</w:t>
            </w:r>
          </w:p>
        </w:tc>
        <w:tc>
          <w:tcPr>
            <w:tcW w:w="10300" w:type="dxa"/>
            <w:vAlign w:val="bottom"/>
            <w:gridSpan w:val="2"/>
          </w:tcPr>
          <w:p>
            <w:pPr>
              <w:spacing w:after="0"/>
              <w:rPr>
                <w:sz w:val="20"/>
                <w:szCs w:val="20"/>
                <w:color w:val="auto"/>
              </w:rPr>
            </w:pPr>
            <w:r>
              <w:rPr>
                <w:rFonts w:ascii="Arial" w:cs="Arial" w:eastAsia="Arial" w:hAnsi="Arial"/>
                <w:sz w:val="20"/>
                <w:szCs w:val="20"/>
                <w:color w:val="auto"/>
              </w:rPr>
              <w:t>Permitted Accelerations of Payment</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9.2</w:t>
            </w:r>
          </w:p>
        </w:tc>
        <w:tc>
          <w:tcPr>
            <w:tcW w:w="10300" w:type="dxa"/>
            <w:vAlign w:val="bottom"/>
            <w:gridSpan w:val="2"/>
          </w:tcPr>
          <w:p>
            <w:pPr>
              <w:spacing w:after="0"/>
              <w:rPr>
                <w:sz w:val="20"/>
                <w:szCs w:val="20"/>
                <w:color w:val="auto"/>
              </w:rPr>
            </w:pPr>
            <w:r>
              <w:rPr>
                <w:rFonts w:ascii="Arial" w:cs="Arial" w:eastAsia="Arial" w:hAnsi="Arial"/>
                <w:sz w:val="20"/>
                <w:szCs w:val="20"/>
                <w:color w:val="auto"/>
              </w:rPr>
              <w:t>Permissible Payment Delays</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8"/>
        </w:trPr>
        <w:tc>
          <w:tcPr>
            <w:tcW w:w="980" w:type="dxa"/>
            <w:vAlign w:val="bottom"/>
          </w:tcPr>
          <w:p>
            <w:pPr>
              <w:ind w:left="680"/>
              <w:spacing w:after="0"/>
              <w:rPr>
                <w:sz w:val="20"/>
                <w:szCs w:val="20"/>
                <w:color w:val="auto"/>
              </w:rPr>
            </w:pPr>
            <w:r>
              <w:rPr>
                <w:rFonts w:ascii="Arial" w:cs="Arial" w:eastAsia="Arial" w:hAnsi="Arial"/>
                <w:sz w:val="20"/>
                <w:szCs w:val="20"/>
                <w:color w:val="auto"/>
              </w:rPr>
              <w:t>9.3</w:t>
            </w:r>
          </w:p>
        </w:tc>
        <w:tc>
          <w:tcPr>
            <w:tcW w:w="10300" w:type="dxa"/>
            <w:vAlign w:val="bottom"/>
            <w:gridSpan w:val="2"/>
          </w:tcPr>
          <w:p>
            <w:pPr>
              <w:spacing w:after="0"/>
              <w:rPr>
                <w:sz w:val="20"/>
                <w:szCs w:val="20"/>
                <w:color w:val="auto"/>
              </w:rPr>
            </w:pPr>
            <w:r>
              <w:rPr>
                <w:rFonts w:ascii="Arial" w:cs="Arial" w:eastAsia="Arial" w:hAnsi="Arial"/>
                <w:sz w:val="20"/>
                <w:szCs w:val="20"/>
                <w:color w:val="auto"/>
              </w:rPr>
              <w:t>Suspension Not Allowed</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8"/>
        </w:trPr>
        <w:tc>
          <w:tcPr>
            <w:tcW w:w="1800" w:type="dxa"/>
            <w:vAlign w:val="bottom"/>
            <w:gridSpan w:val="2"/>
          </w:tcPr>
          <w:p>
            <w:pPr>
              <w:spacing w:after="0"/>
              <w:rPr>
                <w:sz w:val="20"/>
                <w:szCs w:val="20"/>
                <w:color w:val="auto"/>
              </w:rPr>
            </w:pPr>
            <w:r>
              <w:rPr>
                <w:rFonts w:ascii="Arial" w:cs="Arial" w:eastAsia="Arial" w:hAnsi="Arial"/>
                <w:sz w:val="20"/>
                <w:szCs w:val="20"/>
                <w:color w:val="auto"/>
              </w:rPr>
              <w:t>ARTICLE 10</w:t>
            </w:r>
          </w:p>
        </w:tc>
        <w:tc>
          <w:tcPr>
            <w:tcW w:w="9480" w:type="dxa"/>
            <w:vAlign w:val="bottom"/>
          </w:tcPr>
          <w:p>
            <w:pPr>
              <w:ind w:left="40"/>
              <w:spacing w:after="0"/>
              <w:rPr>
                <w:sz w:val="20"/>
                <w:szCs w:val="20"/>
                <w:color w:val="auto"/>
              </w:rPr>
            </w:pPr>
            <w:r>
              <w:rPr>
                <w:rFonts w:ascii="Arial" w:cs="Arial" w:eastAsia="Arial" w:hAnsi="Arial"/>
                <w:sz w:val="20"/>
                <w:szCs w:val="20"/>
                <w:color w:val="auto"/>
              </w:rPr>
              <w:t>Beneficiary</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8"/>
        </w:trPr>
        <w:tc>
          <w:tcPr>
            <w:tcW w:w="11280" w:type="dxa"/>
            <w:vAlign w:val="bottom"/>
            <w:gridSpan w:val="3"/>
          </w:tcPr>
          <w:p>
            <w:pPr>
              <w:ind w:left="680"/>
              <w:spacing w:after="0"/>
              <w:rPr>
                <w:sz w:val="20"/>
                <w:szCs w:val="20"/>
                <w:color w:val="auto"/>
              </w:rPr>
            </w:pPr>
            <w:r>
              <w:rPr>
                <w:rFonts w:ascii="Arial" w:cs="Arial" w:eastAsia="Arial" w:hAnsi="Arial"/>
                <w:sz w:val="20"/>
                <w:szCs w:val="20"/>
                <w:color w:val="auto"/>
              </w:rPr>
              <w:t>10.1 Beneficiary</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8"/>
        </w:trPr>
        <w:tc>
          <w:tcPr>
            <w:tcW w:w="11280" w:type="dxa"/>
            <w:vAlign w:val="bottom"/>
            <w:gridSpan w:val="3"/>
          </w:tcPr>
          <w:p>
            <w:pPr>
              <w:ind w:left="680"/>
              <w:spacing w:after="0"/>
              <w:rPr>
                <w:sz w:val="20"/>
                <w:szCs w:val="20"/>
                <w:color w:val="auto"/>
              </w:rPr>
            </w:pPr>
            <w:r>
              <w:rPr>
                <w:rFonts w:ascii="Arial" w:cs="Arial" w:eastAsia="Arial" w:hAnsi="Arial"/>
                <w:sz w:val="20"/>
                <w:szCs w:val="20"/>
                <w:color w:val="auto"/>
              </w:rPr>
              <w:t>10.2 No Beneficiary Designation</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8"/>
        </w:trPr>
        <w:tc>
          <w:tcPr>
            <w:tcW w:w="1800" w:type="dxa"/>
            <w:vAlign w:val="bottom"/>
            <w:gridSpan w:val="2"/>
          </w:tcPr>
          <w:p>
            <w:pPr>
              <w:spacing w:after="0"/>
              <w:rPr>
                <w:sz w:val="20"/>
                <w:szCs w:val="20"/>
                <w:color w:val="auto"/>
              </w:rPr>
            </w:pPr>
            <w:r>
              <w:rPr>
                <w:rFonts w:ascii="Arial" w:cs="Arial" w:eastAsia="Arial" w:hAnsi="Arial"/>
                <w:sz w:val="20"/>
                <w:szCs w:val="20"/>
                <w:color w:val="auto"/>
              </w:rPr>
              <w:t>ARTICLE 11</w:t>
            </w:r>
          </w:p>
        </w:tc>
        <w:tc>
          <w:tcPr>
            <w:tcW w:w="9480" w:type="dxa"/>
            <w:vAlign w:val="bottom"/>
          </w:tcPr>
          <w:p>
            <w:pPr>
              <w:ind w:left="40"/>
              <w:spacing w:after="0"/>
              <w:rPr>
                <w:sz w:val="20"/>
                <w:szCs w:val="20"/>
                <w:color w:val="auto"/>
              </w:rPr>
            </w:pPr>
            <w:r>
              <w:rPr>
                <w:rFonts w:ascii="Arial" w:cs="Arial" w:eastAsia="Arial" w:hAnsi="Arial"/>
                <w:sz w:val="20"/>
                <w:szCs w:val="20"/>
                <w:color w:val="auto"/>
              </w:rPr>
              <w:t>Claims Procedures</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8"/>
        </w:trPr>
        <w:tc>
          <w:tcPr>
            <w:tcW w:w="11280" w:type="dxa"/>
            <w:vAlign w:val="bottom"/>
            <w:gridSpan w:val="3"/>
          </w:tcPr>
          <w:p>
            <w:pPr>
              <w:ind w:left="680"/>
              <w:spacing w:after="0"/>
              <w:rPr>
                <w:sz w:val="20"/>
                <w:szCs w:val="20"/>
                <w:color w:val="auto"/>
              </w:rPr>
            </w:pPr>
            <w:r>
              <w:rPr>
                <w:rFonts w:ascii="Arial" w:cs="Arial" w:eastAsia="Arial" w:hAnsi="Arial"/>
                <w:sz w:val="20"/>
                <w:szCs w:val="20"/>
                <w:color w:val="auto"/>
              </w:rPr>
              <w:t>11.1 Presentation of Claim</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8"/>
        </w:trPr>
        <w:tc>
          <w:tcPr>
            <w:tcW w:w="11280" w:type="dxa"/>
            <w:vAlign w:val="bottom"/>
            <w:gridSpan w:val="3"/>
          </w:tcPr>
          <w:p>
            <w:pPr>
              <w:ind w:left="680"/>
              <w:spacing w:after="0"/>
              <w:rPr>
                <w:sz w:val="20"/>
                <w:szCs w:val="20"/>
                <w:color w:val="auto"/>
              </w:rPr>
            </w:pPr>
            <w:r>
              <w:rPr>
                <w:rFonts w:ascii="Arial" w:cs="Arial" w:eastAsia="Arial" w:hAnsi="Arial"/>
                <w:sz w:val="20"/>
                <w:szCs w:val="20"/>
                <w:color w:val="auto"/>
              </w:rPr>
              <w:t>11.2 Notification of Decision</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8"/>
        </w:trPr>
        <w:tc>
          <w:tcPr>
            <w:tcW w:w="11280" w:type="dxa"/>
            <w:vAlign w:val="bottom"/>
            <w:gridSpan w:val="3"/>
          </w:tcPr>
          <w:p>
            <w:pPr>
              <w:ind w:left="680"/>
              <w:spacing w:after="0"/>
              <w:rPr>
                <w:sz w:val="20"/>
                <w:szCs w:val="20"/>
                <w:color w:val="auto"/>
              </w:rPr>
            </w:pPr>
            <w:r>
              <w:rPr>
                <w:rFonts w:ascii="Arial" w:cs="Arial" w:eastAsia="Arial" w:hAnsi="Arial"/>
                <w:sz w:val="20"/>
                <w:szCs w:val="20"/>
                <w:color w:val="auto"/>
              </w:rPr>
              <w:t>11.3 Review of a Denied Claim</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8"/>
        </w:trPr>
        <w:tc>
          <w:tcPr>
            <w:tcW w:w="11280" w:type="dxa"/>
            <w:vAlign w:val="bottom"/>
            <w:gridSpan w:val="3"/>
          </w:tcPr>
          <w:p>
            <w:pPr>
              <w:ind w:left="680"/>
              <w:spacing w:after="0"/>
              <w:rPr>
                <w:sz w:val="20"/>
                <w:szCs w:val="20"/>
                <w:color w:val="auto"/>
              </w:rPr>
            </w:pPr>
            <w:r>
              <w:rPr>
                <w:rFonts w:ascii="Arial" w:cs="Arial" w:eastAsia="Arial" w:hAnsi="Arial"/>
                <w:sz w:val="20"/>
                <w:szCs w:val="20"/>
                <w:color w:val="auto"/>
              </w:rPr>
              <w:t>11.4 Decision on Review</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8"/>
        </w:trPr>
        <w:tc>
          <w:tcPr>
            <w:tcW w:w="11280" w:type="dxa"/>
            <w:vAlign w:val="bottom"/>
            <w:gridSpan w:val="3"/>
          </w:tcPr>
          <w:p>
            <w:pPr>
              <w:ind w:left="680"/>
              <w:spacing w:after="0"/>
              <w:rPr>
                <w:sz w:val="20"/>
                <w:szCs w:val="20"/>
                <w:color w:val="auto"/>
              </w:rPr>
            </w:pPr>
            <w:r>
              <w:rPr>
                <w:rFonts w:ascii="Arial" w:cs="Arial" w:eastAsia="Arial" w:hAnsi="Arial"/>
                <w:sz w:val="20"/>
                <w:szCs w:val="20"/>
                <w:color w:val="auto"/>
              </w:rPr>
              <w:t>11.5 Other Remedies</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8"/>
        </w:trPr>
        <w:tc>
          <w:tcPr>
            <w:tcW w:w="1800" w:type="dxa"/>
            <w:vAlign w:val="bottom"/>
            <w:gridSpan w:val="2"/>
          </w:tcPr>
          <w:p>
            <w:pPr>
              <w:spacing w:after="0"/>
              <w:rPr>
                <w:sz w:val="20"/>
                <w:szCs w:val="20"/>
                <w:color w:val="auto"/>
              </w:rPr>
            </w:pPr>
            <w:r>
              <w:rPr>
                <w:rFonts w:ascii="Arial" w:cs="Arial" w:eastAsia="Arial" w:hAnsi="Arial"/>
                <w:sz w:val="20"/>
                <w:szCs w:val="20"/>
                <w:color w:val="auto"/>
              </w:rPr>
              <w:t>ARTICLE 12</w:t>
            </w:r>
          </w:p>
        </w:tc>
        <w:tc>
          <w:tcPr>
            <w:tcW w:w="9480" w:type="dxa"/>
            <w:vAlign w:val="bottom"/>
          </w:tcPr>
          <w:p>
            <w:pPr>
              <w:ind w:left="40"/>
              <w:spacing w:after="0"/>
              <w:rPr>
                <w:sz w:val="20"/>
                <w:szCs w:val="20"/>
                <w:color w:val="auto"/>
              </w:rPr>
            </w:pPr>
            <w:r>
              <w:rPr>
                <w:rFonts w:ascii="Arial" w:cs="Arial" w:eastAsia="Arial" w:hAnsi="Arial"/>
                <w:sz w:val="20"/>
                <w:szCs w:val="20"/>
                <w:color w:val="auto"/>
              </w:rPr>
              <w:t>Amendment or Termination</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8"/>
        </w:trPr>
        <w:tc>
          <w:tcPr>
            <w:tcW w:w="1800" w:type="dxa"/>
            <w:vAlign w:val="bottom"/>
            <w:gridSpan w:val="2"/>
          </w:tcPr>
          <w:p>
            <w:pPr>
              <w:spacing w:after="0"/>
              <w:rPr>
                <w:sz w:val="20"/>
                <w:szCs w:val="20"/>
                <w:color w:val="auto"/>
              </w:rPr>
            </w:pPr>
            <w:r>
              <w:rPr>
                <w:rFonts w:ascii="Arial" w:cs="Arial" w:eastAsia="Arial" w:hAnsi="Arial"/>
                <w:sz w:val="20"/>
                <w:szCs w:val="20"/>
                <w:color w:val="auto"/>
              </w:rPr>
              <w:t>ARTICLE 13</w:t>
            </w:r>
          </w:p>
        </w:tc>
        <w:tc>
          <w:tcPr>
            <w:tcW w:w="9480" w:type="dxa"/>
            <w:vAlign w:val="bottom"/>
          </w:tcPr>
          <w:p>
            <w:pPr>
              <w:ind w:left="40"/>
              <w:spacing w:after="0"/>
              <w:rPr>
                <w:sz w:val="20"/>
                <w:szCs w:val="20"/>
                <w:color w:val="auto"/>
              </w:rPr>
            </w:pPr>
            <w:r>
              <w:rPr>
                <w:rFonts w:ascii="Arial" w:cs="Arial" w:eastAsia="Arial" w:hAnsi="Arial"/>
                <w:sz w:val="20"/>
                <w:szCs w:val="20"/>
                <w:color w:val="auto"/>
              </w:rPr>
              <w:t>Miscellaneous Provisions</w:t>
            </w:r>
          </w:p>
        </w:tc>
      </w:tr>
      <w:tr>
        <w:trPr>
          <w:trHeight w:val="239"/>
        </w:trPr>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250"/>
        </w:trPr>
        <w:tc>
          <w:tcPr>
            <w:tcW w:w="380" w:type="dxa"/>
            <w:vAlign w:val="bottom"/>
          </w:tcPr>
          <w:p>
            <w:pPr>
              <w:jc w:val="right"/>
              <w:spacing w:after="0"/>
              <w:rPr>
                <w:sz w:val="20"/>
                <w:szCs w:val="20"/>
                <w:color w:val="auto"/>
              </w:rPr>
            </w:pPr>
            <w:r>
              <w:rPr>
                <w:rFonts w:ascii="Arial" w:cs="Arial" w:eastAsia="Arial" w:hAnsi="Arial"/>
                <w:sz w:val="20"/>
                <w:szCs w:val="20"/>
                <w:color w:val="auto"/>
                <w:w w:val="87"/>
              </w:rPr>
              <w:t>13.1</w:t>
            </w:r>
          </w:p>
        </w:tc>
        <w:tc>
          <w:tcPr>
            <w:tcW w:w="10220" w:type="dxa"/>
            <w:vAlign w:val="bottom"/>
          </w:tcPr>
          <w:p>
            <w:pPr>
              <w:ind w:left="20"/>
              <w:spacing w:after="0"/>
              <w:rPr>
                <w:sz w:val="20"/>
                <w:szCs w:val="20"/>
                <w:color w:val="auto"/>
              </w:rPr>
            </w:pPr>
            <w:r>
              <w:rPr>
                <w:rFonts w:ascii="Arial" w:cs="Arial" w:eastAsia="Arial" w:hAnsi="Arial"/>
                <w:sz w:val="20"/>
                <w:szCs w:val="20"/>
                <w:color w:val="auto"/>
              </w:rPr>
              <w:t>Unsecured General Creditor</w:t>
            </w:r>
          </w:p>
        </w:tc>
      </w:tr>
      <w:tr>
        <w:trPr>
          <w:trHeight w:val="239"/>
        </w:trPr>
        <w:tc>
          <w:tcPr>
            <w:tcW w:w="380" w:type="dxa"/>
            <w:vAlign w:val="bottom"/>
          </w:tcPr>
          <w:p>
            <w:pPr>
              <w:spacing w:after="0"/>
              <w:rPr>
                <w:sz w:val="20"/>
                <w:szCs w:val="20"/>
                <w:color w:val="auto"/>
              </w:rPr>
            </w:pPr>
          </w:p>
        </w:tc>
        <w:tc>
          <w:tcPr>
            <w:tcW w:w="10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8"/>
        </w:trPr>
        <w:tc>
          <w:tcPr>
            <w:tcW w:w="380" w:type="dxa"/>
            <w:vAlign w:val="bottom"/>
          </w:tcPr>
          <w:p>
            <w:pPr>
              <w:jc w:val="right"/>
              <w:spacing w:after="0"/>
              <w:rPr>
                <w:sz w:val="20"/>
                <w:szCs w:val="20"/>
                <w:color w:val="auto"/>
              </w:rPr>
            </w:pPr>
            <w:r>
              <w:rPr>
                <w:rFonts w:ascii="Arial" w:cs="Arial" w:eastAsia="Arial" w:hAnsi="Arial"/>
                <w:sz w:val="20"/>
                <w:szCs w:val="20"/>
                <w:color w:val="auto"/>
                <w:w w:val="87"/>
              </w:rPr>
              <w:t>13.2</w:t>
            </w:r>
          </w:p>
        </w:tc>
        <w:tc>
          <w:tcPr>
            <w:tcW w:w="10220" w:type="dxa"/>
            <w:vAlign w:val="bottom"/>
          </w:tcPr>
          <w:p>
            <w:pPr>
              <w:ind w:left="20"/>
              <w:spacing w:after="0"/>
              <w:rPr>
                <w:sz w:val="20"/>
                <w:szCs w:val="20"/>
                <w:color w:val="auto"/>
              </w:rPr>
            </w:pPr>
            <w:r>
              <w:rPr>
                <w:rFonts w:ascii="Arial" w:cs="Arial" w:eastAsia="Arial" w:hAnsi="Arial"/>
                <w:sz w:val="20"/>
                <w:szCs w:val="20"/>
                <w:color w:val="auto"/>
              </w:rPr>
              <w:t>Employer's Liability</w:t>
            </w:r>
          </w:p>
        </w:tc>
      </w:tr>
      <w:tr>
        <w:trPr>
          <w:trHeight w:val="239"/>
        </w:trPr>
        <w:tc>
          <w:tcPr>
            <w:tcW w:w="380" w:type="dxa"/>
            <w:vAlign w:val="bottom"/>
          </w:tcPr>
          <w:p>
            <w:pPr>
              <w:spacing w:after="0"/>
              <w:rPr>
                <w:sz w:val="20"/>
                <w:szCs w:val="20"/>
                <w:color w:val="auto"/>
              </w:rPr>
            </w:pPr>
          </w:p>
        </w:tc>
        <w:tc>
          <w:tcPr>
            <w:tcW w:w="10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8"/>
        </w:trPr>
        <w:tc>
          <w:tcPr>
            <w:tcW w:w="380" w:type="dxa"/>
            <w:vAlign w:val="bottom"/>
          </w:tcPr>
          <w:p>
            <w:pPr>
              <w:jc w:val="right"/>
              <w:spacing w:after="0"/>
              <w:rPr>
                <w:sz w:val="20"/>
                <w:szCs w:val="20"/>
                <w:color w:val="auto"/>
              </w:rPr>
            </w:pPr>
            <w:r>
              <w:rPr>
                <w:rFonts w:ascii="Arial" w:cs="Arial" w:eastAsia="Arial" w:hAnsi="Arial"/>
                <w:sz w:val="20"/>
                <w:szCs w:val="20"/>
                <w:color w:val="auto"/>
                <w:w w:val="87"/>
              </w:rPr>
              <w:t>13.3</w:t>
            </w:r>
          </w:p>
        </w:tc>
        <w:tc>
          <w:tcPr>
            <w:tcW w:w="10220" w:type="dxa"/>
            <w:vAlign w:val="bottom"/>
          </w:tcPr>
          <w:p>
            <w:pPr>
              <w:ind w:left="20"/>
              <w:spacing w:after="0"/>
              <w:rPr>
                <w:sz w:val="20"/>
                <w:szCs w:val="20"/>
                <w:color w:val="auto"/>
              </w:rPr>
            </w:pPr>
            <w:r>
              <w:rPr>
                <w:rFonts w:ascii="Arial" w:cs="Arial" w:eastAsia="Arial" w:hAnsi="Arial"/>
                <w:sz w:val="20"/>
                <w:szCs w:val="20"/>
                <w:color w:val="auto"/>
              </w:rPr>
              <w:t>Nonassignability</w:t>
            </w:r>
          </w:p>
        </w:tc>
      </w:tr>
    </w:tbl>
    <w:p>
      <w:pPr>
        <w:spacing w:after="0" w:line="9" w:lineRule="exact"/>
        <w:rPr>
          <w:sz w:val="20"/>
          <w:szCs w:val="20"/>
          <w:color w:val="auto"/>
        </w:rPr>
      </w:pPr>
    </w:p>
    <w:p>
      <w:pPr>
        <w:sectPr>
          <w:pgSz w:w="11900" w:h="16838" w:orient="portrait"/>
          <w:cols w:equalWidth="0" w:num="1">
            <w:col w:w="11280"/>
          </w:cols>
          <w:pgMar w:left="280" w:top="285" w:right="339" w:bottom="0" w:gutter="0" w:footer="0" w:header="0"/>
        </w:sectPr>
      </w:pPr>
    </w:p>
    <w:p>
      <w:pPr>
        <w:ind w:left="1110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80"/>
          </w:cols>
          <w:pgMar w:left="280" w:top="285" w:right="339" w:bottom="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52"/>
        </w:trPr>
        <w:tc>
          <w:tcPr>
            <w:tcW w:w="6400" w:type="dxa"/>
            <w:vAlign w:val="bottom"/>
          </w:tcPr>
          <w:p>
            <w:pPr>
              <w:spacing w:after="0"/>
              <w:rPr>
                <w:sz w:val="20"/>
                <w:szCs w:val="20"/>
                <w:color w:val="auto"/>
              </w:rPr>
            </w:pPr>
            <w:r>
              <w:rPr>
                <w:rFonts w:ascii="Arial" w:cs="Arial" w:eastAsia="Arial" w:hAnsi="Arial"/>
                <w:sz w:val="20"/>
                <w:szCs w:val="20"/>
                <w:color w:val="auto"/>
              </w:rPr>
              <w:t>13.4 No Right to Employment</w:t>
            </w:r>
          </w:p>
        </w:tc>
        <w:tc>
          <w:tcPr>
            <w:tcW w:w="42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13.5 Incompetency</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13.6 Tax Withholding</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13.7 Furnishing Information</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00"/>
          </w:cols>
          <w:pgMar w:left="960" w:top="121" w:right="339" w:bottom="1440" w:gutter="0" w:footer="0" w:header="0"/>
        </w:sectPr>
      </w:pPr>
    </w:p>
    <w:bookmarkStart w:id="129" w:name="page130"/>
    <w:bookmarkEnd w:id="129"/>
    <w:p>
      <w:pPr>
        <w:spacing w:after="0"/>
        <w:tabs>
          <w:tab w:leader="none" w:pos="5880" w:val="left"/>
        </w:tabs>
        <w:rPr>
          <w:sz w:val="20"/>
          <w:szCs w:val="20"/>
          <w:color w:val="auto"/>
        </w:rPr>
      </w:pPr>
      <w:r>
        <w:rPr>
          <w:rFonts w:ascii="Arial" w:cs="Arial" w:eastAsia="Arial" w:hAnsi="Arial"/>
          <w:sz w:val="20"/>
          <w:szCs w:val="20"/>
          <w:color w:val="auto"/>
        </w:rPr>
        <w:t>S</w:t>
      </w:r>
      <w:r>
        <w:rPr>
          <w:rFonts w:ascii="Arial" w:cs="Arial" w:eastAsia="Arial" w:hAnsi="Arial"/>
          <w:sz w:val="16"/>
          <w:szCs w:val="16"/>
          <w:color w:val="auto"/>
        </w:rPr>
        <w:t>ECTION</w:t>
      </w:r>
      <w:r>
        <w:rPr>
          <w:sz w:val="20"/>
          <w:szCs w:val="20"/>
          <w:color w:val="auto"/>
        </w:rPr>
        <w:tab/>
      </w:r>
      <w:r>
        <w:rPr>
          <w:rFonts w:ascii="Arial" w:cs="Arial" w:eastAsia="Arial" w:hAnsi="Arial"/>
          <w:sz w:val="20"/>
          <w:szCs w:val="20"/>
          <w:color w:val="auto"/>
        </w:rPr>
        <w:t>H</w:t>
      </w:r>
      <w:r>
        <w:rPr>
          <w:rFonts w:ascii="Arial" w:cs="Arial" w:eastAsia="Arial" w:hAnsi="Arial"/>
          <w:sz w:val="16"/>
          <w:szCs w:val="16"/>
          <w:color w:val="auto"/>
        </w:rPr>
        <w:t>EADING</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13.8 Notice</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13.9 Gender and Number</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13.10 Headings</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13.11 Applicable Law and Construction</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13.12 Invalid or Unenforceable Provisions</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13.13 Successors</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APPENDIX A</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80" w:top="285" w:right="339" w:bottom="1440" w:gutter="0" w:footer="0" w:header="0"/>
        </w:sectPr>
      </w:pPr>
    </w:p>
    <w:bookmarkStart w:id="130" w:name="page131"/>
    <w:bookmarkEnd w:id="130"/>
    <w:p>
      <w:pPr>
        <w:ind w:left="10360"/>
        <w:spacing w:after="0"/>
        <w:rPr>
          <w:sz w:val="20"/>
          <w:szCs w:val="20"/>
          <w:color w:val="auto"/>
        </w:rPr>
      </w:pPr>
      <w:r>
        <w:rPr>
          <w:rFonts w:ascii="Arial" w:cs="Arial" w:eastAsia="Arial" w:hAnsi="Arial"/>
          <w:sz w:val="16"/>
          <w:szCs w:val="16"/>
          <w:b w:val="1"/>
          <w:bCs w:val="1"/>
          <w:color w:val="auto"/>
        </w:rPr>
        <w:t>Exhibit 10(f)3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AND AFFILIATED COMPANIES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PLAN II</w:t>
      </w:r>
    </w:p>
    <w:p>
      <w:pPr>
        <w:spacing w:after="0" w:line="200" w:lineRule="exact"/>
        <w:rPr>
          <w:sz w:val="20"/>
          <w:szCs w:val="20"/>
          <w:color w:val="auto"/>
        </w:rPr>
      </w:pPr>
    </w:p>
    <w:p>
      <w:pPr>
        <w:spacing w:after="0" w:line="242"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Effective January 1, 2015</w:t>
      </w:r>
    </w:p>
    <w:p>
      <w:pPr>
        <w:spacing w:after="0" w:line="214"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Establishment, Purpose and Intent</w:t>
      </w:r>
    </w:p>
    <w:p>
      <w:pPr>
        <w:spacing w:after="0" w:line="236"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22"/>
          <w:szCs w:val="22"/>
          <w:b w:val="1"/>
          <w:bCs w:val="1"/>
          <w:u w:val="single" w:color="auto"/>
          <w:color w:val="auto"/>
        </w:rPr>
        <w:t>Establishment</w:t>
      </w:r>
      <w:r>
        <w:rPr>
          <w:rFonts w:ascii="Arial" w:cs="Arial" w:eastAsia="Arial" w:hAnsi="Arial"/>
          <w:sz w:val="22"/>
          <w:szCs w:val="22"/>
          <w:color w:val="auto"/>
        </w:rPr>
        <w:t>. This document includes the terms of the ALLETE and Affiliated Companies Supplemental Executive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Retirement Plan II. The purpose of SERP II is to provide eligible Employees (i) an opportunity to elect to defer compensation and (ii) a supplemental Retirement Benefit, the primary purpose of which is to compensate for annual compensation limits and maximum benefit limitations imposed by the Code on Retirement Plans maintained by the Company.</w:t>
      </w:r>
    </w:p>
    <w:p>
      <w:pPr>
        <w:spacing w:after="0" w:line="233"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SERP II is a successor to the ALLETE and Affiliated Companies Supplemental Executive Retirement Plan (“SERP I”). On December 31, 2004, the Company froze SERP I with respect to all deferrals and vested accrued Retirement Benefits (if any). On January 1, 2005, the Company established SERP II to govern (a) amounts initially deferred after December 31, 2004 and investment earnings thereon; (b) Retirement Benefit accruals after December 31, 2004; and (c) accrued but unvested SERP I Retirement Benefits as of December 31, 2004. From January 1, 2005 to the effective date hereof, the Company operated and administered the Plan in all material respects in good faith compliance with the applicable requirements of Section 409A, the final and proposed Treasury Regulations, IRS Notice 2005-1, and all other IRS guidance. The Company amended and restated SERP II in its entirety, effective January 1, 2009, to comply with Section 409A. The Company intends that SERP II constitute an unfunded deferred compensation plan for a select group of management or highly compensated employees within the meaning of ERISA sections 201(2), 301(a)(3) and 401(a)(1). All provisions of SERP II shall be interpreted and administered to the extent possible in a manner consistent with the stated intentions.</w:t>
      </w:r>
    </w:p>
    <w:p>
      <w:pPr>
        <w:spacing w:after="0" w:line="155"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color w:val="auto"/>
        </w:rPr>
        <w:t>Effective January 20, 2009, the Company amended SERP II to narrow the salary-grade eligibility requirements to receive an Annual Make-Up Award for employees who first became eligible to participate in SERP II after September 30, 2006.</w:t>
      </w:r>
    </w:p>
    <w:p>
      <w:pPr>
        <w:spacing w:after="0" w:line="105"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Effective January 1, 2011, the Company amended SERP II to incorporate any compensation recovery policy adopted by the Company and to provide that certain benefits may be subject to forfeiture for Misconduct.</w:t>
      </w:r>
    </w:p>
    <w:p>
      <w:pPr>
        <w:spacing w:after="0" w:line="175"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Effective January 1, 2015, the Company hereby amends SERP II to reflect the reduction to the Flexible Dollar Makeup in connection with amendments to the ALLETE and Affiliated Companies Flexible Compensation Plan that eliminate the life insurance percentage (age-rated) flexible dollars benefit commencing with the Plan Year that begins on January 1, 2015.</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Capitalized terms, unless otherwise defined herein, shall have the meaning provided in Appendix A.</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21"/>
          <w:szCs w:val="21"/>
          <w:b w:val="1"/>
          <w:bCs w:val="1"/>
          <w:u w:val="single" w:color="auto"/>
          <w:color w:val="auto"/>
        </w:rPr>
        <w:t>Compensation Recovery Policy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All amounts payable to Participants in accordance with this Plan are subject to, and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Company hereby incorporates into this SERP II, the terms of any compensation recovery policy or policies established and amended by the Company from time to time (“Compensation Recovery Policy”).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Section 409A Plans and Organization</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9"/>
          <w:szCs w:val="19"/>
          <w:b w:val="1"/>
          <w:bCs w:val="1"/>
          <w:u w:val="single" w:color="auto"/>
          <w:color w:val="auto"/>
        </w:rPr>
        <w:t>Section 409A Plans</w:t>
      </w:r>
      <w:r>
        <w:rPr>
          <w:rFonts w:ascii="Arial" w:cs="Arial" w:eastAsia="Arial" w:hAnsi="Arial"/>
          <w:sz w:val="19"/>
          <w:szCs w:val="19"/>
          <w:b w:val="1"/>
          <w:bCs w:val="1"/>
          <w:color w:val="auto"/>
        </w:rPr>
        <w: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SERP II include terms and conditions applicable to the following 409A Plans: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9"/>
          <w:szCs w:val="19"/>
          <w:color w:val="auto"/>
        </w:rPr>
        <w:t>An elective account balance plan for Employees for purposes of Elective Deferrals;</w:t>
      </w:r>
    </w:p>
    <w:p>
      <w:pPr>
        <w:spacing w:after="0" w:line="2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9"/>
          <w:szCs w:val="19"/>
          <w:color w:val="auto"/>
        </w:rPr>
        <w:t>A non-elective account balance plan for Employees for purposes of Non-Elective Deferrals; and</w:t>
      </w:r>
    </w:p>
    <w:p>
      <w:pPr>
        <w:spacing w:after="0" w:line="2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9"/>
          <w:szCs w:val="19"/>
          <w:color w:val="auto"/>
        </w:rPr>
        <w:t>A non-account balance plan for Employees.</w:t>
      </w:r>
    </w:p>
    <w:p>
      <w:pPr>
        <w:spacing w:after="0" w:line="2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9"/>
          <w:szCs w:val="19"/>
          <w:b w:val="1"/>
          <w:bCs w:val="1"/>
          <w:u w:val="single" w:color="auto"/>
          <w:color w:val="auto"/>
        </w:rPr>
        <w:t>Organization</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22"/>
          <w:szCs w:val="22"/>
          <w:color w:val="auto"/>
        </w:rPr>
        <w:t>Except as otherwise provided in this section or in a specific section, all provisions of the Plan apply to all amounts deferred under any Article of the Plan.</w:t>
      </w:r>
    </w:p>
    <w:p>
      <w:pPr>
        <w:spacing w:after="0" w:line="193"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22"/>
          <w:szCs w:val="22"/>
          <w:color w:val="auto"/>
        </w:rPr>
        <w:t>The provisions of Article 5 apply only for purposes of identifying employees eligible to receive an Annual Make-Up Award and the amount of the award, if any.</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22"/>
          <w:szCs w:val="22"/>
          <w:color w:val="auto"/>
        </w:rPr>
        <w:t>The provisions of Articles 6 and 7 apply only to the extent that SERP II provides for Employees’ Elective Deferrals, or Non-Elective Deferrals or both, which, for purposes of Section 409A, represent the elective and non-elective account balance plans identified in subsections 2.1.1 and 2.1.2, respectively.</w:t>
      </w:r>
    </w:p>
    <w:p>
      <w:pPr>
        <w:spacing w:after="0" w:line="22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22"/>
          <w:szCs w:val="22"/>
          <w:color w:val="auto"/>
        </w:rPr>
        <w:t>The provisions of Article 8 apply only to the extent that SERP II provides for Retirement Benefits, which represent the non-account balance plan identified in subsection 2.1.3.</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9"/>
          <w:szCs w:val="19"/>
          <w:b w:val="1"/>
          <w:bCs w:val="1"/>
          <w:u w:val="single" w:color="auto"/>
          <w:color w:val="auto"/>
        </w:rPr>
        <w:t>Section 409A Compliance</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To the extent that any provision of the Plan would cause a conflict with the requirements of Section 409A, or would cause the administration of the Plan to fail to satisfy Section 409A, such provision shall be deemed null and void to the extent permitted by applicable law. Nothing herein shall be construed as a guarantee of any particular tax treatment to a Participant.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9"/>
          <w:szCs w:val="19"/>
          <w:b w:val="1"/>
          <w:bCs w:val="1"/>
          <w:u w:val="single" w:color="auto"/>
          <w:color w:val="auto"/>
        </w:rPr>
        <w:t>Administrator</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The Administrator shall administer the Plan or may delegate any of its duties to such other person or persons from time to time as it may designate. Members of the Employee Benefit Plans Committee may participate in SERP II; however, any individual serving on the Employee Benefit Plans Committee shall not vote or act on any matter relating solely to himself or herself.</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9"/>
          <w:szCs w:val="19"/>
          <w:b w:val="1"/>
          <w:bCs w:val="1"/>
          <w:u w:val="single" w:color="auto"/>
          <w:color w:val="auto"/>
        </w:rPr>
        <w:t>Duties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The Administrator has the authority to construe and interpret all provisions of the Plan and, to the extent permitted by Section 409A, the Administrator is authorized to remedy any errors, inconsistencies or omissions, to resolve any ambiguities, to adopt rules and practices concerning the administration of the Plan, and to make any determinations and calculations necessary or appropriate hereunder. The Company shall pay all expenses and liabilities incurred in connection with Plan administration.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u w:val="single" w:color="auto"/>
          <w:color w:val="auto"/>
        </w:rPr>
        <w:t>Agents</w:t>
      </w:r>
      <w:r>
        <w:rPr>
          <w:rFonts w:ascii="Arial" w:cs="Arial" w:eastAsia="Arial" w:hAnsi="Arial"/>
          <w:sz w:val="18"/>
          <w:szCs w:val="18"/>
          <w:b w:val="1"/>
          <w:bCs w:val="1"/>
          <w:color w:val="auto"/>
        </w:rPr>
        <w:t>.</w:t>
      </w:r>
    </w:p>
    <w:p>
      <w:pPr>
        <w:spacing w:after="0" w:line="74"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The Administrator may engage the services of accountants, attorneys, actuaries, investment consultants, and such other professional personnel as are deemed necessary or advisable to assist in fulfilling the Administrator’s responsibilities. The Administrator, the Company and the Board may rely upon the advice, opinions or valuations of any such persons.</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9"/>
          <w:szCs w:val="19"/>
          <w:b w:val="1"/>
          <w:bCs w:val="1"/>
          <w:u w:val="single" w:color="auto"/>
          <w:color w:val="auto"/>
        </w:rPr>
        <w:t>Binding Effect of Decisions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The decision or action of the Administrator with respect to any question arising out of or in connection with the administration, interpretation and 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9"/>
          <w:szCs w:val="19"/>
          <w:b w:val="1"/>
          <w:bCs w:val="1"/>
          <w:u w:val="single" w:color="auto"/>
          <w:color w:val="auto"/>
        </w:rPr>
        <w:t>Employer Information</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To enable the Administrator to perform its duties, each Employer shall supply full and timely information to the Administrator on all matters relating to the compensation of its Participants, the date and circumstances of the Participant’s death, Disability or Separation from Service, and other pertinent information as the Administrator may reasonably require.</w:t>
      </w:r>
    </w:p>
    <w:p>
      <w:pPr>
        <w:spacing w:after="0" w:line="137"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u w:val="single" w:color="auto"/>
          <w:color w:val="auto"/>
        </w:rPr>
        <w:t>Participation</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9"/>
          <w:szCs w:val="19"/>
          <w:b w:val="1"/>
          <w:bCs w:val="1"/>
          <w:u w:val="single" w:color="auto"/>
          <w:color w:val="auto"/>
        </w:rPr>
        <w:t>Eligibility and Commencement of Participation</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Eligible Employees may participate in the Plan, except to the extent provided in Section 8.1 regarding eligibility for Retirement Benefits. Each Plan Year, the Administrator shall notify Eligible Employees of their eligibility to participate in the Plan during the following Plan Year. An Eligible Employee shall become a Participant either upon the initial submission of an election form on which the Eligible Employee has elected Elective Deferrals or upon first receiving an allocation of Non-Elective Deferrals.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9"/>
          <w:szCs w:val="19"/>
          <w:b w:val="1"/>
          <w:bCs w:val="1"/>
          <w:u w:val="single" w:color="auto"/>
          <w:color w:val="auto"/>
        </w:rPr>
        <w:t>Special Rule for Initial Participation</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Within 30 days after the date an individual first becomes an Eligible Employee, the individual may elect to commence participating with respect to compensation to be paid for services performed after the election is filed. This election relating to initial participation in the Plan is available only to Participants who do not participate in any Aggregated Plans. If an Employee whose participation in the Plan is terminated again becomes an Eligible Employee, he or she may elect to defer pursuant to this Section only if the Employee was ineligible to defer compensation in this Plan and all other Related Company elective account balance plans, within the meaning of Section 409A, for the 24 months preceding the date on which the Participant again became eligible to participate in this Plan.</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9"/>
          <w:szCs w:val="19"/>
          <w:b w:val="1"/>
          <w:bCs w:val="1"/>
          <w:u w:val="single" w:color="auto"/>
          <w:color w:val="auto"/>
        </w:rPr>
        <w:t>Termination of Participation</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If the Administrator determines in good faith that a Participant is no longer an Eligible Employee, the Participant shall cease active participation in the Plan on the last day of the Plan Year during which the Participant ceased to be an Eligible Employee, and the terms of this Plan shall continue to govern Participant’s Account until the Participant’s Account is paid in full.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Annual Make-Up Award</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9"/>
          <w:szCs w:val="19"/>
          <w:b w:val="1"/>
          <w:bCs w:val="1"/>
          <w:u w:val="single" w:color="auto"/>
          <w:color w:val="auto"/>
        </w:rPr>
        <w:t>Eligibility</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An Employee who: (i) was a Participant as of September 30, 2006, (ii) has continuously remained an Employee in ALLETE management salary grade SA-SM, and (iii) has continuously participated in the ALLETE Executive Annual Incentive Plan or been eligible to receive a Bonus shall be eligible to receive an Annual Make-up Award. Any other Employee shall be eligible to receive an Annual Make-up Award if the Employee: (i) initially becomes, or again becomes, a Participant after September 30, 2006, (ii) is in ALLETE management salary grade SG-SM, and (iii) participates in the ALLETE Executive Annual Incentive Plan or is eligible to receive a Bonus.</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9"/>
          <w:szCs w:val="19"/>
          <w:b w:val="1"/>
          <w:bCs w:val="1"/>
          <w:u w:val="single" w:color="auto"/>
          <w:color w:val="auto"/>
        </w:rPr>
        <w:t>Amount of Annual Make-Up Award</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The Annual Make-Up Award shall be the sum of the Flexible Dollar Makeup, the RSOP Allocation Makeup and the RSOP Match Allocation Makeup, each calculated as described in this section.</w:t>
      </w:r>
    </w:p>
    <w:p>
      <w:pPr>
        <w:spacing w:after="0" w:line="187" w:lineRule="exact"/>
        <w:rPr>
          <w:sz w:val="20"/>
          <w:szCs w:val="20"/>
          <w:color w:val="auto"/>
        </w:rPr>
      </w:pPr>
    </w:p>
    <w:p>
      <w:pPr>
        <w:jc w:val="both"/>
        <w:ind w:left="1300" w:hanging="647"/>
        <w:spacing w:after="0" w:line="293" w:lineRule="auto"/>
        <w:tabs>
          <w:tab w:leader="none" w:pos="128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9"/>
          <w:szCs w:val="19"/>
          <w:b w:val="1"/>
          <w:bCs w:val="1"/>
          <w:u w:val="single" w:color="auto"/>
          <w:color w:val="auto"/>
        </w:rPr>
        <w:t>Flexible Dollar Makeup</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Flexible Dollar Makeup for a Plan Year commencing with the Plan Year that begins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on January 1, 2015, shall equal the product of 2% and an amount equal to the sum of: (a) the total of the Participant’s Annual Incentive Award and other awards (to the extent included in calculations for the Retirement Plans) for such year, and (b) the Participant’s Salary (determined as of October 1 of the prior Plan Year) in excess of the Code section 401(a)(17) limitation in effect for that Plan Year. The Flexible Dollar Makeup for the Plan Year that commenced on January 1, 2014 shall also include the Participant’s life insurance percentage under the ALLETE and Affiliated Companies Flexible Compensation Plan for nonunion employees.</w:t>
      </w:r>
    </w:p>
    <w:p>
      <w:pPr>
        <w:spacing w:after="0" w:line="186" w:lineRule="exact"/>
        <w:rPr>
          <w:sz w:val="20"/>
          <w:szCs w:val="20"/>
          <w:color w:val="auto"/>
        </w:rPr>
      </w:pPr>
    </w:p>
    <w:p>
      <w:pPr>
        <w:jc w:val="both"/>
        <w:ind w:left="1300" w:hanging="647"/>
        <w:spacing w:after="0" w:line="295" w:lineRule="auto"/>
        <w:tabs>
          <w:tab w:leader="none" w:pos="128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9"/>
          <w:szCs w:val="19"/>
          <w:b w:val="1"/>
          <w:bCs w:val="1"/>
          <w:u w:val="single" w:color="auto"/>
          <w:color w:val="auto"/>
        </w:rPr>
        <w:t>RSOP Allocation Makeup</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For a Participant who was a Participant as of September 30, 2006, for so long as 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remains continuously eligible as a Participant, the RSOP Allocation Makeup for a Plan Year shall equal the product of C and D, with C equal to the sum of (i) 1.5% and (ii) the percentage (if any) being allocated for that year as an excess amount pursuant to the RSOP, and D equal to the sum of (a) the total of the Participant’s Annual Incentive Award and other award (to the extent included in calculations for the Retirement Plans) for such year, and (b) the amount of the Participant’s Salary in excess of the Code section 401(a)(17) limitation in effect for that Plan Year.</w:t>
      </w:r>
    </w:p>
    <w:p>
      <w:pPr>
        <w:spacing w:after="0" w:line="191"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For a Participant who becomes a Participant on or after October 1, 2006, the RSOP Allocation Makeup for a Plan Year shall equal the product of E and F, with E equal to the sum of: (i) 6% and (ii) the percentage, if any, being allocated as an excess amount pursuant to the RSOP; and F equal to the sum of (a) the total of the Participant’s Annual Incentive Award and other award (to the extent included in calculations for the Retirement Plans) for the year, and (b) the amount of the Participant’s Salary in excess of the Code section 401(a)(17) limitation in effect for that Plan Year.</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9" w:lineRule="exact"/>
        <w:rPr>
          <w:sz w:val="20"/>
          <w:szCs w:val="20"/>
          <w:color w:val="auto"/>
        </w:rPr>
      </w:pPr>
    </w:p>
    <w:p>
      <w:pPr>
        <w:jc w:val="both"/>
        <w:ind w:left="1300"/>
        <w:spacing w:after="0" w:line="297" w:lineRule="auto"/>
        <w:rPr>
          <w:sz w:val="20"/>
          <w:szCs w:val="20"/>
          <w:color w:val="auto"/>
        </w:rPr>
      </w:pPr>
      <w:r>
        <w:rPr>
          <w:rFonts w:ascii="Arial" w:cs="Arial" w:eastAsia="Arial" w:hAnsi="Arial"/>
          <w:sz w:val="19"/>
          <w:szCs w:val="19"/>
          <w:color w:val="auto"/>
        </w:rPr>
        <w:t>If a Participant ceases to be an Eligible Employee during a Plan Year the RSOP Allocation Makeup for that Plan Year will be calculated by: (i) taking into account the full Annual Incentive Award and other award (to the extent included in calculations for the Retirement Plans) and, (ii) with respect to any Participant whose base salary exceeds the Code section 401(a)(17) limitation in effect for that Plan Year, prorating the Participant’s Salary to reflect the period during the Plan Year for which the Participant was an Eligible Employee.</w:t>
      </w:r>
    </w:p>
    <w:p>
      <w:pPr>
        <w:spacing w:after="0" w:line="141"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21"/>
          <w:szCs w:val="21"/>
          <w:b w:val="1"/>
          <w:bCs w:val="1"/>
          <w:u w:val="single" w:color="auto"/>
          <w:color w:val="auto"/>
        </w:rPr>
        <w:t>RSOP Match Allocation Makeup</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RSOP Match Allocation Makeup for a Plan Year shall equal the excess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G over H, with G equal to the lesser of: (i) the sum of the Participant’s Elective Deferrals out of Salary and RSOP deferrals (including both pre-tax and Roth after-tax deferrals), and (ii) with respect to any Eligible Employee who was a Participant as of September 30, 2006, for so long as he remains continuously eligible as a Participant, 4% of the Participant’s Salary plus Bonus; or with respect to any Eligible Employee who becomes a Participant on or after October 1, 2006, 5% of the Participant’s Salary plus Bonus; and H equal to RSOP matching contributions for the Plan Year on behalf of the Participant.</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9"/>
          <w:szCs w:val="19"/>
          <w:b w:val="1"/>
          <w:bCs w:val="1"/>
          <w:u w:val="single" w:color="auto"/>
          <w:color w:val="auto"/>
        </w:rPr>
        <w:t>Payment</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Except to the extent deferred in accordance with this Plan, the Annual Make-Up Award for any year shall be paid between January 1 and March 15 of the year following the year to which the award relates.</w:t>
      </w:r>
    </w:p>
    <w:p>
      <w:pPr>
        <w:spacing w:after="0" w:line="187" w:lineRule="exact"/>
        <w:rPr>
          <w:sz w:val="20"/>
          <w:szCs w:val="20"/>
          <w:color w:val="auto"/>
        </w:rPr>
      </w:pPr>
    </w:p>
    <w:p>
      <w:pPr>
        <w:jc w:val="both"/>
        <w:ind w:left="680" w:hanging="661"/>
        <w:spacing w:after="0" w:line="256" w:lineRule="auto"/>
        <w:tabs>
          <w:tab w:leader="none" w:pos="6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22"/>
          <w:szCs w:val="22"/>
          <w:b w:val="1"/>
          <w:bCs w:val="1"/>
          <w:u w:val="single" w:color="auto"/>
          <w:color w:val="auto"/>
        </w:rPr>
        <w:t>Forfeiture of Annual Make-Up Award</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Notwithstanding any other term or provision of this Article 5, if a Participant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engages in Misconduct, the Participant shall forfeit or repay, as necessary, any Annual Make-Up Award payable on account of the period during which the Misconduct occurred and any subsequent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SERP II Account Balance Plan for Employees</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9"/>
          <w:szCs w:val="19"/>
          <w:b w:val="1"/>
          <w:bCs w:val="1"/>
          <w:u w:val="single" w:color="auto"/>
          <w:color w:val="auto"/>
        </w:rPr>
        <w:t>Elective Deferrals</w:t>
      </w:r>
      <w:r>
        <w:rPr>
          <w:rFonts w:ascii="Arial" w:cs="Arial" w:eastAsia="Arial" w:hAnsi="Arial"/>
          <w:sz w:val="19"/>
          <w:szCs w:val="19"/>
          <w:b w:val="1"/>
          <w:bCs w:val="1"/>
          <w:color w:val="auto"/>
        </w:rPr>
        <w:t>.</w:t>
      </w:r>
    </w:p>
    <w:p>
      <w:pPr>
        <w:spacing w:after="0" w:line="295"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21"/>
          <w:szCs w:val="21"/>
          <w:b w:val="1"/>
          <w:bCs w:val="1"/>
          <w:u w:val="single" w:color="auto"/>
          <w:color w:val="auto"/>
        </w:rPr>
        <w:t>Deferral Elections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For each Plan Year, a Participant may elect to defer some or all of Salary, Bonus, and, if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eligible, an Annual Make-up Award, Severance Pay and Other Awards. Elections are effective on a calendar year basis and become irrevocable no later than the date specified by the Administrator, but in any event before the beginning of the Plan Year to which the elections relate. A Participant’s elections will become effective only if the forms required by the Administrator have been properly completed and signed by the Participant, timely delivered to the Administrator, and accepted by the Administrator. A Participant who fails to file elections before the required date will be treated as having elected not to defer any amounts for the following Plan Year. For any Plan Year the Administrator may, in its sole discretion, decide not to allow one or more Participants to defer certain types of compensation.</w:t>
      </w:r>
    </w:p>
    <w:p>
      <w:pPr>
        <w:spacing w:after="0" w:line="221"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22"/>
          <w:szCs w:val="22"/>
          <w:b w:val="1"/>
          <w:bCs w:val="1"/>
          <w:u w:val="single" w:color="auto"/>
          <w:color w:val="auto"/>
        </w:rPr>
        <w:t>Special Rule for Performance-Based Compensation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in its complete and sole discretion, may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allow a Participant to revise a deferral election with respect to a Bonus if the Administrator determines that the Bonus is performance-based compensation within the meaning of Section 409A and the election becomes irrevocable no later than the earlier of: (a) six months preceding the end of the performance period to which the Bonus relates; or (b) the date as of which the Bonus has become readily ascertainable, within the meaning of Section 409A.</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22"/>
          <w:szCs w:val="22"/>
          <w:b w:val="1"/>
          <w:bCs w:val="1"/>
          <w:u w:val="single" w:color="auto"/>
          <w:color w:val="auto"/>
        </w:rPr>
        <w:t>Special Rule for Severance Pay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may elect to defer all or a portion of Severance Pay by filing with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an irrevocable deferral election no later than the date the Participant obtains a legally binding right to the Severance Pay.</w:t>
      </w:r>
    </w:p>
    <w:p>
      <w:pPr>
        <w:spacing w:after="0" w:line="217" w:lineRule="exact"/>
        <w:rPr>
          <w:sz w:val="20"/>
          <w:szCs w:val="20"/>
          <w:color w:val="auto"/>
        </w:rPr>
      </w:pPr>
    </w:p>
    <w:p>
      <w:pPr>
        <w:jc w:val="both"/>
        <w:ind w:left="1300" w:hanging="647"/>
        <w:spacing w:after="0" w:line="278" w:lineRule="auto"/>
        <w:tabs>
          <w:tab w:leader="none" w:pos="128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9"/>
          <w:szCs w:val="19"/>
          <w:b w:val="1"/>
          <w:bCs w:val="1"/>
          <w:u w:val="single" w:color="auto"/>
          <w:color w:val="auto"/>
        </w:rPr>
        <w:t>Cancellation of Deferral Election due to Disability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 Participant becomes disabled, the Administrator may, in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its sole discretion, cancel the Participant’s deferral election, with respect to amounts to be deferred on or after the cancellation, by the end of the year during which the Participant becomes disabled, or, if later,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date on which the Participant becomes disabled. For purposes of this Section, a Participant shall be disabled if the Participant is suffering from any medically determinable physical or mental impairment resulting in the Participant’s inability to perform the duties of his position or any substantially similar position, if such impairment can be expected to result in death or can be expected to last for a continuous period of six months.</w:t>
      </w:r>
    </w:p>
    <w:p>
      <w:pPr>
        <w:spacing w:after="0" w:line="207"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The Participant may elect to defer amounts for the Plan Year following his return to employment and for every Plan Year thereafter while an Eligible Employee, provided the Participant’s deferral election otherwise complies with all of the requirements of this Section.</w:t>
      </w:r>
    </w:p>
    <w:p>
      <w:pPr>
        <w:spacing w:after="0" w:line="180"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9"/>
          <w:szCs w:val="19"/>
          <w:b w:val="1"/>
          <w:bCs w:val="1"/>
          <w:u w:val="single" w:color="auto"/>
          <w:color w:val="auto"/>
        </w:rPr>
        <w:t>Cancellation of Deferral Election due to Unforeseeable Emergency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 Participant experiences 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Unforeseeable Emergency during a Plan Year, the Participant may submit to the Administrator a written request to cancel Elective Deferrals for the Plan Year to satisfy the Unforeseeable Emergency. If the Administrator either approves the Participant’s request to cancel Elective Deferrals for the Plan Year, or approves a request for a distribution of in accordance with Section 6.4.6, then effective as of the date the request is approved the Administrator shall cancel the Participant’s deferral elections for the remainder of the Plan Year. A Participant whose Elective Deferrals are canceled during a Plan Year in accordance with this section may elect Elective Deferrals for the following Plan Year; provided, however, if required to comply with Treasury Regulations section 1.401(k)-1(d)(3), the Participant may not elect to defer any amounts attributable to periods less than six months from the date on which the Participant receives a distribution on account of an Unforeseeable Emergency.</w:t>
      </w:r>
    </w:p>
    <w:p>
      <w:pPr>
        <w:spacing w:after="0" w:line="192"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22"/>
          <w:szCs w:val="22"/>
          <w:b w:val="1"/>
          <w:bCs w:val="1"/>
          <w:u w:val="single" w:color="auto"/>
          <w:color w:val="auto"/>
        </w:rPr>
        <w:t>Withholding of Deferrals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will withhold Elective Deferrals not later than the end of the calendar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year during which the Company would otherwise have paid the amounts to the Participant but for the Participant’s deferral election. The Administrator will not withhold Elective Deferrals from a Participant’s Salary during any period in which the Participant is on an unpaid leave of absence.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9"/>
          <w:szCs w:val="19"/>
          <w:b w:val="1"/>
          <w:bCs w:val="1"/>
          <w:u w:val="single" w:color="auto"/>
          <w:color w:val="auto"/>
        </w:rPr>
        <w:t>Non-Elective Deferrals</w:t>
      </w:r>
      <w:r>
        <w:rPr>
          <w:rFonts w:ascii="Arial" w:cs="Arial" w:eastAsia="Arial" w:hAnsi="Arial"/>
          <w:sz w:val="19"/>
          <w:szCs w:val="19"/>
          <w:b w:val="1"/>
          <w:bCs w:val="1"/>
          <w:color w:val="auto"/>
        </w:rPr>
        <w:t>.</w:t>
      </w:r>
    </w:p>
    <w:p>
      <w:pPr>
        <w:spacing w:after="0" w:line="295"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22"/>
          <w:szCs w:val="22"/>
          <w:b w:val="1"/>
          <w:bCs w:val="1"/>
          <w:u w:val="single" w:color="auto"/>
          <w:color w:val="auto"/>
        </w:rPr>
        <w:t>Annual Make-Up Award</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the Administrator determines that a Participant’s Salary exceeds the Code section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401(a)(17) limit, the Administrator shall automatically credit the Participant’s Annual Make-up Award to the Participant’s Account.</w:t>
      </w:r>
    </w:p>
    <w:p>
      <w:pPr>
        <w:spacing w:after="0" w:line="217"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22"/>
          <w:szCs w:val="22"/>
          <w:b w:val="1"/>
          <w:bCs w:val="1"/>
          <w:u w:val="single" w:color="auto"/>
          <w:color w:val="auto"/>
        </w:rPr>
        <w:t>162(m) Deferrals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shall automatically credit a Participant’s 162(m) Deferrals to the Participant’s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Account.</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9"/>
          <w:szCs w:val="19"/>
          <w:b w:val="1"/>
          <w:bCs w:val="1"/>
          <w:u w:val="single" w:color="auto"/>
          <w:color w:val="auto"/>
        </w:rPr>
        <w:t>FICA and Other Taxes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For each Plan Year during which a Participant has Deferrals, the Participant’s Employer(s) shall, in a manner determined by the Employer(s), withhold the Participant’s share of FICA and other required employment or state, local, and foreign taxes on Deferrals from that portion of the Participant’s Salary, Bonus, Annual Make-up Award, Severance Pay, Other Award and in the event of a 162(m) Deferral, the Participant’s compensation generally, that is not deferred. To the extent permitted by Section 409A, the Administrator may reduce a Participant’s Deferrals to the extent necessary to pay FICA and other employment, state, local and foreign taxes.</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9"/>
          <w:szCs w:val="19"/>
          <w:b w:val="1"/>
          <w:bCs w:val="1"/>
          <w:u w:val="single" w:color="auto"/>
          <w:color w:val="auto"/>
        </w:rPr>
        <w:t>Distributions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The Plan provides for distributions in a Specified Year, or upon a Separation from Service, death, Disability, or Unforeseeable Emergency. At the time of a Participant’s initial deferral election, a Participant may elect to receive a distribution: (i) with respect to Elective Deferrals, in a Specified Year; and (ii) with respect to all Deferrals, upon the earlier of Separation from Service, death or Disability. In each subsequent Plan year, a Participant may elect to have all or any portion of that year’s Elective Deferrals distributed either in a Specified Year, subject to the restrictions in Section 6.4.1, or in accordance with the Participant’s prior elections for distributions other than in a Specified Year. Except as otherwise provided in the Plan, a Participant’s distribution elections are irrevocable and will govern the Deferrals to which the election relates until the amounts covered by the election are paid in full or until subsequently changed in accordance with Section 6.6. Notwithstanding any elections by a Participant, all distributions are subject to the provisions of Sections 1.2 and 6.5.</w:t>
      </w:r>
    </w:p>
    <w:p>
      <w:pPr>
        <w:spacing w:after="0" w:line="150"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22"/>
          <w:szCs w:val="22"/>
          <w:b w:val="1"/>
          <w:bCs w:val="1"/>
          <w:u w:val="single" w:color="auto"/>
          <w:color w:val="auto"/>
        </w:rPr>
        <w:t>Specified Year</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may elect to receive a distribution of Elective Deferrals in a Specified Year, which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may be no earlier than the third Plan Year beginning after the date on which the Participant initially elects to receive a distribution in a Specified Year. Except as otherwise provided in this subsection or in Section 6.6, once a Participant has elected to receive a distribution in a Specified Year, the Participant may not elect to receive a distribution in a different Specified Year. Beginning during the year preceding any Specified Year previously elected by the Participant, the Participant may elect to receive a distribution of Elective Deferrals in a later Specified Year, subject, however, to the restrictions of this subsection. All amounts distributed in a Specified Year will be paid in a single lump sum.</w:t>
      </w:r>
    </w:p>
    <w:p>
      <w:pPr>
        <w:spacing w:after="0" w:line="227" w:lineRule="exact"/>
        <w:rPr>
          <w:sz w:val="20"/>
          <w:szCs w:val="20"/>
          <w:color w:val="auto"/>
        </w:rPr>
      </w:pPr>
    </w:p>
    <w:p>
      <w:pPr>
        <w:jc w:val="both"/>
        <w:ind w:left="1300" w:hanging="647"/>
        <w:spacing w:after="0" w:line="267" w:lineRule="auto"/>
        <w:tabs>
          <w:tab w:leader="none" w:pos="128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21"/>
          <w:szCs w:val="21"/>
          <w:b w:val="1"/>
          <w:bCs w:val="1"/>
          <w:u w:val="single" w:color="auto"/>
          <w:color w:val="auto"/>
        </w:rPr>
        <w:t>Separation from Service</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 Participant may elect to receive a distribution commencing either upon a Separation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from Service, or during any of the first five years following the year of the Separation from Service. A Participant may elect to receive a distribution in the form of a lump sum, monthly installments over a period of five (5), ten (10), or fifteen (15) years, or a combination of both a lump sum and installments.</w:t>
      </w:r>
    </w:p>
    <w:p>
      <w:pPr>
        <w:spacing w:after="0" w:line="208"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22"/>
          <w:szCs w:val="22"/>
          <w:b w:val="1"/>
          <w:bCs w:val="1"/>
          <w:u w:val="single" w:color="auto"/>
          <w:color w:val="auto"/>
        </w:rPr>
        <w:t>Disability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may elect to receive a distribution on account of Disability. Distributions upon Disability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will commence on the earlier of the Participant’s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or the second anniversary of the Disability, unless changed in accordance with Section 6.6. A Participant may elect to receive the distribution in the form of a lump sum, monthly installments over a period of five (5), ten (10), or fifteen (15) years, or a combination of both a lump sum and installments. Notwithstanding any other election by a Participant relating to a distribution upon Disability, if a Participant dies after commencement of a Disability but before the year during which distributions would commence, the Participant’s Account shall be distributed in accordance with the Participant’s election regarding distributions upon death.</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18"/>
          <w:szCs w:val="18"/>
          <w:color w:val="auto"/>
        </w:rPr>
        <w:t>6.4.4</w:t>
      </w:r>
      <w:r>
        <w:rPr>
          <w:sz w:val="20"/>
          <w:szCs w:val="20"/>
          <w:color w:val="auto"/>
        </w:rPr>
        <w:tab/>
      </w:r>
      <w:r>
        <w:rPr>
          <w:rFonts w:ascii="Arial" w:cs="Arial" w:eastAsia="Arial" w:hAnsi="Arial"/>
          <w:sz w:val="22"/>
          <w:szCs w:val="22"/>
          <w:b w:val="1"/>
          <w:bCs w:val="1"/>
          <w:u w:val="single" w:color="auto"/>
          <w:color w:val="auto"/>
        </w:rPr>
        <w:t>Death</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may elect to receive a distribution commencing upon death or during any of the first five years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following the year of death. A Participant may elect to receive a distribution in the form of a lump sum, monthly installments over a period of five (5), ten (10), or fifteen (15) years, or a combination of both a lump sum and installments.</w:t>
      </w:r>
    </w:p>
    <w:p>
      <w:pPr>
        <w:spacing w:after="0" w:line="221"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6.4.5</w:t>
      </w:r>
      <w:r>
        <w:rPr>
          <w:sz w:val="20"/>
          <w:szCs w:val="20"/>
          <w:color w:val="auto"/>
        </w:rPr>
        <w:tab/>
      </w:r>
      <w:r>
        <w:rPr>
          <w:rFonts w:ascii="Arial" w:cs="Arial" w:eastAsia="Arial" w:hAnsi="Arial"/>
          <w:sz w:val="21"/>
          <w:szCs w:val="21"/>
          <w:b w:val="1"/>
          <w:bCs w:val="1"/>
          <w:u w:val="single" w:color="auto"/>
          <w:color w:val="auto"/>
        </w:rPr>
        <w:t>Unforeseeable Emergency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 Participant may submit a written request for a distribution on account of an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Unforeseeable Emergency. Upon approval by the Administrator of a Participant’s request, the Participant’s Account, or that portion of a Participant’s Account deemed necessary by the Administrator to satisfy the Unforeseeable Emergency (determined in a manner consistent with Section 409A) plus amounts necessary to pay taxes reasonably anticipated because of the distribution, will be distributed in a single lump sum.</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9"/>
          <w:szCs w:val="19"/>
          <w:b w:val="1"/>
          <w:bCs w:val="1"/>
          <w:u w:val="single" w:color="auto"/>
          <w:color w:val="auto"/>
        </w:rPr>
        <w:t>Additional Distribution Rules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70"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22"/>
          <w:szCs w:val="22"/>
          <w:b w:val="1"/>
          <w:bCs w:val="1"/>
          <w:u w:val="single" w:color="auto"/>
          <w:color w:val="auto"/>
        </w:rPr>
        <w:t>Default Time and Form of Distribution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 Participant fails timely to elect a time and form of distribution,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Account will be distributed upon any Separation from Service, including death, in the form of a single lump sum payment.</w:t>
      </w:r>
    </w:p>
    <w:p>
      <w:pPr>
        <w:spacing w:after="0" w:line="217"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color w:val="auto"/>
        </w:rPr>
        <w:t>6.5.2</w:t>
      </w:r>
      <w:r>
        <w:rPr>
          <w:sz w:val="20"/>
          <w:szCs w:val="20"/>
          <w:color w:val="auto"/>
        </w:rPr>
        <w:tab/>
      </w:r>
      <w:r>
        <w:rPr>
          <w:rFonts w:ascii="Arial" w:cs="Arial" w:eastAsia="Arial" w:hAnsi="Arial"/>
          <w:sz w:val="20"/>
          <w:szCs w:val="20"/>
          <w:b w:val="1"/>
          <w:bCs w:val="1"/>
          <w:u w:val="single" w:color="auto"/>
          <w:color w:val="auto"/>
        </w:rPr>
        <w:t>Commencement of Distributions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Except as otherwise provided in this section, if a Participant has elected to</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receive a distribution commencing upon a Distribution Event, or if a distribution is required upon a Distribution Event, distribution will commence between the date of the Distribution Event and the end of the year in which the Distribution Event occurs. If a Participant has elected, or is required, to receive a distribution commencing upon a Distribution Event, and the Distribution Event occurs on or after October 1 of a Plan Year, the distribution may, to the extent permitted by Section 409A, commence after the Distribution Event and on or before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Distribution Event, even if after the end of the year during which the Distribution Event occurs; provided, however, the Participant will not be permitted, directly or indirectly, to designate the taxable year of the distribution. If a Participant has elected to receive a distribution commencing during any of the first five years following the year of a Distribution Event, the distribution will commence during the year elected by the Participant. If a Participant has elected to receive a distribution in a Specified Year, the distribution will occur during the Specified Year. Any distribution that complies with this section shall be deemed for all purposes to comply with the Plan requirements regarding the time and form of distributions.</w:t>
      </w:r>
    </w:p>
    <w:p>
      <w:pPr>
        <w:spacing w:after="0" w:line="215"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Arial" w:cs="Arial" w:eastAsia="Arial" w:hAnsi="Arial"/>
          <w:sz w:val="18"/>
          <w:szCs w:val="18"/>
          <w:color w:val="auto"/>
        </w:rPr>
        <w:t>6.5.3</w:t>
      </w:r>
      <w:r>
        <w:rPr>
          <w:sz w:val="20"/>
          <w:szCs w:val="20"/>
          <w:color w:val="auto"/>
        </w:rPr>
        <w:tab/>
      </w:r>
      <w:r>
        <w:rPr>
          <w:rFonts w:ascii="Arial" w:cs="Arial" w:eastAsia="Arial" w:hAnsi="Arial"/>
          <w:sz w:val="19"/>
          <w:szCs w:val="19"/>
          <w:b w:val="1"/>
          <w:bCs w:val="1"/>
          <w:u w:val="single" w:color="auto"/>
          <w:color w:val="auto"/>
        </w:rPr>
        <w:t>Installments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 Participant elects to receive distributions in monthly installments, the Participant’s Account will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be paid in substantially equal monthly installments in consecutive years over the period elected by the Participant. Each monthly installment will be paid during the Plan Year in which it is due, commencing as described in Section 6.5.2. During the Plan Year in which distributions commence, the Participant will receive one installment for each calendar month beginning after the date of the Distribution Event, or, if the Participant has elected to receive a distribution commencing during any of the first five years following the year of a Distribution Event, one monthly installment for each calendar month beginning after the anniversary date of the Distribution Event. During the distribution period, the Participant’s Account will be credited with interest compounded monthly at a rate of 7.5% per year. Any installment distribution that complies with this section shall be deemed for all purposes to comply with the Plan requirements regarding the time and form of distributions.</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18"/>
          <w:szCs w:val="18"/>
          <w:color w:val="auto"/>
        </w:rPr>
        <w:t>6.5.4</w:t>
      </w:r>
      <w:r>
        <w:rPr>
          <w:sz w:val="20"/>
          <w:szCs w:val="20"/>
          <w:color w:val="auto"/>
        </w:rPr>
        <w:tab/>
      </w:r>
      <w:r>
        <w:rPr>
          <w:rFonts w:ascii="Arial" w:cs="Arial" w:eastAsia="Arial" w:hAnsi="Arial"/>
          <w:sz w:val="22"/>
          <w:szCs w:val="22"/>
          <w:b w:val="1"/>
          <w:bCs w:val="1"/>
          <w:u w:val="single" w:color="auto"/>
          <w:color w:val="auto"/>
        </w:rPr>
        <w:t>Death After Commencement of Distributions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Upon the death of a Participant after distributions of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Account have commenced, the balance of the Participant’s Account will be distributed to the Participant’s Beneficiary at the same times and in the same forms that the Account would have been distributed to the Participant if the Participant had survived.</w:t>
      </w:r>
    </w:p>
    <w:p>
      <w:pPr>
        <w:spacing w:after="0" w:line="221"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18"/>
          <w:szCs w:val="18"/>
          <w:color w:val="auto"/>
        </w:rPr>
        <w:t>6.5.5</w:t>
      </w:r>
      <w:r>
        <w:rPr>
          <w:sz w:val="20"/>
          <w:szCs w:val="20"/>
          <w:color w:val="auto"/>
        </w:rPr>
        <w:tab/>
      </w:r>
      <w:r>
        <w:rPr>
          <w:rFonts w:ascii="Arial" w:cs="Arial" w:eastAsia="Arial" w:hAnsi="Arial"/>
          <w:sz w:val="22"/>
          <w:szCs w:val="22"/>
          <w:b w:val="1"/>
          <w:bCs w:val="1"/>
          <w:u w:val="single" w:color="auto"/>
          <w:color w:val="auto"/>
        </w:rPr>
        <w:t>Distributions to Specified Employees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Notwithstanding anything to the contrary in this Plan, if a Participant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becomes entitled to a distribution on account of a Separation from Service and is a Specified Employee on the date of the Separation from Service, distributions shall not commence until the earlier of: (i) the expiration of the six-month period beginning on the date of Participant’s Separation from Service, or (ii) the date of Participant’s death. Payments to which a Specified Employee would otherwise be entitled during this six-month period shall be accumulated and paid, together with earnings that have accrued during this six-month delay, during the seventh month following the date of the Participant’s Separation from Service, or, if earlier, the date of the Participant’s death.</w:t>
      </w:r>
    </w:p>
    <w:p>
      <w:pPr>
        <w:spacing w:after="0" w:line="227"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6.5.6</w:t>
      </w:r>
      <w:r>
        <w:rPr>
          <w:sz w:val="20"/>
          <w:szCs w:val="20"/>
          <w:color w:val="auto"/>
        </w:rPr>
        <w:tab/>
      </w:r>
      <w:r>
        <w:rPr>
          <w:rFonts w:ascii="Arial" w:cs="Arial" w:eastAsia="Arial" w:hAnsi="Arial"/>
          <w:sz w:val="22"/>
          <w:szCs w:val="22"/>
          <w:b w:val="1"/>
          <w:bCs w:val="1"/>
          <w:u w:val="single" w:color="auto"/>
          <w:color w:val="auto"/>
        </w:rPr>
        <w:t>Effect of Change in Control</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Notwithstanding a Participant’s elections regarding distributions upon a Separation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from Service and a distribution in a Specified Year, if (a) the Participant has a Separation from Service within two years following a Change in Control or (b) a Change in Control occurs within six months after the Participant has a Separation from Service, the Participant shall receive a distribution of the Participant’s entire Account in a single lump sum upon the later of the Separation from Service or the Change in Control, whether or not distributions have already commenced.</w:t>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9"/>
          <w:szCs w:val="19"/>
          <w:b w:val="1"/>
          <w:bCs w:val="1"/>
          <w:u w:val="single" w:color="auto"/>
          <w:color w:val="auto"/>
        </w:rPr>
        <w:t>Subsequent Changes in Time and Form of Distributions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56" w:lineRule="auto"/>
        <w:rPr>
          <w:sz w:val="20"/>
          <w:szCs w:val="20"/>
          <w:color w:val="auto"/>
        </w:rPr>
      </w:pPr>
      <w:r>
        <w:rPr>
          <w:rFonts w:ascii="Arial" w:cs="Arial" w:eastAsia="Arial" w:hAnsi="Arial"/>
          <w:sz w:val="21"/>
          <w:szCs w:val="21"/>
          <w:color w:val="auto"/>
        </w:rPr>
        <w:t>A Participant may, in accordance with rules, procedures and forms specified from time to time by the Administrator, elect to change the time of commencement or change the form in which the Participant’s Account is distributed or both, provided that: (i) the Participant elects at least twelve (12) months prior to the date on which payments are otherwise scheduled to commence; (ii) the new election does not take effect for at least twelve (12) months; and (iii) with respect to changes applicable to distributions in a Specified Year or upon Separation from Service, the distributions must be deferred for at least five (5) years from the date the distributions would otherwise have been paid, or in the case of installment payments, five (5) years from the date the installments were scheduled to commence. For purposes of this section, distributions on account of a Specified Year are considered scheduled to commence on January 1 of the Specified Year and all other distributions are considered to commence on the date of the Distribution Event, or if the Participant has elected a later year for commencement, January 1 of the year elected by the Participant. Any election in accordance with this section to change the time or form or both shall be irrevocable on the date it is filed with the Administrator unless subsequently changed pursuant to this Section.</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Accounts and Investments</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9"/>
          <w:szCs w:val="19"/>
          <w:b w:val="1"/>
          <w:bCs w:val="1"/>
          <w:u w:val="single" w:color="auto"/>
          <w:color w:val="auto"/>
        </w:rPr>
        <w:t>Establishment of Accounts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The Company will establish notional accounts for each Participant as the Administrator deems necessary or advisable from time to time. The Company will establish a Participant’s Account at the earlier of the time a Participant first elects to defer any amounts into the Account or the time the Company first credits non-elective amounts to the Account. Each Account shall be credited as appropriate with deferrals and earnings with respect to deferrals and debited for distributions from the Account.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9"/>
          <w:szCs w:val="19"/>
          <w:b w:val="1"/>
          <w:bCs w:val="1"/>
          <w:u w:val="single" w:color="auto"/>
          <w:color w:val="auto"/>
        </w:rPr>
        <w:t>Timing of Credits to Accounts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The Administrator shall credit a Participant’s Elective Deferrals to the Participant’s Account(s) not later than the end of the calendar year during which the Company would otherwise have paid the amounts to the Participant but for the Participant’s deferral election. The Administrator shall credit Non-Elective Deferrals at such times and in such amounts as the Administrator determines.</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Participant Accounts are fully vested at all times.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b w:val="1"/>
          <w:bCs w:val="1"/>
          <w:u w:val="single" w:color="auto"/>
          <w:color w:val="auto"/>
        </w:rPr>
        <w:t>Investments</w:t>
      </w:r>
      <w:r>
        <w:rPr>
          <w:rFonts w:ascii="Arial" w:cs="Arial" w:eastAsia="Arial" w:hAnsi="Arial"/>
          <w:sz w:val="18"/>
          <w:szCs w:val="18"/>
          <w:b w:val="1"/>
          <w:bCs w:val="1"/>
          <w:color w:val="auto"/>
        </w:rPr>
        <w:t>.</w:t>
      </w:r>
    </w:p>
    <w:p>
      <w:pPr>
        <w:spacing w:after="0" w:line="74"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The Administrator may select investment funds to use for measuring notional gains and losses credited or debited to Participant’s Accounts. The Administrator will establish, from time to time, rules and procedures for allowing each Participant who has not had a Distribution Event to designate which one or more of the selected investment funds will be used to determine the notional gains and losses credited or debited to the Participant’s Accounts prior to commencement of distributions.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9"/>
          <w:szCs w:val="19"/>
          <w:b w:val="1"/>
          <w:bCs w:val="1"/>
          <w:u w:val="single" w:color="auto"/>
          <w:color w:val="auto"/>
        </w:rPr>
        <w:t>Valuation Date</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right="20"/>
        <w:spacing w:after="0" w:line="323" w:lineRule="auto"/>
        <w:rPr>
          <w:sz w:val="20"/>
          <w:szCs w:val="20"/>
          <w:color w:val="auto"/>
        </w:rPr>
      </w:pPr>
      <w:r>
        <w:rPr>
          <w:rFonts w:ascii="Arial" w:cs="Arial" w:eastAsia="Arial" w:hAnsi="Arial"/>
          <w:sz w:val="19"/>
          <w:szCs w:val="19"/>
          <w:color w:val="auto"/>
        </w:rPr>
        <w:t>As of each Valuation Date, each Account will be adjusted to reflect the effect of notional investment gains or losses, additions, distributions, transfers and all other transactions with respect to that Account since the previous Valuation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SERP II Retirement Benefit</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9"/>
          <w:szCs w:val="19"/>
          <w:b w:val="1"/>
          <w:bCs w:val="1"/>
          <w:u w:val="single" w:color="auto"/>
          <w:color w:val="auto"/>
        </w:rPr>
        <w:t>Eligibility</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The provisions of Article 8 apply only to Eligible Employees who were eligible for Retirement Benefits on September 30, 2006. Effective October 1, 2006, the Company froze eligibility for Retirement Benefits and individuals who were not Participants on that date are not eligible for Retirement Benefits. Any Participant who was accruing Retirement Benefits on September 30, 2006 or who was eligible to accrue Retirement Benefits on that date because the Participant received an Annual Incentive Award or Other Award and was serving in management salary grades SA - SM, will remain eligible for Retirement Benefits in accordance with this section; provided the Participant remains an Employee of a Related Company.</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9"/>
          <w:szCs w:val="19"/>
          <w:b w:val="1"/>
          <w:bCs w:val="1"/>
          <w:u w:val="single" w:color="auto"/>
          <w:color w:val="auto"/>
        </w:rPr>
        <w:t>Vesting; Forfeiture of Unvested Retirement Benefit</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Participants will fully vest in the Retirement Benefit upon: (i) Retirement; (ii) becoming Disabled after attaining both age 50 and 10 years of Vesting Service; or (iii) upon attaining age 50 and 10 years of Vesting Service after becoming Disabled. Participants will forfeit unvested Retirement Benefits and prior years of Vesting Service upon Separation from Service or death prior to full vesting.</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9"/>
          <w:szCs w:val="19"/>
          <w:b w:val="1"/>
          <w:bCs w:val="1"/>
          <w:u w:val="single" w:color="auto"/>
          <w:color w:val="auto"/>
        </w:rPr>
        <w:t>Retirement Benefit</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The amount of the Retirement Benefit shall equal a single life annuity determined in the manner provided in the Retirement Plans, including any applicable early retirement factors and cost of living adjustments, but using a Participant’s Final Average Earnings and years of Credited Service as described in this section.</w:t>
      </w:r>
    </w:p>
    <w:p>
      <w:pPr>
        <w:spacing w:after="0" w:line="187"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20"/>
          <w:szCs w:val="20"/>
          <w:b w:val="1"/>
          <w:bCs w:val="1"/>
          <w:u w:val="single" w:color="auto"/>
          <w:color w:val="auto"/>
        </w:rPr>
        <w:t>Final Average Earnings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Final Average Earnings include the sum of: (i) the Participant’s four highest consecutive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Annual Incentive Awards and Other Awards within the “applicable 15-year period,” and (ii) the Participant’s highest Basic Compensation during any consecutive 48-month period within the “applicable 15-year period” to the extent that Basic Compensation exceeds the limitation on compensation imposed by Code section 401(a)(17). Compensation in excess of the limitation on compensation imposed by Code section 401(a)(17) shall be determined by using the limit in effect on the first day of the 48-month period described in (i) and the next three anniversaries of that date. With respect to a Participant who becomes entitled to a distribution upon Retirement, the “applicable 15-year period” shall be the fifteen (15) years preceding the date of Retirement. With respect to a Participant who becomes entitled to a distribution because of Disability, the “applicable 15-year period” shall be the 15-year period that: (i) ends no earlier than the Participant’s Disability and no later than the Participant’s sixty-fifth (65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birthday; and (ii) would result in the greatest Retirement Benefit.</w:t>
      </w:r>
    </w:p>
    <w:p>
      <w:pPr>
        <w:spacing w:after="0" w:line="210" w:lineRule="exact"/>
        <w:rPr>
          <w:sz w:val="20"/>
          <w:szCs w:val="20"/>
          <w:color w:val="auto"/>
        </w:rPr>
      </w:pPr>
    </w:p>
    <w:p>
      <w:pPr>
        <w:jc w:val="both"/>
        <w:ind w:left="1300" w:hanging="647"/>
        <w:spacing w:after="0" w:line="315" w:lineRule="auto"/>
        <w:tabs>
          <w:tab w:leader="none" w:pos="128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9"/>
          <w:szCs w:val="19"/>
          <w:b w:val="1"/>
          <w:bCs w:val="1"/>
          <w:u w:val="single" w:color="auto"/>
          <w:color w:val="auto"/>
        </w:rPr>
        <w:t>Years of Credited Service</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Participant will receive credit for years of Credited Service after September 30, 2006,</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only to the extent that: (i) the Participant has been continuously employed since that date by a Related Company in management salary grades SA - SM; and (ii) distributions of Retirement Benefits have not commenced.</w:t>
      </w:r>
    </w:p>
    <w:p>
      <w:pPr>
        <w:spacing w:after="0" w:line="12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21"/>
          <w:szCs w:val="21"/>
          <w:b w:val="1"/>
          <w:bCs w:val="1"/>
          <w:u w:val="single" w:color="auto"/>
          <w:color w:val="auto"/>
        </w:rPr>
        <w:t>Forfeiture of Vested Retirement Benefit for Misconduct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Notwithstanding any other term or condition in this Article 8, a</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Participant will forfeit any vested Retirement Benefit attributable to any year during which the Participant engaged in Misconduct and any subsequent period. For purposes of calculating the Retirement Benefit of any Participant who engaged in Misconduct, the Participant’s Final Average Earnings and Years of Credited Service will exclude the period during which the Participant engaged in Misconduct and any subsequent period.</w:t>
      </w:r>
    </w:p>
    <w:p>
      <w:pPr>
        <w:spacing w:after="0" w:line="387"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22"/>
          <w:szCs w:val="22"/>
          <w:b w:val="1"/>
          <w:bCs w:val="1"/>
          <w:u w:val="single" w:color="auto"/>
          <w:color w:val="auto"/>
        </w:rPr>
        <w:t>Time and Form of Distributions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Subject to the provisions of Section 8.6, a Participant will become entitled to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distribution of vested Retirement Benefits, in the form determined by this section, upon the earlier of: (i) Retirement; (ii) Disability; or (iii) solely with respect to a Participant who vests after becoming Disabled, the earlier of death or attainment of age 65.</w:t>
      </w:r>
    </w:p>
    <w:p>
      <w:pPr>
        <w:sectPr>
          <w:pgSz w:w="11900" w:h="16838" w:orient="portrait"/>
          <w:cols w:equalWidth="0" w:num="1">
            <w:col w:w="11420"/>
          </w:cols>
          <w:pgMar w:left="240" w:top="121" w:right="239" w:bottom="1440" w:gutter="0" w:footer="0" w:header="0"/>
        </w:sectPr>
      </w:pPr>
    </w:p>
    <w:bookmarkStart w:id="141" w:name="page142"/>
    <w:bookmarkEnd w:id="141"/>
    <w:p>
      <w:pPr>
        <w:ind w:left="10360"/>
        <w:spacing w:after="0"/>
        <w:rPr>
          <w:sz w:val="20"/>
          <w:szCs w:val="20"/>
          <w:color w:val="auto"/>
        </w:rPr>
      </w:pPr>
      <w:r>
        <w:rPr>
          <w:rFonts w:ascii="Arial" w:cs="Arial" w:eastAsia="Arial" w:hAnsi="Arial"/>
          <w:sz w:val="16"/>
          <w:szCs w:val="16"/>
          <w:b w:val="1"/>
          <w:bCs w:val="1"/>
          <w:color w:val="auto"/>
        </w:rPr>
        <w:t>Exhibit 10(f)3</w:t>
      </w:r>
    </w:p>
    <w:p>
      <w:pPr>
        <w:spacing w:after="0" w:line="200" w:lineRule="exact"/>
        <w:rPr>
          <w:sz w:val="20"/>
          <w:szCs w:val="20"/>
          <w:color w:val="auto"/>
        </w:rPr>
      </w:pPr>
    </w:p>
    <w:p>
      <w:pPr>
        <w:spacing w:after="0" w:line="296" w:lineRule="exact"/>
        <w:rPr>
          <w:sz w:val="20"/>
          <w:szCs w:val="20"/>
          <w:color w:val="auto"/>
        </w:rPr>
      </w:pPr>
    </w:p>
    <w:p>
      <w:pPr>
        <w:jc w:val="right"/>
        <w:ind w:left="660"/>
        <w:spacing w:after="0" w:line="280" w:lineRule="auto"/>
        <w:rPr>
          <w:sz w:val="20"/>
          <w:szCs w:val="20"/>
          <w:color w:val="auto"/>
        </w:rPr>
      </w:pPr>
      <w:r>
        <w:rPr>
          <w:rFonts w:ascii="Arial" w:cs="Arial" w:eastAsia="Arial" w:hAnsi="Arial"/>
          <w:sz w:val="17"/>
          <w:szCs w:val="17"/>
          <w:color w:val="auto"/>
        </w:rPr>
        <w:t xml:space="preserve">8.5.1   </w:t>
      </w:r>
      <w:r>
        <w:rPr>
          <w:rFonts w:ascii="Arial" w:cs="Arial" w:eastAsia="Arial" w:hAnsi="Arial"/>
          <w:sz w:val="20"/>
          <w:szCs w:val="20"/>
          <w:b w:val="1"/>
          <w:bCs w:val="1"/>
          <w:u w:val="single" w:color="auto"/>
          <w:color w:val="auto"/>
        </w:rPr>
        <w:t>Election of Alternative Forms of Distribution</w:t>
      </w:r>
      <w:r>
        <w:rPr>
          <w:rFonts w:ascii="Arial" w:cs="Arial" w:eastAsia="Arial" w:hAnsi="Arial"/>
          <w:sz w:val="20"/>
          <w:szCs w:val="20"/>
          <w:b w:val="1"/>
          <w:bCs w:val="1"/>
          <w:color w:val="auto"/>
        </w:rPr>
        <w:t>.</w:t>
      </w:r>
      <w:r>
        <w:rPr>
          <w:rFonts w:ascii="Arial" w:cs="Arial" w:eastAsia="Arial" w:hAnsi="Arial"/>
          <w:sz w:val="17"/>
          <w:szCs w:val="17"/>
          <w:color w:val="auto"/>
        </w:rPr>
        <w:t xml:space="preserve"> </w:t>
      </w:r>
      <w:r>
        <w:rPr>
          <w:rFonts w:ascii="Arial" w:cs="Arial" w:eastAsia="Arial" w:hAnsi="Arial"/>
          <w:sz w:val="20"/>
          <w:szCs w:val="20"/>
          <w:color w:val="auto"/>
        </w:rPr>
        <w:t>A Participant may elect to receive the Retirement Benefit in one of</w:t>
      </w:r>
      <w:r>
        <w:rPr>
          <w:rFonts w:ascii="Arial" w:cs="Arial" w:eastAsia="Arial" w:hAnsi="Arial"/>
          <w:sz w:val="17"/>
          <w:szCs w:val="17"/>
          <w:color w:val="auto"/>
        </w:rPr>
        <w:t xml:space="preserve"> </w:t>
      </w:r>
      <w:r>
        <w:rPr>
          <w:rFonts w:ascii="Arial" w:cs="Arial" w:eastAsia="Arial" w:hAnsi="Arial"/>
          <w:sz w:val="20"/>
          <w:szCs w:val="20"/>
          <w:color w:val="auto"/>
        </w:rPr>
        <w:t>the following forms, each of which shall be actuarially equivalent: (i) monthly installments over a 15-year period,</w:t>
      </w:r>
    </w:p>
    <w:p>
      <w:pPr>
        <w:spacing w:after="0" w:line="1" w:lineRule="exact"/>
        <w:rPr>
          <w:sz w:val="20"/>
          <w:szCs w:val="20"/>
          <w:color w:val="auto"/>
        </w:rPr>
      </w:pPr>
    </w:p>
    <w:p>
      <w:pPr>
        <w:jc w:val="both"/>
        <w:ind w:left="1300" w:firstLine="5"/>
        <w:spacing w:after="0" w:line="244" w:lineRule="auto"/>
        <w:tabs>
          <w:tab w:leader="none" w:pos="1644"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monthly life annuity, (iii) a lump sum payment; or (iv) a combination of a lump sum and either (i) or (ii). Actuarially equivalence will be calculated using actuarial factors adopted by the Administrator from time to time. Effective as of December 31, 2008, Participant elections regarding the form of distribution are irrevocable and will remain in effect until the Retirement Benefits are paid in full unless a Participant elects to change the time and form of payment in accordance with Section 8.7.</w:t>
      </w:r>
    </w:p>
    <w:p>
      <w:pPr>
        <w:spacing w:after="0" w:line="189"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18"/>
          <w:szCs w:val="18"/>
          <w:color w:val="auto"/>
        </w:rPr>
        <w:t>8.5.2</w:t>
      </w:r>
      <w:r>
        <w:rPr>
          <w:sz w:val="20"/>
          <w:szCs w:val="20"/>
          <w:color w:val="auto"/>
        </w:rPr>
        <w:tab/>
      </w:r>
      <w:r>
        <w:rPr>
          <w:rFonts w:ascii="Arial" w:cs="Arial" w:eastAsia="Arial" w:hAnsi="Arial"/>
          <w:sz w:val="22"/>
          <w:szCs w:val="22"/>
          <w:b w:val="1"/>
          <w:bCs w:val="1"/>
          <w:u w:val="single" w:color="auto"/>
          <w:color w:val="auto"/>
        </w:rPr>
        <w:t>Default Form of Payment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 Participant fails to elect a form of payment with respect to the Participant’s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Retirement Benefit before December 31, 2008, the Retirement Benefit will be paid in the form of monthly installments over a 15-year period unless the Participant elects to change the time and form of payment in accordance with Section 8.7.</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9"/>
          <w:szCs w:val="19"/>
          <w:b w:val="1"/>
          <w:bCs w:val="1"/>
          <w:u w:val="single" w:color="auto"/>
          <w:color w:val="auto"/>
        </w:rPr>
        <w:t>Additional Distribution Rules</w:t>
      </w:r>
      <w:r>
        <w:rPr>
          <w:rFonts w:ascii="Arial" w:cs="Arial" w:eastAsia="Arial" w:hAnsi="Arial"/>
          <w:sz w:val="19"/>
          <w:szCs w:val="19"/>
          <w:b w:val="1"/>
          <w:bCs w:val="1"/>
          <w:color w:val="auto"/>
        </w:rPr>
        <w:t>.</w:t>
      </w:r>
    </w:p>
    <w:p>
      <w:pPr>
        <w:spacing w:after="0" w:line="30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20"/>
          <w:szCs w:val="20"/>
          <w:b w:val="1"/>
          <w:bCs w:val="1"/>
          <w:u w:val="single" w:color="auto"/>
          <w:color w:val="auto"/>
        </w:rPr>
        <w:t>Commencement of Distributions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Distributions on account of a Distribution Event other than Disability will</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commence between the date of the Distribution Event and the end of the year in which the Distribution Event occurs. If a Distribution Event other than Disability occurs on or after October 1 of a Plan Year, the distribution may, to the extent permitted by Section 409A, commence after the Distribution Event and on or before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Distribution Event, even if after the end of the year during which the Distribution Event occurs; provided, however, the Participant will not be permitted, directly or indirectly, to designate the taxable year of the distribution. Any distribution that complies with this section shall be deemed for all purposes to comply with the Plan requirements regarding the time and form of distributions.</w:t>
      </w:r>
    </w:p>
    <w:p>
      <w:pPr>
        <w:spacing w:after="0" w:line="169"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21"/>
          <w:szCs w:val="21"/>
          <w:b w:val="1"/>
          <w:bCs w:val="1"/>
          <w:u w:val="single" w:color="auto"/>
          <w:color w:val="auto"/>
        </w:rPr>
        <w:t>Distributions to Specified Employees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Notwithstanding anything to the contrary in this Plan, if a Participant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becomes entitled to a distribution on account of a Retirement and is a Specified Employee on the date of the Retirement, distributions shall not commence until the earlier of: (i) the expiration of the six-month period beginning on the date of Participant’s Retirement, or (ii) the date of the Participant’s death. Payments to which a Specified Employee would otherwise be entitled during this six-month period shall be accumulated and paid, together with earnings (calculated using the interest rate adopted by the Administrator for determining actuarial equivalence) that have accrued during this six-month delay, during the seventh month following the date of the Participant’s Retirement, or, if earlier, the date of the Participant’s death.</w:t>
      </w:r>
    </w:p>
    <w:p>
      <w:pPr>
        <w:spacing w:after="0" w:line="176" w:lineRule="exact"/>
        <w:rPr>
          <w:sz w:val="20"/>
          <w:szCs w:val="20"/>
          <w:color w:val="auto"/>
        </w:rPr>
      </w:pPr>
    </w:p>
    <w:p>
      <w:pPr>
        <w:jc w:val="both"/>
        <w:ind w:left="1300" w:right="20" w:hanging="647"/>
        <w:spacing w:after="0" w:line="297" w:lineRule="auto"/>
        <w:tabs>
          <w:tab w:leader="none" w:pos="1280" w:val="left"/>
        </w:tabs>
        <w:rPr>
          <w:sz w:val="20"/>
          <w:szCs w:val="20"/>
          <w:color w:val="auto"/>
        </w:rPr>
      </w:pPr>
      <w:r>
        <w:rPr>
          <w:rFonts w:ascii="Arial" w:cs="Arial" w:eastAsia="Arial" w:hAnsi="Arial"/>
          <w:sz w:val="18"/>
          <w:szCs w:val="18"/>
          <w:color w:val="auto"/>
        </w:rPr>
        <w:t>8.6.3</w:t>
      </w:r>
      <w:r>
        <w:rPr>
          <w:sz w:val="20"/>
          <w:szCs w:val="20"/>
          <w:color w:val="auto"/>
        </w:rPr>
        <w:tab/>
      </w:r>
      <w:r>
        <w:rPr>
          <w:rFonts w:ascii="Arial" w:cs="Arial" w:eastAsia="Arial" w:hAnsi="Arial"/>
          <w:sz w:val="21"/>
          <w:szCs w:val="21"/>
          <w:b w:val="1"/>
          <w:bCs w:val="1"/>
          <w:u w:val="single" w:color="auto"/>
          <w:color w:val="auto"/>
        </w:rPr>
        <w:t>Disability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Unless subsequently changed in accordance with the Plan, distributions on account of Disability will</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commence on the earlier of the Participant’s 65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birthday or the second anniversary of the Disability.</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18"/>
          <w:szCs w:val="18"/>
          <w:color w:val="auto"/>
        </w:rPr>
        <w:t>8.6.4</w:t>
      </w:r>
      <w:r>
        <w:rPr>
          <w:sz w:val="20"/>
          <w:szCs w:val="20"/>
          <w:color w:val="auto"/>
        </w:rPr>
        <w:tab/>
      </w:r>
      <w:r>
        <w:rPr>
          <w:rFonts w:ascii="Arial" w:cs="Arial" w:eastAsia="Arial" w:hAnsi="Arial"/>
          <w:sz w:val="19"/>
          <w:szCs w:val="19"/>
          <w:b w:val="1"/>
          <w:bCs w:val="1"/>
          <w:u w:val="single" w:color="auto"/>
          <w:color w:val="auto"/>
        </w:rPr>
        <w:t>Annuity Payments and Installments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 Participant elects to receive all or a portion of the distributions in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monthly installments, that portion to be paid in installments will be paid in substantially equal monthly installments in consecutive months over a 15-year period. If a Participant elects to receive all or a portion of the distributions in the form of a life annuity, that portion to be paid as a life annuity will be paid in monthly installments in consecutive months for the remainder of the Participant’s life, in the case of a unmarried Participant, and in the case of a married Participant over the lives of the Participant and the Participant’s Eligible Surviving Spouse. Each monthly installment or life annuity payment will be paid during the Plan Year in which it is due, commencing as described in Section 8.6.1. During the Plan Year in which distributions commence, the Participant will receive one installment or life annuity payment for each calendar month beginning after the date of the Distribution Event. If the Participant has elected to be paid in installments, during the distribution period the portion of the Participant’s Account to be paid in installments will be credited with interest compounded monthly at the interest rate used by the Administrator to determine actuarial equivalence. Any distribution that complies with this section shall be deemed for all purposes to comply with the Plan requirements regarding the time and form of distributions.</w:t>
      </w:r>
    </w:p>
    <w:p>
      <w:pPr>
        <w:spacing w:after="0" w:line="155"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18"/>
          <w:szCs w:val="18"/>
          <w:color w:val="auto"/>
        </w:rPr>
        <w:t>8.6.5</w:t>
      </w:r>
      <w:r>
        <w:rPr>
          <w:sz w:val="20"/>
          <w:szCs w:val="20"/>
          <w:color w:val="auto"/>
        </w:rPr>
        <w:tab/>
      </w:r>
      <w:r>
        <w:rPr>
          <w:rFonts w:ascii="Arial" w:cs="Arial" w:eastAsia="Arial" w:hAnsi="Arial"/>
          <w:sz w:val="21"/>
          <w:szCs w:val="21"/>
          <w:b w:val="1"/>
          <w:bCs w:val="1"/>
          <w:u w:val="single" w:color="auto"/>
          <w:color w:val="auto"/>
        </w:rPr>
        <w:t>Death After Commencement of Benefits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Upon the death of a Participant after distributions of the Participant’s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Retirement Benefit have commenced, the remainder of the Participant’s Retirement Benefit will continue to be distributed to the Participant’s Beneficiary at the same time and in the same form as the benefit would have been distributed to the Participant had the Participant survived, except to the extent that the Participant had elected a life annuity: (i) if the Participant has an Eligible Surviving Spouse on the date of death, the surviving spouse will receive 60% of the Participant’s life annuity benefit for the remainder of the spouse’s life and (ii) if the Participant does not have an Eligible Surviving Spouse, the annuity will cease as of the first day of the month following the month during which the Participant died.</w:t>
      </w:r>
    </w:p>
    <w:p>
      <w:pPr>
        <w:spacing w:after="0" w:line="176"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Arial" w:cs="Arial" w:eastAsia="Arial" w:hAnsi="Arial"/>
          <w:sz w:val="18"/>
          <w:szCs w:val="18"/>
          <w:color w:val="auto"/>
        </w:rPr>
        <w:t>8.6.6</w:t>
      </w:r>
      <w:r>
        <w:rPr>
          <w:sz w:val="20"/>
          <w:szCs w:val="20"/>
          <w:color w:val="auto"/>
        </w:rPr>
        <w:tab/>
      </w:r>
      <w:r>
        <w:rPr>
          <w:rFonts w:ascii="Arial" w:cs="Arial" w:eastAsia="Arial" w:hAnsi="Arial"/>
          <w:sz w:val="19"/>
          <w:szCs w:val="19"/>
          <w:b w:val="1"/>
          <w:bCs w:val="1"/>
          <w:u w:val="single" w:color="auto"/>
          <w:color w:val="auto"/>
        </w:rPr>
        <w:t>Effect of Change of Control</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With respect to any Participant whose Retirement Benefit distributions have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commenced, or would commence, upon a Separation from Service, if (a) the Participant’s Separation from Service occurs within two years following a Change in Control or (b) a Change in Control occurs within six months after the Participant’s Separation from Service, then notwithstanding the Participant’s elections regarding distributions upon a Separation from Service, the Participant shall receive a distribution of the Participant’s entire remaining vested Retirement Benefit in a single lump sum upon the later of the Separation from Service or the Change in Control, whether or not distributions have already commenced. Any Retirement Benefit that does not become payable in a lump sum in accordance with this section will vest, if at all, in accordance with Section 8.2, will become payable in accordance with Section 8.5, and will otherwise remain subject to the provisions of Article 8.</w:t>
      </w:r>
    </w:p>
    <w:p>
      <w:pPr>
        <w:sectPr>
          <w:pgSz w:w="11900" w:h="16838" w:orient="portrait"/>
          <w:cols w:equalWidth="0" w:num="1">
            <w:col w:w="10760"/>
          </w:cols>
          <w:pgMar w:left="90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9"/>
          <w:szCs w:val="19"/>
          <w:b w:val="1"/>
          <w:bCs w:val="1"/>
          <w:u w:val="single" w:color="auto"/>
          <w:color w:val="auto"/>
        </w:rPr>
        <w:t>Subsequent Changes in Time and Form of Payment</w:t>
      </w:r>
      <w:r>
        <w:rPr>
          <w:rFonts w:ascii="Arial" w:cs="Arial" w:eastAsia="Arial" w:hAnsi="Arial"/>
          <w:sz w:val="19"/>
          <w:szCs w:val="19"/>
          <w:b w:val="1"/>
          <w:bCs w:val="1"/>
          <w:color w:val="auto"/>
        </w:rPr>
        <w:t>.</w:t>
      </w:r>
    </w:p>
    <w:p>
      <w:pPr>
        <w:spacing w:after="0" w:line="274"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A Participant may, in accordance with rules, procedures and forms specified from time to time by the Administrator, elect to change the form in which the Participant’s Retirement Benefit is distributed, provided that: (i) the Participant elects at least twelve (12) months prior to the date on which payments are otherwise scheduled to commence; (ii) the new election does not take effect for at least twelve (12) months; and (iii) with respect to changes applicable to distributions upon Retirement or, solely with respect to a Participant who vests after becoming Disabled, distributions upon attaining age 65, distributions must be deferred for at least five years from the date the distributions would otherwise have been paid, or in the case of installment payments or life annuity payments, five years from the date the installments or life annuity payments were scheduled to commence. Any such election shall be irrevocable on the date it is filed with the Administrator unless subsequently changed pursuant to this section. For purposes of this section, distributions are considered to commence on the date of the Distribution Event.</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9"/>
          <w:szCs w:val="19"/>
          <w:b w:val="1"/>
          <w:bCs w:val="1"/>
          <w:u w:val="single" w:color="auto"/>
          <w:color w:val="auto"/>
        </w:rPr>
        <w:t>FICA and Other Taxes</w:t>
      </w:r>
      <w:r>
        <w:rPr>
          <w:rFonts w:ascii="Arial" w:cs="Arial" w:eastAsia="Arial" w:hAnsi="Arial"/>
          <w:sz w:val="19"/>
          <w:szCs w:val="19"/>
          <w:b w:val="1"/>
          <w:bCs w:val="1"/>
          <w:color w:val="auto"/>
        </w:rPr>
        <w:t>.</w:t>
      </w:r>
    </w:p>
    <w:p>
      <w:pPr>
        <w:spacing w:after="0" w:line="274"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At the time of a Participant’s Distribution Event, the Participant’s Employer(s) shall, in a manner determined by the Employer(s), calculate the FICA and other required employment or state, local, and foreign taxes due on the lump sum present value, calculated using the factors adopted by the Administrator for determining actuarial equivalence, of the Participant’s Retirement Benefit and shall reduce the Participant’s Retirement Benefit by the amount of any such taxes payable by the Participant. The amount of the Participant’s Retirement Benefit remaining after reduction for any taxes shall be payable in accordance with Sections 8.6 and 8.7.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Payment Acceleration and Delay</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9"/>
          <w:szCs w:val="19"/>
          <w:b w:val="1"/>
          <w:bCs w:val="1"/>
          <w:u w:val="single" w:color="auto"/>
          <w:color w:val="auto"/>
        </w:rPr>
        <w:t>Permitted Accelerations of Payment</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Except as otherwise provided herein or permitted by Section 409A, the Plan prohibits the acceleration of the time or schedule of any payment due under the Plan.</w:t>
      </w:r>
    </w:p>
    <w:p>
      <w:pPr>
        <w:spacing w:after="0" w:line="187"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21"/>
          <w:szCs w:val="21"/>
          <w:b w:val="1"/>
          <w:bCs w:val="1"/>
          <w:u w:val="single" w:color="auto"/>
          <w:color w:val="auto"/>
        </w:rPr>
        <w:t>Distribution in the Event of Taxation</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If, for any reason, all or any portion of any benefit provided by the Plan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becomes taxable to a Participant because of a violation of Section 409A prior to receipt, the Participant may file a written request with the Administrator for a distribution of that portion of the Plan benefit that has become taxable. Upon the grant of such a request, which grant shall not be unreasonably withheld, the Participant shall receive a distribution equal to the taxable portion of the Plan benefit. If the request is granted, the tax liability distribution shall be paid between the date on which the Participant’s request is approved and the end of the Plan Year during which the approval occurred, or if later,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calendar month following the date on which the Participant’s request is approved.</w:t>
      </w:r>
    </w:p>
    <w:p>
      <w:pPr>
        <w:spacing w:after="0" w:line="225" w:lineRule="exact"/>
        <w:rPr>
          <w:sz w:val="20"/>
          <w:szCs w:val="20"/>
          <w:color w:val="auto"/>
        </w:rPr>
      </w:pPr>
    </w:p>
    <w:p>
      <w:pPr>
        <w:jc w:val="both"/>
        <w:ind w:left="1300" w:hanging="647"/>
        <w:spacing w:after="0" w:line="315" w:lineRule="auto"/>
        <w:tabs>
          <w:tab w:leader="none" w:pos="12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9"/>
          <w:szCs w:val="19"/>
          <w:b w:val="1"/>
          <w:bCs w:val="1"/>
          <w:u w:val="single" w:color="auto"/>
          <w:color w:val="auto"/>
        </w:rPr>
        <w:t>Compliance with Ethics Laws or Conflicts of Interests Laws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Administrator is authorized, in its sole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discretion, to accelerate the time or schedule of a payment to the extent necessary to avoid the violation of any applicable federal, state, local, or foreign ethics law or conflicts of interest law as provided in Section 409A.</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22"/>
          <w:szCs w:val="22"/>
          <w:b w:val="1"/>
          <w:bCs w:val="1"/>
          <w:u w:val="single" w:color="auto"/>
          <w:color w:val="auto"/>
        </w:rPr>
        <w:t>Small Accounts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in its sole discretion, distribute in a single lump sum the aggregate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amounts of Deferrals or Elective Deferrals or both credited to the Participant’s Account, along with any related earnings, provided: (i) the distribution results in the payment of the Participant’s entire interest in the Account and all Aggregated Plans, and (ii) the total payment does not exceed the applicable dollar limit under Code section 402(g)(1)(B). The Administrator shall notify the Participant in writing if the Administrator exercises its discretion pursuant to this Section.</w:t>
      </w:r>
    </w:p>
    <w:p>
      <w:pPr>
        <w:spacing w:after="0" w:line="228"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22"/>
          <w:szCs w:val="22"/>
          <w:b w:val="1"/>
          <w:bCs w:val="1"/>
          <w:u w:val="single" w:color="auto"/>
          <w:color w:val="auto"/>
        </w:rPr>
        <w:t>Settlement of a Bona Fide Dispute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in its sole discretion, accelerate the time or schedule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distribution as part of a settlement of a bona fide dispute between the Participant and the Employer over the Participant’s right to a distribution provided that the distribution relates only to the deferred compensation in dispute and the Employer is not experiencing a downturn in financial health.</w:t>
      </w:r>
    </w:p>
    <w:p>
      <w:pPr>
        <w:spacing w:after="0" w:line="221"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22"/>
          <w:szCs w:val="22"/>
          <w:b w:val="1"/>
          <w:bCs w:val="1"/>
          <w:u w:val="single" w:color="auto"/>
          <w:color w:val="auto"/>
        </w:rPr>
        <w:t>Settlement of Debt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in its sole discretion, accelerate the time or schedule of a payment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satisfy an ordinary debt owed by the Participant to the Employer at the time the debt becomes due as provided in Section 409A.</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9"/>
          <w:szCs w:val="19"/>
          <w:b w:val="1"/>
          <w:bCs w:val="1"/>
          <w:u w:val="single" w:color="auto"/>
          <w:color w:val="auto"/>
        </w:rPr>
        <w:t>Permissible Payment Delays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Notwithstanding anything in the Plan to the contrary, to the extent permitted by Section 409A, the Administrator may, in its sole discretion, delay a distribution to a Participant:</w:t>
      </w:r>
    </w:p>
    <w:p>
      <w:pPr>
        <w:spacing w:after="0" w:line="193"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21"/>
          <w:szCs w:val="21"/>
          <w:color w:val="auto"/>
        </w:rPr>
        <w:t>If the distribution would jeopardize the Employer’s ability to continue as a going concern, provided that the delayed amount is distributed in the first calendar year in which the payment would not have such effect.</w:t>
      </w:r>
    </w:p>
    <w:p>
      <w:pPr>
        <w:spacing w:after="0" w:line="192"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22"/>
          <w:szCs w:val="22"/>
          <w:color w:val="auto"/>
        </w:rPr>
        <w:t>If the Company reasonably anticipates that its deduction with respect to a distribution, if paid as scheduled, could be limited or barred by the application of Code section 162(m), provided the delayed amount is distributed in the first calendar year in which the Company reasonably anticipates that the deduction would not be limited or barred by the application of Code section 162(m).</w:t>
      </w:r>
    </w:p>
    <w:p>
      <w:pPr>
        <w:spacing w:after="0" w:line="229" w:lineRule="exact"/>
        <w:rPr>
          <w:sz w:val="20"/>
          <w:szCs w:val="20"/>
          <w:color w:val="auto"/>
        </w:rPr>
      </w:pPr>
    </w:p>
    <w:p>
      <w:pPr>
        <w:jc w:val="both"/>
        <w:ind w:left="1300" w:right="20" w:hanging="647"/>
        <w:spacing w:after="0" w:line="253" w:lineRule="auto"/>
        <w:tabs>
          <w:tab w:leader="none" w:pos="128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22"/>
          <w:szCs w:val="22"/>
          <w:color w:val="auto"/>
        </w:rPr>
        <w:t>If the distribution would violate Federal securities or other applicable laws, provided that the delayed amount is distributed at the earliest date at which the Administrator reasonably anticipates that the distribution will not cause such violation.</w:t>
      </w:r>
    </w:p>
    <w:p>
      <w:pPr>
        <w:spacing w:after="0" w:line="226" w:lineRule="exact"/>
        <w:rPr>
          <w:sz w:val="20"/>
          <w:szCs w:val="20"/>
          <w:color w:val="auto"/>
        </w:rPr>
      </w:pPr>
    </w:p>
    <w:p>
      <w:pPr>
        <w:jc w:val="both"/>
        <w:ind w:left="1300" w:right="20" w:hanging="647"/>
        <w:spacing w:after="0" w:line="253" w:lineRule="auto"/>
        <w:tabs>
          <w:tab w:leader="none" w:pos="1280" w:val="left"/>
        </w:tabs>
        <w:rPr>
          <w:sz w:val="20"/>
          <w:szCs w:val="20"/>
          <w:color w:val="auto"/>
        </w:rPr>
      </w:pPr>
      <w:r>
        <w:rPr>
          <w:rFonts w:ascii="Arial" w:cs="Arial" w:eastAsia="Arial" w:hAnsi="Arial"/>
          <w:sz w:val="18"/>
          <w:szCs w:val="18"/>
          <w:color w:val="auto"/>
        </w:rPr>
        <w:t>9.2.4</w:t>
      </w:r>
      <w:r>
        <w:rPr>
          <w:sz w:val="20"/>
          <w:szCs w:val="20"/>
          <w:color w:val="auto"/>
        </w:rPr>
        <w:tab/>
      </w:r>
      <w:r>
        <w:rPr>
          <w:rFonts w:ascii="Arial" w:cs="Arial" w:eastAsia="Arial" w:hAnsi="Arial"/>
          <w:sz w:val="22"/>
          <w:szCs w:val="22"/>
          <w:color w:val="auto"/>
        </w:rPr>
        <w:t>If calculation of the distribution is not administratively practicable due to events beyond the control of the Participant, provided that the delayed amount is distributed in the first calendar year in which the calculation of the distribution is administratively practicable.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b w:val="1"/>
          <w:bCs w:val="1"/>
          <w:u w:val="single" w:color="auto"/>
          <w:color w:val="auto"/>
        </w:rPr>
        <w:t>Suspension Not Allowed</w:t>
      </w:r>
      <w:r>
        <w:rPr>
          <w:rFonts w:ascii="Arial" w:cs="Arial" w:eastAsia="Arial" w:hAnsi="Arial"/>
          <w:sz w:val="18"/>
          <w:szCs w:val="18"/>
          <w:b w:val="1"/>
          <w:bCs w:val="1"/>
          <w:color w:val="auto"/>
        </w:rPr>
        <w:t>.</w:t>
      </w:r>
    </w:p>
    <w:p>
      <w:pPr>
        <w:spacing w:after="0" w:line="74"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If a Participant whose distributions have commenced becomes eligible again to defer compensation as a Participant in any plan subject to Section 409A maintained by a Related Company, distribution of the Participant’s Retirement Benefit or Account may not be suspended.</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Beneficiary Designation</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9"/>
          <w:szCs w:val="19"/>
          <w:b w:val="1"/>
          <w:bCs w:val="1"/>
          <w:u w:val="single" w:color="auto"/>
          <w:color w:val="auto"/>
        </w:rPr>
        <w:t>Beneficiary</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Each Participant shall have the right, in accordance with procedures established from time to time by the Administrator, to designate a Beneficiary(ies) (both primary as well as contingent) to whom Plan benefits shall, if permitted by the Plan, be paid if a Participant dies prior to complete distribution of benefits. Each Beneficiary designation shall be in a written form prescribed by the Administrator, and will be effective only when filed with the Administrator during the Participant’s lifetime. Any Beneficiary designation may be changed by a Participant without the consent of the previously named Beneficiary by filing a new Beneficiary designation with the Administrator. The most recent Beneficiary designation received by the Administrator shall control the payment of all benefits under the Plan in the event of the Participant’s death.</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9"/>
          <w:szCs w:val="19"/>
          <w:b w:val="1"/>
          <w:bCs w:val="1"/>
          <w:u w:val="single" w:color="auto"/>
          <w:color w:val="auto"/>
        </w:rPr>
        <w:t>No Beneficiary Designation</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81" w:lineRule="auto"/>
        <w:rPr>
          <w:sz w:val="20"/>
          <w:szCs w:val="20"/>
          <w:color w:val="auto"/>
        </w:rPr>
      </w:pPr>
      <w:r>
        <w:rPr>
          <w:rFonts w:ascii="Arial" w:cs="Arial" w:eastAsia="Arial" w:hAnsi="Arial"/>
          <w:sz w:val="19"/>
          <w:szCs w:val="19"/>
          <w:color w:val="auto"/>
        </w:rPr>
        <w:t>In the absence of an effective Beneficiary designation, or if all designated Beneficiaries predecease the Participant or die prior to the complete distribution of the Participant’s benefits, benefits shall be paid in the following order of precedence:</w:t>
      </w:r>
    </w:p>
    <w:p>
      <w:pPr>
        <w:spacing w:after="0" w:line="2" w:lineRule="exact"/>
        <w:rPr>
          <w:sz w:val="20"/>
          <w:szCs w:val="20"/>
          <w:color w:val="auto"/>
        </w:rPr>
      </w:pPr>
    </w:p>
    <w:p>
      <w:pPr>
        <w:ind w:left="660" w:hanging="4"/>
        <w:spacing w:after="0" w:line="246" w:lineRule="auto"/>
        <w:tabs>
          <w:tab w:leader="none" w:pos="989"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Participant’s surviving spouse; (b) the Participant’s children (including adopted children), per stirpes; or (c) the Participant’s estate.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Claims Procedures</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9"/>
          <w:szCs w:val="19"/>
          <w:b w:val="1"/>
          <w:bCs w:val="1"/>
          <w:u w:val="single" w:color="auto"/>
          <w:color w:val="auto"/>
        </w:rPr>
        <w:t>Presentation of Claim</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Any Participant or Beneficiary of a deceased Participant (such Participant or Beneficiary being referred to below as a “Claimant”) may file with the Administrator a written claim for a determination with respect to Plan benefits. The claim must state with particularity the determination desired by the Claimant.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9"/>
          <w:szCs w:val="19"/>
          <w:b w:val="1"/>
          <w:bCs w:val="1"/>
          <w:u w:val="single" w:color="auto"/>
          <w:color w:val="auto"/>
        </w:rPr>
        <w:t>Notification of Decision</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The Administrator shall consider a Claimant’s claim, and, except as provided below, within 90 days after the claim is received, shall notify the Claimant in writing:</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9"/>
          <w:szCs w:val="19"/>
          <w:color w:val="auto"/>
        </w:rPr>
        <w:t>That the claim has been allowed in full; or</w:t>
      </w:r>
    </w:p>
    <w:p>
      <w:pPr>
        <w:spacing w:after="0" w:line="295"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22"/>
          <w:szCs w:val="22"/>
          <w:color w:val="auto"/>
        </w:rPr>
        <w:t>That the claim has been denied, in whole or in part, and such notice must set forth in a manner calculated to be understood by the Claimant:</w:t>
      </w:r>
    </w:p>
    <w:p>
      <w:pPr>
        <w:spacing w:after="0" w:line="215" w:lineRule="exact"/>
        <w:rPr>
          <w:sz w:val="20"/>
          <w:szCs w:val="20"/>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22"/>
          <w:szCs w:val="22"/>
          <w:color w:val="auto"/>
        </w:rPr>
        <w:t>The specific reason(s) for the denial of the claim, or any part of it;</w:t>
      </w:r>
    </w:p>
    <w:p>
      <w:pPr>
        <w:spacing w:after="0" w:line="260" w:lineRule="exact"/>
        <w:rPr>
          <w:rFonts w:ascii="Arial" w:cs="Arial" w:eastAsia="Arial" w:hAnsi="Arial"/>
          <w:sz w:val="18"/>
          <w:szCs w:val="18"/>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22"/>
          <w:szCs w:val="22"/>
          <w:color w:val="auto"/>
        </w:rPr>
        <w:t>Specific reference(s) to pertinent provisions of the Plan upon which such denial was based;</w:t>
      </w:r>
    </w:p>
    <w:p>
      <w:pPr>
        <w:spacing w:after="0" w:line="260" w:lineRule="exact"/>
        <w:rPr>
          <w:rFonts w:ascii="Arial" w:cs="Arial" w:eastAsia="Arial" w:hAnsi="Arial"/>
          <w:sz w:val="18"/>
          <w:szCs w:val="18"/>
          <w:color w:val="auto"/>
        </w:rPr>
      </w:pPr>
    </w:p>
    <w:p>
      <w:pPr>
        <w:ind w:left="1960" w:hanging="655"/>
        <w:spacing w:after="0" w:line="263" w:lineRule="auto"/>
        <w:tabs>
          <w:tab w:leader="none" w:pos="1960" w:val="left"/>
        </w:tabs>
        <w:numPr>
          <w:ilvl w:val="0"/>
          <w:numId w:val="43"/>
        </w:numPr>
        <w:rPr>
          <w:rFonts w:ascii="Arial" w:cs="Arial" w:eastAsia="Arial" w:hAnsi="Arial"/>
          <w:sz w:val="18"/>
          <w:szCs w:val="18"/>
          <w:color w:val="auto"/>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 and</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9" w:lineRule="exact"/>
        <w:rPr>
          <w:sz w:val="20"/>
          <w:szCs w:val="20"/>
          <w:color w:val="auto"/>
        </w:rPr>
      </w:pPr>
    </w:p>
    <w:p>
      <w:pPr>
        <w:jc w:val="both"/>
        <w:ind w:left="1960" w:hanging="655"/>
        <w:spacing w:after="0" w:line="253" w:lineRule="auto"/>
        <w:tabs>
          <w:tab w:leader="none" w:pos="1960" w:val="left"/>
        </w:tabs>
        <w:numPr>
          <w:ilvl w:val="0"/>
          <w:numId w:val="44"/>
        </w:numPr>
        <w:rPr>
          <w:rFonts w:ascii="Arial" w:cs="Arial" w:eastAsia="Arial" w:hAnsi="Arial"/>
          <w:sz w:val="18"/>
          <w:szCs w:val="18"/>
          <w:color w:val="auto"/>
        </w:rPr>
      </w:pPr>
      <w:r>
        <w:rPr>
          <w:rFonts w:ascii="Arial" w:cs="Arial" w:eastAsia="Arial" w:hAnsi="Arial"/>
          <w:sz w:val="22"/>
          <w:szCs w:val="22"/>
          <w:color w:val="auto"/>
        </w:rPr>
        <w:t>An explanation of the claim review procedures and time limits, including a statement of the Claimant’s right to initiate a civil action pursuant to section 502(a) of ERISA following an adverse determination upon review.</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22"/>
          <w:szCs w:val="22"/>
          <w:color w:val="auto"/>
        </w:rPr>
        <w:t>If the Administrator determines that an extension of time for processing is required, written notice of the extension shall be furnished to the Claimant prior to termination of the original 90-day period. In no event shall such extension exceed 90 days from the end of such initial period.</w:t>
      </w:r>
    </w:p>
    <w:p>
      <w:pPr>
        <w:spacing w:after="0" w:line="226"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22"/>
          <w:szCs w:val="22"/>
          <w:color w:val="auto"/>
        </w:rPr>
        <w:t>In the case of a claim for disability benefits, the Administrator shall notify the Claimant, in accordance with subsection 11.2.2 above, within 45 days after the claim is received. The notification shall advise the Claimant whether the Administrator’s denial relied upon any specific rule, guideline, protocol or scientific or clinical judgment.</w:t>
      </w:r>
    </w:p>
    <w:p>
      <w:pPr>
        <w:spacing w:after="0" w:line="229"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9"/>
          <w:szCs w:val="19"/>
          <w:color w:val="auto"/>
        </w:rPr>
        <w:t>In the case of a claim for disability benefits, if the Administrator determines that an extension of time for processing is required due to matters beyond the control of the Plan, written notice of the extension shall be furnished to the Claimant prior to termination of the original 45-day period. Such extension shall not exceed 30 days from the end of the initial period. If, prior to the end of the first 30-day extension period, the Administrator determines that, due to matters beyond the control of the Plan, an additional extension of time for processing is required, written notice of a second 30-day extension shall be furnished to the Claimant prior to termination of the first 30-day extension.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9"/>
          <w:szCs w:val="19"/>
          <w:b w:val="1"/>
          <w:bCs w:val="1"/>
          <w:u w:val="single" w:color="auto"/>
          <w:color w:val="auto"/>
        </w:rPr>
        <w:t>Review of a Denied Claim</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62" w:lineRule="auto"/>
        <w:rPr>
          <w:sz w:val="20"/>
          <w:szCs w:val="20"/>
          <w:color w:val="auto"/>
        </w:rPr>
      </w:pPr>
      <w:r>
        <w:rPr>
          <w:rFonts w:ascii="Arial" w:cs="Arial" w:eastAsia="Arial" w:hAnsi="Arial"/>
          <w:sz w:val="21"/>
          <w:szCs w:val="21"/>
          <w:color w:val="auto"/>
        </w:rPr>
        <w:t>Within 90 days after receiving a notice from the Administrator that a claim has been denied, in whole or in part, a Claimant (or the Claimant’s duly authorized representative) may file a written request for a review of the denial of the claim and of pertinent documents. The Claimant (or the Claimant’s duly authorized representative):</w:t>
      </w:r>
    </w:p>
    <w:p>
      <w:pPr>
        <w:spacing w:after="0" w:line="177"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22"/>
          <w:szCs w:val="22"/>
          <w:color w:val="auto"/>
        </w:rPr>
        <w:t>May request reasonable access to, and copies of, all documents, records, and other information relevant to the claim, which shall be provided to Claimant free of charge; and</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9"/>
          <w:szCs w:val="19"/>
          <w:color w:val="auto"/>
        </w:rPr>
        <w:t>May submit written comments or other documents.</w:t>
      </w:r>
    </w:p>
    <w:p>
      <w:pPr>
        <w:spacing w:after="0" w:line="2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9"/>
          <w:szCs w:val="19"/>
          <w:b w:val="1"/>
          <w:bCs w:val="1"/>
          <w:u w:val="single" w:color="auto"/>
          <w:color w:val="auto"/>
        </w:rPr>
        <w:t>Decision on Review</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The Administrator shall review all comments or other documents submitted by the Claimant relating to the claim, without regard to whether such information was submitted or considered in the initial benefit determination. The Administrator shall render its decision on review promptly, and not later than 60 days after the filing of a written request for review of the denial (or, if other special circumstances require additional time and written notice of such extension and circumstances is given to the Claimant within the initial 60-day period). The Administrator shall notify the Claimant, in language calculated to be understood by the Claimant:</w:t>
      </w:r>
    </w:p>
    <w:p>
      <w:pPr>
        <w:spacing w:after="0" w:line="1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9"/>
          <w:szCs w:val="19"/>
          <w:color w:val="auto"/>
        </w:rPr>
        <w:t>That the claim has been allowed in full; or</w:t>
      </w:r>
    </w:p>
    <w:p>
      <w:pPr>
        <w:spacing w:after="0" w:line="2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9"/>
          <w:szCs w:val="19"/>
          <w:color w:val="auto"/>
        </w:rPr>
        <w:t>That the claim has been denied, in whole or in part, and such notice must set forth:</w:t>
      </w:r>
    </w:p>
    <w:p>
      <w:pPr>
        <w:spacing w:after="0" w:line="295" w:lineRule="exact"/>
        <w:rPr>
          <w:sz w:val="20"/>
          <w:szCs w:val="20"/>
          <w:color w:val="auto"/>
        </w:rPr>
      </w:pPr>
    </w:p>
    <w:p>
      <w:pPr>
        <w:ind w:left="1960" w:hanging="655"/>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22"/>
          <w:szCs w:val="22"/>
          <w:color w:val="auto"/>
        </w:rPr>
        <w:t>Specific reasons for the decision;</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9" w:lineRule="exact"/>
        <w:rPr>
          <w:sz w:val="20"/>
          <w:szCs w:val="20"/>
          <w:color w:val="auto"/>
        </w:rPr>
      </w:pPr>
    </w:p>
    <w:p>
      <w:pPr>
        <w:ind w:left="1960" w:hanging="655"/>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22"/>
          <w:szCs w:val="22"/>
          <w:color w:val="auto"/>
        </w:rPr>
        <w:t>Specific reference(s) to the pertinent Plan provisions upon which the decision was based;</w:t>
      </w:r>
    </w:p>
    <w:p>
      <w:pPr>
        <w:spacing w:after="0" w:line="260" w:lineRule="exact"/>
        <w:rPr>
          <w:rFonts w:ascii="Arial" w:cs="Arial" w:eastAsia="Arial" w:hAnsi="Arial"/>
          <w:sz w:val="18"/>
          <w:szCs w:val="18"/>
          <w:color w:val="auto"/>
        </w:rPr>
      </w:pPr>
    </w:p>
    <w:p>
      <w:pPr>
        <w:ind w:left="1960" w:right="20" w:hanging="655"/>
        <w:spacing w:after="0" w:line="263" w:lineRule="auto"/>
        <w:tabs>
          <w:tab w:leader="none" w:pos="1960" w:val="left"/>
        </w:tabs>
        <w:numPr>
          <w:ilvl w:val="0"/>
          <w:numId w:val="46"/>
        </w:numPr>
        <w:rPr>
          <w:rFonts w:ascii="Arial" w:cs="Arial" w:eastAsia="Arial" w:hAnsi="Arial"/>
          <w:sz w:val="18"/>
          <w:szCs w:val="18"/>
          <w:color w:val="auto"/>
        </w:rPr>
      </w:pPr>
      <w:r>
        <w:rPr>
          <w:rFonts w:ascii="Arial" w:cs="Arial" w:eastAsia="Arial" w:hAnsi="Arial"/>
          <w:sz w:val="22"/>
          <w:szCs w:val="22"/>
          <w:color w:val="auto"/>
        </w:rPr>
        <w:t>A statement that Claimant is entitled to reasonable access to, and copies of, all documents, records or other information relevant to the claim upon request and free of charge;</w:t>
      </w:r>
    </w:p>
    <w:p>
      <w:pPr>
        <w:spacing w:after="0" w:line="215" w:lineRule="exact"/>
        <w:rPr>
          <w:rFonts w:ascii="Arial" w:cs="Arial" w:eastAsia="Arial" w:hAnsi="Arial"/>
          <w:sz w:val="18"/>
          <w:szCs w:val="18"/>
          <w:color w:val="auto"/>
        </w:rPr>
      </w:pPr>
    </w:p>
    <w:p>
      <w:pPr>
        <w:ind w:left="1960" w:hanging="655"/>
        <w:spacing w:after="0"/>
        <w:tabs>
          <w:tab w:leader="none" w:pos="1960" w:val="left"/>
        </w:tabs>
        <w:numPr>
          <w:ilvl w:val="0"/>
          <w:numId w:val="46"/>
        </w:numPr>
        <w:rPr>
          <w:rFonts w:ascii="Arial" w:cs="Arial" w:eastAsia="Arial" w:hAnsi="Arial"/>
          <w:sz w:val="16"/>
          <w:szCs w:val="16"/>
          <w:color w:val="auto"/>
        </w:rPr>
      </w:pPr>
      <w:r>
        <w:rPr>
          <w:rFonts w:ascii="Arial" w:cs="Arial" w:eastAsia="Arial" w:hAnsi="Arial"/>
          <w:sz w:val="19"/>
          <w:szCs w:val="19"/>
          <w:color w:val="auto"/>
        </w:rPr>
        <w:t>A statement regarding the Claimant’s right to initiate an action pursuant to section 502(a) of ERISA; and</w:t>
      </w:r>
    </w:p>
    <w:p>
      <w:pPr>
        <w:spacing w:after="0" w:line="294" w:lineRule="exact"/>
        <w:rPr>
          <w:rFonts w:ascii="Arial" w:cs="Arial" w:eastAsia="Arial" w:hAnsi="Arial"/>
          <w:sz w:val="16"/>
          <w:szCs w:val="16"/>
          <w:color w:val="auto"/>
        </w:rPr>
      </w:pPr>
    </w:p>
    <w:p>
      <w:pPr>
        <w:ind w:left="1960" w:hanging="655"/>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22"/>
          <w:szCs w:val="22"/>
          <w:color w:val="auto"/>
        </w:rPr>
        <w:t>Such other matters as the Administrator deems relevant.</w:t>
      </w: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11.4.3</w:t>
      </w:r>
      <w:r>
        <w:rPr>
          <w:sz w:val="20"/>
          <w:szCs w:val="20"/>
          <w:color w:val="auto"/>
        </w:rPr>
        <w:tab/>
      </w:r>
      <w:r>
        <w:rPr>
          <w:rFonts w:ascii="Arial" w:cs="Arial" w:eastAsia="Arial" w:hAnsi="Arial"/>
          <w:sz w:val="19"/>
          <w:szCs w:val="19"/>
          <w:color w:val="auto"/>
        </w:rPr>
        <w:t>In the case of a claim for disability benefits, the notice shall set forth:</w:t>
      </w:r>
    </w:p>
    <w:p>
      <w:pPr>
        <w:spacing w:after="0" w:line="295" w:lineRule="exact"/>
        <w:rPr>
          <w:sz w:val="20"/>
          <w:szCs w:val="20"/>
          <w:color w:val="auto"/>
        </w:rPr>
      </w:pPr>
    </w:p>
    <w:p>
      <w:pPr>
        <w:ind w:left="1960" w:right="20" w:hanging="655"/>
        <w:spacing w:after="0" w:line="263" w:lineRule="auto"/>
        <w:tabs>
          <w:tab w:leader="none" w:pos="1960" w:val="left"/>
        </w:tabs>
        <w:numPr>
          <w:ilvl w:val="0"/>
          <w:numId w:val="47"/>
        </w:numPr>
        <w:rPr>
          <w:rFonts w:ascii="Arial" w:cs="Arial" w:eastAsia="Arial" w:hAnsi="Arial"/>
          <w:sz w:val="18"/>
          <w:szCs w:val="18"/>
          <w:color w:val="auto"/>
        </w:rPr>
      </w:pPr>
      <w:r>
        <w:rPr>
          <w:rFonts w:ascii="Arial" w:cs="Arial" w:eastAsia="Arial" w:hAnsi="Arial"/>
          <w:sz w:val="22"/>
          <w:szCs w:val="22"/>
          <w:color w:val="auto"/>
        </w:rPr>
        <w:t>Whether the Administrator’s denial relied upon any specific rule, guideline, protocol or scientific or clinical judgment; and</w:t>
      </w:r>
    </w:p>
    <w:p>
      <w:pPr>
        <w:spacing w:after="0" w:line="215" w:lineRule="exact"/>
        <w:rPr>
          <w:rFonts w:ascii="Arial" w:cs="Arial" w:eastAsia="Arial" w:hAnsi="Arial"/>
          <w:sz w:val="18"/>
          <w:szCs w:val="18"/>
          <w:color w:val="auto"/>
        </w:rPr>
      </w:pPr>
    </w:p>
    <w:p>
      <w:pPr>
        <w:jc w:val="both"/>
        <w:ind w:left="1960" w:hanging="655"/>
        <w:spacing w:after="0" w:line="253" w:lineRule="auto"/>
        <w:tabs>
          <w:tab w:leader="none" w:pos="1960" w:val="left"/>
        </w:tabs>
        <w:numPr>
          <w:ilvl w:val="0"/>
          <w:numId w:val="47"/>
        </w:numPr>
        <w:rPr>
          <w:rFonts w:ascii="Arial" w:cs="Arial" w:eastAsia="Arial" w:hAnsi="Arial"/>
          <w:sz w:val="18"/>
          <w:szCs w:val="18"/>
          <w:color w:val="auto"/>
        </w:rPr>
      </w:pPr>
      <w:r>
        <w:rPr>
          <w:rFonts w:ascii="Arial" w:cs="Arial" w:eastAsia="Arial" w:hAnsi="Arial"/>
          <w:sz w:val="22"/>
          <w:szCs w:val="22"/>
          <w:color w:val="auto"/>
        </w:rPr>
        <w:t>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9"/>
          <w:szCs w:val="19"/>
          <w:b w:val="1"/>
          <w:bCs w:val="1"/>
          <w:u w:val="single" w:color="auto"/>
          <w:color w:val="auto"/>
        </w:rPr>
        <w:t>Other Remedies</w:t>
      </w:r>
      <w:r>
        <w:rPr>
          <w:rFonts w:ascii="Arial" w:cs="Arial" w:eastAsia="Arial" w:hAnsi="Arial"/>
          <w:sz w:val="19"/>
          <w:szCs w:val="19"/>
          <w:b w:val="1"/>
          <w:bCs w:val="1"/>
          <w:color w:val="auto"/>
        </w:rPr>
        <w:t>.</w:t>
      </w:r>
    </w:p>
    <w:p>
      <w:pPr>
        <w:spacing w:after="0" w:line="62" w:lineRule="exact"/>
        <w:rPr>
          <w:sz w:val="20"/>
          <w:szCs w:val="20"/>
          <w:color w:val="auto"/>
        </w:rPr>
      </w:pPr>
    </w:p>
    <w:p>
      <w:pPr>
        <w:ind w:left="660" w:right="20"/>
        <w:spacing w:after="0" w:line="246" w:lineRule="auto"/>
        <w:rPr>
          <w:sz w:val="20"/>
          <w:szCs w:val="20"/>
          <w:color w:val="auto"/>
        </w:rPr>
      </w:pPr>
      <w:r>
        <w:rPr>
          <w:rFonts w:ascii="Arial" w:cs="Arial" w:eastAsia="Arial" w:hAnsi="Arial"/>
          <w:sz w:val="22"/>
          <w:szCs w:val="22"/>
          <w:color w:val="auto"/>
        </w:rPr>
        <w:t>A Claimant’s compliance with the foregoing procedures is a mandatory prerequisite to a Claimant’s right to pursue any other remedy with respect to any claim relating to this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or Termination</w:t>
      </w:r>
    </w:p>
    <w:p>
      <w:pPr>
        <w:spacing w:after="0" w:line="2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hereby reserves the right to amend, modify, or terminate any one or more of the 409A Plans, at any time by action of the Board, with or without prior notice. No amendment or termination shall reduce any Participant’s Account or Retirement Benefit without the written consent of the affected Participant. Notwithstanding anything herein to the contrary, to the extent consistent with Section 409A, the Board may terminate the Plan and distribute to each Participant the Participant’s Account and the Participant’s Retirement Benefit, if any, in a lump sum; provided that all distributions (i) commence no earlier than the date that is twelve (12) months following the termination date (or any earlier date that would comply with Section 409A) and (ii) are completed by the date that is twenty-four (24) months following the termination date (or any later date that would comply with Section 409A). In addition, payments may be accelerated upon termination of any 409A Plan only if, to the extent required under Section 409A, (i) the Company terminates all Aggregated Plans, and (ii) for three years following the date of termination of the 409A Plan, the Company does not adopt any new arrangement that would have been an Aggregated Plan of the terminated 409A Plan.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9"/>
          <w:szCs w:val="19"/>
          <w:b w:val="1"/>
          <w:bCs w:val="1"/>
          <w:u w:val="single" w:color="auto"/>
          <w:color w:val="auto"/>
        </w:rPr>
        <w:t>Unsecured General Creditor</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Participants and their Beneficiaries, heirs, successors and assigns shall have no legal or equitable rights, interests or claims in any property or assets of an Employer. An Employer’s obligation under the Plan shall be merely that of an unfunded and unsecured promise to pay money in the future.</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9"/>
          <w:szCs w:val="19"/>
          <w:b w:val="1"/>
          <w:bCs w:val="1"/>
          <w:u w:val="single" w:color="auto"/>
          <w:color w:val="auto"/>
        </w:rPr>
        <w:t>Employer’s Liability</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An Employer’s liability for benefits shall be defined only by the Plan. An Employer shall have no obligation to a Participant except as expressly provided in the Plan.</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9"/>
          <w:szCs w:val="19"/>
          <w:b w:val="1"/>
          <w:bCs w:val="1"/>
          <w:u w:val="single" w:color="auto"/>
          <w:color w:val="auto"/>
        </w:rPr>
        <w:t>Nonassignability</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Neither a Participant nor any other person shall have any right to commute, sell, assign, transfer, 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9"/>
          <w:szCs w:val="19"/>
          <w:b w:val="1"/>
          <w:bCs w:val="1"/>
          <w:u w:val="single" w:color="auto"/>
          <w:color w:val="auto"/>
        </w:rPr>
        <w:t>No Right to Employment</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62" w:lineRule="auto"/>
        <w:rPr>
          <w:sz w:val="20"/>
          <w:szCs w:val="20"/>
          <w:color w:val="auto"/>
        </w:rPr>
      </w:pPr>
      <w:r>
        <w:rPr>
          <w:rFonts w:ascii="Arial" w:cs="Arial" w:eastAsia="Arial" w:hAnsi="Arial"/>
          <w:sz w:val="21"/>
          <w:szCs w:val="21"/>
          <w:color w:val="auto"/>
        </w:rPr>
        <w:t>Nothing contained in this Plan or any documents relating to the Plan shall: (a) confer on a Participant any right to continue in the employ of a Related Company, (b) constitute any contract or agreement of employment, (c) interfere with the right of a Related Company to terminate the Participant’s employment at any time, with or without cause.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9"/>
          <w:szCs w:val="19"/>
          <w:b w:val="1"/>
          <w:bCs w:val="1"/>
          <w:u w:val="single" w:color="auto"/>
          <w:color w:val="auto"/>
        </w:rPr>
        <w:t>Incompetency</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If the Administrator determines that a distribution under this Plan is to be paid to a minor, a person declared incompetent or to a person incapable of handling the disposition of that person’s property, the Administrator may direct such distribution to be paid to the guardian, legal representative or person having the care and custody of such minor, incompetent or incapable person. The Administrator may require proof of majority, competence, capacity, guardianship, or status as a legal representative as it may deem appropriate prior to distribution of a payment. Any distribution shall be a payment for the account of the Participant and the Participant’s Beneficiary, as the case may be, and shall be a complete discharge of any liability for such payment amount.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9"/>
          <w:szCs w:val="19"/>
          <w:b w:val="1"/>
          <w:bCs w:val="1"/>
          <w:u w:val="single" w:color="auto"/>
          <w:color w:val="auto"/>
        </w:rPr>
        <w:t>Tax Withholding</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62" w:lineRule="auto"/>
        <w:rPr>
          <w:sz w:val="20"/>
          <w:szCs w:val="20"/>
          <w:color w:val="auto"/>
        </w:rPr>
      </w:pPr>
      <w:r>
        <w:rPr>
          <w:rFonts w:ascii="Arial" w:cs="Arial" w:eastAsia="Arial" w:hAnsi="Arial"/>
          <w:sz w:val="21"/>
          <w:szCs w:val="21"/>
          <w:color w:val="auto"/>
        </w:rPr>
        <w:t>To the extent required by the law in effect at the time of any distribution, the Participant’s Employer shall withhold from any payments to a Participant hereunder any taxes required to be withheld by the federal or any state or local government, in amounts and in a manner to be determined in the sole discretion of the Employer(s).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9"/>
          <w:szCs w:val="19"/>
          <w:b w:val="1"/>
          <w:bCs w:val="1"/>
          <w:u w:val="single" w:color="auto"/>
          <w:color w:val="auto"/>
        </w:rPr>
        <w:t>Furnishing Information</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A Participant or his Beneficiary will cooperate with the Administrator by furnishing any and all information requested by the Administrator and take such other actions as may be requested in order to facilitate the administration of the Plan and the distributions hereunder, including but not limited to taking such physical examinations as the Administrator may deem necessary.</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Any notice or filing required or permitted under the Plan shall be sufficient if in writing and if (i) hand-delivered or sent by telecopy, (ii) sent by registered or certified mail, or (iii) sent by nationally-recognized overnight courier. Such notice shall be deemed given as of (i) the date of delivery if hand-delivered or sent by telecopy, (ii) as of the date shown on the postmark on the receipt for registration or certification, if delivery is by mail, or (iii) on the first business day after dispatch, if sent by nationally-recognized overnight courier.</w:t>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9"/>
          <w:szCs w:val="19"/>
          <w:b w:val="1"/>
          <w:bCs w:val="1"/>
          <w:u w:val="single" w:color="auto"/>
          <w:color w:val="auto"/>
        </w:rPr>
        <w:t>Gender and Number</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22"/>
          <w:szCs w:val="22"/>
          <w:color w:val="auto"/>
        </w:rPr>
        <w:t>Except when otherwise indicated by context, words in the masculine gender shall include the feminine and neuter genders, the singular shall include the plural, and the plural shall include the singular.</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9"/>
          <w:szCs w:val="19"/>
          <w:b w:val="1"/>
          <w:bCs w:val="1"/>
          <w:u w:val="single" w:color="auto"/>
          <w:color w:val="auto"/>
        </w:rPr>
        <w:t>Headings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22"/>
          <w:szCs w:val="22"/>
          <w:color w:val="auto"/>
        </w:rPr>
        <w:t>The headings contained in this Plan are for convenience only and will not control or affect the meaning or construction of any of the terms or provisions of this Plan.</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9"/>
          <w:szCs w:val="19"/>
          <w:b w:val="1"/>
          <w:bCs w:val="1"/>
          <w:u w:val="single" w:color="auto"/>
          <w:color w:val="auto"/>
        </w:rPr>
        <w:t>Applicable Law and Construction</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The Plan shall be governed by, construed and administered in accordance with the applicable provisions of ERISA, and any other applicable Federal law, including Section 409A, and to the extent not preempted by Federal law, this Plan shall be governed by, construed and administered in accordance with the laws of the State of Minnesota, other than its laws respecting choice of law.</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9"/>
          <w:szCs w:val="19"/>
          <w:b w:val="1"/>
          <w:bCs w:val="1"/>
          <w:u w:val="single" w:color="auto"/>
          <w:color w:val="auto"/>
        </w:rPr>
        <w:t>Invalid or Unenforceable Provisions</w:t>
      </w:r>
      <w:r>
        <w:rPr>
          <w:rFonts w:ascii="Arial" w:cs="Arial" w:eastAsia="Arial" w:hAnsi="Arial"/>
          <w:sz w:val="19"/>
          <w:szCs w:val="19"/>
          <w:b w:val="1"/>
          <w:bCs w:val="1"/>
          <w:color w:val="auto"/>
        </w:rPr>
        <w:t>.</w:t>
      </w:r>
    </w:p>
    <w:p>
      <w:pPr>
        <w:spacing w:after="0" w:line="62" w:lineRule="exact"/>
        <w:rPr>
          <w:sz w:val="20"/>
          <w:szCs w:val="20"/>
          <w:color w:val="auto"/>
        </w:rPr>
      </w:pPr>
    </w:p>
    <w:p>
      <w:pPr>
        <w:jc w:val="both"/>
        <w:ind w:left="660"/>
        <w:spacing w:after="0" w:line="244" w:lineRule="auto"/>
        <w:rPr>
          <w:sz w:val="20"/>
          <w:szCs w:val="20"/>
          <w:color w:val="auto"/>
        </w:rPr>
      </w:pPr>
      <w:r>
        <w:rPr>
          <w:rFonts w:ascii="Arial" w:cs="Arial" w:eastAsia="Arial" w:hAnsi="Arial"/>
          <w:sz w:val="22"/>
          <w:szCs w:val="22"/>
          <w:color w:val="auto"/>
        </w:rPr>
        <w:t>If any provision of this Plan shall be held invalid or unenforceable, such invalidity or unenforceability shall not affect any other provisions hereof and the Administrator may elect in its sole discretion to construe such invalid or unenforceable provisions in a manner that conforms to applicable law or as if such provisions, to the extent invalid or unenforceable, had not been included.</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7"/>
          <w:szCs w:val="17"/>
          <w:b w:val="1"/>
          <w:bCs w:val="1"/>
          <w:u w:val="single" w:color="auto"/>
          <w:color w:val="auto"/>
        </w:rPr>
        <w:t>Successors</w:t>
      </w:r>
      <w:r>
        <w:rPr>
          <w:rFonts w:ascii="Arial" w:cs="Arial" w:eastAsia="Arial" w:hAnsi="Arial"/>
          <w:sz w:val="17"/>
          <w:szCs w:val="17"/>
          <w:b w:val="1"/>
          <w:bCs w:val="1"/>
          <w:color w:val="auto"/>
        </w:rPr>
        <w:t>.</w:t>
      </w:r>
    </w:p>
    <w:p>
      <w:pPr>
        <w:spacing w:after="0" w:line="74"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This Plan shall bind any successor (whether direct or indirect, by purchase, merger, consolidation or otherwise) to all or substantially all of the business or assets of 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162(m) Deferrals</w:t>
      </w:r>
      <w:r>
        <w:rPr>
          <w:rFonts w:ascii="Arial" w:cs="Arial" w:eastAsia="Arial" w:hAnsi="Arial"/>
          <w:sz w:val="22"/>
          <w:szCs w:val="22"/>
          <w:color w:val="auto"/>
        </w:rPr>
        <w:t>” means the portion of a Participant’s Annual Incentive Award for a Plan Year that the Company reasonably anticipates is not deductible by the application of Code section 162(m).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409A Plan</w:t>
      </w:r>
      <w:r>
        <w:rPr>
          <w:rFonts w:ascii="Arial" w:cs="Arial" w:eastAsia="Arial" w:hAnsi="Arial"/>
          <w:sz w:val="19"/>
          <w:szCs w:val="19"/>
          <w:color w:val="auto"/>
        </w:rPr>
        <w:t>” means one of the separate non-qualified deferred compensation arrangements described in Section 2.1.</w:t>
      </w:r>
    </w:p>
    <w:p>
      <w:pPr>
        <w:spacing w:after="0" w:line="25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means the Company’s bookkeeping entry representing a Participant’s Deferrals, and such other accounts or sub-accounts as the Administrator deems necessary or appropriate.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Employee Benefit Plans Committee appointed by the Board or delegates of the Employee Benefit Plans Committee.</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Aggregated Plan</w:t>
      </w:r>
      <w:r>
        <w:rPr>
          <w:rFonts w:ascii="Arial" w:cs="Arial" w:eastAsia="Arial" w:hAnsi="Arial"/>
          <w:sz w:val="19"/>
          <w:szCs w:val="19"/>
          <w:color w:val="auto"/>
        </w:rPr>
        <w:t>s” means, with respect to any 409A Plan, that plan and all other non-qualified deferred compensation plans which must be aggregated with that plan in accordance with the plan aggregation rules of Section 409A.</w:t>
      </w:r>
    </w:p>
    <w:p>
      <w:pPr>
        <w:spacing w:after="0" w:line="10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Incentive Award</w:t>
      </w:r>
      <w:r>
        <w:rPr>
          <w:rFonts w:ascii="Arial" w:cs="Arial" w:eastAsia="Arial" w:hAnsi="Arial"/>
          <w:sz w:val="22"/>
          <w:szCs w:val="22"/>
          <w:color w:val="auto"/>
        </w:rPr>
        <w:t>” means the annual award received by a Participant under the ALLETE Executive Annual Incentive Plan or any predecessor or successor plan.</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Basic Compensation</w:t>
      </w:r>
      <w:r>
        <w:rPr>
          <w:rFonts w:ascii="Arial" w:cs="Arial" w:eastAsia="Arial" w:hAnsi="Arial"/>
          <w:sz w:val="22"/>
          <w:szCs w:val="22"/>
          <w:color w:val="auto"/>
        </w:rPr>
        <w:t>” shall have the meaning prescribed in Retirement Plan A, but shall be calculated without regard to the limitation on compensation imposed by Code section 401(a)(17).</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means one or more persons, trusts, estates or other entities, designated in accordance this Plan, that are entitled to receive Plan benefits upon the death of a Participant.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w:t>
      </w:r>
      <w:r>
        <w:rPr>
          <w:rFonts w:ascii="Arial" w:cs="Arial" w:eastAsia="Arial" w:hAnsi="Arial"/>
          <w:sz w:val="22"/>
          <w:szCs w:val="22"/>
          <w:color w:val="auto"/>
        </w:rPr>
        <w:t>d” means the Board of Directors of the Company.</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Bonus</w:t>
      </w:r>
      <w:r>
        <w:rPr>
          <w:rFonts w:ascii="Arial" w:cs="Arial" w:eastAsia="Arial" w:hAnsi="Arial"/>
          <w:sz w:val="22"/>
          <w:szCs w:val="22"/>
          <w:color w:val="auto"/>
        </w:rPr>
        <w:t>” means any incentive compensation, including Annual Incentive Awards, that is payable to the Participant in addition to the Participant’s Salary.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of:</w:t>
      </w:r>
    </w:p>
    <w:p>
      <w:pPr>
        <w:spacing w:after="0" w:line="220" w:lineRule="exact"/>
        <w:rPr>
          <w:sz w:val="20"/>
          <w:szCs w:val="20"/>
          <w:color w:val="auto"/>
        </w:rPr>
      </w:pPr>
    </w:p>
    <w:p>
      <w:pPr>
        <w:jc w:val="both"/>
        <w:ind w:left="2280" w:hanging="651"/>
        <w:spacing w:after="0" w:line="289" w:lineRule="auto"/>
        <w:tabs>
          <w:tab w:leader="none" w:pos="22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9" w:lineRule="exact"/>
        <w:rPr>
          <w:sz w:val="20"/>
          <w:szCs w:val="20"/>
          <w:color w:val="auto"/>
        </w:rPr>
      </w:pPr>
    </w:p>
    <w:p>
      <w:pPr>
        <w:jc w:val="both"/>
        <w:ind w:left="2280" w:hanging="651"/>
        <w:spacing w:after="0" w:line="302" w:lineRule="auto"/>
        <w:tabs>
          <w:tab w:leader="none" w:pos="22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(b) 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83" w:lineRule="exact"/>
        <w:rPr>
          <w:rFonts w:ascii="Arial" w:cs="Arial" w:eastAsia="Arial" w:hAnsi="Arial"/>
          <w:sz w:val="19"/>
          <w:szCs w:val="19"/>
          <w:color w:val="auto"/>
        </w:rPr>
      </w:pPr>
    </w:p>
    <w:p>
      <w:pPr>
        <w:ind w:left="2280" w:hanging="651"/>
        <w:spacing w:after="0"/>
        <w:tabs>
          <w:tab w:leader="none" w:pos="22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(c) the date a majority of the members of the Company’s board of directors is replaced during any twelve</w:t>
      </w:r>
    </w:p>
    <w:p>
      <w:pPr>
        <w:spacing w:after="0" w:line="56" w:lineRule="exact"/>
        <w:rPr>
          <w:rFonts w:ascii="Arial" w:cs="Arial" w:eastAsia="Arial" w:hAnsi="Arial"/>
          <w:sz w:val="19"/>
          <w:szCs w:val="19"/>
          <w:color w:val="auto"/>
        </w:rPr>
      </w:pPr>
    </w:p>
    <w:p>
      <w:pPr>
        <w:ind w:left="2280" w:hanging="3"/>
        <w:spacing w:after="0" w:line="246" w:lineRule="auto"/>
        <w:tabs>
          <w:tab w:leader="none" w:pos="2734" w:val="left"/>
        </w:tabs>
        <w:numPr>
          <w:ilvl w:val="1"/>
          <w:numId w:val="49"/>
        </w:numPr>
        <w:rPr>
          <w:rFonts w:ascii="Arial" w:cs="Arial" w:eastAsia="Arial" w:hAnsi="Arial"/>
          <w:sz w:val="22"/>
          <w:szCs w:val="22"/>
          <w:color w:val="auto"/>
        </w:rPr>
      </w:pPr>
      <w:r>
        <w:rPr>
          <w:rFonts w:ascii="Arial" w:cs="Arial" w:eastAsia="Arial" w:hAnsi="Arial"/>
          <w:sz w:val="22"/>
          <w:szCs w:val="22"/>
          <w:color w:val="auto"/>
        </w:rPr>
        <w:t>month period by directors whose appointment or election is not endorsed by a majority of the members of the board of directors prior to the date of appointment or election; or</w:t>
      </w:r>
    </w:p>
    <w:p>
      <w:pPr>
        <w:spacing w:after="0" w:line="233" w:lineRule="exact"/>
        <w:rPr>
          <w:rFonts w:ascii="Arial" w:cs="Arial" w:eastAsia="Arial" w:hAnsi="Arial"/>
          <w:sz w:val="22"/>
          <w:szCs w:val="22"/>
          <w:color w:val="auto"/>
        </w:rPr>
      </w:pPr>
    </w:p>
    <w:p>
      <w:pPr>
        <w:jc w:val="both"/>
        <w:ind w:left="2280" w:hanging="651"/>
        <w:spacing w:after="0" w:line="292" w:lineRule="auto"/>
        <w:tabs>
          <w:tab w:leader="none" w:pos="22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(d) 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Claimant</w:t>
      </w:r>
      <w:r>
        <w:rPr>
          <w:rFonts w:ascii="Arial" w:cs="Arial" w:eastAsia="Arial" w:hAnsi="Arial"/>
          <w:sz w:val="22"/>
          <w:szCs w:val="22"/>
          <w:color w:val="auto"/>
        </w:rPr>
        <w:t>” shall have the meaning set forth in Section 11.1.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it may be amended from time to time.</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ALLETE, Inc., a Minnesota Corporation, and any successor to all, or substantially all, of the Company’s assets or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Credited Service</w:t>
      </w:r>
      <w:r>
        <w:rPr>
          <w:rFonts w:ascii="Arial" w:cs="Arial" w:eastAsia="Arial" w:hAnsi="Arial"/>
          <w:sz w:val="22"/>
          <w:szCs w:val="22"/>
          <w:color w:val="auto"/>
        </w:rPr>
        <w:t>” shall have the meaning prescribed in the Retirement Plan 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Deferrals</w:t>
      </w:r>
      <w:r>
        <w:rPr>
          <w:rFonts w:ascii="Arial" w:cs="Arial" w:eastAsia="Arial" w:hAnsi="Arial"/>
          <w:sz w:val="22"/>
          <w:szCs w:val="22"/>
          <w:color w:val="auto"/>
        </w:rPr>
        <w:t>” means Elective Deferrals and Non-Elective Deferrals.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 or “Disabled</w:t>
      </w:r>
      <w:r>
        <w:rPr>
          <w:rFonts w:ascii="Arial" w:cs="Arial" w:eastAsia="Arial" w:hAnsi="Arial"/>
          <w:sz w:val="21"/>
          <w:szCs w:val="21"/>
          <w:color w:val="auto"/>
        </w:rPr>
        <w:t>” when used with an initial capital letter, means a physical or mental condition in which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Participant is:</w:t>
      </w:r>
    </w:p>
    <w:p>
      <w:pPr>
        <w:spacing w:after="0" w:line="202" w:lineRule="exact"/>
        <w:rPr>
          <w:sz w:val="20"/>
          <w:szCs w:val="20"/>
          <w:color w:val="auto"/>
        </w:rPr>
      </w:pPr>
    </w:p>
    <w:p>
      <w:pPr>
        <w:jc w:val="both"/>
        <w:ind w:left="2280" w:hanging="651"/>
        <w:spacing w:after="0" w:line="253" w:lineRule="auto"/>
        <w:tabs>
          <w:tab w:leader="none" w:pos="22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9" w:lineRule="exact"/>
        <w:rPr>
          <w:sz w:val="20"/>
          <w:szCs w:val="20"/>
          <w:color w:val="auto"/>
        </w:rPr>
      </w:pPr>
    </w:p>
    <w:p>
      <w:pPr>
        <w:jc w:val="both"/>
        <w:ind w:left="2280" w:hanging="651"/>
        <w:spacing w:after="0" w:line="250" w:lineRule="auto"/>
        <w:tabs>
          <w:tab w:leader="none" w:pos="22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22"/>
          <w:szCs w:val="22"/>
          <w:color w:val="auto"/>
        </w:rPr>
      </w:pPr>
    </w:p>
    <w:p>
      <w:pPr>
        <w:ind w:left="2280" w:hanging="651"/>
        <w:spacing w:after="0"/>
        <w:tabs>
          <w:tab w:leader="none" w:pos="22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260" w:lineRule="exact"/>
        <w:rPr>
          <w:rFonts w:ascii="Arial" w:cs="Arial" w:eastAsia="Arial" w:hAnsi="Arial"/>
          <w:sz w:val="22"/>
          <w:szCs w:val="22"/>
          <w:color w:val="auto"/>
        </w:rPr>
      </w:pPr>
    </w:p>
    <w:p>
      <w:pPr>
        <w:jc w:val="both"/>
        <w:ind w:left="2280" w:hanging="651"/>
        <w:spacing w:after="0" w:line="253" w:lineRule="auto"/>
        <w:tabs>
          <w:tab w:leader="none" w:pos="22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When the term “disability” (without an initial capital letter) is used in the Plan, it shall have the meaning prescribed in the definition of “Separation from Service.”</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Distribution Event</w:t>
      </w:r>
      <w:r>
        <w:rPr>
          <w:rFonts w:ascii="Arial" w:cs="Arial" w:eastAsia="Arial" w:hAnsi="Arial"/>
          <w:sz w:val="19"/>
          <w:szCs w:val="19"/>
          <w:color w:val="auto"/>
        </w:rPr>
        <w:t>” means, with respect to Article 6, a Specified Year, a Separation from Service, death, Disability or the Administrator’s determination regarding the occurrence of an Unforeseeable Emergency and, with respect to Article 8, Retirement, Disability or solely with respect to a Participant who vests after becoming Disabled, the earlier of death or attainment of age 65.</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Elective Deferrals</w:t>
      </w:r>
      <w:r>
        <w:rPr>
          <w:rFonts w:ascii="Arial" w:cs="Arial" w:eastAsia="Arial" w:hAnsi="Arial"/>
          <w:sz w:val="22"/>
          <w:szCs w:val="22"/>
          <w:color w:val="auto"/>
        </w:rPr>
        <w:t>” means any portion of a Participant’s Salary, Bonus, Severance Pay, Annual Make-up Award or Other Award that a Participant irrevocably elects to defer.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 an Employee in management salary grades SA-SM, who has been notified in writing by the Administrator of eligibility to participate in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Surviving Spous</w:t>
      </w:r>
      <w:r>
        <w:rPr>
          <w:rFonts w:ascii="Arial" w:cs="Arial" w:eastAsia="Arial" w:hAnsi="Arial"/>
          <w:sz w:val="22"/>
          <w:szCs w:val="22"/>
          <w:color w:val="auto"/>
        </w:rPr>
        <w:t>e” shall have the meaning prescribed in Retirement Plan 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 person who is a common-law employee of any Related Company.</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Employer(s)</w:t>
      </w:r>
      <w:r>
        <w:rPr>
          <w:rFonts w:ascii="Arial" w:cs="Arial" w:eastAsia="Arial" w:hAnsi="Arial"/>
          <w:sz w:val="22"/>
          <w:szCs w:val="22"/>
          <w:color w:val="auto"/>
        </w:rPr>
        <w:t>” means the Company and any Related Company (now in existence or hereafter formed or acquired) that have been selected by the Administrator to participate in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it may be amended from time to time.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Misconduct</w:t>
      </w:r>
      <w:r>
        <w:rPr>
          <w:rFonts w:ascii="Arial" w:cs="Arial" w:eastAsia="Arial" w:hAnsi="Arial"/>
          <w:sz w:val="22"/>
          <w:szCs w:val="22"/>
          <w:color w:val="auto"/>
        </w:rPr>
        <w:t>” means the occurrence of either or both of the following, as determined in its sole discretion by either the Executive Compensation Committee of the Company’s Board of Directors with respect to Section 16 Officers of the Company, or the Administrator with respect to any other Participant:</w:t>
      </w:r>
    </w:p>
    <w:p>
      <w:pPr>
        <w:spacing w:after="0" w:line="186" w:lineRule="exact"/>
        <w:rPr>
          <w:sz w:val="20"/>
          <w:szCs w:val="20"/>
          <w:color w:val="auto"/>
        </w:rPr>
      </w:pPr>
    </w:p>
    <w:p>
      <w:pPr>
        <w:ind w:left="660" w:hanging="4"/>
        <w:spacing w:after="0" w:line="276" w:lineRule="auto"/>
        <w:tabs>
          <w:tab w:leader="none" w:pos="10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 act or omission by the Participant involving dishonesty in connection with his or her responsibilities as an employee of the Company; or</w:t>
      </w:r>
    </w:p>
    <w:p>
      <w:pPr>
        <w:spacing w:after="0" w:line="160" w:lineRule="exact"/>
        <w:rPr>
          <w:rFonts w:ascii="Arial" w:cs="Arial" w:eastAsia="Arial" w:hAnsi="Arial"/>
          <w:sz w:val="22"/>
          <w:szCs w:val="22"/>
          <w:color w:val="auto"/>
        </w:rPr>
      </w:pPr>
    </w:p>
    <w:p>
      <w:pPr>
        <w:jc w:val="both"/>
        <w:ind w:left="660" w:hanging="4"/>
        <w:spacing w:after="0" w:line="254" w:lineRule="auto"/>
        <w:tabs>
          <w:tab w:leader="none" w:pos="1119"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the Participant’s conviction of, or entry of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any felony or a misdemeanor involving moral turpitude, provided that a misdemeanor motor vehicle violation will not constitute a crime of moral turpitude unless it involves driving while impaired within the scope of employment or another serious driving offense committed within the scope of employment.</w:t>
      </w:r>
    </w:p>
    <w:p>
      <w:pPr>
        <w:sectPr>
          <w:pgSz w:w="11900" w:h="16838" w:orient="portrait"/>
          <w:cols w:equalWidth="0" w:num="1">
            <w:col w:w="11420"/>
          </w:cols>
          <w:pgMar w:left="240" w:top="12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purposes of clarifying the foregoing definition, Misconduct can occur regardless of whether the Company discovers the Misconduct before or after the Participant’s Separation from Service and regardless of whether the Participant has a Separation from Service on account of the Misconduct.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Non-Elective Deferrals</w:t>
      </w:r>
      <w:r>
        <w:rPr>
          <w:rFonts w:ascii="Arial" w:cs="Arial" w:eastAsia="Arial" w:hAnsi="Arial"/>
          <w:sz w:val="22"/>
          <w:szCs w:val="22"/>
          <w:color w:val="auto"/>
        </w:rPr>
        <w:t>” means 162(m) Deferrals and the Annual Make-up Award credited to the Account of any Participant whose Salary exceeds the Code section 401(a)(17) limit.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Award</w:t>
      </w:r>
      <w:r>
        <w:rPr>
          <w:rFonts w:ascii="Arial" w:cs="Arial" w:eastAsia="Arial" w:hAnsi="Arial"/>
          <w:sz w:val="22"/>
          <w:szCs w:val="22"/>
          <w:color w:val="auto"/>
        </w:rPr>
        <w:t>” means an award, other than an Annual Incentive Award or Severance Pay, that a Participant may defer at the Administrator’s discretion.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any Eligible Employee (i) who has elected to defer amounts under the Plan, (ii) who is eligible to receive a Retirement Benefit or (iii) whose compensation, or a portion thereof, was deferred as a Non-Elective Deferral.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SERP II.</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a period beginning on January 1 of each calendar year and continuing through December 31 of such calendar year.</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Company</w:t>
      </w:r>
      <w:r>
        <w:rPr>
          <w:rFonts w:ascii="Arial" w:cs="Arial" w:eastAsia="Arial" w:hAnsi="Arial"/>
          <w:sz w:val="19"/>
          <w:szCs w:val="19"/>
          <w:color w:val="auto"/>
        </w:rPr>
        <w:t>” means the Company and all persons with whom the Company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Separation from Service, for reasons other than death, on or after attaining both 50 years of age and 10 years of Vesting Service.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Benefit</w:t>
      </w:r>
      <w:r>
        <w:rPr>
          <w:rFonts w:ascii="Arial" w:cs="Arial" w:eastAsia="Arial" w:hAnsi="Arial"/>
          <w:sz w:val="22"/>
          <w:szCs w:val="22"/>
          <w:color w:val="auto"/>
        </w:rPr>
        <w:t>” means the benefit payable pursuant to Article 8.</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Plans</w:t>
      </w:r>
      <w:r>
        <w:rPr>
          <w:rFonts w:ascii="Arial" w:cs="Arial" w:eastAsia="Arial" w:hAnsi="Arial"/>
          <w:sz w:val="22"/>
          <w:szCs w:val="22"/>
          <w:color w:val="auto"/>
        </w:rPr>
        <w:t>” mean the Minnesota Power and Affiliated Companies Retirement Plan A and Minnesota Power and Affiliated Companies Retirement Plan B, as amended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Savings and Stock Ownership Plan</w:t>
      </w:r>
      <w:r>
        <w:rPr>
          <w:rFonts w:ascii="Arial" w:cs="Arial" w:eastAsia="Arial" w:hAnsi="Arial"/>
          <w:sz w:val="22"/>
          <w:szCs w:val="22"/>
          <w:color w:val="auto"/>
        </w:rPr>
        <w:t>” or “RSOP” means the Minnesota Power and Affiliated Companies Retirement Savings and Stock Ownership Plan, as amended from time to time.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Salary</w:t>
      </w:r>
      <w:r>
        <w:rPr>
          <w:rFonts w:ascii="Arial" w:cs="Arial" w:eastAsia="Arial" w:hAnsi="Arial"/>
          <w:sz w:val="21"/>
          <w:szCs w:val="21"/>
          <w:color w:val="auto"/>
        </w:rPr>
        <w:t>” means the Participant’s earnings during a calendar year, before any reduction pursuant to Code sections 125, 132(f) (4), or 401(k) and this Plan. It does not include overtime compensation, if any, Bonuses, Annual Incentive Awards and Other Awards, expense reimbursements, allowances, commission payments, employer contributions or awards under this Plan or other employee benefit plans, imputed income (whether such imputed income is from vehicle use, life insurance premiums, or any other source) payments made pursuant to the Results Sharing Program, payment of stock options and performance shares under the Long Term Incentive Compensation Plan, and any other payments of a similar nature. In the case of a Participant who is employed jointly by the Company and an affiliated company (as defined in the RSOP), Salary as defined herein shall include amounts received from all such companies.</w:t>
      </w:r>
    </w:p>
    <w:p>
      <w:pPr>
        <w:sectPr>
          <w:pgSz w:w="11900" w:h="16838" w:orient="portrait"/>
          <w:cols w:equalWidth="0" w:num="1">
            <w:col w:w="11420"/>
          </w:cols>
          <w:pgMar w:left="240" w:top="122"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means both section 409A of the Code and Treasury Regulations section 1.409A-1 et seq., as they both may be amended from time to time, and other guidance issued by the Treasury Department and Internal Revenue Service thereunder.</w:t>
      </w:r>
    </w:p>
    <w:p>
      <w:pPr>
        <w:spacing w:after="0" w:line="1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 For purposes of determining whether a Separation from Service has occurred on account of a disability, a Participant shall be disabled if the Participant is suffering from any medically determinable physical or mental impairment resulting in the Participant’s inability to perform the duties of his position or any substantially similar position, if such impairment can be expected to result in death or can be expected to last for a continuous period of 6 months.</w:t>
      </w:r>
    </w:p>
    <w:p>
      <w:pPr>
        <w:spacing w:after="0" w:line="1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 II</w:t>
      </w:r>
      <w:r>
        <w:rPr>
          <w:rFonts w:ascii="Arial" w:cs="Arial" w:eastAsia="Arial" w:hAnsi="Arial"/>
          <w:sz w:val="22"/>
          <w:szCs w:val="22"/>
          <w:color w:val="auto"/>
        </w:rPr>
        <w:t>” means the ALLETE and Affiliated Companies Supplemental Executive Retirement Plan II,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Pay</w:t>
      </w:r>
      <w:r>
        <w:rPr>
          <w:rFonts w:ascii="Arial" w:cs="Arial" w:eastAsia="Arial" w:hAnsi="Arial"/>
          <w:sz w:val="22"/>
          <w:szCs w:val="22"/>
          <w:color w:val="auto"/>
        </w:rPr>
        <w:t>” means the cash payment(s) to a Participant payable in connection with his Separation from Service in accordance with the terms of a severance arrangement that is the subject of bona fide, arm’s length negotiations between a Related Company and the Participant at the time of the Separation from Service.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Year</w:t>
      </w:r>
      <w:r>
        <w:rPr>
          <w:rFonts w:ascii="Arial" w:cs="Arial" w:eastAsia="Arial" w:hAnsi="Arial"/>
          <w:sz w:val="22"/>
          <w:szCs w:val="22"/>
          <w:color w:val="auto"/>
        </w:rPr>
        <w:t>” means a calendar year during which a Participant has elected to receive a distribution of Elective Deferrals.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w:t>
      </w:r>
      <w:r>
        <w:rPr>
          <w:rFonts w:ascii="Arial" w:cs="Arial" w:eastAsia="Arial" w:hAnsi="Arial"/>
          <w:sz w:val="22"/>
          <w:szCs w:val="22"/>
          <w:color w:val="auto"/>
        </w:rPr>
        <w:t>” means an Employee who is subject to the six-month delay rule described in Code section 409A(2)(B) (i). The Board shall adopt guidelines for identifying Specified Employees in a manner consistent with Section 409A, and may amend the guidelines from time to time as permitted by Section 409A.</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Unforeseeable Emergency</w:t>
      </w:r>
      <w:r>
        <w:rPr>
          <w:rFonts w:ascii="Arial" w:cs="Arial" w:eastAsia="Arial" w:hAnsi="Arial"/>
          <w:sz w:val="21"/>
          <w:szCs w:val="21"/>
          <w:color w:val="auto"/>
        </w:rPr>
        <w:t>” means an unanticipated emergency that is caused by an event beyond the control of the Participant that would result in severe financial hardship to the Participant resulting from (i) an illness or accident of the Participant or the Participant’s spouse, the Participant’s beneficiary, or the Participant’s dependent (as defined in Code section 152, without regard to Code sections 152(b)(1), (b)(2), and (d)(1)(B)), (ii) a loss of the Participant’s property due to casualty, or (iii) such other similar extraordinary and unforeseeable circumstances arising as a result of events beyond the control of the Participant, all as determined in the sole discretion of the Administrator.</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Valuation Date</w:t>
      </w:r>
      <w:r>
        <w:rPr>
          <w:rFonts w:ascii="Arial" w:cs="Arial" w:eastAsia="Arial" w:hAnsi="Arial"/>
          <w:sz w:val="22"/>
          <w:szCs w:val="22"/>
          <w:color w:val="auto"/>
        </w:rPr>
        <w:t>” means each day that the U.S. stock markets are open or such other dates as may be set by the Administrator from time to time.</w:t>
      </w:r>
    </w:p>
    <w:p>
      <w:pPr>
        <w:sectPr>
          <w:pgSz w:w="11900" w:h="16838" w:orient="portrait"/>
          <w:cols w:equalWidth="0" w:num="1">
            <w:col w:w="11420"/>
          </w:cols>
          <w:pgMar w:left="2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Service</w:t>
      </w:r>
      <w:r>
        <w:rPr>
          <w:rFonts w:ascii="Arial" w:cs="Arial" w:eastAsia="Arial" w:hAnsi="Arial"/>
          <w:sz w:val="22"/>
          <w:szCs w:val="22"/>
          <w:color w:val="auto"/>
        </w:rPr>
        <w:t>” shall have the meaning prescribed in the Retirement Plan A. Participants will continue to receive credit for Vesting Service after October 1, 2006. A Disabled Participant will receive credit for Vesting Service on account of any period after the commencement of the Disability during which the Participant is characterized as an active employee on the Related Company’s employment records.</w:t>
      </w:r>
    </w:p>
    <w:p>
      <w:pPr>
        <w:sectPr>
          <w:pgSz w:w="11900" w:h="16838" w:orient="portrait"/>
          <w:cols w:equalWidth="0" w:num="1">
            <w:col w:w="11420"/>
          </w:cols>
          <w:pgMar w:left="240" w:top="121"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10(f)3</w:t>
      </w:r>
    </w:p>
    <w:p>
      <w:pPr>
        <w:spacing w:after="0" w:line="200" w:lineRule="exact"/>
        <w:rPr>
          <w:sz w:val="20"/>
          <w:szCs w:val="20"/>
          <w:color w:val="auto"/>
        </w:rPr>
      </w:pPr>
    </w:p>
    <w:p>
      <w:pPr>
        <w:spacing w:after="0" w:line="27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WITNESS WHEREOF, ALLETE, Inc. has caused these presents to be signed by its duly authorized officers, effective as of January 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300"/>
        <w:spacing w:after="0"/>
        <w:rPr>
          <w:sz w:val="20"/>
          <w:szCs w:val="20"/>
          <w:color w:val="auto"/>
        </w:rPr>
      </w:pPr>
      <w:r>
        <w:rPr>
          <w:rFonts w:ascii="Arial" w:cs="Arial" w:eastAsia="Arial" w:hAnsi="Arial"/>
          <w:sz w:val="22"/>
          <w:szCs w:val="22"/>
          <w:b w:val="1"/>
          <w:bCs w:val="1"/>
          <w:color w:val="auto"/>
        </w:rPr>
        <w:t>ALLETE, Inc.</w:t>
      </w:r>
    </w:p>
    <w:p>
      <w:pPr>
        <w:spacing w:after="0" w:line="381"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Pr>
          <w:p>
            <w:pPr>
              <w:ind w:left="40"/>
              <w:spacing w:after="0"/>
              <w:rPr>
                <w:sz w:val="20"/>
                <w:szCs w:val="20"/>
                <w:color w:val="auto"/>
              </w:rPr>
            </w:pPr>
            <w:r>
              <w:rPr>
                <w:rFonts w:ascii="Arial" w:cs="Arial" w:eastAsia="Arial" w:hAnsi="Arial"/>
                <w:sz w:val="18"/>
                <w:szCs w:val="18"/>
                <w:color w:val="auto"/>
              </w:rPr>
              <w:t>/s/ Alan R. Hodnik</w:t>
            </w:r>
          </w:p>
        </w:tc>
      </w:tr>
      <w:tr>
        <w:trPr>
          <w:trHeight w:val="27"/>
        </w:trPr>
        <w:tc>
          <w:tcPr>
            <w:tcW w:w="5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Alan R. Hodnik</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300" w:type="dxa"/>
            <w:vAlign w:val="bottom"/>
          </w:tcPr>
          <w:p>
            <w:pPr>
              <w:ind w:left="4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ATTEST</w:t>
      </w:r>
    </w:p>
    <w:p>
      <w:pPr>
        <w:spacing w:after="0" w:line="37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ind w:left="20"/>
              <w:spacing w:after="0"/>
              <w:rPr>
                <w:sz w:val="20"/>
                <w:szCs w:val="20"/>
                <w:color w:val="auto"/>
              </w:rPr>
            </w:pPr>
            <w:r>
              <w:rPr>
                <w:rFonts w:ascii="Arial" w:cs="Arial" w:eastAsia="Arial" w:hAnsi="Arial"/>
                <w:sz w:val="18"/>
                <w:szCs w:val="18"/>
                <w:color w:val="auto"/>
              </w:rPr>
              <w:t>/s/ Deborah A. Amberg</w:t>
            </w:r>
          </w:p>
        </w:tc>
      </w:tr>
      <w:tr>
        <w:trPr>
          <w:trHeight w:val="27"/>
        </w:trPr>
        <w:tc>
          <w:tcPr>
            <w:tcW w:w="58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Deborah A. Amberg</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4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12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10(j)16</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2015]</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right="100"/>
        <w:spacing w:after="0" w:line="265" w:lineRule="auto"/>
        <w:rPr>
          <w:sz w:val="20"/>
          <w:szCs w:val="20"/>
          <w:color w:val="auto"/>
        </w:rPr>
      </w:pPr>
      <w:r>
        <w:rPr>
          <w:rFonts w:ascii="Arial" w:cs="Arial" w:eastAsia="Arial" w:hAnsi="Arial"/>
          <w:sz w:val="21"/>
          <w:szCs w:val="21"/>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hereto and all documents incorporated herein by reference:</w:t>
      </w:r>
    </w:p>
    <w:p>
      <w:pPr>
        <w:spacing w:after="0" w:line="200" w:lineRule="exact"/>
        <w:rPr>
          <w:sz w:val="20"/>
          <w:szCs w:val="20"/>
          <w:color w:val="auto"/>
        </w:rPr>
      </w:pPr>
    </w:p>
    <w:p>
      <w:pPr>
        <w:spacing w:after="0" w:line="3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Performance Shares Granted: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of Grant: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Performance Period:</w:t>
      </w:r>
    </w:p>
    <w:p>
      <w:pPr>
        <w:spacing w:after="0" w:line="56" w:lineRule="exact"/>
        <w:rPr>
          <w:sz w:val="20"/>
          <w:szCs w:val="20"/>
          <w:color w:val="auto"/>
        </w:rPr>
      </w:pPr>
    </w:p>
    <w:p>
      <w:pPr>
        <w:ind w:left="880"/>
        <w:spacing w:after="0"/>
        <w:tabs>
          <w:tab w:leader="none" w:pos="5540" w:val="left"/>
        </w:tabs>
        <w:rPr>
          <w:sz w:val="20"/>
          <w:szCs w:val="20"/>
          <w:color w:val="auto"/>
        </w:rPr>
      </w:pPr>
      <w:r>
        <w:rPr>
          <w:rFonts w:ascii="Arial" w:cs="Arial" w:eastAsia="Arial" w:hAnsi="Arial"/>
          <w:sz w:val="18"/>
          <w:szCs w:val="18"/>
          <w:color w:val="auto"/>
        </w:rPr>
        <w:t>Performance Goals:</w:t>
      </w:r>
      <w:r>
        <w:rPr>
          <w:sz w:val="20"/>
          <w:szCs w:val="20"/>
          <w:color w:val="auto"/>
        </w:rPr>
        <w:tab/>
      </w:r>
      <w:r>
        <w:rPr>
          <w:rFonts w:ascii="Arial" w:cs="Arial" w:eastAsia="Arial" w:hAnsi="Arial"/>
          <w:sz w:val="19"/>
          <w:szCs w:val="19"/>
          <w:color w:val="auto"/>
        </w:rPr>
        <w:t xml:space="preserve">See </w:t>
      </w:r>
      <w:r>
        <w:rPr>
          <w:rFonts w:ascii="Arial" w:cs="Arial" w:eastAsia="Arial" w:hAnsi="Arial"/>
          <w:sz w:val="19"/>
          <w:szCs w:val="19"/>
          <w:u w:val="single" w:color="auto"/>
          <w:color w:val="auto"/>
        </w:rPr>
        <w:t>Annex B</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 xml:space="preserve">Further terms and conditions of the Grant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Performance Goals are set forth in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both of which are integral parts of this Grant.</w:t>
      </w:r>
    </w:p>
    <w:p>
      <w:pPr>
        <w:spacing w:after="0" w:line="175"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 HERETO</w:t>
      </w:r>
      <w:r>
        <w:rPr>
          <w:rFonts w:ascii="Arial" w:cs="Arial" w:eastAsia="Arial" w:hAnsi="Arial"/>
          <w:sz w:val="22"/>
          <w:szCs w:val="22"/>
          <w:color w:val="auto"/>
        </w:rPr>
        <w:t>, WHICH CONTAINS IMPORTANT INFORMATION, INCLUDING MANDATORY CLAIMS AND ARBITRATION PROCEDURES.</w:t>
      </w:r>
    </w:p>
    <w:p>
      <w:pPr>
        <w:spacing w:after="0" w:line="186"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Director-Compensation and Benefits, in writing within sixty (60) days of the Date of Grant.</w:t>
      </w:r>
    </w:p>
    <w:p>
      <w:pPr>
        <w:spacing w:after="0" w:line="134"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5608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Chairman, President &amp; CEO</w:t>
      </w:r>
    </w:p>
    <w:p>
      <w:pPr>
        <w:spacing w:after="0" w:line="29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u w:val="single" w:color="auto"/>
          <w:color w:val="auto"/>
        </w:rPr>
        <w:t xml:space="preserve">Annex A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Annex B</w:t>
      </w:r>
    </w:p>
    <w:p>
      <w:pPr>
        <w:sectPr>
          <w:pgSz w:w="11900" w:h="16838" w:orient="portrait"/>
          <w:cols w:equalWidth="0" w:num="1">
            <w:col w:w="11420"/>
          </w:cols>
          <w:pgMar w:left="240" w:top="121" w:right="239" w:bottom="1440" w:gutter="0" w:footer="0" w:header="0"/>
        </w:sectPr>
      </w:pPr>
    </w:p>
    <w:bookmarkStart w:id="158" w:name="page159"/>
    <w:bookmarkEnd w:id="158"/>
    <w:p>
      <w:pPr>
        <w:jc w:val="center"/>
        <w:ind w:right="-59"/>
        <w:spacing w:after="0"/>
        <w:rPr>
          <w:sz w:val="20"/>
          <w:szCs w:val="20"/>
          <w:color w:val="auto"/>
        </w:rPr>
      </w:pPr>
      <w:r>
        <w:rPr>
          <w:rFonts w:ascii="Arial" w:cs="Arial" w:eastAsia="Arial" w:hAnsi="Arial"/>
          <w:sz w:val="23"/>
          <w:szCs w:val="23"/>
          <w:b w:val="1"/>
          <w:bCs w:val="1"/>
          <w:u w:val="single" w:color="auto"/>
          <w:color w:val="auto"/>
        </w:rPr>
        <w:t>ANNEX A</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TO</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ALLETE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EXECUTIVE LONG-TERM INCENTIVE COMPENSATION PLAN</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PERFORMANCE SHARE GRANT</w:t>
      </w:r>
    </w:p>
    <w:p>
      <w:pPr>
        <w:spacing w:after="0" w:line="220"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The Grant of Performance Shares evidenced by the Grant to which this is annexed is subject to the following additional terms and conditions:</w:t>
      </w:r>
    </w:p>
    <w:p>
      <w:pPr>
        <w:spacing w:after="0" w:line="175" w:lineRule="exact"/>
        <w:rPr>
          <w:sz w:val="20"/>
          <w:szCs w:val="20"/>
          <w:color w:val="auto"/>
        </w:rPr>
      </w:pPr>
    </w:p>
    <w:p>
      <w:pPr>
        <w:ind w:right="120" w:firstLine="656"/>
        <w:spacing w:after="0" w:line="248" w:lineRule="auto"/>
        <w:tabs>
          <w:tab w:leader="none" w:pos="99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xml:space="preserve"> 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spacing w:after="0" w:line="191" w:lineRule="exact"/>
        <w:rPr>
          <w:rFonts w:ascii="Arial" w:cs="Arial" w:eastAsia="Arial" w:hAnsi="Arial"/>
          <w:sz w:val="22"/>
          <w:szCs w:val="22"/>
          <w:color w:val="auto"/>
        </w:rPr>
      </w:pPr>
    </w:p>
    <w:p>
      <w:pPr>
        <w:ind w:right="40" w:firstLine="656"/>
        <w:spacing w:after="0" w:line="291" w:lineRule="auto"/>
        <w:tabs>
          <w:tab w:leader="none" w:pos="99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Satisfaction of Goals.</w:t>
      </w:r>
      <w:r>
        <w:rPr>
          <w:rFonts w:ascii="Arial" w:cs="Arial" w:eastAsia="Arial" w:hAnsi="Arial"/>
          <w:sz w:val="19"/>
          <w:szCs w:val="19"/>
          <w:color w:val="auto"/>
        </w:rPr>
        <w:t xml:space="preserve"> 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w:t>
      </w:r>
    </w:p>
    <w:p>
      <w:pPr>
        <w:spacing w:after="0" w:line="154" w:lineRule="exact"/>
        <w:rPr>
          <w:rFonts w:ascii="Arial" w:cs="Arial" w:eastAsia="Arial" w:hAnsi="Arial"/>
          <w:sz w:val="19"/>
          <w:szCs w:val="19"/>
          <w:color w:val="auto"/>
        </w:rPr>
      </w:pPr>
    </w:p>
    <w:p>
      <w:pPr>
        <w:ind w:firstLine="656"/>
        <w:spacing w:after="0" w:line="300" w:lineRule="auto"/>
        <w:tabs>
          <w:tab w:leader="none" w:pos="99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Subject to the provisions of Section 4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spacing w:after="0" w:line="363" w:lineRule="exact"/>
        <w:rPr>
          <w:rFonts w:ascii="Arial" w:cs="Arial" w:eastAsia="Arial" w:hAnsi="Arial"/>
          <w:sz w:val="19"/>
          <w:szCs w:val="19"/>
          <w:color w:val="auto"/>
        </w:rPr>
      </w:pPr>
    </w:p>
    <w:p>
      <w:pPr>
        <w:ind w:right="940" w:firstLine="656"/>
        <w:spacing w:after="0" w:line="301" w:lineRule="auto"/>
        <w:tabs>
          <w:tab w:leader="none" w:pos="99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Payment Upon Death, Retirement or Disability; Forfeiture of Unvested Performance Shares Upon Demotion, Unsatisfactory Job Performance, Default on Certain Agreements or Other Separation from Service.</w:t>
      </w:r>
    </w:p>
    <w:p>
      <w:pPr>
        <w:sectPr>
          <w:pgSz w:w="11900" w:h="16838" w:orient="portrait"/>
          <w:cols w:equalWidth="0" w:num="1">
            <w:col w:w="11380"/>
          </w:cols>
          <w:pgMar w:left="240" w:top="351" w:right="279" w:bottom="1440" w:gutter="0" w:footer="0" w:header="0"/>
        </w:sectPr>
      </w:pPr>
    </w:p>
    <w:bookmarkStart w:id="159" w:name="page160"/>
    <w:bookmarkEnd w:id="159"/>
    <w:p>
      <w:pPr>
        <w:ind w:left="660" w:right="140" w:firstLine="648"/>
        <w:spacing w:after="0" w:line="281" w:lineRule="auto"/>
        <w:rPr>
          <w:sz w:val="20"/>
          <w:szCs w:val="20"/>
          <w:color w:val="auto"/>
        </w:rPr>
      </w:pPr>
      <w:r>
        <w:rPr>
          <w:rFonts w:ascii="Arial" w:cs="Arial" w:eastAsia="Arial" w:hAnsi="Arial"/>
          <w:sz w:val="20"/>
          <w:szCs w:val="20"/>
          <w:color w:val="auto"/>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you were in the position as of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w:t>
      </w:r>
    </w:p>
    <w:p>
      <w:pPr>
        <w:spacing w:after="0" w:line="73" w:lineRule="exact"/>
        <w:rPr>
          <w:sz w:val="20"/>
          <w:szCs w:val="20"/>
          <w:color w:val="auto"/>
        </w:rPr>
      </w:pPr>
    </w:p>
    <w:p>
      <w:pPr>
        <w:jc w:val="both"/>
        <w:ind w:left="660" w:right="100" w:firstLine="648"/>
        <w:spacing w:after="0" w:line="260" w:lineRule="auto"/>
        <w:rPr>
          <w:sz w:val="20"/>
          <w:szCs w:val="20"/>
          <w:color w:val="auto"/>
        </w:rPr>
      </w:pPr>
      <w:r>
        <w:rPr>
          <w:rFonts w:ascii="Arial" w:cs="Arial" w:eastAsia="Arial" w:hAnsi="Arial"/>
          <w:sz w:val="22"/>
          <w:szCs w:val="22"/>
          <w:color w:val="auto"/>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spacing w:after="0" w:line="177" w:lineRule="exact"/>
        <w:rPr>
          <w:sz w:val="20"/>
          <w:szCs w:val="20"/>
          <w:color w:val="auto"/>
        </w:rPr>
      </w:pPr>
    </w:p>
    <w:p>
      <w:pPr>
        <w:ind w:left="660" w:right="200" w:firstLine="648"/>
        <w:spacing w:after="0" w:line="300" w:lineRule="auto"/>
        <w:rPr>
          <w:sz w:val="20"/>
          <w:szCs w:val="20"/>
          <w:color w:val="auto"/>
        </w:rPr>
      </w:pPr>
      <w:r>
        <w:rPr>
          <w:rFonts w:ascii="Arial" w:cs="Arial" w:eastAsia="Arial" w:hAnsi="Arial"/>
          <w:sz w:val="19"/>
          <w:szCs w:val="19"/>
          <w:color w:val="auto"/>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spacing w:after="0" w:line="147" w:lineRule="exact"/>
        <w:rPr>
          <w:sz w:val="20"/>
          <w:szCs w:val="20"/>
          <w:color w:val="auto"/>
        </w:rPr>
      </w:pPr>
    </w:p>
    <w:p>
      <w:pPr>
        <w:jc w:val="both"/>
        <w:ind w:left="660" w:right="420" w:firstLine="648"/>
        <w:spacing w:after="0" w:line="260" w:lineRule="auto"/>
        <w:rPr>
          <w:sz w:val="20"/>
          <w:szCs w:val="20"/>
          <w:color w:val="auto"/>
        </w:rPr>
      </w:pPr>
      <w:r>
        <w:rPr>
          <w:rFonts w:ascii="Arial" w:cs="Arial" w:eastAsia="Arial" w:hAnsi="Arial"/>
          <w:sz w:val="22"/>
          <w:szCs w:val="22"/>
          <w:color w:val="auto"/>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177" w:lineRule="exact"/>
        <w:rPr>
          <w:sz w:val="20"/>
          <w:szCs w:val="20"/>
          <w:color w:val="auto"/>
        </w:rPr>
      </w:pPr>
    </w:p>
    <w:p>
      <w:pPr>
        <w:ind w:right="180" w:firstLine="656"/>
        <w:spacing w:after="0" w:line="260" w:lineRule="auto"/>
        <w:tabs>
          <w:tab w:leader="none" w:pos="99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77" w:lineRule="exact"/>
        <w:rPr>
          <w:rFonts w:ascii="Arial" w:cs="Arial" w:eastAsia="Arial" w:hAnsi="Arial"/>
          <w:sz w:val="22"/>
          <w:szCs w:val="22"/>
          <w:color w:val="auto"/>
        </w:rPr>
      </w:pPr>
    </w:p>
    <w:p>
      <w:pPr>
        <w:ind w:firstLine="656"/>
        <w:spacing w:after="0" w:line="290" w:lineRule="auto"/>
        <w:tabs>
          <w:tab w:leader="none" w:pos="990" w:val="left"/>
        </w:tabs>
        <w:numPr>
          <w:ilvl w:val="0"/>
          <w:numId w:val="54"/>
        </w:numPr>
        <w:rPr>
          <w:rFonts w:ascii="Arial" w:cs="Arial" w:eastAsia="Arial" w:hAnsi="Arial"/>
          <w:sz w:val="19"/>
          <w:szCs w:val="19"/>
          <w:color w:val="auto"/>
        </w:rPr>
      </w:pPr>
      <w:r>
        <w:rPr>
          <w:rFonts w:ascii="Arial" w:cs="Arial" w:eastAsia="Arial" w:hAnsi="Arial"/>
          <w:sz w:val="19"/>
          <w:szCs w:val="19"/>
          <w:color w:val="auto"/>
        </w:rPr>
        <w:t>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96" w:lineRule="exact"/>
        <w:rPr>
          <w:rFonts w:ascii="Arial" w:cs="Arial" w:eastAsia="Arial" w:hAnsi="Arial"/>
          <w:sz w:val="19"/>
          <w:szCs w:val="19"/>
          <w:color w:val="auto"/>
        </w:rPr>
      </w:pPr>
    </w:p>
    <w:p>
      <w:pPr>
        <w:ind w:left="1000" w:hanging="344"/>
        <w:spacing w:after="0"/>
        <w:tabs>
          <w:tab w:leader="none" w:pos="10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60" w:name="page161"/>
    <w:bookmarkEnd w:id="160"/>
    <w:p>
      <w:pPr>
        <w:ind w:right="2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ind w:left="1300" w:right="80" w:hanging="331"/>
        <w:spacing w:after="0" w:line="250" w:lineRule="auto"/>
        <w:tabs>
          <w:tab w:leader="none" w:pos="1300" w:val="left"/>
        </w:tabs>
        <w:numPr>
          <w:ilvl w:val="0"/>
          <w:numId w:val="55"/>
        </w:numPr>
        <w:rPr>
          <w:rFonts w:ascii="Arial" w:cs="Arial" w:eastAsia="Arial" w:hAnsi="Arial"/>
          <w:sz w:val="18"/>
          <w:szCs w:val="18"/>
          <w:i w:val="1"/>
          <w:iCs w:val="1"/>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28" w:lineRule="exact"/>
        <w:rPr>
          <w:rFonts w:ascii="Arial" w:cs="Arial" w:eastAsia="Arial" w:hAnsi="Arial"/>
          <w:sz w:val="18"/>
          <w:szCs w:val="18"/>
          <w:i w:val="1"/>
          <w:iCs w:val="1"/>
          <w:color w:val="auto"/>
        </w:rPr>
      </w:pPr>
    </w:p>
    <w:p>
      <w:pPr>
        <w:ind w:left="1300" w:right="940" w:hanging="331"/>
        <w:spacing w:after="0" w:line="263" w:lineRule="auto"/>
        <w:tabs>
          <w:tab w:leader="none" w:pos="1300" w:val="left"/>
        </w:tabs>
        <w:numPr>
          <w:ilvl w:val="0"/>
          <w:numId w:val="55"/>
        </w:numPr>
        <w:rPr>
          <w:rFonts w:ascii="Arial" w:cs="Arial" w:eastAsia="Arial" w:hAnsi="Arial"/>
          <w:sz w:val="18"/>
          <w:szCs w:val="18"/>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215" w:lineRule="exact"/>
        <w:rPr>
          <w:rFonts w:ascii="Arial" w:cs="Arial" w:eastAsia="Arial" w:hAnsi="Arial"/>
          <w:sz w:val="18"/>
          <w:szCs w:val="18"/>
          <w:i w:val="1"/>
          <w:iCs w:val="1"/>
          <w:color w:val="auto"/>
        </w:rPr>
      </w:pPr>
    </w:p>
    <w:p>
      <w:pPr>
        <w:ind w:left="1300" w:hanging="331"/>
        <w:spacing w:after="0"/>
        <w:tabs>
          <w:tab w:leader="none" w:pos="1300" w:val="left"/>
        </w:tabs>
        <w:numPr>
          <w:ilvl w:val="0"/>
          <w:numId w:val="55"/>
        </w:numPr>
        <w:rPr>
          <w:rFonts w:ascii="Arial" w:cs="Arial" w:eastAsia="Arial" w:hAnsi="Arial"/>
          <w:sz w:val="18"/>
          <w:szCs w:val="18"/>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60" w:lineRule="exact"/>
        <w:rPr>
          <w:rFonts w:ascii="Arial" w:cs="Arial" w:eastAsia="Arial" w:hAnsi="Arial"/>
          <w:sz w:val="18"/>
          <w:szCs w:val="18"/>
          <w:i w:val="1"/>
          <w:iCs w:val="1"/>
          <w:color w:val="auto"/>
        </w:rPr>
      </w:pPr>
    </w:p>
    <w:p>
      <w:pPr>
        <w:ind w:left="1300" w:right="140" w:hanging="331"/>
        <w:spacing w:after="0" w:line="247" w:lineRule="auto"/>
        <w:tabs>
          <w:tab w:leader="none" w:pos="1300" w:val="left"/>
        </w:tabs>
        <w:numPr>
          <w:ilvl w:val="0"/>
          <w:numId w:val="55"/>
        </w:numPr>
        <w:rPr>
          <w:rFonts w:ascii="Arial" w:cs="Arial" w:eastAsia="Arial" w:hAnsi="Arial"/>
          <w:sz w:val="18"/>
          <w:szCs w:val="18"/>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PERSONWITH A CLAIM RELATING TO YOUR GRANT, AGREE TO WAIVE ANY RIGHT TO SUE IN COURT OR TO PURSUE ANY LEGAL RIGHT OR REMEDY THAT MIGHT OTHERWISE BE AVAILABLE IN CONNECTION WITH THE RESOLUTION OF THE CLAIM.</w:t>
      </w:r>
    </w:p>
    <w:p>
      <w:pPr>
        <w:spacing w:after="0" w:line="234" w:lineRule="exact"/>
        <w:rPr>
          <w:rFonts w:ascii="Arial" w:cs="Arial" w:eastAsia="Arial" w:hAnsi="Arial"/>
          <w:sz w:val="18"/>
          <w:szCs w:val="18"/>
          <w:i w:val="1"/>
          <w:iCs w:val="1"/>
          <w:color w:val="auto"/>
        </w:rPr>
      </w:pPr>
    </w:p>
    <w:p>
      <w:pPr>
        <w:ind w:left="1300" w:right="640" w:hanging="331"/>
        <w:spacing w:after="0" w:line="263" w:lineRule="auto"/>
        <w:tabs>
          <w:tab w:leader="none" w:pos="1300" w:val="left"/>
        </w:tabs>
        <w:numPr>
          <w:ilvl w:val="0"/>
          <w:numId w:val="55"/>
        </w:numPr>
        <w:rPr>
          <w:rFonts w:ascii="Arial" w:cs="Arial" w:eastAsia="Arial" w:hAnsi="Arial"/>
          <w:sz w:val="18"/>
          <w:szCs w:val="18"/>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200" w:lineRule="exact"/>
        <w:rPr>
          <w:sz w:val="20"/>
          <w:szCs w:val="20"/>
          <w:color w:val="auto"/>
        </w:rPr>
      </w:pPr>
    </w:p>
    <w:p>
      <w:pPr>
        <w:spacing w:after="0" w:line="25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900" w:top="375" w:right="259" w:bottom="1440" w:gutter="0" w:footer="0" w:header="0"/>
        </w:sectPr>
      </w:pPr>
    </w:p>
    <w:bookmarkStart w:id="161" w:name="page162"/>
    <w:bookmarkEnd w:id="161"/>
    <w:p>
      <w:pPr>
        <w:ind w:left="760" w:right="60" w:hanging="331"/>
        <w:spacing w:after="0" w:line="247" w:lineRule="auto"/>
        <w:tabs>
          <w:tab w:leader="none" w:pos="760" w:val="left"/>
        </w:tabs>
        <w:numPr>
          <w:ilvl w:val="0"/>
          <w:numId w:val="56"/>
        </w:numPr>
        <w:rPr>
          <w:rFonts w:ascii="Arial" w:cs="Arial" w:eastAsia="Arial" w:hAnsi="Arial"/>
          <w:sz w:val="18"/>
          <w:szCs w:val="18"/>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34" w:lineRule="exact"/>
        <w:rPr>
          <w:rFonts w:ascii="Arial" w:cs="Arial" w:eastAsia="Arial" w:hAnsi="Arial"/>
          <w:sz w:val="18"/>
          <w:szCs w:val="18"/>
          <w:i w:val="1"/>
          <w:iCs w:val="1"/>
          <w:color w:val="auto"/>
        </w:rPr>
      </w:pPr>
    </w:p>
    <w:p>
      <w:pPr>
        <w:ind w:left="760" w:right="240" w:hanging="331"/>
        <w:spacing w:after="0" w:line="294" w:lineRule="auto"/>
        <w:tabs>
          <w:tab w:leader="none" w:pos="760" w:val="left"/>
        </w:tabs>
        <w:numPr>
          <w:ilvl w:val="0"/>
          <w:numId w:val="56"/>
        </w:numPr>
        <w:rPr>
          <w:rFonts w:ascii="Arial" w:cs="Arial" w:eastAsia="Arial" w:hAnsi="Arial"/>
          <w:sz w:val="16"/>
          <w:szCs w:val="16"/>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90" w:lineRule="exact"/>
        <w:rPr>
          <w:rFonts w:ascii="Arial" w:cs="Arial" w:eastAsia="Arial" w:hAnsi="Arial"/>
          <w:sz w:val="16"/>
          <w:szCs w:val="16"/>
          <w:i w:val="1"/>
          <w:iCs w:val="1"/>
          <w:color w:val="auto"/>
        </w:rPr>
      </w:pPr>
    </w:p>
    <w:p>
      <w:pPr>
        <w:ind w:left="760" w:hanging="331"/>
        <w:spacing w:after="0"/>
        <w:tabs>
          <w:tab w:leader="none" w:pos="760" w:val="left"/>
        </w:tabs>
        <w:numPr>
          <w:ilvl w:val="0"/>
          <w:numId w:val="56"/>
        </w:numPr>
        <w:rPr>
          <w:rFonts w:ascii="Arial" w:cs="Arial" w:eastAsia="Arial" w:hAnsi="Arial"/>
          <w:sz w:val="18"/>
          <w:szCs w:val="18"/>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60" w:lineRule="exact"/>
        <w:rPr>
          <w:rFonts w:ascii="Arial" w:cs="Arial" w:eastAsia="Arial" w:hAnsi="Arial"/>
          <w:sz w:val="18"/>
          <w:szCs w:val="18"/>
          <w:i w:val="1"/>
          <w:iCs w:val="1"/>
          <w:color w:val="auto"/>
        </w:rPr>
      </w:pPr>
    </w:p>
    <w:p>
      <w:pPr>
        <w:ind w:left="920" w:hanging="154"/>
        <w:spacing w:after="0" w:line="285" w:lineRule="auto"/>
        <w:tabs>
          <w:tab w:leader="none" w:pos="920" w:val="left"/>
        </w:tabs>
        <w:numPr>
          <w:ilvl w:val="1"/>
          <w:numId w:val="56"/>
        </w:numPr>
        <w:rPr>
          <w:rFonts w:ascii="Arial" w:cs="Arial" w:eastAsia="Arial" w:hAnsi="Arial"/>
          <w:sz w:val="16"/>
          <w:szCs w:val="16"/>
          <w:color w:val="auto"/>
        </w:rPr>
      </w:pPr>
      <w:r>
        <w:rPr>
          <w:rFonts w:ascii="Arial" w:cs="Arial" w:eastAsia="Arial" w:hAnsi="Arial"/>
          <w:sz w:val="19"/>
          <w:szCs w:val="19"/>
          <w:u w:val="single" w:color="auto"/>
          <w:color w:val="auto"/>
        </w:rPr>
        <w:t>Arbitration Rules</w:t>
      </w:r>
      <w:r>
        <w:rPr>
          <w:rFonts w:ascii="Arial" w:cs="Arial" w:eastAsia="Arial" w:hAnsi="Arial"/>
          <w:sz w:val="19"/>
          <w:szCs w:val="19"/>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w:t>
      </w:r>
    </w:p>
    <w:p>
      <w:pPr>
        <w:spacing w:after="0" w:line="3" w:lineRule="exact"/>
        <w:rPr>
          <w:rFonts w:ascii="Arial" w:cs="Arial" w:eastAsia="Arial" w:hAnsi="Arial"/>
          <w:sz w:val="16"/>
          <w:szCs w:val="16"/>
          <w:color w:val="auto"/>
        </w:rPr>
      </w:pPr>
    </w:p>
    <w:p>
      <w:pPr>
        <w:ind w:left="920" w:right="260" w:hanging="5"/>
        <w:spacing w:after="0" w:line="323" w:lineRule="auto"/>
        <w:tabs>
          <w:tab w:leader="none" w:pos="1442" w:val="left"/>
        </w:tabs>
        <w:numPr>
          <w:ilvl w:val="2"/>
          <w:numId w:val="56"/>
        </w:numPr>
        <w:rPr>
          <w:rFonts w:ascii="Arial" w:cs="Arial" w:eastAsia="Arial" w:hAnsi="Arial"/>
          <w:sz w:val="19"/>
          <w:szCs w:val="19"/>
          <w:color w:val="auto"/>
        </w:rPr>
      </w:pPr>
      <w:r>
        <w:rPr>
          <w:rFonts w:ascii="Arial" w:cs="Arial" w:eastAsia="Arial" w:hAnsi="Arial"/>
          <w:sz w:val="19"/>
          <w:szCs w:val="19"/>
          <w:color w:val="auto"/>
        </w:rPr>
        <w:t>Rules, the procedures set forth here shall control and be applied by the arbitrator. Notwithstanding the amount of the claim, the Procedures for Large, Complex Commercial Disputes shall not apply.</w:t>
      </w:r>
    </w:p>
    <w:p>
      <w:pPr>
        <w:spacing w:after="0" w:line="163" w:lineRule="exact"/>
        <w:rPr>
          <w:rFonts w:ascii="Arial" w:cs="Arial" w:eastAsia="Arial" w:hAnsi="Arial"/>
          <w:sz w:val="19"/>
          <w:szCs w:val="19"/>
          <w:color w:val="auto"/>
        </w:rPr>
      </w:pPr>
    </w:p>
    <w:p>
      <w:pPr>
        <w:ind w:left="1400" w:right="420" w:hanging="634"/>
        <w:spacing w:after="0" w:line="302" w:lineRule="auto"/>
        <w:tabs>
          <w:tab w:leader="none" w:pos="1400" w:val="left"/>
        </w:tabs>
        <w:numPr>
          <w:ilvl w:val="1"/>
          <w:numId w:val="56"/>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83" w:lineRule="exact"/>
        <w:rPr>
          <w:rFonts w:ascii="Arial" w:cs="Arial" w:eastAsia="Arial" w:hAnsi="Arial"/>
          <w:sz w:val="16"/>
          <w:szCs w:val="16"/>
          <w:color w:val="auto"/>
        </w:rPr>
      </w:pPr>
    </w:p>
    <w:p>
      <w:pPr>
        <w:ind w:left="1400" w:right="280" w:hanging="634"/>
        <w:spacing w:after="0" w:line="248"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32" w:lineRule="exact"/>
        <w:rPr>
          <w:rFonts w:ascii="Arial" w:cs="Arial" w:eastAsia="Arial" w:hAnsi="Arial"/>
          <w:sz w:val="18"/>
          <w:szCs w:val="18"/>
          <w:color w:val="auto"/>
        </w:rPr>
      </w:pPr>
    </w:p>
    <w:p>
      <w:pPr>
        <w:ind w:left="1400" w:right="60" w:hanging="634"/>
        <w:spacing w:after="0" w:line="302" w:lineRule="auto"/>
        <w:tabs>
          <w:tab w:leader="none" w:pos="1400" w:val="left"/>
        </w:tabs>
        <w:numPr>
          <w:ilvl w:val="1"/>
          <w:numId w:val="56"/>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375" w:right="279" w:bottom="1440" w:gutter="0" w:footer="0" w:header="0"/>
        </w:sectPr>
      </w:pPr>
    </w:p>
    <w:bookmarkStart w:id="162" w:name="page163"/>
    <w:bookmarkEnd w:id="162"/>
    <w:p>
      <w:pPr>
        <w:ind w:left="2100" w:hanging="148"/>
        <w:spacing w:after="0" w:line="273" w:lineRule="auto"/>
        <w:rPr>
          <w:sz w:val="20"/>
          <w:szCs w:val="20"/>
          <w:color w:val="auto"/>
        </w:rPr>
      </w:pPr>
      <w:r>
        <w:rPr>
          <w:rFonts w:ascii="Arial" w:cs="Arial" w:eastAsia="Arial" w:hAnsi="Arial"/>
          <w:sz w:val="17"/>
          <w:szCs w:val="17"/>
          <w:color w:val="auto"/>
        </w:rPr>
        <w:t xml:space="preserve">v. </w:t>
      </w:r>
      <w:r>
        <w:rPr>
          <w:rFonts w:ascii="Arial" w:cs="Arial" w:eastAsia="Arial" w:hAnsi="Arial"/>
          <w:sz w:val="20"/>
          <w:szCs w:val="20"/>
          <w:u w:val="single" w:color="auto"/>
          <w:color w:val="auto"/>
        </w:rPr>
        <w:t>Fees and Costs</w:t>
      </w:r>
      <w:r>
        <w:rPr>
          <w:rFonts w:ascii="Arial" w:cs="Arial" w:eastAsia="Arial" w:hAnsi="Arial"/>
          <w:sz w:val="20"/>
          <w:szCs w:val="20"/>
          <w:color w:val="auto"/>
        </w:rPr>
        <w:t>. Administrative arbitration fees and arbitrator compensation shall be borne equally by the</w:t>
      </w:r>
      <w:r>
        <w:rPr>
          <w:rFonts w:ascii="Arial" w:cs="Arial" w:eastAsia="Arial" w:hAnsi="Arial"/>
          <w:sz w:val="17"/>
          <w:szCs w:val="17"/>
          <w:color w:val="auto"/>
        </w:rPr>
        <w:t xml:space="preserve"> </w:t>
      </w:r>
      <w:r>
        <w:rPr>
          <w:rFonts w:ascii="Arial" w:cs="Arial" w:eastAsia="Arial" w:hAnsi="Arial"/>
          <w:sz w:val="20"/>
          <w:szCs w:val="20"/>
          <w:color w:val="auto"/>
        </w:rPr>
        <w:t>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212" w:lineRule="exact"/>
        <w:rPr>
          <w:sz w:val="20"/>
          <w:szCs w:val="20"/>
          <w:color w:val="auto"/>
        </w:rPr>
      </w:pPr>
    </w:p>
    <w:p>
      <w:pPr>
        <w:ind w:left="1780" w:right="100" w:hanging="333"/>
        <w:spacing w:after="0" w:line="302" w:lineRule="auto"/>
        <w:tabs>
          <w:tab w:leader="none" w:pos="1780" w:val="left"/>
        </w:tabs>
        <w:numPr>
          <w:ilvl w:val="1"/>
          <w:numId w:val="57"/>
        </w:numPr>
        <w:rPr>
          <w:rFonts w:ascii="Arial" w:cs="Arial" w:eastAsia="Arial" w:hAnsi="Arial"/>
          <w:sz w:val="16"/>
          <w:szCs w:val="16"/>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42" w:lineRule="exact"/>
        <w:rPr>
          <w:rFonts w:ascii="Arial" w:cs="Arial" w:eastAsia="Arial" w:hAnsi="Arial"/>
          <w:sz w:val="16"/>
          <w:szCs w:val="16"/>
          <w:i w:val="1"/>
          <w:iCs w:val="1"/>
          <w:color w:val="auto"/>
        </w:rPr>
      </w:pPr>
    </w:p>
    <w:p>
      <w:pPr>
        <w:ind w:left="-20" w:right="200" w:firstLine="656"/>
        <w:spacing w:after="0" w:line="260" w:lineRule="auto"/>
        <w:tabs>
          <w:tab w:leader="none" w:pos="97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77" w:lineRule="exact"/>
        <w:rPr>
          <w:rFonts w:ascii="Arial" w:cs="Arial" w:eastAsia="Arial" w:hAnsi="Arial"/>
          <w:sz w:val="22"/>
          <w:szCs w:val="22"/>
          <w:color w:val="auto"/>
        </w:rPr>
      </w:pPr>
    </w:p>
    <w:p>
      <w:pPr>
        <w:ind w:left="-20" w:right="220" w:firstLine="656"/>
        <w:spacing w:after="0" w:line="278" w:lineRule="auto"/>
        <w:tabs>
          <w:tab w:leader="none" w:pos="97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20" w:right="140" w:firstLine="656"/>
        <w:spacing w:after="0" w:line="254" w:lineRule="auto"/>
        <w:tabs>
          <w:tab w:leader="none" w:pos="107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Director - -Compensation and Benefits, Human Resources, and any notice hereunder to you shall be directed to your address as indicated by ALLETE’s records, subject to the right of either party to designate at any time hereafter in writing some other address.</w:t>
      </w:r>
    </w:p>
    <w:p>
      <w:pPr>
        <w:spacing w:after="0" w:line="185" w:lineRule="exact"/>
        <w:rPr>
          <w:rFonts w:ascii="Arial" w:cs="Arial" w:eastAsia="Arial" w:hAnsi="Arial"/>
          <w:sz w:val="22"/>
          <w:szCs w:val="22"/>
          <w:color w:val="auto"/>
        </w:rPr>
      </w:pPr>
    </w:p>
    <w:p>
      <w:pPr>
        <w:ind w:left="-20" w:right="180" w:firstLine="656"/>
        <w:spacing w:after="0" w:line="307" w:lineRule="auto"/>
        <w:tabs>
          <w:tab w:leader="none" w:pos="107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20" w:right="620" w:firstLine="656"/>
        <w:spacing w:after="0" w:line="276" w:lineRule="auto"/>
        <w:tabs>
          <w:tab w:leader="none" w:pos="107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640" w:right="260" w:firstLine="648"/>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375" w:right="239" w:bottom="1440" w:gutter="0" w:footer="0" w:header="0"/>
        </w:sectPr>
      </w:pPr>
    </w:p>
    <w:bookmarkStart w:id="163" w:name="page164"/>
    <w:bookmarkEnd w:id="163"/>
    <w:p>
      <w:pPr>
        <w:ind w:left="640"/>
        <w:spacing w:after="0"/>
        <w:tabs>
          <w:tab w:leader="none" w:pos="11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620" w:right="160" w:hanging="651"/>
        <w:spacing w:after="0" w:line="253"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18"/>
          <w:szCs w:val="18"/>
          <w:color w:val="auto"/>
        </w:rPr>
      </w:pPr>
    </w:p>
    <w:p>
      <w:pPr>
        <w:ind w:left="1620" w:right="60" w:hanging="651"/>
        <w:spacing w:after="0" w:line="250"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18"/>
          <w:szCs w:val="18"/>
          <w:color w:val="auto"/>
        </w:rPr>
      </w:pPr>
    </w:p>
    <w:p>
      <w:pPr>
        <w:ind w:left="1620" w:hanging="651"/>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260" w:lineRule="exact"/>
        <w:rPr>
          <w:rFonts w:ascii="Arial" w:cs="Arial" w:eastAsia="Arial" w:hAnsi="Arial"/>
          <w:sz w:val="18"/>
          <w:szCs w:val="18"/>
          <w:color w:val="auto"/>
        </w:rPr>
      </w:pPr>
    </w:p>
    <w:p>
      <w:pPr>
        <w:ind w:left="1620" w:hanging="651"/>
        <w:spacing w:after="0" w:line="253"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jc w:val="center"/>
        <w:ind w:right="280"/>
        <w:spacing w:after="0"/>
        <w:tabs>
          <w:tab w:leader="none" w:pos="1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w:t>
      </w:r>
    </w:p>
    <w:p>
      <w:pPr>
        <w:spacing w:after="0" w:line="28"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4"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12.5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0" w:lineRule="exact"/>
        <w:rPr>
          <w:sz w:val="20"/>
          <w:szCs w:val="20"/>
          <w:color w:val="auto"/>
        </w:rPr>
      </w:pPr>
    </w:p>
    <w:p>
      <w:pPr>
        <w:spacing w:after="0" w:line="2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900" w:top="369" w:right="239" w:bottom="1440" w:gutter="0" w:footer="0" w:header="0"/>
        </w:sectPr>
      </w:pPr>
    </w:p>
    <w:bookmarkStart w:id="164" w:name="page165"/>
    <w:bookmarkEnd w:id="164"/>
    <w:p>
      <w:pPr>
        <w:ind w:firstLine="648"/>
        <w:spacing w:after="0" w:line="289"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900" w:top="369" w:right="299" w:bottom="1440" w:gutter="0" w:footer="0" w:header="0"/>
        </w:sectPr>
      </w:pPr>
    </w:p>
    <w:bookmarkStart w:id="165" w:name="page166"/>
    <w:bookmarkEnd w:id="165"/>
    <w:p>
      <w:pPr>
        <w:jc w:val="center"/>
        <w:ind w:right="-79"/>
        <w:spacing w:after="0"/>
        <w:rPr>
          <w:sz w:val="20"/>
          <w:szCs w:val="20"/>
          <w:color w:val="auto"/>
        </w:rPr>
      </w:pPr>
      <w:r>
        <w:rPr>
          <w:rFonts w:ascii="Arial" w:cs="Arial" w:eastAsia="Arial" w:hAnsi="Arial"/>
          <w:sz w:val="22"/>
          <w:szCs w:val="22"/>
          <w:b w:val="1"/>
          <w:bCs w:val="1"/>
          <w:color w:val="auto"/>
        </w:rPr>
        <w:t>ANNEX B</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Executive Long Term Incentive Compensation Plan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Performance Share Grant</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Effective 2015</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[Eligible Executive Employees]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Total Shareholder Return (TSR) computed over the three-year period.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w:t>
      </w:r>
    </w:p>
    <w:p>
      <w:pPr>
        <w:spacing w:after="0" w:line="22" w:lineRule="exact"/>
        <w:rPr>
          <w:sz w:val="20"/>
          <w:szCs w:val="20"/>
          <w:color w:val="auto"/>
        </w:rPr>
      </w:pPr>
    </w:p>
    <w:p>
      <w:pPr>
        <w:spacing w:after="0" w:line="228" w:lineRule="auto"/>
        <w:rPr>
          <w:sz w:val="20"/>
          <w:szCs w:val="20"/>
          <w:color w:val="auto"/>
        </w:rPr>
      </w:pPr>
      <w:r>
        <w:rPr>
          <w:rFonts w:ascii="Arial" w:cs="Arial" w:eastAsia="Arial" w:hAnsi="Arial"/>
          <w:sz w:val="21"/>
          <w:szCs w:val="21"/>
          <w:color w:val="auto"/>
        </w:rPr>
        <w:t>If ALLETE’s TSR ranking is 4th or higher among a peer group of 27 companies (superior performance), 200% of the Performance Share Grant will be earned. If ALLETE’s TSR performance ranks 14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among the peer group (target performance), 100% of the Grant will be earned. If ALLETE’s TSR performance ranks 19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(threshold performance), 50% of the Grant will be earned. If TSR performance is below threshold, no Performance Shares will be earned. Straight-line interpolation will be used to determine earned awards based on the TSR ranking between threshold, target and superior.</w:t>
      </w:r>
    </w:p>
    <w:p>
      <w:pPr>
        <w:spacing w:after="0" w:line="218" w:lineRule="exact"/>
        <w:rPr>
          <w:sz w:val="20"/>
          <w:szCs w:val="20"/>
          <w:color w:val="auto"/>
        </w:rPr>
      </w:pPr>
    </w:p>
    <w:tbl>
      <w:tblPr>
        <w:tblLayout w:type="fixed"/>
        <w:tblInd w:w="1930" w:type="dxa"/>
        <w:tblCellMar>
          <w:top w:w="0" w:type="dxa"/>
          <w:left w:w="0" w:type="dxa"/>
          <w:bottom w:w="0" w:type="dxa"/>
          <w:right w:w="0" w:type="dxa"/>
        </w:tblCellMar>
      </w:tblPr>
      <w:tr>
        <w:trPr>
          <w:trHeight w:val="216"/>
        </w:trPr>
        <w:tc>
          <w:tcPr>
            <w:tcW w:w="3060" w:type="dxa"/>
            <w:vAlign w:val="bottom"/>
            <w:tcBorders>
              <w:top w:val="single" w:sz="8" w:color="auto"/>
              <w:left w:val="single" w:sz="8" w:color="auto"/>
              <w:right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rPr>
              <w:t>TSR Rank</w:t>
            </w:r>
          </w:p>
        </w:tc>
        <w:tc>
          <w:tcPr>
            <w:tcW w:w="190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Perf. Level</w:t>
            </w:r>
          </w:p>
        </w:tc>
        <w:tc>
          <w:tcPr>
            <w:tcW w:w="2660" w:type="dxa"/>
            <w:vAlign w:val="bottom"/>
            <w:tcBorders>
              <w:top w:val="single" w:sz="8" w:color="auto"/>
              <w:right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Payout %</w:t>
            </w:r>
          </w:p>
        </w:tc>
      </w:tr>
      <w:tr>
        <w:trPr>
          <w:trHeight w:val="48"/>
        </w:trPr>
        <w:tc>
          <w:tcPr>
            <w:tcW w:w="1120" w:type="dxa"/>
            <w:vAlign w:val="bottom"/>
            <w:tcBorders>
              <w:left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1</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2</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3</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4</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91"/>
              </w:rPr>
              <w:t>Superior</w:t>
            </w: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5</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190%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6</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180%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7</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170%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8</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160%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99"/>
              </w:rPr>
              <w:t>9</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150%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10</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140%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11</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130%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12</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120%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13</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110%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14</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8"/>
              </w:rPr>
              <w:t>Target</w:t>
            </w: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100%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15</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90%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16</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80%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17</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70%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18</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60%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19</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9"/>
              </w:rPr>
              <w:t>Threshold</w:t>
            </w: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50%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20</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21</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22</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23</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24</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25</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26</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27</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tcBorders>
            <w:gridSpan w:val="2"/>
          </w:tcPr>
          <w:p>
            <w:pPr>
              <w:jc w:val="center"/>
              <w:ind w:left="1030"/>
              <w:spacing w:after="0"/>
              <w:rPr>
                <w:sz w:val="20"/>
                <w:szCs w:val="20"/>
                <w:color w:val="auto"/>
              </w:rPr>
            </w:pPr>
            <w:r>
              <w:rPr>
                <w:rFonts w:ascii="Arial" w:cs="Arial" w:eastAsia="Arial" w:hAnsi="Arial"/>
                <w:sz w:val="18"/>
                <w:szCs w:val="18"/>
                <w:color w:val="auto"/>
                <w:w w:val="89"/>
              </w:rPr>
              <w:t>28</w:t>
            </w:r>
          </w:p>
        </w:tc>
        <w:tc>
          <w:tcPr>
            <w:tcW w:w="11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70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0%</w:t>
            </w:r>
          </w:p>
        </w:tc>
        <w:tc>
          <w:tcPr>
            <w:tcW w:w="960" w:type="dxa"/>
            <w:vAlign w:val="bottom"/>
            <w:tcBorders>
              <w:right w:val="single" w:sz="8" w:color="auto"/>
            </w:tcBorders>
          </w:tcPr>
          <w:p>
            <w:pPr>
              <w:spacing w:after="0"/>
              <w:rPr>
                <w:sz w:val="20"/>
                <w:szCs w:val="20"/>
                <w:color w:val="auto"/>
              </w:rPr>
            </w:pPr>
          </w:p>
        </w:tc>
      </w:tr>
      <w:tr>
        <w:trPr>
          <w:trHeight w:val="27"/>
        </w:trPr>
        <w:tc>
          <w:tcPr>
            <w:tcW w:w="112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40"/>
          </w:cols>
          <w:pgMar w:left="240" w:top="369" w:right="319" w:bottom="1440" w:gutter="0" w:footer="0" w:header="0"/>
        </w:sectPr>
      </w:pPr>
    </w:p>
    <w:bookmarkStart w:id="166" w:name="page167"/>
    <w:bookmarkEnd w:id="1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14(j)17</w:t>
      </w:r>
    </w:p>
    <w:p>
      <w:pPr>
        <w:spacing w:after="0" w:line="31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ALLETE</w:t>
      </w:r>
    </w:p>
    <w:p>
      <w:pPr>
        <w:spacing w:after="0" w:line="112"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RESTRICTED STOCK UNIT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2015]</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all documents incorporated herein by reference: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Restricted Stock Units: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Vesting Period: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Further terms and conditions of the Grant are set forth in Annex A hereto, which is an integral part of this Grant.</w:t>
      </w:r>
    </w:p>
    <w:p>
      <w:pPr>
        <w:spacing w:after="0" w:line="220"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Restricted Stock Units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WHICH CONTAINS IMPORTANT INFORMATION, INCLUDING MANDATORY CLAIMS AND ARBITRATION PROCEDURES.</w:t>
      </w:r>
    </w:p>
    <w:p>
      <w:pPr>
        <w:spacing w:after="0" w:line="186"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Director-Compensation and Benefits, in writing within sixty (60) days of the Date of Grant.</w:t>
      </w:r>
    </w:p>
    <w:p>
      <w:pPr>
        <w:spacing w:after="0" w:line="35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39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31750</wp:posOffset>
            </wp:positionV>
            <wp:extent cx="21780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President &amp; CEO</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Attachment: Annex A</w:t>
      </w:r>
    </w:p>
    <w:p>
      <w:pPr>
        <w:sectPr>
          <w:pgSz w:w="11900" w:h="16838" w:orient="portrait"/>
          <w:cols w:equalWidth="0" w:num="1">
            <w:col w:w="11420"/>
          </w:cols>
          <w:pgMar w:left="240" w:top="122" w:right="239" w:bottom="1440" w:gutter="0" w:footer="0" w:header="0"/>
        </w:sectPr>
      </w:pPr>
    </w:p>
    <w:bookmarkStart w:id="168" w:name="page169"/>
    <w:bookmarkEnd w:id="168"/>
    <w:p>
      <w:pPr>
        <w:jc w:val="center"/>
        <w:ind w:right="-39"/>
        <w:spacing w:after="0"/>
        <w:rPr>
          <w:sz w:val="20"/>
          <w:szCs w:val="20"/>
          <w:color w:val="auto"/>
        </w:rPr>
      </w:pPr>
      <w:r>
        <w:rPr>
          <w:rFonts w:ascii="Arial" w:cs="Arial" w:eastAsia="Arial" w:hAnsi="Arial"/>
          <w:sz w:val="22"/>
          <w:szCs w:val="22"/>
          <w:b w:val="1"/>
          <w:bCs w:val="1"/>
          <w:u w:val="single" w:color="auto"/>
          <w:color w:val="auto"/>
        </w:rPr>
        <w:t>ANNEX A</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RESTRICTED STOCK UNIT GRANT</w:t>
      </w:r>
    </w:p>
    <w:p>
      <w:pPr>
        <w:spacing w:after="0" w:line="202"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The grant of restricted stock units (each, a “RSU”) under the ALLETE Executive Long-Term Incentive Compensation Plan (the “Plan”), evidenced by the Grant to which this is annexed, is subject to the following additional terms and conditions:</w:t>
      </w:r>
    </w:p>
    <w:p>
      <w:pPr>
        <w:spacing w:after="0" w:line="105" w:lineRule="exact"/>
        <w:rPr>
          <w:sz w:val="20"/>
          <w:szCs w:val="20"/>
          <w:color w:val="auto"/>
        </w:rPr>
      </w:pPr>
    </w:p>
    <w:p>
      <w:pPr>
        <w:ind w:right="180" w:firstLine="8"/>
        <w:spacing w:after="0" w:line="250" w:lineRule="auto"/>
        <w:tabs>
          <w:tab w:leader="none" w:pos="34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Shares will be deposited into your ALLETE Invest Direct plan account.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minimum amount of tax required to be withheld by law.</w:t>
      </w:r>
    </w:p>
    <w:p>
      <w:pPr>
        <w:spacing w:after="0" w:line="188" w:lineRule="exact"/>
        <w:rPr>
          <w:rFonts w:ascii="Arial" w:cs="Arial" w:eastAsia="Arial" w:hAnsi="Arial"/>
          <w:sz w:val="22"/>
          <w:szCs w:val="22"/>
          <w:color w:val="auto"/>
        </w:rPr>
      </w:pPr>
    </w:p>
    <w:p>
      <w:pPr>
        <w:ind w:right="80" w:firstLine="8"/>
        <w:spacing w:after="0" w:line="262" w:lineRule="auto"/>
        <w:tabs>
          <w:tab w:leader="none" w:pos="342"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You will receive Dividend Equivalents in connection with the RSUs granted. Dividend Equivalents will be calculated and credited to you at the time the underlying RSUs are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underlying RSUs vest and become payable.</w:t>
      </w:r>
    </w:p>
    <w:p>
      <w:pPr>
        <w:spacing w:after="0" w:line="396" w:lineRule="exact"/>
        <w:rPr>
          <w:rFonts w:ascii="Arial" w:cs="Arial" w:eastAsia="Arial" w:hAnsi="Arial"/>
          <w:sz w:val="21"/>
          <w:szCs w:val="21"/>
          <w:color w:val="auto"/>
        </w:rPr>
      </w:pPr>
    </w:p>
    <w:p>
      <w:pPr>
        <w:ind w:right="680" w:firstLine="8"/>
        <w:spacing w:after="0" w:line="276" w:lineRule="auto"/>
        <w:tabs>
          <w:tab w:leader="none" w:pos="34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Default on Certain Agreements or Unsatisfactory Job Performance</w:t>
      </w:r>
      <w:r>
        <w:rPr>
          <w:rFonts w:ascii="Arial" w:cs="Arial" w:eastAsia="Arial" w:hAnsi="Arial"/>
          <w:sz w:val="22"/>
          <w:szCs w:val="22"/>
          <w:color w:val="auto"/>
        </w:rPr>
        <w:t>.</w:t>
      </w:r>
    </w:p>
    <w:p>
      <w:pPr>
        <w:spacing w:after="0" w:line="161" w:lineRule="exact"/>
        <w:rPr>
          <w:sz w:val="20"/>
          <w:szCs w:val="20"/>
          <w:color w:val="auto"/>
        </w:rPr>
      </w:pPr>
    </w:p>
    <w:p>
      <w:pPr>
        <w:ind w:left="660"/>
        <w:spacing w:after="0" w:line="263" w:lineRule="auto"/>
        <w:rPr>
          <w:sz w:val="20"/>
          <w:szCs w:val="20"/>
          <w:color w:val="auto"/>
        </w:rPr>
      </w:pPr>
      <w:r>
        <w:rPr>
          <w:rFonts w:ascii="Arial" w:cs="Arial" w:eastAsia="Arial" w:hAnsi="Arial"/>
          <w:sz w:val="21"/>
          <w:szCs w:val="21"/>
          <w:color w:val="auto"/>
        </w:rPr>
        <w:t>3.1 Subject to Section 3.4 below, if during the vesting period you (i) Retire, (ii) die while employed by a Related Company, or (iii) become Disabled, a portion of the unvested RSUs subject to the Grant will vest and be paid to you (or your beneficiary or estate) during the period ending sixty days after such event; provided, however, you will not be permitted, directly or indirectly, to designate the taxable year of the distribution. Except as otherwise provided in Section 4, payment pursuant to this Section 3.1 will be prorated, after giving effect to accumulated Dividend Equivalents, based on the number of whole 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w:t>
      </w:r>
    </w:p>
    <w:p>
      <w:pPr>
        <w:spacing w:after="0" w:line="90" w:lineRule="exact"/>
        <w:rPr>
          <w:sz w:val="20"/>
          <w:szCs w:val="20"/>
          <w:color w:val="auto"/>
        </w:rPr>
      </w:pPr>
    </w:p>
    <w:p>
      <w:pPr>
        <w:ind w:left="660"/>
        <w:spacing w:after="0" w:line="320" w:lineRule="auto"/>
        <w:rPr>
          <w:sz w:val="20"/>
          <w:szCs w:val="20"/>
          <w:color w:val="auto"/>
        </w:rPr>
      </w:pPr>
      <w:r>
        <w:rPr>
          <w:rFonts w:ascii="Arial" w:cs="Arial" w:eastAsia="Arial" w:hAnsi="Arial"/>
          <w:sz w:val="19"/>
          <w:szCs w:val="19"/>
          <w:color w:val="auto"/>
        </w:rPr>
        <w:t>3.2 Except as otherwise provided in Section 4, if during the vesting period or prior to payment of all RSUs you have a Separation from Service for any reason other than those specified in Section 3.1 above, all unvested or unpaid RSUs subject to the Grant (and related Dividend Equivalents) will be forfeited on the date of such Separation from Service.</w:t>
      </w:r>
    </w:p>
    <w:p>
      <w:pPr>
        <w:sectPr>
          <w:pgSz w:w="11900" w:h="16838" w:orient="portrait"/>
          <w:cols w:equalWidth="0" w:num="1">
            <w:col w:w="11380"/>
          </w:cols>
          <w:pgMar w:left="240" w:top="369" w:right="279" w:bottom="1440" w:gutter="0" w:footer="0" w:header="0"/>
        </w:sectPr>
      </w:pPr>
    </w:p>
    <w:bookmarkStart w:id="169" w:name="page170"/>
    <w:bookmarkEnd w:id="169"/>
    <w:p>
      <w:pPr>
        <w:ind w:left="652" w:right="200"/>
        <w:spacing w:after="0" w:line="266" w:lineRule="auto"/>
        <w:rPr>
          <w:sz w:val="20"/>
          <w:szCs w:val="20"/>
          <w:color w:val="auto"/>
        </w:rPr>
      </w:pPr>
      <w:r>
        <w:rPr>
          <w:rFonts w:ascii="Arial" w:cs="Arial" w:eastAsia="Arial" w:hAnsi="Arial"/>
          <w:sz w:val="21"/>
          <w:szCs w:val="21"/>
          <w:color w:val="auto"/>
        </w:rPr>
        <w:t>3.3 If during the vesting period or prior to payment of all RSUs you are demoted, you default on any written agreement with a Related Company related to a restrictive employment covenant (such as confidentiality, non-disclosure, non-competition, non-solicitation, or the like), or if ALLETE determines, in its sole discretion, that your job performance is unsatisfactory, ALLETE may cancel or amend your grant relating to any unpaid RSUs, resulting in the forfeiture of some portion or all of your unpaid RSUs (and related Dividend Equivalents).</w:t>
      </w:r>
    </w:p>
    <w:p>
      <w:pPr>
        <w:spacing w:after="0" w:line="174" w:lineRule="exact"/>
        <w:rPr>
          <w:sz w:val="20"/>
          <w:szCs w:val="20"/>
          <w:color w:val="auto"/>
        </w:rPr>
      </w:pPr>
    </w:p>
    <w:p>
      <w:pPr>
        <w:ind w:left="652" w:right="20"/>
        <w:spacing w:after="0" w:line="264" w:lineRule="auto"/>
        <w:rPr>
          <w:sz w:val="20"/>
          <w:szCs w:val="20"/>
          <w:color w:val="auto"/>
        </w:rPr>
      </w:pPr>
      <w:r>
        <w:rPr>
          <w:rFonts w:ascii="Arial" w:cs="Arial" w:eastAsia="Arial" w:hAnsi="Arial"/>
          <w:sz w:val="21"/>
          <w:szCs w:val="21"/>
          <w:color w:val="auto"/>
        </w:rPr>
        <w:t>3.4 Notwithstanding anything herein to the contrary, if you become entitled to a payment of the RSUs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75" w:lineRule="exact"/>
        <w:rPr>
          <w:sz w:val="20"/>
          <w:szCs w:val="20"/>
          <w:color w:val="auto"/>
        </w:rPr>
      </w:pPr>
    </w:p>
    <w:p>
      <w:pPr>
        <w:ind w:left="-8" w:firstLine="8"/>
        <w:spacing w:after="0" w:line="266" w:lineRule="auto"/>
        <w:tabs>
          <w:tab w:leader="none" w:pos="334"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Upon a Change in Control,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three-year vesting period that had elapsed as of the date of the Change in Control or termination of employment, as applicable, in relation to the number of calendar months in the three-year vesting period. For purposes of this calculation, you will be credited with a whole month if you were employed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 In no event will you be permitted, directly or indirectly, to designate the taxable year of the distribution on account of or in connection with a Change in Control.</w:t>
      </w:r>
    </w:p>
    <w:p>
      <w:pPr>
        <w:spacing w:after="0" w:line="175" w:lineRule="exact"/>
        <w:rPr>
          <w:rFonts w:ascii="Arial" w:cs="Arial" w:eastAsia="Arial" w:hAnsi="Arial"/>
          <w:sz w:val="20"/>
          <w:szCs w:val="20"/>
          <w:color w:val="auto"/>
        </w:rPr>
      </w:pPr>
    </w:p>
    <w:p>
      <w:pPr>
        <w:ind w:left="-8" w:right="100" w:firstLine="8"/>
        <w:spacing w:after="0" w:line="260" w:lineRule="auto"/>
        <w:tabs>
          <w:tab w:leader="none" w:pos="334"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200" w:lineRule="exact"/>
        <w:rPr>
          <w:sz w:val="20"/>
          <w:szCs w:val="20"/>
          <w:color w:val="auto"/>
        </w:rPr>
      </w:pPr>
    </w:p>
    <w:p>
      <w:pPr>
        <w:spacing w:after="0" w:line="2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375" w:right="319" w:bottom="1440" w:gutter="0" w:footer="0" w:header="0"/>
        </w:sectPr>
      </w:pPr>
    </w:p>
    <w:bookmarkStart w:id="170" w:name="page171"/>
    <w:bookmarkEnd w:id="170"/>
    <w:p>
      <w:pPr>
        <w:ind w:left="-8" w:right="60" w:firstLine="8"/>
        <w:spacing w:after="0" w:line="260" w:lineRule="auto"/>
        <w:tabs>
          <w:tab w:leader="none" w:pos="388"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Section 409A Compliance.</w:t>
      </w:r>
      <w:r>
        <w:rPr>
          <w:rFonts w:ascii="Arial" w:cs="Arial" w:eastAsia="Arial" w:hAnsi="Arial"/>
          <w:sz w:val="21"/>
          <w:szCs w:val="21"/>
          <w:color w:val="auto"/>
        </w:rPr>
        <w:t xml:space="preserve"> 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93" w:lineRule="exact"/>
        <w:rPr>
          <w:rFonts w:ascii="Arial" w:cs="Arial" w:eastAsia="Arial" w:hAnsi="Arial"/>
          <w:sz w:val="21"/>
          <w:szCs w:val="21"/>
          <w:color w:val="auto"/>
        </w:rPr>
      </w:pPr>
    </w:p>
    <w:p>
      <w:pPr>
        <w:ind w:left="392" w:hanging="392"/>
        <w:spacing w:after="0"/>
        <w:tabs>
          <w:tab w:leader="none" w:pos="39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33" w:lineRule="exact"/>
        <w:rPr>
          <w:sz w:val="20"/>
          <w:szCs w:val="20"/>
          <w:color w:val="auto"/>
        </w:rPr>
      </w:pPr>
    </w:p>
    <w:p>
      <w:pPr>
        <w:ind w:left="652" w:right="2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5" w:lineRule="exact"/>
        <w:rPr>
          <w:sz w:val="20"/>
          <w:szCs w:val="20"/>
          <w:color w:val="auto"/>
        </w:rPr>
      </w:pPr>
    </w:p>
    <w:p>
      <w:pPr>
        <w:ind w:left="652"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left="652"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left="652"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jc w:val="both"/>
        <w:ind w:left="1952" w:right="80" w:hanging="331"/>
        <w:spacing w:after="0" w:line="250" w:lineRule="auto"/>
        <w:tabs>
          <w:tab w:leader="none" w:pos="1952" w:val="left"/>
        </w:tabs>
        <w:numPr>
          <w:ilvl w:val="0"/>
          <w:numId w:val="63"/>
        </w:numPr>
        <w:rPr>
          <w:rFonts w:ascii="Arial" w:cs="Arial" w:eastAsia="Arial" w:hAnsi="Arial"/>
          <w:sz w:val="18"/>
          <w:szCs w:val="18"/>
          <w:i w:val="1"/>
          <w:iCs w:val="1"/>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28" w:lineRule="exact"/>
        <w:rPr>
          <w:rFonts w:ascii="Arial" w:cs="Arial" w:eastAsia="Arial" w:hAnsi="Arial"/>
          <w:sz w:val="18"/>
          <w:szCs w:val="18"/>
          <w:i w:val="1"/>
          <w:iCs w:val="1"/>
          <w:color w:val="auto"/>
        </w:rPr>
      </w:pPr>
    </w:p>
    <w:p>
      <w:pPr>
        <w:ind w:left="1952" w:right="940" w:hanging="331"/>
        <w:spacing w:after="0" w:line="263" w:lineRule="auto"/>
        <w:tabs>
          <w:tab w:leader="none" w:pos="1952" w:val="left"/>
        </w:tabs>
        <w:numPr>
          <w:ilvl w:val="0"/>
          <w:numId w:val="63"/>
        </w:numPr>
        <w:rPr>
          <w:rFonts w:ascii="Arial" w:cs="Arial" w:eastAsia="Arial" w:hAnsi="Arial"/>
          <w:sz w:val="18"/>
          <w:szCs w:val="18"/>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215" w:lineRule="exact"/>
        <w:rPr>
          <w:rFonts w:ascii="Arial" w:cs="Arial" w:eastAsia="Arial" w:hAnsi="Arial"/>
          <w:sz w:val="18"/>
          <w:szCs w:val="18"/>
          <w:i w:val="1"/>
          <w:iCs w:val="1"/>
          <w:color w:val="auto"/>
        </w:rPr>
      </w:pPr>
    </w:p>
    <w:p>
      <w:pPr>
        <w:ind w:left="1952" w:hanging="331"/>
        <w:spacing w:after="0"/>
        <w:tabs>
          <w:tab w:leader="none" w:pos="1952" w:val="left"/>
        </w:tabs>
        <w:numPr>
          <w:ilvl w:val="0"/>
          <w:numId w:val="63"/>
        </w:numPr>
        <w:rPr>
          <w:rFonts w:ascii="Arial" w:cs="Arial" w:eastAsia="Arial" w:hAnsi="Arial"/>
          <w:sz w:val="18"/>
          <w:szCs w:val="18"/>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00" w:lineRule="exact"/>
        <w:rPr>
          <w:sz w:val="20"/>
          <w:szCs w:val="20"/>
          <w:color w:val="auto"/>
        </w:rPr>
      </w:pPr>
    </w:p>
    <w:p>
      <w:pPr>
        <w:spacing w:after="0" w:line="2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375" w:right="259" w:bottom="1440" w:gutter="0" w:footer="0" w:header="0"/>
        </w:sectPr>
      </w:pPr>
    </w:p>
    <w:bookmarkStart w:id="171" w:name="page172"/>
    <w:bookmarkEnd w:id="171"/>
    <w:p>
      <w:pPr>
        <w:ind w:left="760" w:right="60" w:hanging="331"/>
        <w:spacing w:after="0" w:line="247" w:lineRule="auto"/>
        <w:tabs>
          <w:tab w:leader="none" w:pos="760" w:val="left"/>
        </w:tabs>
        <w:numPr>
          <w:ilvl w:val="0"/>
          <w:numId w:val="64"/>
        </w:numPr>
        <w:rPr>
          <w:rFonts w:ascii="Arial" w:cs="Arial" w:eastAsia="Arial" w:hAnsi="Arial"/>
          <w:sz w:val="18"/>
          <w:szCs w:val="18"/>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234" w:lineRule="exact"/>
        <w:rPr>
          <w:rFonts w:ascii="Arial" w:cs="Arial" w:eastAsia="Arial" w:hAnsi="Arial"/>
          <w:sz w:val="18"/>
          <w:szCs w:val="18"/>
          <w:i w:val="1"/>
          <w:iCs w:val="1"/>
          <w:color w:val="auto"/>
        </w:rPr>
      </w:pPr>
    </w:p>
    <w:p>
      <w:pPr>
        <w:ind w:left="760" w:right="620" w:hanging="331"/>
        <w:spacing w:after="0" w:line="263" w:lineRule="auto"/>
        <w:tabs>
          <w:tab w:leader="none" w:pos="760" w:val="left"/>
        </w:tabs>
        <w:numPr>
          <w:ilvl w:val="0"/>
          <w:numId w:val="64"/>
        </w:numPr>
        <w:rPr>
          <w:rFonts w:ascii="Arial" w:cs="Arial" w:eastAsia="Arial" w:hAnsi="Arial"/>
          <w:sz w:val="18"/>
          <w:szCs w:val="18"/>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215" w:lineRule="exact"/>
        <w:rPr>
          <w:rFonts w:ascii="Arial" w:cs="Arial" w:eastAsia="Arial" w:hAnsi="Arial"/>
          <w:sz w:val="18"/>
          <w:szCs w:val="18"/>
          <w:i w:val="1"/>
          <w:iCs w:val="1"/>
          <w:color w:val="auto"/>
        </w:rPr>
      </w:pPr>
    </w:p>
    <w:p>
      <w:pPr>
        <w:ind w:left="760" w:right="60" w:hanging="331"/>
        <w:spacing w:after="0" w:line="247" w:lineRule="auto"/>
        <w:tabs>
          <w:tab w:leader="none" w:pos="760" w:val="left"/>
        </w:tabs>
        <w:numPr>
          <w:ilvl w:val="0"/>
          <w:numId w:val="64"/>
        </w:numPr>
        <w:rPr>
          <w:rFonts w:ascii="Arial" w:cs="Arial" w:eastAsia="Arial" w:hAnsi="Arial"/>
          <w:sz w:val="18"/>
          <w:szCs w:val="18"/>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34" w:lineRule="exact"/>
        <w:rPr>
          <w:rFonts w:ascii="Arial" w:cs="Arial" w:eastAsia="Arial" w:hAnsi="Arial"/>
          <w:sz w:val="18"/>
          <w:szCs w:val="18"/>
          <w:i w:val="1"/>
          <w:iCs w:val="1"/>
          <w:color w:val="auto"/>
        </w:rPr>
      </w:pPr>
    </w:p>
    <w:p>
      <w:pPr>
        <w:ind w:left="760" w:right="240" w:hanging="331"/>
        <w:spacing w:after="0" w:line="294" w:lineRule="auto"/>
        <w:tabs>
          <w:tab w:leader="none" w:pos="760" w:val="left"/>
        </w:tabs>
        <w:numPr>
          <w:ilvl w:val="0"/>
          <w:numId w:val="64"/>
        </w:numPr>
        <w:rPr>
          <w:rFonts w:ascii="Arial" w:cs="Arial" w:eastAsia="Arial" w:hAnsi="Arial"/>
          <w:sz w:val="16"/>
          <w:szCs w:val="16"/>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90" w:lineRule="exact"/>
        <w:rPr>
          <w:rFonts w:ascii="Arial" w:cs="Arial" w:eastAsia="Arial" w:hAnsi="Arial"/>
          <w:sz w:val="16"/>
          <w:szCs w:val="16"/>
          <w:i w:val="1"/>
          <w:iCs w:val="1"/>
          <w:color w:val="auto"/>
        </w:rPr>
      </w:pPr>
    </w:p>
    <w:p>
      <w:pPr>
        <w:ind w:left="760" w:hanging="331"/>
        <w:spacing w:after="0"/>
        <w:tabs>
          <w:tab w:leader="none" w:pos="760" w:val="left"/>
        </w:tabs>
        <w:numPr>
          <w:ilvl w:val="0"/>
          <w:numId w:val="64"/>
        </w:numPr>
        <w:rPr>
          <w:rFonts w:ascii="Arial" w:cs="Arial" w:eastAsia="Arial" w:hAnsi="Arial"/>
          <w:sz w:val="18"/>
          <w:szCs w:val="18"/>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00" w:lineRule="exact"/>
        <w:rPr>
          <w:rFonts w:ascii="Arial" w:cs="Arial" w:eastAsia="Arial" w:hAnsi="Arial"/>
          <w:sz w:val="18"/>
          <w:szCs w:val="18"/>
          <w:i w:val="1"/>
          <w:iCs w:val="1"/>
          <w:color w:val="auto"/>
        </w:rPr>
      </w:pPr>
    </w:p>
    <w:p>
      <w:pPr>
        <w:spacing w:after="0" w:line="276" w:lineRule="exact"/>
        <w:rPr>
          <w:rFonts w:ascii="Arial" w:cs="Arial" w:eastAsia="Arial" w:hAnsi="Arial"/>
          <w:sz w:val="18"/>
          <w:szCs w:val="18"/>
          <w:i w:val="1"/>
          <w:iCs w:val="1"/>
          <w:color w:val="auto"/>
        </w:rPr>
      </w:pPr>
    </w:p>
    <w:p>
      <w:pPr>
        <w:ind w:left="920" w:hanging="154"/>
        <w:spacing w:after="0" w:line="285" w:lineRule="auto"/>
        <w:tabs>
          <w:tab w:leader="none" w:pos="920" w:val="left"/>
        </w:tabs>
        <w:numPr>
          <w:ilvl w:val="1"/>
          <w:numId w:val="64"/>
        </w:numPr>
        <w:rPr>
          <w:rFonts w:ascii="Arial" w:cs="Arial" w:eastAsia="Arial" w:hAnsi="Arial"/>
          <w:sz w:val="16"/>
          <w:szCs w:val="16"/>
          <w:color w:val="auto"/>
        </w:rPr>
      </w:pPr>
      <w:r>
        <w:rPr>
          <w:rFonts w:ascii="Arial" w:cs="Arial" w:eastAsia="Arial" w:hAnsi="Arial"/>
          <w:sz w:val="19"/>
          <w:szCs w:val="19"/>
          <w:u w:val="single" w:color="auto"/>
          <w:color w:val="auto"/>
        </w:rPr>
        <w:t>Arbitration Rules</w:t>
      </w:r>
      <w:r>
        <w:rPr>
          <w:rFonts w:ascii="Arial" w:cs="Arial" w:eastAsia="Arial" w:hAnsi="Arial"/>
          <w:sz w:val="19"/>
          <w:szCs w:val="19"/>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w:t>
      </w:r>
    </w:p>
    <w:p>
      <w:pPr>
        <w:spacing w:after="0" w:line="3" w:lineRule="exact"/>
        <w:rPr>
          <w:rFonts w:ascii="Arial" w:cs="Arial" w:eastAsia="Arial" w:hAnsi="Arial"/>
          <w:sz w:val="16"/>
          <w:szCs w:val="16"/>
          <w:color w:val="auto"/>
        </w:rPr>
      </w:pPr>
    </w:p>
    <w:p>
      <w:pPr>
        <w:ind w:left="920" w:right="260" w:hanging="5"/>
        <w:spacing w:after="0" w:line="323" w:lineRule="auto"/>
        <w:tabs>
          <w:tab w:leader="none" w:pos="1442" w:val="left"/>
        </w:tabs>
        <w:numPr>
          <w:ilvl w:val="2"/>
          <w:numId w:val="64"/>
        </w:numPr>
        <w:rPr>
          <w:rFonts w:ascii="Arial" w:cs="Arial" w:eastAsia="Arial" w:hAnsi="Arial"/>
          <w:sz w:val="19"/>
          <w:szCs w:val="19"/>
          <w:color w:val="auto"/>
        </w:rPr>
      </w:pPr>
      <w:r>
        <w:rPr>
          <w:rFonts w:ascii="Arial" w:cs="Arial" w:eastAsia="Arial" w:hAnsi="Arial"/>
          <w:sz w:val="19"/>
          <w:szCs w:val="19"/>
          <w:color w:val="auto"/>
        </w:rPr>
        <w:t>Rules, the procedures set forth here shall control and be applied by the arbitrator. Notwithstanding the amount of the claim, the Procedures for Large, Complex Commercial Disputes shall not apply.</w:t>
      </w:r>
    </w:p>
    <w:p>
      <w:pPr>
        <w:spacing w:after="0" w:line="163" w:lineRule="exact"/>
        <w:rPr>
          <w:rFonts w:ascii="Arial" w:cs="Arial" w:eastAsia="Arial" w:hAnsi="Arial"/>
          <w:sz w:val="19"/>
          <w:szCs w:val="19"/>
          <w:color w:val="auto"/>
        </w:rPr>
      </w:pPr>
    </w:p>
    <w:p>
      <w:pPr>
        <w:ind w:left="1400" w:right="420" w:hanging="634"/>
        <w:spacing w:after="0" w:line="302" w:lineRule="auto"/>
        <w:tabs>
          <w:tab w:leader="none" w:pos="1400"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80"/>
          </w:cols>
          <w:pgMar w:left="1440" w:top="375" w:right="279" w:bottom="1440" w:gutter="0" w:footer="0" w:header="0"/>
        </w:sectPr>
      </w:pPr>
    </w:p>
    <w:bookmarkStart w:id="172" w:name="page173"/>
    <w:bookmarkEnd w:id="172"/>
    <w:p>
      <w:pPr>
        <w:ind w:left="2592" w:right="320" w:hanging="634"/>
        <w:spacing w:after="0" w:line="248" w:lineRule="auto"/>
        <w:tabs>
          <w:tab w:leader="none" w:pos="2592" w:val="left"/>
        </w:tabs>
        <w:numPr>
          <w:ilvl w:val="2"/>
          <w:numId w:val="65"/>
        </w:numPr>
        <w:rPr>
          <w:rFonts w:ascii="Arial" w:cs="Arial" w:eastAsia="Arial" w:hAnsi="Arial"/>
          <w:sz w:val="18"/>
          <w:szCs w:val="18"/>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32" w:lineRule="exact"/>
        <w:rPr>
          <w:rFonts w:ascii="Arial" w:cs="Arial" w:eastAsia="Arial" w:hAnsi="Arial"/>
          <w:sz w:val="18"/>
          <w:szCs w:val="18"/>
          <w:color w:val="auto"/>
        </w:rPr>
      </w:pPr>
    </w:p>
    <w:p>
      <w:pPr>
        <w:ind w:left="2592" w:right="100" w:hanging="634"/>
        <w:spacing w:after="0" w:line="302" w:lineRule="auto"/>
        <w:tabs>
          <w:tab w:leader="none" w:pos="2592" w:val="left"/>
        </w:tabs>
        <w:numPr>
          <w:ilvl w:val="2"/>
          <w:numId w:val="65"/>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83" w:lineRule="exact"/>
        <w:rPr>
          <w:rFonts w:ascii="Arial" w:cs="Arial" w:eastAsia="Arial" w:hAnsi="Arial"/>
          <w:sz w:val="16"/>
          <w:szCs w:val="16"/>
          <w:color w:val="auto"/>
        </w:rPr>
      </w:pPr>
    </w:p>
    <w:p>
      <w:pPr>
        <w:ind w:left="2112" w:hanging="154"/>
        <w:spacing w:after="0" w:line="289" w:lineRule="auto"/>
        <w:tabs>
          <w:tab w:leader="none" w:pos="2112" w:val="left"/>
        </w:tabs>
        <w:numPr>
          <w:ilvl w:val="2"/>
          <w:numId w:val="65"/>
        </w:numPr>
        <w:rPr>
          <w:rFonts w:ascii="Arial" w:cs="Arial" w:eastAsia="Arial" w:hAnsi="Arial"/>
          <w:sz w:val="16"/>
          <w:szCs w:val="16"/>
          <w:color w:val="auto"/>
        </w:rPr>
      </w:pPr>
      <w:r>
        <w:rPr>
          <w:rFonts w:ascii="Arial" w:cs="Arial" w:eastAsia="Arial" w:hAnsi="Arial"/>
          <w:sz w:val="19"/>
          <w:szCs w:val="19"/>
          <w:u w:val="single" w:color="auto"/>
          <w:color w:val="auto"/>
        </w:rPr>
        <w:t>Fees and Costs</w:t>
      </w:r>
      <w:r>
        <w:rPr>
          <w:rFonts w:ascii="Arial" w:cs="Arial" w:eastAsia="Arial" w:hAnsi="Arial"/>
          <w:sz w:val="19"/>
          <w:szCs w:val="19"/>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98" w:lineRule="exact"/>
        <w:rPr>
          <w:rFonts w:ascii="Arial" w:cs="Arial" w:eastAsia="Arial" w:hAnsi="Arial"/>
          <w:sz w:val="16"/>
          <w:szCs w:val="16"/>
          <w:color w:val="auto"/>
        </w:rPr>
      </w:pPr>
    </w:p>
    <w:p>
      <w:pPr>
        <w:ind w:left="1952" w:right="360" w:hanging="493"/>
        <w:spacing w:after="0" w:line="302" w:lineRule="auto"/>
        <w:tabs>
          <w:tab w:leader="none" w:pos="1952" w:val="left"/>
        </w:tabs>
        <w:numPr>
          <w:ilvl w:val="1"/>
          <w:numId w:val="66"/>
        </w:numPr>
        <w:rPr>
          <w:rFonts w:ascii="Arial" w:cs="Arial" w:eastAsia="Arial" w:hAnsi="Arial"/>
          <w:sz w:val="16"/>
          <w:szCs w:val="16"/>
          <w:i w:val="1"/>
          <w:iCs w:val="1"/>
          <w:color w:val="auto"/>
        </w:rPr>
      </w:pPr>
      <w:r>
        <w:rPr>
          <w:rFonts w:ascii="Arial" w:cs="Arial" w:eastAsia="Arial" w:hAnsi="Arial"/>
          <w:sz w:val="19"/>
          <w:szCs w:val="19"/>
          <w:i w:val="1"/>
          <w:iCs w:val="1"/>
          <w:u w:val="single" w:color="auto"/>
          <w:color w:val="auto"/>
        </w:rPr>
        <w:t>I</w:t>
      </w:r>
      <w:r>
        <w:rPr>
          <w:rFonts w:ascii="Arial" w:cs="Arial" w:eastAsia="Arial" w:hAnsi="Arial"/>
          <w:sz w:val="19"/>
          <w:szCs w:val="19"/>
          <w:u w:val="single" w:color="auto"/>
          <w:color w:val="auto"/>
        </w:rPr>
        <w:t>nterstate Commerce and the Federal Arbitration Act</w:t>
      </w:r>
      <w:r>
        <w:rPr>
          <w:rFonts w:ascii="Arial" w:cs="Arial" w:eastAsia="Arial" w:hAnsi="Arial"/>
          <w:sz w:val="19"/>
          <w:szCs w:val="19"/>
          <w:color w:val="auto"/>
        </w:rPr>
        <w:t>. The Company is involved in transactions involving</w:t>
      </w:r>
      <w:r>
        <w:rPr>
          <w:rFonts w:ascii="Arial" w:cs="Arial" w:eastAsia="Arial" w:hAnsi="Arial"/>
          <w:sz w:val="19"/>
          <w:szCs w:val="19"/>
          <w:i w:val="1"/>
          <w:iCs w:val="1"/>
          <w:color w:val="auto"/>
        </w:rPr>
        <w:t xml:space="preserve"> </w:t>
      </w:r>
      <w:r>
        <w:rPr>
          <w:rFonts w:ascii="Arial" w:cs="Arial" w:eastAsia="Arial" w:hAnsi="Arial"/>
          <w:sz w:val="19"/>
          <w:szCs w:val="19"/>
          <w:color w:val="auto"/>
        </w:rPr>
        <w:t>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358" w:lineRule="exact"/>
        <w:rPr>
          <w:rFonts w:ascii="Arial" w:cs="Arial" w:eastAsia="Arial" w:hAnsi="Arial"/>
          <w:sz w:val="16"/>
          <w:szCs w:val="16"/>
          <w:i w:val="1"/>
          <w:iCs w:val="1"/>
          <w:color w:val="auto"/>
        </w:rPr>
      </w:pPr>
    </w:p>
    <w:p>
      <w:pPr>
        <w:jc w:val="both"/>
        <w:ind w:left="-8" w:right="120" w:firstLine="8"/>
        <w:spacing w:after="0" w:line="260" w:lineRule="auto"/>
        <w:tabs>
          <w:tab w:leader="none" w:pos="33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77" w:lineRule="exact"/>
        <w:rPr>
          <w:rFonts w:ascii="Arial" w:cs="Arial" w:eastAsia="Arial" w:hAnsi="Arial"/>
          <w:sz w:val="22"/>
          <w:szCs w:val="22"/>
          <w:color w:val="auto"/>
        </w:rPr>
      </w:pPr>
    </w:p>
    <w:p>
      <w:pPr>
        <w:ind w:left="-8" w:right="240" w:firstLine="8"/>
        <w:spacing w:after="0" w:line="278" w:lineRule="auto"/>
        <w:tabs>
          <w:tab w:leader="none" w:pos="383"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8" w:right="280" w:firstLine="8"/>
        <w:spacing w:after="0" w:line="254" w:lineRule="auto"/>
        <w:tabs>
          <w:tab w:leader="none" w:pos="44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Director - Compensation and Benefits, Human Resources, and any notice hereunder to you shall be directed to your address as indicated by ALLETE’s records, subject to the right of either party to designate at any time hereafter in writing some other address.</w:t>
      </w: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375" w:right="239" w:bottom="1440" w:gutter="0" w:footer="0" w:header="0"/>
        </w:sectPr>
      </w:pPr>
    </w:p>
    <w:bookmarkStart w:id="173" w:name="page174"/>
    <w:bookmarkEnd w:id="173"/>
    <w:p>
      <w:pPr>
        <w:ind w:left="-8" w:right="20" w:firstLine="8"/>
        <w:spacing w:after="0" w:line="307" w:lineRule="auto"/>
        <w:tabs>
          <w:tab w:leader="none" w:pos="434"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sz w:val="20"/>
          <w:szCs w:val="20"/>
          <w:color w:val="auto"/>
        </w:rPr>
      </w:pPr>
    </w:p>
    <w:p>
      <w:pPr>
        <w:ind w:left="-8" w:right="380" w:firstLine="8"/>
        <w:spacing w:after="0" w:line="276" w:lineRule="auto"/>
        <w:tabs>
          <w:tab w:leader="none" w:pos="43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652"/>
        <w:spacing w:after="0" w:line="262"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84" w:lineRule="exact"/>
        <w:rPr>
          <w:sz w:val="20"/>
          <w:szCs w:val="20"/>
          <w:color w:val="auto"/>
        </w:rPr>
      </w:pPr>
    </w:p>
    <w:p>
      <w:pPr>
        <w:ind w:left="712"/>
        <w:spacing w:after="0"/>
        <w:tabs>
          <w:tab w:leader="none" w:pos="1252"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earliest of:</w:t>
      </w:r>
    </w:p>
    <w:p>
      <w:pPr>
        <w:spacing w:after="0" w:line="239" w:lineRule="exact"/>
        <w:rPr>
          <w:sz w:val="20"/>
          <w:szCs w:val="20"/>
          <w:color w:val="auto"/>
        </w:rPr>
      </w:pPr>
    </w:p>
    <w:p>
      <w:pPr>
        <w:ind w:left="1792" w:hanging="658"/>
        <w:spacing w:after="0" w:line="259" w:lineRule="auto"/>
        <w:tabs>
          <w:tab w:leader="none" w:pos="1792" w:val="left"/>
        </w:tabs>
        <w:numPr>
          <w:ilvl w:val="0"/>
          <w:numId w:val="70"/>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220" w:lineRule="exact"/>
        <w:rPr>
          <w:rFonts w:ascii="Arial" w:cs="Arial" w:eastAsia="Arial" w:hAnsi="Arial"/>
          <w:sz w:val="17"/>
          <w:szCs w:val="17"/>
          <w:color w:val="auto"/>
        </w:rPr>
      </w:pPr>
    </w:p>
    <w:p>
      <w:pPr>
        <w:ind w:left="1792" w:right="300" w:hanging="658"/>
        <w:spacing w:after="0" w:line="302" w:lineRule="auto"/>
        <w:tabs>
          <w:tab w:leader="none" w:pos="1792" w:val="left"/>
        </w:tabs>
        <w:numPr>
          <w:ilvl w:val="0"/>
          <w:numId w:val="70"/>
        </w:numPr>
        <w:rPr>
          <w:rFonts w:ascii="Arial" w:cs="Arial" w:eastAsia="Arial" w:hAnsi="Arial"/>
          <w:sz w:val="16"/>
          <w:szCs w:val="16"/>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83" w:lineRule="exact"/>
        <w:rPr>
          <w:rFonts w:ascii="Arial" w:cs="Arial" w:eastAsia="Arial" w:hAnsi="Arial"/>
          <w:sz w:val="16"/>
          <w:szCs w:val="16"/>
          <w:color w:val="auto"/>
        </w:rPr>
      </w:pPr>
    </w:p>
    <w:p>
      <w:pPr>
        <w:ind w:left="1792" w:right="140" w:hanging="658"/>
        <w:spacing w:after="0" w:line="253" w:lineRule="auto"/>
        <w:tabs>
          <w:tab w:leader="none" w:pos="1792" w:val="left"/>
        </w:tabs>
        <w:numPr>
          <w:ilvl w:val="0"/>
          <w:numId w:val="70"/>
        </w:numPr>
        <w:rPr>
          <w:rFonts w:ascii="Arial" w:cs="Arial" w:eastAsia="Arial" w:hAnsi="Arial"/>
          <w:sz w:val="18"/>
          <w:szCs w:val="18"/>
          <w:color w:val="auto"/>
        </w:rPr>
      </w:pPr>
      <w:r>
        <w:rPr>
          <w:rFonts w:ascii="Arial" w:cs="Arial" w:eastAsia="Arial" w:hAnsi="Arial"/>
          <w:sz w:val="22"/>
          <w:szCs w:val="22"/>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226" w:lineRule="exact"/>
        <w:rPr>
          <w:rFonts w:ascii="Arial" w:cs="Arial" w:eastAsia="Arial" w:hAnsi="Arial"/>
          <w:sz w:val="18"/>
          <w:szCs w:val="18"/>
          <w:color w:val="auto"/>
        </w:rPr>
      </w:pPr>
    </w:p>
    <w:p>
      <w:pPr>
        <w:ind w:left="1792" w:hanging="658"/>
        <w:spacing w:after="0" w:line="260" w:lineRule="auto"/>
        <w:tabs>
          <w:tab w:leader="none" w:pos="1792" w:val="left"/>
        </w:tabs>
        <w:numPr>
          <w:ilvl w:val="0"/>
          <w:numId w:val="70"/>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375" w:right="259" w:bottom="1440" w:gutter="0" w:footer="0" w:header="0"/>
        </w:sectPr>
      </w:pPr>
    </w:p>
    <w:bookmarkStart w:id="174" w:name="page175"/>
    <w:bookmarkEnd w:id="174"/>
    <w:p>
      <w:pPr>
        <w:ind w:right="60"/>
        <w:spacing w:after="0" w:line="294" w:lineRule="auto"/>
        <w:rPr>
          <w:sz w:val="20"/>
          <w:szCs w:val="20"/>
          <w:color w:val="auto"/>
        </w:rPr>
      </w:pPr>
      <w:r>
        <w:rPr>
          <w:rFonts w:ascii="Arial" w:cs="Arial" w:eastAsia="Arial" w:hAnsi="Arial"/>
          <w:sz w:val="19"/>
          <w:szCs w:val="19"/>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4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300" w:right="40" w:hanging="650"/>
        <w:spacing w:after="0" w:line="253"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18"/>
          <w:szCs w:val="18"/>
          <w:color w:val="auto"/>
        </w:rPr>
      </w:pPr>
    </w:p>
    <w:p>
      <w:pPr>
        <w:ind w:left="1300" w:right="60" w:hanging="650"/>
        <w:spacing w:after="0" w:line="250"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18"/>
          <w:szCs w:val="18"/>
          <w:color w:val="auto"/>
        </w:rPr>
      </w:pPr>
    </w:p>
    <w:p>
      <w:pPr>
        <w:ind w:left="1300" w:hanging="65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260" w:lineRule="exact"/>
        <w:rPr>
          <w:rFonts w:ascii="Arial" w:cs="Arial" w:eastAsia="Arial" w:hAnsi="Arial"/>
          <w:sz w:val="18"/>
          <w:szCs w:val="18"/>
          <w:color w:val="auto"/>
        </w:rPr>
      </w:pPr>
    </w:p>
    <w:p>
      <w:pPr>
        <w:ind w:left="1300" w:right="180" w:hanging="650"/>
        <w:spacing w:after="0" w:line="253"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ind w:left="100"/>
        <w:spacing w:after="0" w:line="288" w:lineRule="auto"/>
        <w:rPr>
          <w:sz w:val="20"/>
          <w:szCs w:val="20"/>
          <w:color w:val="auto"/>
        </w:rPr>
      </w:pPr>
      <w:r>
        <w:rPr>
          <w:rFonts w:ascii="Arial" w:cs="Arial" w:eastAsia="Arial" w:hAnsi="Arial"/>
          <w:sz w:val="19"/>
          <w:szCs w:val="19"/>
          <w:color w:val="auto"/>
        </w:rPr>
        <w:t>11.5 “</w:t>
      </w:r>
      <w:r>
        <w:rPr>
          <w:rFonts w:ascii="Arial" w:cs="Arial" w:eastAsia="Arial" w:hAnsi="Arial"/>
          <w:sz w:val="19"/>
          <w:szCs w:val="19"/>
          <w:b w:val="1"/>
          <w:bCs w:val="1"/>
          <w:color w:val="auto"/>
        </w:rPr>
        <w:t>Related Company</w:t>
      </w:r>
      <w:r>
        <w:rPr>
          <w:rFonts w:ascii="Arial" w:cs="Arial" w:eastAsia="Arial" w:hAnsi="Arial"/>
          <w:sz w:val="19"/>
          <w:szCs w:val="19"/>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4" w:lineRule="exact"/>
        <w:rPr>
          <w:sz w:val="20"/>
          <w:szCs w:val="20"/>
          <w:color w:val="auto"/>
        </w:rPr>
      </w:pPr>
    </w:p>
    <w:p>
      <w:pPr>
        <w:jc w:val="both"/>
        <w:ind w:left="100" w:right="28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7" w:lineRule="exact"/>
        <w:rPr>
          <w:sz w:val="20"/>
          <w:szCs w:val="20"/>
          <w:color w:val="auto"/>
        </w:rPr>
      </w:pPr>
    </w:p>
    <w:p>
      <w:pPr>
        <w:ind w:left="100"/>
        <w:spacing w:after="0" w:line="263" w:lineRule="auto"/>
        <w:rPr>
          <w:sz w:val="20"/>
          <w:szCs w:val="20"/>
          <w:color w:val="auto"/>
        </w:rPr>
      </w:pPr>
      <w:r>
        <w:rPr>
          <w:rFonts w:ascii="Arial" w:cs="Arial" w:eastAsia="Arial" w:hAnsi="Arial"/>
          <w:sz w:val="21"/>
          <w:szCs w:val="21"/>
          <w:color w:val="auto"/>
        </w:rPr>
        <w:t>11.6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0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800" w:top="375" w:right="259" w:bottom="1440" w:gutter="0" w:footer="0" w:header="0"/>
        </w:sectPr>
      </w:pPr>
    </w:p>
    <w:bookmarkStart w:id="175" w:name="page176"/>
    <w:bookmarkEnd w:id="175"/>
    <w:p>
      <w:pPr>
        <w:ind w:left="4" w:right="180"/>
        <w:spacing w:after="0" w:line="262"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171" w:lineRule="exact"/>
        <w:rPr>
          <w:sz w:val="20"/>
          <w:szCs w:val="20"/>
          <w:color w:val="auto"/>
        </w:rPr>
      </w:pPr>
    </w:p>
    <w:p>
      <w:pPr>
        <w:ind w:left="4"/>
        <w:spacing w:after="0" w:line="286"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ind w:left="4" w:right="280" w:hanging="4"/>
        <w:spacing w:after="0" w:line="262" w:lineRule="auto"/>
        <w:tabs>
          <w:tab w:leader="none" w:pos="310" w:val="left"/>
        </w:tabs>
        <w:numPr>
          <w:ilvl w:val="0"/>
          <w:numId w:val="72"/>
        </w:numPr>
        <w:rPr>
          <w:rFonts w:ascii="Arial" w:cs="Arial" w:eastAsia="Arial" w:hAnsi="Arial"/>
          <w:sz w:val="21"/>
          <w:szCs w:val="21"/>
          <w:color w:val="auto"/>
        </w:rPr>
      </w:pPr>
      <w:r>
        <w:rPr>
          <w:rFonts w:ascii="Arial" w:cs="Arial" w:eastAsia="Arial" w:hAnsi="Arial"/>
          <w:sz w:val="21"/>
          <w:szCs w:val="21"/>
          <w:color w:val="auto"/>
        </w:rPr>
        <w:t>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r>
        <w:rPr>
          <w:rFonts w:ascii="Arial" w:cs="Arial" w:eastAsia="Arial" w:hAnsi="Arial"/>
          <w:sz w:val="18"/>
          <w:szCs w:val="18"/>
          <w:color w:val="auto"/>
        </w:rPr>
        <w:t>.</w:t>
      </w:r>
    </w:p>
    <w:p>
      <w:pPr>
        <w:spacing w:after="0" w:line="185" w:lineRule="exact"/>
        <w:rPr>
          <w:sz w:val="20"/>
          <w:szCs w:val="20"/>
          <w:color w:val="auto"/>
        </w:rPr>
      </w:pPr>
    </w:p>
    <w:p>
      <w:pPr>
        <w:ind w:left="4" w:right="40" w:firstLine="68"/>
        <w:spacing w:after="0" w:line="309" w:lineRule="auto"/>
        <w:rPr>
          <w:sz w:val="20"/>
          <w:szCs w:val="20"/>
          <w:color w:val="auto"/>
        </w:rPr>
      </w:pPr>
      <w:r>
        <w:rPr>
          <w:rFonts w:ascii="Arial" w:cs="Arial" w:eastAsia="Arial" w:hAnsi="Arial"/>
          <w:sz w:val="19"/>
          <w:szCs w:val="19"/>
          <w:color w:val="auto"/>
        </w:rPr>
        <w:t>11.9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64"/>
          </w:cols>
          <w:pgMar w:left="896" w:top="369"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10(l)5</w:t>
      </w:r>
    </w:p>
    <w:p>
      <w:pPr>
        <w:spacing w:after="0" w:line="248" w:lineRule="exact"/>
        <w:rPr>
          <w:sz w:val="20"/>
          <w:szCs w:val="20"/>
          <w:color w:val="auto"/>
        </w:rPr>
      </w:pPr>
    </w:p>
    <w:tbl>
      <w:tblPr>
        <w:tblLayout w:type="fixed"/>
        <w:tblInd w:w="1430" w:type="dxa"/>
        <w:tblCellMar>
          <w:top w:w="0" w:type="dxa"/>
          <w:left w:w="0" w:type="dxa"/>
          <w:bottom w:w="0" w:type="dxa"/>
          <w:right w:w="0" w:type="dxa"/>
        </w:tblCellMar>
      </w:tblPr>
      <w:tr>
        <w:trPr>
          <w:trHeight w:val="306"/>
        </w:trPr>
        <w:tc>
          <w:tcPr>
            <w:tcW w:w="6980" w:type="dxa"/>
            <w:vAlign w:val="bottom"/>
          </w:tcPr>
          <w:p>
            <w:pPr>
              <w:jc w:val="center"/>
              <w:ind w:left="1511"/>
              <w:spacing w:after="0"/>
              <w:rPr>
                <w:sz w:val="20"/>
                <w:szCs w:val="20"/>
                <w:color w:val="auto"/>
              </w:rPr>
            </w:pPr>
            <w:r>
              <w:rPr>
                <w:rFonts w:ascii="Arial" w:cs="Arial" w:eastAsia="Arial" w:hAnsi="Arial"/>
                <w:sz w:val="25"/>
                <w:szCs w:val="25"/>
                <w:b w:val="1"/>
                <w:bCs w:val="1"/>
                <w:color w:val="auto"/>
              </w:rPr>
              <w:t>ALLETE, INC.</w:t>
            </w:r>
          </w:p>
        </w:tc>
        <w:tc>
          <w:tcPr>
            <w:tcW w:w="1640" w:type="dxa"/>
            <w:vAlign w:val="bottom"/>
          </w:tcPr>
          <w:p>
            <w:pPr>
              <w:spacing w:after="0"/>
              <w:rPr>
                <w:sz w:val="24"/>
                <w:szCs w:val="24"/>
                <w:color w:val="auto"/>
              </w:rPr>
            </w:pPr>
          </w:p>
        </w:tc>
      </w:tr>
      <w:tr>
        <w:trPr>
          <w:trHeight w:val="257"/>
        </w:trPr>
        <w:tc>
          <w:tcPr>
            <w:tcW w:w="6980" w:type="dxa"/>
            <w:vAlign w:val="bottom"/>
          </w:tcPr>
          <w:p>
            <w:pPr>
              <w:jc w:val="center"/>
              <w:ind w:left="1491"/>
              <w:spacing w:after="0"/>
              <w:rPr>
                <w:sz w:val="20"/>
                <w:szCs w:val="20"/>
                <w:color w:val="auto"/>
              </w:rPr>
            </w:pPr>
            <w:r>
              <w:rPr>
                <w:rFonts w:ascii="Arial" w:cs="Arial" w:eastAsia="Arial" w:hAnsi="Arial"/>
                <w:sz w:val="22"/>
                <w:szCs w:val="22"/>
                <w:b w:val="1"/>
                <w:bCs w:val="1"/>
                <w:color w:val="auto"/>
                <w:w w:val="88"/>
              </w:rPr>
              <w:t>Non-Employee Director Compensation</w:t>
            </w:r>
          </w:p>
        </w:tc>
        <w:tc>
          <w:tcPr>
            <w:tcW w:w="1640" w:type="dxa"/>
            <w:vAlign w:val="bottom"/>
          </w:tcPr>
          <w:p>
            <w:pPr>
              <w:spacing w:after="0"/>
              <w:rPr>
                <w:sz w:val="22"/>
                <w:szCs w:val="22"/>
                <w:color w:val="auto"/>
              </w:rPr>
            </w:pPr>
          </w:p>
        </w:tc>
      </w:tr>
      <w:tr>
        <w:trPr>
          <w:trHeight w:val="281"/>
        </w:trPr>
        <w:tc>
          <w:tcPr>
            <w:tcW w:w="6980" w:type="dxa"/>
            <w:vAlign w:val="bottom"/>
          </w:tcPr>
          <w:p>
            <w:pPr>
              <w:jc w:val="center"/>
              <w:ind w:left="1491"/>
              <w:spacing w:after="0"/>
              <w:rPr>
                <w:sz w:val="20"/>
                <w:szCs w:val="20"/>
                <w:color w:val="auto"/>
              </w:rPr>
            </w:pPr>
            <w:r>
              <w:rPr>
                <w:rFonts w:ascii="Arial" w:cs="Arial" w:eastAsia="Arial" w:hAnsi="Arial"/>
                <w:sz w:val="22"/>
                <w:szCs w:val="22"/>
                <w:b w:val="1"/>
                <w:bCs w:val="1"/>
                <w:color w:val="auto"/>
                <w:w w:val="89"/>
              </w:rPr>
              <w:t>Effective January 1, 2015</w:t>
            </w:r>
          </w:p>
        </w:tc>
        <w:tc>
          <w:tcPr>
            <w:tcW w:w="1640" w:type="dxa"/>
            <w:vAlign w:val="bottom"/>
          </w:tcPr>
          <w:p>
            <w:pPr>
              <w:spacing w:after="0"/>
              <w:rPr>
                <w:sz w:val="24"/>
                <w:szCs w:val="24"/>
                <w:color w:val="auto"/>
              </w:rPr>
            </w:pPr>
          </w:p>
        </w:tc>
      </w:tr>
      <w:tr>
        <w:trPr>
          <w:trHeight w:val="692"/>
        </w:trPr>
        <w:tc>
          <w:tcPr>
            <w:tcW w:w="6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2"/>
        </w:trPr>
        <w:tc>
          <w:tcPr>
            <w:tcW w:w="698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Board Retainers </w:t>
            </w:r>
            <w:r>
              <w:rPr>
                <w:rFonts w:ascii="Arial" w:cs="Arial" w:eastAsia="Arial" w:hAnsi="Arial"/>
                <w:sz w:val="25"/>
                <w:szCs w:val="25"/>
                <w:color w:val="auto"/>
                <w:vertAlign w:val="superscript"/>
              </w:rPr>
              <w:t>(1) (2)</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Stock</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$73,000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Cash</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$58,000</w:t>
            </w:r>
          </w:p>
        </w:tc>
      </w:tr>
      <w:tr>
        <w:trPr>
          <w:trHeight w:val="249"/>
        </w:trPr>
        <w:tc>
          <w:tcPr>
            <w:tcW w:w="698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Committee Cash Retainers </w:t>
            </w:r>
            <w:r>
              <w:rPr>
                <w:rFonts w:ascii="Arial" w:cs="Arial" w:eastAsia="Arial" w:hAnsi="Arial"/>
                <w:sz w:val="25"/>
                <w:szCs w:val="25"/>
                <w:color w:val="auto"/>
                <w:vertAlign w:val="superscript"/>
              </w:rPr>
              <w:t>(1) (2)</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Audit</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$9,000</w:t>
            </w: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Executive Compensation</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$7,500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Corporate Governance &amp; Nominating</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$7,500</w:t>
            </w:r>
          </w:p>
        </w:tc>
      </w:tr>
      <w:tr>
        <w:trPr>
          <w:trHeight w:val="249"/>
        </w:trPr>
        <w:tc>
          <w:tcPr>
            <w:tcW w:w="6980" w:type="dxa"/>
            <w:vAlign w:val="bottom"/>
            <w:tcBorders>
              <w:lef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 xml:space="preserve">Chair Cash Retainers </w:t>
            </w:r>
            <w:r>
              <w:rPr>
                <w:rFonts w:ascii="Arial" w:cs="Arial" w:eastAsia="Arial" w:hAnsi="Arial"/>
                <w:sz w:val="25"/>
                <w:szCs w:val="25"/>
                <w:color w:val="auto"/>
                <w:vertAlign w:val="superscript"/>
              </w:rPr>
              <w:t>(1) (2)</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Audit</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$10,000</w:t>
            </w: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Executive Compensation</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$7,500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Corporate Governance &amp; Nominating</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$5,000</w:t>
            </w:r>
          </w:p>
        </w:tc>
      </w:tr>
      <w:tr>
        <w:trPr>
          <w:trHeight w:val="351"/>
        </w:trPr>
        <w:tc>
          <w:tcPr>
            <w:tcW w:w="6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2"/>
        </w:trPr>
        <w:tc>
          <w:tcPr>
            <w:tcW w:w="698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Lead Director </w:t>
            </w:r>
            <w:r>
              <w:rPr>
                <w:rFonts w:ascii="Arial" w:cs="Arial" w:eastAsia="Arial" w:hAnsi="Arial"/>
                <w:sz w:val="25"/>
                <w:szCs w:val="25"/>
                <w:color w:val="auto"/>
                <w:vertAlign w:val="superscript"/>
              </w:rPr>
              <w:t>(1) (2) (3)</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Stock Retainer</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$73,000</w:t>
            </w: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Cash Retainer</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$58,000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Lead Director Cash Retainer</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$25,000</w:t>
            </w:r>
          </w:p>
        </w:tc>
      </w:tr>
      <w:tr>
        <w:trPr>
          <w:trHeight w:val="351"/>
        </w:trPr>
        <w:tc>
          <w:tcPr>
            <w:tcW w:w="6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2"/>
        </w:trPr>
        <w:tc>
          <w:tcPr>
            <w:tcW w:w="698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b w:val="1"/>
                <w:bCs w:val="1"/>
                <w:color w:val="auto"/>
              </w:rPr>
              <w:t xml:space="preserve">Board Chairman </w:t>
            </w:r>
            <w:r>
              <w:rPr>
                <w:rFonts w:ascii="Arial" w:cs="Arial" w:eastAsia="Arial" w:hAnsi="Arial"/>
                <w:sz w:val="25"/>
                <w:szCs w:val="25"/>
                <w:color w:val="auto"/>
                <w:vertAlign w:val="superscript"/>
              </w:rPr>
              <w:t>(1) (2) (3)</w:t>
            </w:r>
          </w:p>
        </w:tc>
        <w:tc>
          <w:tcPr>
            <w:tcW w:w="1640" w:type="dxa"/>
            <w:vAlign w:val="bottom"/>
            <w:tcBorders>
              <w:right w:val="single" w:sz="8" w:color="auto"/>
            </w:tcBorders>
          </w:tcPr>
          <w:p>
            <w:pPr>
              <w:spacing w:after="0"/>
              <w:rPr>
                <w:sz w:val="21"/>
                <w:szCs w:val="21"/>
                <w:color w:val="auto"/>
              </w:rPr>
            </w:pPr>
          </w:p>
        </w:tc>
      </w:tr>
      <w:tr>
        <w:trPr>
          <w:trHeight w:val="243"/>
        </w:trPr>
        <w:tc>
          <w:tcPr>
            <w:tcW w:w="698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Board Stock Retainer</w:t>
            </w:r>
          </w:p>
        </w:tc>
        <w:tc>
          <w:tcPr>
            <w:tcW w:w="164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$90,000</w:t>
            </w:r>
          </w:p>
        </w:tc>
      </w:tr>
      <w:tr>
        <w:trPr>
          <w:trHeight w:val="285"/>
        </w:trPr>
        <w:tc>
          <w:tcPr>
            <w:tcW w:w="6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Board Cash Retainer</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$85,000</w:t>
            </w:r>
          </w:p>
        </w:tc>
      </w:tr>
    </w:tbl>
    <w:p>
      <w:pPr>
        <w:spacing w:after="0" w:line="200" w:lineRule="exact"/>
        <w:rPr>
          <w:sz w:val="20"/>
          <w:szCs w:val="20"/>
          <w:color w:val="auto"/>
        </w:rPr>
      </w:pPr>
    </w:p>
    <w:p>
      <w:pPr>
        <w:spacing w:after="0" w:line="363"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25"/>
          <w:szCs w:val="25"/>
          <w:color w:val="auto"/>
          <w:vertAlign w:val="superscript"/>
        </w:rPr>
      </w:pPr>
      <w:r>
        <w:rPr>
          <w:rFonts w:ascii="Arial" w:cs="Arial" w:eastAsia="Arial" w:hAnsi="Arial"/>
          <w:sz w:val="20"/>
          <w:szCs w:val="20"/>
          <w:color w:val="auto"/>
        </w:rPr>
        <w:t>Cash and stock retainers may be deferred under the Director Compensation Deferral Plan II.</w:t>
      </w:r>
    </w:p>
    <w:p>
      <w:pPr>
        <w:ind w:left="340" w:hanging="332"/>
        <w:spacing w:after="0" w:line="191" w:lineRule="auto"/>
        <w:tabs>
          <w:tab w:leader="none" w:pos="340" w:val="left"/>
        </w:tabs>
        <w:numPr>
          <w:ilvl w:val="0"/>
          <w:numId w:val="73"/>
        </w:numPr>
        <w:rPr>
          <w:rFonts w:ascii="Arial" w:cs="Arial" w:eastAsia="Arial" w:hAnsi="Arial"/>
          <w:sz w:val="25"/>
          <w:szCs w:val="25"/>
          <w:color w:val="auto"/>
          <w:vertAlign w:val="superscript"/>
        </w:rPr>
      </w:pPr>
      <w:r>
        <w:rPr>
          <w:rFonts w:ascii="Arial" w:cs="Arial" w:eastAsia="Arial" w:hAnsi="Arial"/>
          <w:sz w:val="20"/>
          <w:szCs w:val="20"/>
          <w:color w:val="auto"/>
        </w:rPr>
        <w:t>Cash retainers may be elected to be received in ALLETE stock.</w:t>
      </w:r>
    </w:p>
    <w:p>
      <w:pPr>
        <w:ind w:left="340" w:hanging="332"/>
        <w:spacing w:after="0" w:line="195" w:lineRule="auto"/>
        <w:tabs>
          <w:tab w:leader="none" w:pos="340" w:val="left"/>
        </w:tabs>
        <w:numPr>
          <w:ilvl w:val="0"/>
          <w:numId w:val="73"/>
        </w:numPr>
        <w:rPr>
          <w:rFonts w:ascii="Arial" w:cs="Arial" w:eastAsia="Arial" w:hAnsi="Arial"/>
          <w:sz w:val="25"/>
          <w:szCs w:val="25"/>
          <w:color w:val="auto"/>
          <w:vertAlign w:val="superscript"/>
        </w:rPr>
      </w:pPr>
      <w:r>
        <w:rPr>
          <w:rFonts w:ascii="Arial" w:cs="Arial" w:eastAsia="Arial" w:hAnsi="Arial"/>
          <w:sz w:val="20"/>
          <w:szCs w:val="20"/>
          <w:color w:val="auto"/>
        </w:rPr>
        <w:t>Lead Director and Board Chairman are not eligible for other committee or chair retainers.</w:t>
      </w:r>
    </w:p>
    <w:p>
      <w:pPr>
        <w:sectPr>
          <w:pgSz w:w="11900" w:h="16838" w:orient="portrait"/>
          <w:cols w:equalWidth="0" w:num="1">
            <w:col w:w="11420"/>
          </w:cols>
          <w:pgMar w:left="240" w:top="121"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Exhibit 12</w:t>
            </w: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578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Computation of Ratios of Earnings to Fixed Charges (Unaudited)</w:t>
            </w: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9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2011</w:t>
            </w: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r>
      <w:tr>
        <w:trPr>
          <w:trHeight w:val="27"/>
        </w:trPr>
        <w:tc>
          <w:tcPr>
            <w:tcW w:w="5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are defined:</w:t>
            </w:r>
          </w:p>
        </w:tc>
        <w:tc>
          <w:tcPr>
            <w:tcW w:w="1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500"/>
              <w:spacing w:after="0"/>
              <w:rPr>
                <w:sz w:val="20"/>
                <w:szCs w:val="20"/>
                <w:color w:val="auto"/>
              </w:rPr>
            </w:pPr>
            <w:r>
              <w:rPr>
                <w:rFonts w:ascii="Arial" w:cs="Arial" w:eastAsia="Arial" w:hAnsi="Arial"/>
                <w:sz w:val="18"/>
                <w:szCs w:val="18"/>
                <w:color w:val="auto"/>
              </w:rPr>
              <w:t>Pretax Income Before Non-Controlling Interest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$162.2</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$133.3</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$135.0</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$129.2</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
        </w:trPr>
        <w:tc>
          <w:tcPr>
            <w:tcW w:w="5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 Fixed Charges</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62.5</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56.7</w:t>
            </w: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51.2</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47.6</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43"/>
        </w:trPr>
        <w:tc>
          <w:tcPr>
            <w:tcW w:w="5780" w:type="dxa"/>
            <w:vAlign w:val="bottom"/>
          </w:tcPr>
          <w:p>
            <w:pPr>
              <w:ind w:left="500"/>
              <w:spacing w:after="0"/>
              <w:rPr>
                <w:sz w:val="20"/>
                <w:szCs w:val="20"/>
                <w:color w:val="auto"/>
              </w:rPr>
            </w:pPr>
            <w:r>
              <w:rPr>
                <w:rFonts w:ascii="Arial" w:cs="Arial" w:eastAsia="Arial" w:hAnsi="Arial"/>
                <w:sz w:val="18"/>
                <w:szCs w:val="18"/>
                <w:color w:val="auto"/>
              </w:rPr>
              <w:t xml:space="preserve">Less: Non-Controlling Interest </w:t>
            </w:r>
            <w:r>
              <w:rPr>
                <w:rFonts w:ascii="Arial" w:cs="Arial" w:eastAsia="Arial" w:hAnsi="Arial"/>
                <w:sz w:val="18"/>
                <w:szCs w:val="18"/>
                <w:i w:val="1"/>
                <w:iCs w:val="1"/>
                <w:color w:val="auto"/>
              </w:rPr>
              <w:t>(a)</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7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5"/>
              </w:rPr>
              <w:t>Undistributed Income from Less than 50 percent Owned Equity</w:t>
            </w: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2"/>
        </w:trPr>
        <w:tc>
          <w:tcPr>
            <w:tcW w:w="57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Investment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3.8</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Earnings as defined:</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$221.4</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$185.9</w:t>
            </w:r>
          </w:p>
        </w:tc>
        <w:tc>
          <w:tcPr>
            <w:tcW w:w="12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$182.4</w:t>
            </w: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$173.0</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$159.1</w:t>
            </w:r>
          </w:p>
        </w:tc>
      </w:tr>
      <w:tr>
        <w:trPr>
          <w:trHeight w:val="27"/>
        </w:trPr>
        <w:tc>
          <w:tcPr>
            <w:tcW w:w="5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5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on Long-Term Debt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$55.6</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$50.9</w:t>
            </w: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$47.0</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5780" w:type="dxa"/>
            <w:vAlign w:val="bottom"/>
          </w:tcPr>
          <w:p>
            <w:pPr>
              <w:ind w:left="500"/>
              <w:spacing w:after="0"/>
              <w:rPr>
                <w:sz w:val="20"/>
                <w:szCs w:val="20"/>
                <w:color w:val="auto"/>
              </w:rPr>
            </w:pPr>
            <w:r>
              <w:rPr>
                <w:rFonts w:ascii="Arial" w:cs="Arial" w:eastAsia="Arial" w:hAnsi="Arial"/>
                <w:sz w:val="18"/>
                <w:szCs w:val="18"/>
                <w:color w:val="auto"/>
              </w:rPr>
              <w:t>Other Interest Charges</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Interest Component of All Rentals </w:t>
            </w:r>
            <w:r>
              <w:rPr>
                <w:rFonts w:ascii="Arial" w:cs="Arial" w:eastAsia="Arial" w:hAnsi="Arial"/>
                <w:sz w:val="18"/>
                <w:szCs w:val="18"/>
                <w:i w:val="1"/>
                <w:iCs w:val="1"/>
                <w:color w:val="auto"/>
              </w:rPr>
              <w:t>(b)</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3.8</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5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Fixed Charges</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$62.5</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$56.7</w:t>
            </w:r>
          </w:p>
        </w:tc>
        <w:tc>
          <w:tcPr>
            <w:tcW w:w="12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$51.2</w:t>
            </w: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$47.6</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r>
      <w:tr>
        <w:trPr>
          <w:trHeight w:val="27"/>
        </w:trPr>
        <w:tc>
          <w:tcPr>
            <w:tcW w:w="5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3.54</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3.28</w:t>
            </w: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3.56</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3.63</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r>
      <w:tr>
        <w:trPr>
          <w:trHeight w:val="20"/>
        </w:trPr>
        <w:tc>
          <w:tcPr>
            <w:tcW w:w="57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Pretax income of subsidiaries that have not incurred fixed charges.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interest portion of rents estimated at 33 1/3 percent.</w:t>
      </w:r>
    </w:p>
    <w:p>
      <w:pPr>
        <w:sectPr>
          <w:pgSz w:w="11900" w:h="16838" w:orient="portrait"/>
          <w:cols w:equalWidth="0" w:num="1">
            <w:col w:w="11200"/>
          </w:cols>
          <w:pgMar w:left="240" w:top="581" w:right="459" w:bottom="1440" w:gutter="0" w:footer="0" w:header="0"/>
        </w:sectPr>
      </w:pPr>
    </w:p>
    <w:bookmarkStart w:id="178" w:name="page179"/>
    <w:bookmarkEnd w:id="17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740" w:type="dxa"/>
            <w:vAlign w:val="bottom"/>
            <w:gridSpan w:val="2"/>
          </w:tcPr>
          <w:p>
            <w:pPr>
              <w:ind w:left="194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441"/>
        </w:trPr>
        <w:tc>
          <w:tcPr>
            <w:tcW w:w="2180" w:type="dxa"/>
            <w:vAlign w:val="bottom"/>
          </w:tcPr>
          <w:p>
            <w:pPr>
              <w:spacing w:after="0"/>
              <w:rPr>
                <w:sz w:val="24"/>
                <w:szCs w:val="24"/>
                <w:color w:val="auto"/>
              </w:rPr>
            </w:pPr>
          </w:p>
        </w:tc>
        <w:tc>
          <w:tcPr>
            <w:tcW w:w="6500" w:type="dxa"/>
            <w:vAlign w:val="bottom"/>
          </w:tcPr>
          <w:p>
            <w:pPr>
              <w:jc w:val="center"/>
              <w:ind w:left="470"/>
              <w:spacing w:after="0"/>
              <w:rPr>
                <w:sz w:val="20"/>
                <w:szCs w:val="20"/>
                <w:color w:val="auto"/>
              </w:rPr>
            </w:pPr>
            <w:r>
              <w:rPr>
                <w:rFonts w:ascii="Arial" w:cs="Arial" w:eastAsia="Arial" w:hAnsi="Arial"/>
                <w:sz w:val="18"/>
                <w:szCs w:val="18"/>
                <w:b w:val="1"/>
                <w:bCs w:val="1"/>
                <w:color w:val="auto"/>
              </w:rPr>
              <w:t>SUBSIDIARIES OF THE REGISTRANT</w:t>
            </w: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(As of December 31, 2014)</w:t>
            </w: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650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(Reported Under Item 601 of Regulation S-K)</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180" w:type="dxa"/>
            <w:vAlign w:val="bottom"/>
            <w:tcBorders>
              <w:bottom w:val="single" w:sz="8" w:color="auto"/>
            </w:tcBorders>
          </w:tcPr>
          <w:p>
            <w:pPr>
              <w:spacing w:after="0"/>
              <w:rPr>
                <w:sz w:val="11"/>
                <w:szCs w:val="11"/>
                <w:color w:val="auto"/>
              </w:rPr>
            </w:pPr>
          </w:p>
        </w:tc>
        <w:tc>
          <w:tcPr>
            <w:tcW w:w="650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Organization</w:t>
            </w:r>
          </w:p>
        </w:tc>
        <w:tc>
          <w:tcPr>
            <w:tcW w:w="274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2"/>
              </w:rPr>
              <w:t>State or Country</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280"/>
              <w:spacing w:after="0"/>
              <w:rPr>
                <w:sz w:val="20"/>
                <w:szCs w:val="20"/>
                <w:color w:val="auto"/>
              </w:rPr>
            </w:pPr>
            <w:r>
              <w:rPr>
                <w:rFonts w:ascii="Arial" w:cs="Arial" w:eastAsia="Arial" w:hAnsi="Arial"/>
                <w:sz w:val="18"/>
                <w:szCs w:val="18"/>
                <w:i w:val="1"/>
                <w:iCs w:val="1"/>
                <w:color w:val="auto"/>
              </w:rPr>
              <w:t>Minnesota Power &amp; Light Company; MPEX; MPEX A Division of Minnesota Power)</w:t>
            </w: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ALLETE Automotive Services,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280"/>
              <w:spacing w:after="0"/>
              <w:rPr>
                <w:sz w:val="20"/>
                <w:szCs w:val="20"/>
                <w:color w:val="auto"/>
              </w:rPr>
            </w:pPr>
            <w:r>
              <w:rPr>
                <w:rFonts w:ascii="Arial" w:cs="Arial" w:eastAsia="Arial" w:hAnsi="Arial"/>
                <w:sz w:val="18"/>
                <w:szCs w:val="18"/>
                <w:color w:val="auto"/>
              </w:rPr>
              <w:t>ALLETE Capital II</w:t>
            </w:r>
          </w:p>
        </w:tc>
        <w:tc>
          <w:tcPr>
            <w:tcW w:w="2740" w:type="dxa"/>
            <w:vAlign w:val="bottom"/>
            <w:gridSpan w:val="2"/>
            <w:vMerge w:val="restart"/>
          </w:tcPr>
          <w:p>
            <w:pPr>
              <w:jc w:val="center"/>
              <w:ind w:left="8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ALLETE Capital III</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28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2740" w:type="dxa"/>
            <w:vAlign w:val="bottom"/>
            <w:gridSpan w:val="2"/>
            <w:vMerge w:val="restart"/>
          </w:tcPr>
          <w:p>
            <w:pPr>
              <w:jc w:val="center"/>
              <w:ind w:left="89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ALLETE Commercial,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Cape Coral Holdings, Inc.</w:t>
            </w:r>
          </w:p>
        </w:tc>
        <w:tc>
          <w:tcPr>
            <w:tcW w:w="2740" w:type="dxa"/>
            <w:vAlign w:val="bottom"/>
            <w:gridSpan w:val="2"/>
            <w:vMerge w:val="restart"/>
          </w:tcPr>
          <w:p>
            <w:pPr>
              <w:jc w:val="center"/>
              <w:ind w:left="8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Lake Swamp,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Lehigh Acquisition, LLC</w:t>
            </w:r>
          </w:p>
        </w:tc>
        <w:tc>
          <w:tcPr>
            <w:tcW w:w="2740" w:type="dxa"/>
            <w:vAlign w:val="bottom"/>
            <w:gridSpan w:val="2"/>
            <w:vMerge w:val="restart"/>
          </w:tcPr>
          <w:p>
            <w:pPr>
              <w:jc w:val="center"/>
              <w:ind w:left="8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Florida Landmark Communities,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920"/>
              <w:spacing w:after="0"/>
              <w:rPr>
                <w:sz w:val="20"/>
                <w:szCs w:val="20"/>
                <w:color w:val="auto"/>
              </w:rPr>
            </w:pPr>
            <w:r>
              <w:rPr>
                <w:rFonts w:ascii="Arial" w:cs="Arial" w:eastAsia="Arial" w:hAnsi="Arial"/>
                <w:sz w:val="18"/>
                <w:szCs w:val="18"/>
                <w:color w:val="auto"/>
              </w:rPr>
              <w:t>Lehigh Corporation</w:t>
            </w:r>
          </w:p>
        </w:tc>
        <w:tc>
          <w:tcPr>
            <w:tcW w:w="2740" w:type="dxa"/>
            <w:vAlign w:val="bottom"/>
            <w:gridSpan w:val="2"/>
            <w:vMerge w:val="restart"/>
          </w:tcPr>
          <w:p>
            <w:pPr>
              <w:jc w:val="center"/>
              <w:ind w:left="8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Mardem,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920"/>
              <w:spacing w:after="0"/>
              <w:rPr>
                <w:sz w:val="20"/>
                <w:szCs w:val="20"/>
                <w:color w:val="auto"/>
              </w:rPr>
            </w:pPr>
            <w:r>
              <w:rPr>
                <w:rFonts w:ascii="Arial" w:cs="Arial" w:eastAsia="Arial" w:hAnsi="Arial"/>
                <w:sz w:val="18"/>
                <w:szCs w:val="18"/>
                <w:color w:val="auto"/>
              </w:rPr>
              <w:t>Palm Coast Holdings, Inc.</w:t>
            </w:r>
          </w:p>
        </w:tc>
        <w:tc>
          <w:tcPr>
            <w:tcW w:w="2740" w:type="dxa"/>
            <w:vAlign w:val="bottom"/>
            <w:gridSpan w:val="2"/>
            <w:vMerge w:val="restart"/>
          </w:tcPr>
          <w:p>
            <w:pPr>
              <w:jc w:val="center"/>
              <w:ind w:left="8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Port Orange Holdings,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720"/>
              <w:spacing w:after="0"/>
              <w:rPr>
                <w:sz w:val="20"/>
                <w:szCs w:val="20"/>
                <w:color w:val="auto"/>
              </w:rPr>
            </w:pPr>
            <w:r>
              <w:rPr>
                <w:rFonts w:ascii="Arial" w:cs="Arial" w:eastAsia="Arial" w:hAnsi="Arial"/>
                <w:sz w:val="18"/>
                <w:szCs w:val="18"/>
                <w:color w:val="auto"/>
              </w:rPr>
              <w:t>Interlachen Lakes Estates, LLC</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Palm Coast Land,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Tomoka Holdings, LLC</w:t>
            </w:r>
          </w:p>
        </w:tc>
        <w:tc>
          <w:tcPr>
            <w:tcW w:w="2740" w:type="dxa"/>
            <w:vAlign w:val="bottom"/>
            <w:gridSpan w:val="2"/>
            <w:vMerge w:val="restart"/>
          </w:tcPr>
          <w:p>
            <w:pPr>
              <w:jc w:val="center"/>
              <w:ind w:left="8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ALLETE Water Services, Inc.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Florida Water Services Corporation</w:t>
            </w:r>
          </w:p>
        </w:tc>
        <w:tc>
          <w:tcPr>
            <w:tcW w:w="2740" w:type="dxa"/>
            <w:vAlign w:val="bottom"/>
            <w:gridSpan w:val="2"/>
            <w:vMerge w:val="restart"/>
          </w:tcPr>
          <w:p>
            <w:pPr>
              <w:jc w:val="center"/>
              <w:ind w:left="8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Energy Replacement Property,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280"/>
              <w:spacing w:after="0"/>
              <w:rPr>
                <w:sz w:val="20"/>
                <w:szCs w:val="20"/>
                <w:color w:val="auto"/>
              </w:rPr>
            </w:pPr>
            <w:r>
              <w:rPr>
                <w:rFonts w:ascii="Arial" w:cs="Arial" w:eastAsia="Arial" w:hAnsi="Arial"/>
                <w:sz w:val="18"/>
                <w:szCs w:val="18"/>
                <w:color w:val="auto"/>
              </w:rPr>
              <w:t>Energy Land, Incorporated</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Wisconsin</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Lakeview Financial Corporation I</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280"/>
              <w:spacing w:after="0"/>
              <w:rPr>
                <w:sz w:val="20"/>
                <w:szCs w:val="20"/>
                <w:color w:val="auto"/>
              </w:rPr>
            </w:pPr>
            <w:r>
              <w:rPr>
                <w:rFonts w:ascii="Arial" w:cs="Arial" w:eastAsia="Arial" w:hAnsi="Arial"/>
                <w:sz w:val="18"/>
                <w:szCs w:val="18"/>
                <w:color w:val="auto"/>
              </w:rPr>
              <w:t>Lakeview Financial Corporation II</w:t>
            </w:r>
          </w:p>
        </w:tc>
        <w:tc>
          <w:tcPr>
            <w:tcW w:w="2740" w:type="dxa"/>
            <w:vAlign w:val="bottom"/>
            <w:gridSpan w:val="2"/>
            <w:vMerge w:val="restart"/>
          </w:tcPr>
          <w:p>
            <w:pPr>
              <w:jc w:val="center"/>
              <w:ind w:left="89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shd w:val="clear" w:color="auto" w:fill="CCEEFF"/>
              </w:rPr>
              <w:t>ALLETE Enterprises, Inc.</w:t>
            </w:r>
          </w:p>
        </w:tc>
        <w:tc>
          <w:tcPr>
            <w:tcW w:w="6500" w:type="dxa"/>
            <w:vAlign w:val="bottom"/>
            <w:shd w:val="clear" w:color="auto" w:fill="CCEEFF"/>
          </w:tcPr>
          <w:p>
            <w:pPr>
              <w:spacing w:after="0"/>
              <w:rPr>
                <w:sz w:val="19"/>
                <w:szCs w:val="19"/>
                <w:color w:val="auto"/>
              </w:rPr>
            </w:pP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65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ALLETE Clean Energy, Inc.</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ACE Wind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920"/>
              <w:spacing w:after="0"/>
              <w:rPr>
                <w:sz w:val="20"/>
                <w:szCs w:val="20"/>
                <w:color w:val="auto"/>
              </w:rPr>
            </w:pPr>
            <w:r>
              <w:rPr>
                <w:rFonts w:ascii="Arial" w:cs="Arial" w:eastAsia="Arial" w:hAnsi="Arial"/>
                <w:sz w:val="18"/>
                <w:szCs w:val="18"/>
                <w:color w:val="auto"/>
              </w:rPr>
              <w:t>ACE Mid-West Holdings, LLC</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MWW Holdings,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1360"/>
              <w:spacing w:after="0"/>
              <w:rPr>
                <w:sz w:val="20"/>
                <w:szCs w:val="20"/>
                <w:color w:val="auto"/>
              </w:rPr>
            </w:pPr>
            <w:r>
              <w:rPr>
                <w:rFonts w:ascii="Arial" w:cs="Arial" w:eastAsia="Arial" w:hAnsi="Arial"/>
                <w:sz w:val="18"/>
                <w:szCs w:val="18"/>
                <w:color w:val="auto"/>
              </w:rPr>
              <w:t>Lake Benton Power Associates LLC</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580"/>
              <w:spacing w:after="0"/>
              <w:rPr>
                <w:sz w:val="20"/>
                <w:szCs w:val="20"/>
                <w:color w:val="auto"/>
              </w:rPr>
            </w:pPr>
            <w:r>
              <w:rPr>
                <w:rFonts w:ascii="Arial" w:cs="Arial" w:eastAsia="Arial" w:hAnsi="Arial"/>
                <w:sz w:val="18"/>
                <w:szCs w:val="18"/>
                <w:color w:val="auto"/>
              </w:rPr>
              <w:t>Lake Benton Holdings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1800"/>
              <w:spacing w:after="0"/>
              <w:rPr>
                <w:sz w:val="20"/>
                <w:szCs w:val="20"/>
                <w:color w:val="auto"/>
              </w:rPr>
            </w:pPr>
            <w:r>
              <w:rPr>
                <w:rFonts w:ascii="Arial" w:cs="Arial" w:eastAsia="Arial" w:hAnsi="Arial"/>
                <w:sz w:val="18"/>
                <w:szCs w:val="18"/>
                <w:color w:val="auto"/>
              </w:rPr>
              <w:t>Lake Benton Power Partners L.L.C.</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Storm Lake Power Partners I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1360"/>
              <w:spacing w:after="0"/>
              <w:rPr>
                <w:sz w:val="20"/>
                <w:szCs w:val="20"/>
                <w:color w:val="auto"/>
              </w:rPr>
            </w:pPr>
            <w:r>
              <w:rPr>
                <w:rFonts w:ascii="Arial" w:cs="Arial" w:eastAsia="Arial" w:hAnsi="Arial"/>
                <w:sz w:val="18"/>
                <w:szCs w:val="18"/>
                <w:color w:val="auto"/>
              </w:rPr>
              <w:t>Storm Lake Power Associates LLC</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580"/>
              <w:spacing w:after="0"/>
              <w:rPr>
                <w:sz w:val="20"/>
                <w:szCs w:val="20"/>
                <w:color w:val="auto"/>
              </w:rPr>
            </w:pPr>
            <w:r>
              <w:rPr>
                <w:rFonts w:ascii="Arial" w:cs="Arial" w:eastAsia="Arial" w:hAnsi="Arial"/>
                <w:sz w:val="18"/>
                <w:szCs w:val="18"/>
                <w:color w:val="auto"/>
              </w:rPr>
              <w:t>Storm Lake II Holdings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1800"/>
              <w:spacing w:after="0"/>
              <w:rPr>
                <w:sz w:val="20"/>
                <w:szCs w:val="20"/>
                <w:color w:val="auto"/>
              </w:rPr>
            </w:pPr>
            <w:r>
              <w:rPr>
                <w:rFonts w:ascii="Arial" w:cs="Arial" w:eastAsia="Arial" w:hAnsi="Arial"/>
                <w:sz w:val="18"/>
                <w:szCs w:val="18"/>
                <w:color w:val="auto"/>
              </w:rPr>
              <w:t>Storm Lake Power Partners II LLC</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ACE West Holdings,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1140"/>
              <w:spacing w:after="0"/>
              <w:rPr>
                <w:sz w:val="20"/>
                <w:szCs w:val="20"/>
                <w:color w:val="auto"/>
              </w:rPr>
            </w:pPr>
            <w:r>
              <w:rPr>
                <w:rFonts w:ascii="Arial" w:cs="Arial" w:eastAsia="Arial" w:hAnsi="Arial"/>
                <w:sz w:val="18"/>
                <w:szCs w:val="18"/>
                <w:color w:val="auto"/>
              </w:rPr>
              <w:t>Condon Wind Power, LLC</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Thunder Spirit Wind,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720"/>
              <w:spacing w:after="0"/>
              <w:rPr>
                <w:sz w:val="20"/>
                <w:szCs w:val="20"/>
                <w:color w:val="auto"/>
              </w:rPr>
            </w:pPr>
            <w:r>
              <w:rPr>
                <w:rFonts w:ascii="Arial" w:cs="Arial" w:eastAsia="Arial" w:hAnsi="Arial"/>
                <w:sz w:val="18"/>
                <w:szCs w:val="18"/>
                <w:color w:val="auto"/>
              </w:rPr>
              <w:t>ACE O&amp;M, LLC</w:t>
            </w:r>
          </w:p>
        </w:tc>
        <w:tc>
          <w:tcPr>
            <w:tcW w:w="2740" w:type="dxa"/>
            <w:vAlign w:val="bottom"/>
            <w:gridSpan w:val="2"/>
          </w:tcPr>
          <w:p>
            <w:pPr>
              <w:jc w:val="center"/>
              <w:ind w:left="8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ALLETE Renewable Resources, Inc.</w:t>
            </w:r>
          </w:p>
        </w:tc>
        <w:tc>
          <w:tcPr>
            <w:tcW w:w="272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4"/>
              </w:rPr>
              <w:t>North Dakota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
        </w:trPr>
        <w:tc>
          <w:tcPr>
            <w:tcW w:w="2180" w:type="dxa"/>
            <w:vAlign w:val="bottom"/>
            <w:shd w:val="clear" w:color="auto" w:fill="CCEEFF"/>
          </w:tcPr>
          <w:p>
            <w:pPr>
              <w:spacing w:after="0"/>
              <w:rPr>
                <w:sz w:val="7"/>
                <w:szCs w:val="7"/>
                <w:color w:val="auto"/>
              </w:rPr>
            </w:pPr>
          </w:p>
        </w:tc>
        <w:tc>
          <w:tcPr>
            <w:tcW w:w="6500" w:type="dxa"/>
            <w:vAlign w:val="bottom"/>
            <w:shd w:val="clear" w:color="auto" w:fill="CCEEFF"/>
          </w:tcPr>
          <w:p>
            <w:pPr>
              <w:spacing w:after="0"/>
              <w:rPr>
                <w:sz w:val="7"/>
                <w:szCs w:val="7"/>
                <w:color w:val="auto"/>
              </w:rPr>
            </w:pPr>
          </w:p>
        </w:tc>
        <w:tc>
          <w:tcPr>
            <w:tcW w:w="2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79" w:name="page180"/>
    <w:bookmarkEnd w:id="179"/>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2947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54305"/>
                    </a:xfrm>
                    <a:prstGeom prst="rect">
                      <a:avLst/>
                    </a:prstGeom>
                    <a:noFill/>
                  </pic:spPr>
                </pic:pic>
              </a:graphicData>
            </a:graphic>
          </wp:anchor>
        </w:drawing>
        <w:t>BNI Coal,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North Dakota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22860</wp:posOffset>
            </wp:positionV>
            <wp:extent cx="7229475"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MP Affiliate Resources, Inc.</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Minnesota</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Rainy River Energy Corporation</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22860</wp:posOffset>
            </wp:positionV>
            <wp:extent cx="7229475"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Rainy River Energy Corporation - Wisconsin</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Wisconsin</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Upper Minnesota Properties, Inc.</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22860</wp:posOffset>
            </wp:positionV>
            <wp:extent cx="7229475"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Upper Minnesota Properties - Development, Inc.</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Minnesota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MP Investments, Inc.</w:t>
      </w:r>
    </w:p>
    <w:p>
      <w:pPr>
        <w:spacing w:after="0" w:line="2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22860</wp:posOffset>
            </wp:positionV>
            <wp:extent cx="7229475"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RendField Land Company, Inc.</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Minnesota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 Company</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Wisconsin</w:t>
      </w:r>
    </w:p>
    <w:p>
      <w:pPr>
        <w:sectPr>
          <w:pgSz w:w="11900" w:h="16838" w:orient="portrait"/>
          <w:cols w:equalWidth="0" w:num="1">
            <w:col w:w="10760"/>
          </w:cols>
          <w:pgMar w:left="520" w:top="395" w:right="6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S-3 (Nos. 333-188315, 333-190335) and Form S-8 (Nos. 333-91348, 333-183051, 333-162890, 333-190336) of ALLETE, Inc. of our report dated February 17, 2015,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2015</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Alan R. Hodnik, certify that:</w:t>
      </w:r>
    </w:p>
    <w:p>
      <w:pPr>
        <w:spacing w:after="0" w:line="225"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2014,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Date: February 17, 2015</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31750</wp:posOffset>
            </wp:positionV>
            <wp:extent cx="39789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Steven Q. DeVinck, certify that:</w:t>
      </w:r>
    </w:p>
    <w:p>
      <w:pPr>
        <w:spacing w:after="0" w:line="225"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2014,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3680" w:val="left"/>
        </w:tabs>
        <w:rPr>
          <w:sz w:val="20"/>
          <w:szCs w:val="20"/>
          <w:color w:val="auto"/>
        </w:rPr>
      </w:pPr>
      <w:r>
        <w:rPr>
          <w:rFonts w:ascii="Arial" w:cs="Arial" w:eastAsia="Arial" w:hAnsi="Arial"/>
          <w:sz w:val="18"/>
          <w:szCs w:val="18"/>
          <w:color w:val="auto"/>
        </w:rPr>
        <w:t>Date:</w:t>
        <w:tab/>
        <w:t>February 17, 2015</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31750</wp:posOffset>
            </wp:positionV>
            <wp:extent cx="49225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340" w:hanging="170"/>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2014,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17, 2015</w:t>
      </w:r>
      <w:r>
        <w:rPr>
          <w:sz w:val="20"/>
          <w:szCs w:val="20"/>
          <w:color w:val="auto"/>
        </w:rPr>
        <w:tab/>
      </w:r>
      <w:r>
        <w:rPr>
          <w:rFonts w:ascii="Arial" w:cs="Arial" w:eastAsia="Arial" w:hAnsi="Arial"/>
          <w:sz w:val="16"/>
          <w:szCs w:val="16"/>
          <w:u w:val="single" w:color="auto"/>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17, 2015</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$11,849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For the year ended December 31, 2014, BNI Coal, owner of Center Mine, received six significant and substantial (S&amp;S) citations under Section 104(a) of the Mine Safety Act. The total penalties assessed on BNI with respect to its citations were $2,174 and total penalties proposed were $9, 675. In 2013, BNI Coal had a S&amp;S citation under Section 104(a) of the Mine and Safety Act for which the Mine Safety and Health Administration proposed a penalty of $52,500; a hearing case has been filed in relation to this penalty. For the year ended December 31, 2014,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1" w:right="219" w:bottom="1440" w:gutter="0" w:footer="0" w:header="0"/>
        </w:sectPr>
      </w:pPr>
    </w:p>
    <w:bookmarkStart w:id="185" w:name="page186"/>
    <w:bookmarkEnd w:id="185"/>
    <w:p>
      <w:pPr>
        <w:ind w:left="10640"/>
        <w:spacing w:after="0"/>
        <w:rPr>
          <w:sz w:val="20"/>
          <w:szCs w:val="20"/>
          <w:color w:val="auto"/>
        </w:rPr>
      </w:pPr>
      <w:r>
        <w:rPr>
          <w:rFonts w:ascii="Arial" w:cs="Arial" w:eastAsia="Arial" w:hAnsi="Arial"/>
          <w:sz w:val="17"/>
          <w:szCs w:val="17"/>
          <w:color w:val="auto"/>
        </w:rPr>
        <w:t>Exhibit 99</w:t>
      </w:r>
    </w:p>
    <w:p>
      <w:pPr>
        <w:sectPr>
          <w:pgSz w:w="11900" w:h="16838" w:orient="portrait"/>
          <w:cols w:equalWidth="0" w:num="1">
            <w:col w:w="11400"/>
          </w:cols>
          <w:pgMar w:left="240" w:top="962" w:right="259" w:bottom="1440" w:gutter="0" w:footer="0" w:header="0"/>
        </w:sectPr>
      </w:pPr>
    </w:p>
    <w:p>
      <w:pPr>
        <w:spacing w:after="0" w:line="75"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-74295</wp:posOffset>
            </wp:positionV>
            <wp:extent cx="1372235" cy="626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February 17, 2015</w:t>
      </w:r>
    </w:p>
    <w:p>
      <w:pPr>
        <w:spacing w:after="0" w:line="86" w:lineRule="exact"/>
        <w:rPr>
          <w:sz w:val="20"/>
          <w:szCs w:val="20"/>
          <w:color w:val="auto"/>
        </w:rPr>
      </w:pPr>
    </w:p>
    <w:p>
      <w:pPr>
        <w:sectPr>
          <w:pgSz w:w="11900" w:h="16838" w:orient="portrait"/>
          <w:cols w:equalWidth="0" w:num="2">
            <w:col w:w="8000" w:space="720"/>
            <w:col w:w="2680"/>
          </w:cols>
          <w:pgMar w:left="240" w:top="962" w:right="259" w:bottom="1440" w:gutter="0" w:footer="0" w:header="0"/>
          <w:type w:val="continuous"/>
        </w:sectPr>
      </w:pPr>
    </w:p>
    <w:p>
      <w:pPr>
        <w:ind w:left="6900"/>
        <w:spacing w:after="0"/>
        <w:rPr>
          <w:sz w:val="20"/>
          <w:szCs w:val="20"/>
          <w:color w:val="auto"/>
        </w:rPr>
      </w:pPr>
      <w:r>
        <w:rPr>
          <w:rFonts w:ascii="Arial" w:cs="Arial" w:eastAsia="Arial" w:hAnsi="Arial"/>
          <w:sz w:val="16"/>
          <w:szCs w:val="16"/>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Tim Thorp</w:t>
      </w:r>
    </w:p>
    <w:p>
      <w:pPr>
        <w:spacing w:after="0" w:line="75" w:lineRule="exact"/>
        <w:rPr>
          <w:sz w:val="20"/>
          <w:szCs w:val="20"/>
          <w:color w:val="auto"/>
        </w:rPr>
      </w:pPr>
    </w:p>
    <w:p>
      <w:pPr>
        <w:sectPr>
          <w:pgSz w:w="11900" w:h="16838" w:orient="portrait"/>
          <w:cols w:equalWidth="0" w:num="2">
            <w:col w:w="8160" w:space="560"/>
            <w:col w:w="2680"/>
          </w:cols>
          <w:pgMar w:left="240" w:top="962" w:right="259" w:bottom="1440" w:gutter="0" w:footer="0" w:header="0"/>
          <w:type w:val="continuous"/>
        </w:sectPr>
      </w:pPr>
    </w:p>
    <w:p>
      <w:pPr>
        <w:ind w:left="8720"/>
        <w:spacing w:after="0"/>
        <w:rPr>
          <w:sz w:val="20"/>
          <w:szCs w:val="20"/>
          <w:color w:val="auto"/>
        </w:rPr>
      </w:pPr>
      <w:r>
        <w:rPr>
          <w:rFonts w:ascii="Arial" w:cs="Arial" w:eastAsia="Arial" w:hAnsi="Arial"/>
          <w:sz w:val="18"/>
          <w:szCs w:val="18"/>
          <w:color w:val="auto"/>
        </w:rPr>
        <w:t>218-723-3953</w:t>
      </w:r>
    </w:p>
    <w:p>
      <w:pPr>
        <w:spacing w:after="0" w:line="63"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tthorp@allete.com</w:t>
      </w:r>
    </w:p>
    <w:p>
      <w:pPr>
        <w:sectPr>
          <w:pgSz w:w="11900" w:h="16838" w:orient="portrait"/>
          <w:cols w:equalWidth="0" w:num="1">
            <w:col w:w="11400"/>
          </w:cols>
          <w:pgMar w:left="240" w:top="962" w:right="259" w:bottom="1440" w:gutter="0" w:footer="0" w:header="0"/>
          <w:type w:val="continuous"/>
        </w:sect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earnings rise in 2014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Minnesota Power and ALLETE Clean Energy propel year-over-year earnings growth</w:t>
      </w:r>
    </w:p>
    <w:p>
      <w:pPr>
        <w:spacing w:after="0" w:line="36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Duluth, Minn. - ALLETE, Inc. (NYSE: ALE) today reported 2014 earnings of $2.90 per share on net income of $124.8 million versus $2.63 per share on net income of $104.7 million in 2013, an increase of ten percent. Included in 2014 results were $1.4 million, or three cents per share of costs related to an ALLETE Clean Energy acquisition, and a non-recurring $2.5 million, or six cents per share charge associated with an EPA settlement.</w:t>
      </w:r>
    </w:p>
    <w:p>
      <w:pPr>
        <w:spacing w:after="0" w:line="1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revenue for the year grew by 12 percent to $1.14 billion, compared to $1.02 billion in 2013. Earnings for 2014 were diluted by 23 cents per share due to an increase in outstanding common stock.</w:t>
      </w:r>
    </w:p>
    <w:p>
      <w:pPr>
        <w:spacing w:after="0" w:line="13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“We’re happy to report another strong year of financial results,” said ALLETE Chairman, President and CEO Al Hodnik. “ALLETE’s net income grew by over 19 percent year-over-year and coincided with record capital expenditures for our company. With this positive earnings momentum and the growth initiatives we have in place, we begin 2015 very confident in ALLETE’s future.” Hodnik noted the company’s Board of Directors recently increased the dividend on its common stock.</w:t>
      </w:r>
    </w:p>
    <w:p>
      <w:pPr>
        <w:spacing w:after="0" w:line="14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Net income for the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segment, consisting of Minnesota Power, Superior Water, Light &amp; Power and the company’s investment in the American Transmission Co., was $124.4 million during 2014 compared with $104.9 million a year ago. This year’s results were impacted by increased cost recovery revenue and production tax credits, as well as higher power marketing sales related to the commencement of the Square Butte resale agreement with Minnkota Power. Those increases were partially offset by higher operating and maintenance, depreciation, and interest expenses. Total regulated utility electricity sales rose by five percent in 2014 from 2013.</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ALLETE’s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recorded net income of $0.4 million in 2014 versus a $0.2 million net loss in 2013. Earnings from ALLETE Clean Energy were the primary contributor to the year-over-year increase. BNI Coal posted slightly higher earnings in 2014 and ALLETE Properties recorded a slightly smaller loss than in 2013. These increases were partially offset by increased corporate expenses. Last year’s results for this segment included gains on sales of investments.</w:t>
      </w:r>
    </w:p>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ALLETE expects to earn between $3.00 and $3.20 per share in 2015 on net income of between $140 and $150 million, excluding costs associated with the recently announced acquisition of U.S. Water Services.</w:t>
      </w:r>
    </w:p>
    <w:p>
      <w:pPr>
        <w:spacing w:after="0" w:line="13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ALLETE will host a conference call and webcast at 10 a.m. Eastern Time this morning to discuss details of its quarterly financial performance. Interested parties may listen live by calling (877) 303-5852, or by accessing the webcast at www.allete.com. A replay of the call will be available through February 19, 2015 by calling (855) 859-2056, pass code 65605949.</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ALLETE is predominantly a regulated utility through Minnesota Power, Superior Water, Light &amp; Power and an investment in the American Transmission Company (ATC). Minnesota Power is well positioned for the future as it executes on its EnergyForward initiative and serves a potentially growing industrial customer base. ATC is poised for future growth both organically and through its partnership with Duke Energy. ALLETE's infrastructure and related services businesses include ALLETE Clean Energy, BNI Coal, and U.S. Water Services. ALLETE Clean Energy has a growing portfolio of wind generating facilities, and U.S. Water Services provides integrated water management to a growing base of industrial and commercial customers. More information about ALLETE is available at </w:t>
      </w:r>
      <w:r>
        <w:rPr>
          <w:rFonts w:ascii="Arial" w:cs="Arial" w:eastAsia="Arial" w:hAnsi="Arial"/>
          <w:sz w:val="18"/>
          <w:szCs w:val="18"/>
          <w:u w:val="single" w:color="auto"/>
          <w:color w:val="0000FF"/>
        </w:rPr>
        <w:t>www.allete.com</w:t>
      </w:r>
      <w:r>
        <w:rPr>
          <w:rFonts w:ascii="Arial" w:cs="Arial" w:eastAsia="Arial" w:hAnsi="Arial"/>
          <w:sz w:val="18"/>
          <w:szCs w:val="18"/>
          <w:color w:val="auto"/>
        </w:rPr>
        <w:t>.</w:t>
      </w:r>
    </w:p>
    <w:p>
      <w:pPr>
        <w:spacing w:after="0" w:line="15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ectPr>
          <w:pgSz w:w="11900" w:h="16838" w:orient="portrait"/>
          <w:cols w:equalWidth="0" w:num="1">
            <w:col w:w="11400"/>
          </w:cols>
          <w:pgMar w:left="240" w:top="962" w:right="259" w:bottom="1440" w:gutter="0" w:footer="0" w:header="0"/>
          <w:type w:val="continuous"/>
        </w:sectPr>
      </w:pPr>
    </w:p>
    <w:bookmarkStart w:id="186" w:name="page187"/>
    <w:bookmarkEnd w:id="186"/>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584" w:right="299" w:bottom="1440" w:gutter="0" w:footer="0" w:header="0"/>
        </w:sectPr>
      </w:pPr>
    </w:p>
    <w:bookmarkStart w:id="187" w:name="page188"/>
    <w:bookmarkEnd w:id="187"/>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Periods Ended December 31, 2014 and 2013</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Millions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8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540" w:type="dxa"/>
            <w:vAlign w:val="bottom"/>
          </w:tcPr>
          <w:p>
            <w:pPr>
              <w:spacing w:after="0"/>
              <w:rPr>
                <w:sz w:val="23"/>
                <w:szCs w:val="23"/>
                <w:color w:val="auto"/>
              </w:rPr>
            </w:pPr>
          </w:p>
        </w:tc>
        <w:tc>
          <w:tcPr>
            <w:tcW w:w="26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2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Operating Revenue</w:t>
            </w:r>
          </w:p>
        </w:tc>
        <w:tc>
          <w:tcPr>
            <w:tcW w:w="2660" w:type="dxa"/>
            <w:vAlign w:val="bottom"/>
          </w:tcPr>
          <w:p>
            <w:pPr>
              <w:jc w:val="right"/>
              <w:ind w:right="130"/>
              <w:spacing w:after="0"/>
              <w:rPr>
                <w:sz w:val="20"/>
                <w:szCs w:val="20"/>
                <w:color w:val="auto"/>
              </w:rPr>
            </w:pPr>
            <w:r>
              <w:rPr>
                <w:rFonts w:ascii="Arial" w:cs="Arial" w:eastAsia="Arial" w:hAnsi="Arial"/>
                <w:sz w:val="18"/>
                <w:szCs w:val="18"/>
                <w:color w:val="auto"/>
              </w:rPr>
              <w:t>$290.7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$268.0</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$1,136.8</w:t>
            </w:r>
          </w:p>
        </w:tc>
        <w:tc>
          <w:tcPr>
            <w:tcW w:w="960" w:type="dxa"/>
            <w:vAlign w:val="bottom"/>
          </w:tcPr>
          <w:p>
            <w:pPr>
              <w:jc w:val="right"/>
              <w:spacing w:after="0"/>
              <w:rPr>
                <w:sz w:val="20"/>
                <w:szCs w:val="20"/>
                <w:color w:val="auto"/>
              </w:rPr>
            </w:pPr>
            <w:r>
              <w:rPr>
                <w:rFonts w:ascii="Arial" w:cs="Arial" w:eastAsia="Arial" w:hAnsi="Arial"/>
                <w:sz w:val="18"/>
                <w:szCs w:val="18"/>
                <w:color w:val="auto"/>
              </w:rPr>
              <w:t>$1,018.4</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2660" w:type="dxa"/>
            <w:vAlign w:val="bottom"/>
          </w:tcPr>
          <w:p>
            <w:pPr>
              <w:jc w:val="right"/>
              <w:ind w:right="130"/>
              <w:spacing w:after="0"/>
              <w:rPr>
                <w:sz w:val="20"/>
                <w:szCs w:val="20"/>
                <w:color w:val="auto"/>
              </w:rPr>
            </w:pPr>
            <w:r>
              <w:rPr>
                <w:rFonts w:ascii="Arial" w:cs="Arial" w:eastAsia="Arial" w:hAnsi="Arial"/>
                <w:sz w:val="18"/>
                <w:szCs w:val="18"/>
                <w:color w:val="auto"/>
              </w:rPr>
              <w:t>87.4</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89.1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356.1</w:t>
            </w:r>
          </w:p>
        </w:tc>
        <w:tc>
          <w:tcPr>
            <w:tcW w:w="960" w:type="dxa"/>
            <w:vAlign w:val="bottom"/>
          </w:tcPr>
          <w:p>
            <w:pPr>
              <w:jc w:val="right"/>
              <w:spacing w:after="0"/>
              <w:rPr>
                <w:sz w:val="20"/>
                <w:szCs w:val="20"/>
                <w:color w:val="auto"/>
              </w:rPr>
            </w:pPr>
            <w:r>
              <w:rPr>
                <w:rFonts w:ascii="Arial" w:cs="Arial" w:eastAsia="Arial" w:hAnsi="Arial"/>
                <w:sz w:val="18"/>
                <w:szCs w:val="18"/>
                <w:color w:val="auto"/>
              </w:rPr>
              <w:t>334.8</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101.7</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456.2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660" w:type="dxa"/>
            <w:vAlign w:val="bottom"/>
          </w:tcPr>
          <w:p>
            <w:pPr>
              <w:jc w:val="right"/>
              <w:ind w:right="130"/>
              <w:spacing w:after="0"/>
              <w:rPr>
                <w:sz w:val="20"/>
                <w:szCs w:val="20"/>
                <w:color w:val="auto"/>
              </w:rPr>
            </w:pPr>
            <w:r>
              <w:rPr>
                <w:rFonts w:ascii="Arial" w:cs="Arial" w:eastAsia="Arial" w:hAnsi="Arial"/>
                <w:sz w:val="18"/>
                <w:szCs w:val="18"/>
                <w:color w:val="auto"/>
              </w:rPr>
              <w:t>36.2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135.7</w:t>
            </w:r>
          </w:p>
        </w:tc>
        <w:tc>
          <w:tcPr>
            <w:tcW w:w="96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239.2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221.1</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948.0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60" w:type="dxa"/>
            <w:vAlign w:val="bottom"/>
          </w:tcPr>
          <w:p>
            <w:pPr>
              <w:jc w:val="right"/>
              <w:ind w:right="130"/>
              <w:spacing w:after="0"/>
              <w:rPr>
                <w:sz w:val="20"/>
                <w:szCs w:val="20"/>
                <w:color w:val="auto"/>
              </w:rPr>
            </w:pPr>
            <w:r>
              <w:rPr>
                <w:rFonts w:ascii="Arial" w:cs="Arial" w:eastAsia="Arial" w:hAnsi="Arial"/>
                <w:sz w:val="18"/>
                <w:szCs w:val="18"/>
                <w:color w:val="auto"/>
              </w:rPr>
              <w:t>51.5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46.9</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188.8</w:t>
            </w:r>
          </w:p>
        </w:tc>
        <w:tc>
          <w:tcPr>
            <w:tcW w:w="96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60" w:type="dxa"/>
            <w:vAlign w:val="bottom"/>
          </w:tcPr>
          <w:p>
            <w:pPr>
              <w:jc w:val="right"/>
              <w:ind w:right="130"/>
              <w:spacing w:after="0"/>
              <w:rPr>
                <w:sz w:val="20"/>
                <w:szCs w:val="20"/>
                <w:color w:val="auto"/>
              </w:rPr>
            </w:pPr>
            <w:r>
              <w:rPr>
                <w:rFonts w:ascii="Arial" w:cs="Arial" w:eastAsia="Arial" w:hAnsi="Arial"/>
                <w:sz w:val="18"/>
                <w:szCs w:val="18"/>
                <w:color w:val="auto"/>
              </w:rPr>
              <w:t>(15.3)</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(12.5)</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(54.8)</w:t>
            </w: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Other</w:t>
            </w:r>
          </w:p>
        </w:tc>
        <w:tc>
          <w:tcPr>
            <w:tcW w:w="266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8.6</w:t>
            </w: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42.8</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41.4</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33.2</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33.0</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125.5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6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$32.9</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$33.0</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$124.8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60" w:type="dxa"/>
            <w:vAlign w:val="bottom"/>
          </w:tcPr>
          <w:p>
            <w:pPr>
              <w:jc w:val="right"/>
              <w:ind w:right="210"/>
              <w:spacing w:after="0"/>
              <w:rPr>
                <w:sz w:val="20"/>
                <w:szCs w:val="20"/>
                <w:color w:val="auto"/>
              </w:rPr>
            </w:pPr>
            <w:r>
              <w:rPr>
                <w:rFonts w:ascii="Arial" w:cs="Arial" w:eastAsia="Arial" w:hAnsi="Arial"/>
                <w:sz w:val="18"/>
                <w:szCs w:val="18"/>
                <w:color w:val="auto"/>
              </w:rPr>
              <w:t>45.2</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40.6</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42.9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40.7</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$0.73</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$0.82</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$2.91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5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$0.82</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660" w:type="dxa"/>
            <w:vAlign w:val="bottom"/>
          </w:tcPr>
          <w:p>
            <w:pPr>
              <w:jc w:val="right"/>
              <w:ind w:right="130"/>
              <w:spacing w:after="0"/>
              <w:rPr>
                <w:sz w:val="20"/>
                <w:szCs w:val="20"/>
                <w:color w:val="auto"/>
              </w:rPr>
            </w:pPr>
            <w:r>
              <w:rPr>
                <w:rFonts w:ascii="Arial" w:cs="Arial" w:eastAsia="Arial" w:hAnsi="Arial"/>
                <w:sz w:val="18"/>
                <w:szCs w:val="18"/>
                <w:color w:val="auto"/>
              </w:rPr>
              <w:t>$0.49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$0.475</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$1.96</w:t>
            </w: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5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438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 31,</w:t>
            </w:r>
          </w:p>
        </w:tc>
      </w:tr>
      <w:tr>
        <w:trPr>
          <w:trHeight w:val="270"/>
        </w:trPr>
        <w:tc>
          <w:tcPr>
            <w:tcW w:w="2860" w:type="dxa"/>
            <w:vAlign w:val="bottom"/>
          </w:tcPr>
          <w:p>
            <w:pPr>
              <w:spacing w:after="0"/>
              <w:rPr>
                <w:sz w:val="23"/>
                <w:szCs w:val="23"/>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4380" w:type="dxa"/>
            <w:vAlign w:val="bottom"/>
          </w:tcPr>
          <w:p>
            <w:pPr>
              <w:spacing w:after="0"/>
              <w:rPr>
                <w:sz w:val="23"/>
                <w:szCs w:val="23"/>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2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1000" w:type="dxa"/>
            <w:vAlign w:val="bottom"/>
          </w:tcPr>
          <w:p>
            <w:pPr>
              <w:jc w:val="right"/>
              <w:spacing w:after="0"/>
              <w:rPr>
                <w:sz w:val="20"/>
                <w:szCs w:val="20"/>
                <w:color w:val="auto"/>
              </w:rPr>
            </w:pPr>
            <w:r>
              <w:rPr>
                <w:rFonts w:ascii="Arial" w:cs="Arial" w:eastAsia="Arial" w:hAnsi="Arial"/>
                <w:sz w:val="18"/>
                <w:szCs w:val="18"/>
                <w:color w:val="auto"/>
              </w:rPr>
              <w:t>$97.3</w:t>
            </w:r>
          </w:p>
        </w:tc>
        <w:tc>
          <w:tcPr>
            <w:tcW w:w="438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$416.0</w:t>
            </w:r>
          </w:p>
        </w:tc>
        <w:tc>
          <w:tcPr>
            <w:tcW w:w="94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7"/>
        </w:trPr>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1,083.0</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w w:val="96"/>
              </w:rPr>
              <w:t>Property, Plant and Equipment - Net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3,286.4</w:t>
            </w:r>
          </w:p>
        </w:tc>
        <w:tc>
          <w:tcPr>
            <w:tcW w:w="1000" w:type="dxa"/>
            <w:vAlign w:val="bottom"/>
          </w:tcPr>
          <w:p>
            <w:pPr>
              <w:jc w:val="right"/>
              <w:spacing w:after="0"/>
              <w:rPr>
                <w:sz w:val="20"/>
                <w:szCs w:val="20"/>
                <w:color w:val="auto"/>
              </w:rPr>
            </w:pPr>
            <w:r>
              <w:rPr>
                <w:rFonts w:ascii="Arial" w:cs="Arial" w:eastAsia="Arial" w:hAnsi="Arial"/>
                <w:sz w:val="18"/>
                <w:szCs w:val="18"/>
                <w:color w:val="auto"/>
              </w:rPr>
              <w:t>2,576.5</w:t>
            </w:r>
          </w:p>
        </w:tc>
        <w:tc>
          <w:tcPr>
            <w:tcW w:w="438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510.7</w:t>
            </w:r>
          </w:p>
        </w:tc>
        <w:tc>
          <w:tcPr>
            <w:tcW w:w="940" w:type="dxa"/>
            <w:vAlign w:val="bottom"/>
          </w:tcPr>
          <w:p>
            <w:pPr>
              <w:jc w:val="right"/>
              <w:spacing w:after="0"/>
              <w:rPr>
                <w:sz w:val="20"/>
                <w:szCs w:val="20"/>
                <w:color w:val="auto"/>
              </w:rPr>
            </w:pPr>
            <w:r>
              <w:rPr>
                <w:rFonts w:ascii="Arial" w:cs="Arial" w:eastAsia="Arial" w:hAnsi="Arial"/>
                <w:sz w:val="18"/>
                <w:szCs w:val="18"/>
                <w:color w:val="auto"/>
              </w:rPr>
              <w:t>479.1</w:t>
            </w:r>
          </w:p>
        </w:tc>
      </w:tr>
      <w:tr>
        <w:trPr>
          <w:trHeight w:val="27"/>
        </w:trPr>
        <w:tc>
          <w:tcPr>
            <w:tcW w:w="2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97"/>
        </w:trPr>
        <w:tc>
          <w:tcPr>
            <w:tcW w:w="286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121.1</w:t>
            </w:r>
          </w:p>
        </w:tc>
        <w:tc>
          <w:tcPr>
            <w:tcW w:w="1000" w:type="dxa"/>
            <w:vAlign w:val="bottom"/>
          </w:tcPr>
          <w:p>
            <w:pPr>
              <w:jc w:val="right"/>
              <w:spacing w:after="0"/>
              <w:rPr>
                <w:sz w:val="20"/>
                <w:szCs w:val="20"/>
                <w:color w:val="auto"/>
              </w:rPr>
            </w:pPr>
            <w:r>
              <w:rPr>
                <w:rFonts w:ascii="Arial" w:cs="Arial" w:eastAsia="Arial" w:hAnsi="Arial"/>
                <w:sz w:val="18"/>
                <w:szCs w:val="18"/>
                <w:color w:val="auto"/>
              </w:rPr>
              <w:t>114.6</w:t>
            </w:r>
          </w:p>
        </w:tc>
        <w:tc>
          <w:tcPr>
            <w:tcW w:w="4380" w:type="dxa"/>
            <w:vAlign w:val="bottom"/>
          </w:tcPr>
          <w:p>
            <w:pPr>
              <w:ind w:left="80"/>
              <w:spacing w:after="0"/>
              <w:rPr>
                <w:sz w:val="20"/>
                <w:szCs w:val="20"/>
                <w:color w:val="auto"/>
              </w:rPr>
            </w:pPr>
            <w:r>
              <w:rPr>
                <w:rFonts w:ascii="Arial" w:cs="Arial" w:eastAsia="Arial" w:hAnsi="Arial"/>
                <w:sz w:val="18"/>
                <w:szCs w:val="18"/>
                <w:color w:val="auto"/>
                <w:w w:val="96"/>
              </w:rPr>
              <w:t>Defined Benefit Pension &amp; Other Postretirement Benefit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190.9</w:t>
            </w:r>
          </w:p>
        </w:tc>
        <w:tc>
          <w:tcPr>
            <w:tcW w:w="94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189"/>
        </w:trPr>
        <w:tc>
          <w:tcPr>
            <w:tcW w:w="2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80" w:type="dxa"/>
            <w:vAlign w:val="bottom"/>
          </w:tcPr>
          <w:p>
            <w:pPr>
              <w:ind w:left="80"/>
              <w:spacing w:after="0" w:line="189" w:lineRule="exact"/>
              <w:rPr>
                <w:sz w:val="20"/>
                <w:szCs w:val="20"/>
                <w:color w:val="auto"/>
              </w:rPr>
            </w:pPr>
            <w:r>
              <w:rPr>
                <w:rFonts w:ascii="Arial" w:cs="Arial" w:eastAsia="Arial" w:hAnsi="Arial"/>
                <w:sz w:val="18"/>
                <w:szCs w:val="18"/>
                <w:color w:val="auto"/>
              </w:rPr>
              <w:t>Plans</w:t>
            </w: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000" w:type="dxa"/>
            <w:vAlign w:val="bottom"/>
          </w:tcPr>
          <w:p>
            <w:pPr>
              <w:jc w:val="right"/>
              <w:spacing w:after="0"/>
              <w:rPr>
                <w:sz w:val="20"/>
                <w:szCs w:val="20"/>
                <w:color w:val="auto"/>
              </w:rPr>
            </w:pPr>
            <w:r>
              <w:rPr>
                <w:rFonts w:ascii="Arial" w:cs="Arial" w:eastAsia="Arial" w:hAnsi="Arial"/>
                <w:sz w:val="18"/>
                <w:szCs w:val="18"/>
                <w:color w:val="auto"/>
              </w:rPr>
              <w:t>68.6</w:t>
            </w:r>
          </w:p>
        </w:tc>
        <w:tc>
          <w:tcPr>
            <w:tcW w:w="438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1,611.2</w:t>
            </w:r>
          </w:p>
        </w:tc>
        <w:tc>
          <w:tcPr>
            <w:tcW w:w="940" w:type="dxa"/>
            <w:vAlign w:val="bottom"/>
          </w:tcPr>
          <w:p>
            <w:pPr>
              <w:jc w:val="right"/>
              <w:spacing w:after="0"/>
              <w:rPr>
                <w:sz w:val="20"/>
                <w:szCs w:val="20"/>
                <w:color w:val="auto"/>
              </w:rPr>
            </w:pPr>
            <w:r>
              <w:rPr>
                <w:rFonts w:ascii="Arial" w:cs="Arial" w:eastAsia="Arial" w:hAnsi="Arial"/>
                <w:sz w:val="18"/>
                <w:szCs w:val="18"/>
                <w:color w:val="auto"/>
              </w:rPr>
              <w:t>1,342.9</w:t>
            </w:r>
          </w:p>
        </w:tc>
      </w:tr>
      <w:tr>
        <w:trPr>
          <w:trHeight w:val="27"/>
        </w:trPr>
        <w:tc>
          <w:tcPr>
            <w:tcW w:w="2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$4,360.8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$3,476.8</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$4,360.8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$3,476.8</w:t>
            </w:r>
          </w:p>
        </w:tc>
      </w:tr>
      <w:tr>
        <w:trPr>
          <w:trHeight w:val="20"/>
        </w:trPr>
        <w:tc>
          <w:tcPr>
            <w:tcW w:w="2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581" w:right="23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41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1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20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30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Millions</w:t>
            </w:r>
          </w:p>
        </w:tc>
        <w:tc>
          <w:tcPr>
            <w:tcW w:w="3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3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$31.9</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3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$33.0</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3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$0.73</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$0.82</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$2.90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88"/>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3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3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600"/>
              <w:spacing w:after="0"/>
              <w:rPr>
                <w:sz w:val="20"/>
                <w:szCs w:val="20"/>
                <w:color w:val="auto"/>
              </w:rPr>
            </w:pPr>
            <w:r>
              <w:rPr>
                <w:rFonts w:ascii="Arial" w:cs="Arial" w:eastAsia="Arial" w:hAnsi="Arial"/>
                <w:sz w:val="18"/>
                <w:szCs w:val="18"/>
                <w:color w:val="auto"/>
              </w:rPr>
              <w:t>High</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$57.97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$51.72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$57.97</w:t>
            </w:r>
          </w:p>
        </w:tc>
        <w:tc>
          <w:tcPr>
            <w:tcW w:w="960" w:type="dxa"/>
            <w:vAlign w:val="bottom"/>
          </w:tcPr>
          <w:p>
            <w:pPr>
              <w:jc w:val="right"/>
              <w:spacing w:after="0"/>
              <w:rPr>
                <w:sz w:val="20"/>
                <w:szCs w:val="20"/>
                <w:color w:val="auto"/>
              </w:rPr>
            </w:pPr>
            <w:r>
              <w:rPr>
                <w:rFonts w:ascii="Arial" w:cs="Arial" w:eastAsia="Arial" w:hAnsi="Arial"/>
                <w:sz w:val="18"/>
                <w:szCs w:val="18"/>
                <w:color w:val="auto"/>
              </w:rPr>
              <w:t>$54.14</w:t>
            </w: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3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$44.19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$47.48</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r>
      <w:tr>
        <w:trPr>
          <w:trHeight w:val="243"/>
        </w:trPr>
        <w:tc>
          <w:tcPr>
            <w:tcW w:w="5160" w:type="dxa"/>
            <w:vAlign w:val="bottom"/>
          </w:tcPr>
          <w:p>
            <w:pPr>
              <w:ind w:left="600"/>
              <w:spacing w:after="0"/>
              <w:rPr>
                <w:sz w:val="20"/>
                <w:szCs w:val="20"/>
                <w:color w:val="auto"/>
              </w:rPr>
            </w:pPr>
            <w:r>
              <w:rPr>
                <w:rFonts w:ascii="Arial" w:cs="Arial" w:eastAsia="Arial" w:hAnsi="Arial"/>
                <w:sz w:val="18"/>
                <w:szCs w:val="18"/>
                <w:color w:val="auto"/>
              </w:rPr>
              <w:t>Close</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$55.14</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$49.88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$55.14</w:t>
            </w:r>
          </w:p>
        </w:tc>
        <w:tc>
          <w:tcPr>
            <w:tcW w:w="960" w:type="dxa"/>
            <w:vAlign w:val="bottom"/>
          </w:tcPr>
          <w:p>
            <w:pPr>
              <w:jc w:val="right"/>
              <w:spacing w:after="0"/>
              <w:rPr>
                <w:sz w:val="20"/>
                <w:szCs w:val="20"/>
                <w:color w:val="auto"/>
              </w:rPr>
            </w:pPr>
            <w:r>
              <w:rPr>
                <w:rFonts w:ascii="Arial" w:cs="Arial" w:eastAsia="Arial" w:hAnsi="Arial"/>
                <w:sz w:val="18"/>
                <w:szCs w:val="18"/>
                <w:color w:val="auto"/>
              </w:rPr>
              <w:t>$49.88</w:t>
            </w: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3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$35.04</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$32.43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r>
      <w:tr>
        <w:trPr>
          <w:trHeight w:val="594"/>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3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Millions</w:t>
            </w:r>
          </w:p>
        </w:tc>
        <w:tc>
          <w:tcPr>
            <w:tcW w:w="3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3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3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3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43"/>
        </w:trPr>
        <w:tc>
          <w:tcPr>
            <w:tcW w:w="51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371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364</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1,468</w:t>
            </w:r>
          </w:p>
        </w:tc>
        <w:tc>
          <w:tcPr>
            <w:tcW w:w="96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3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258</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43"/>
        </w:trPr>
        <w:tc>
          <w:tcPr>
            <w:tcW w:w="51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1,972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1,830</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7,487</w:t>
            </w:r>
          </w:p>
        </w:tc>
        <w:tc>
          <w:tcPr>
            <w:tcW w:w="960" w:type="dxa"/>
            <w:vAlign w:val="bottom"/>
          </w:tcPr>
          <w:p>
            <w:pPr>
              <w:jc w:val="right"/>
              <w:spacing w:after="0"/>
              <w:rPr>
                <w:sz w:val="20"/>
                <w:szCs w:val="20"/>
                <w:color w:val="auto"/>
              </w:rPr>
            </w:pPr>
            <w:r>
              <w:rPr>
                <w:rFonts w:ascii="Arial" w:cs="Arial" w:eastAsia="Arial" w:hAnsi="Arial"/>
                <w:sz w:val="18"/>
                <w:szCs w:val="18"/>
                <w:color w:val="auto"/>
              </w:rPr>
              <w:t>7,338</w:t>
            </w: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3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2,877</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2,765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11,023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10,969</w:t>
            </w:r>
          </w:p>
        </w:tc>
      </w:tr>
      <w:tr>
        <w:trPr>
          <w:trHeight w:val="243"/>
        </w:trPr>
        <w:tc>
          <w:tcPr>
            <w:tcW w:w="51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822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530</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2,904</w:t>
            </w:r>
          </w:p>
        </w:tc>
        <w:tc>
          <w:tcPr>
            <w:tcW w:w="960" w:type="dxa"/>
            <w:vAlign w:val="bottom"/>
          </w:tcPr>
          <w:p>
            <w:pPr>
              <w:jc w:val="right"/>
              <w:spacing w:after="0"/>
              <w:rPr>
                <w:sz w:val="20"/>
                <w:szCs w:val="20"/>
                <w:color w:val="auto"/>
              </w:rPr>
            </w:pPr>
            <w:r>
              <w:rPr>
                <w:rFonts w:ascii="Arial" w:cs="Arial" w:eastAsia="Arial" w:hAnsi="Arial"/>
                <w:sz w:val="18"/>
                <w:szCs w:val="18"/>
                <w:color w:val="auto"/>
              </w:rPr>
              <w:t>2,278</w:t>
            </w: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3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3,699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3,295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13,927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30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123</w:t>
            </w: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3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3,730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3,318</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14,050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13,360</w:t>
            </w:r>
          </w:p>
        </w:tc>
      </w:tr>
      <w:tr>
        <w:trPr>
          <w:trHeight w:val="588"/>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30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Millions</w:t>
            </w:r>
          </w:p>
        </w:tc>
        <w:tc>
          <w:tcPr>
            <w:tcW w:w="3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3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Retail and Municipals</w:t>
            </w:r>
          </w:p>
        </w:tc>
        <w:tc>
          <w:tcPr>
            <w:tcW w:w="3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$32.2</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$31.1</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$124.6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3040" w:type="dxa"/>
            <w:vAlign w:val="bottom"/>
          </w:tcPr>
          <w:p>
            <w:pPr>
              <w:jc w:val="right"/>
              <w:ind w:right="210"/>
              <w:spacing w:after="0"/>
              <w:rPr>
                <w:sz w:val="20"/>
                <w:szCs w:val="20"/>
                <w:color w:val="auto"/>
              </w:rPr>
            </w:pPr>
            <w:r>
              <w:rPr>
                <w:rFonts w:ascii="Arial" w:cs="Arial" w:eastAsia="Arial" w:hAnsi="Arial"/>
                <w:sz w:val="18"/>
                <w:szCs w:val="18"/>
                <w:color w:val="auto"/>
              </w:rPr>
              <w:t>33.9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32.2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134.8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128.1</w:t>
            </w: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Municipals</w:t>
            </w:r>
          </w:p>
        </w:tc>
        <w:tc>
          <w:tcPr>
            <w:tcW w:w="3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16.4</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Industrial</w:t>
            </w:r>
          </w:p>
        </w:tc>
        <w:tc>
          <w:tcPr>
            <w:tcW w:w="3040" w:type="dxa"/>
            <w:vAlign w:val="bottom"/>
          </w:tcPr>
          <w:p>
            <w:pPr>
              <w:jc w:val="right"/>
              <w:ind w:right="210"/>
              <w:spacing w:after="0"/>
              <w:rPr>
                <w:sz w:val="20"/>
                <w:szCs w:val="20"/>
                <w:color w:val="auto"/>
              </w:rPr>
            </w:pPr>
            <w:r>
              <w:rPr>
                <w:rFonts w:ascii="Arial" w:cs="Arial" w:eastAsia="Arial" w:hAnsi="Arial"/>
                <w:sz w:val="18"/>
                <w:szCs w:val="18"/>
                <w:color w:val="auto"/>
              </w:rPr>
              <w:t>118.1</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108.0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455.7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425.9</w:t>
            </w: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Retail and Municipals</w:t>
            </w:r>
          </w:p>
        </w:tc>
        <w:tc>
          <w:tcPr>
            <w:tcW w:w="3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199.0</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187.7</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775.5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Power Suppliers</w:t>
            </w:r>
          </w:p>
        </w:tc>
        <w:tc>
          <w:tcPr>
            <w:tcW w:w="3040" w:type="dxa"/>
            <w:vAlign w:val="bottom"/>
          </w:tcPr>
          <w:p>
            <w:pPr>
              <w:jc w:val="right"/>
              <w:ind w:right="210"/>
              <w:spacing w:after="0"/>
              <w:rPr>
                <w:sz w:val="20"/>
                <w:szCs w:val="20"/>
                <w:color w:val="auto"/>
              </w:rPr>
            </w:pPr>
            <w:r>
              <w:rPr>
                <w:rFonts w:ascii="Arial" w:cs="Arial" w:eastAsia="Arial" w:hAnsi="Arial"/>
                <w:sz w:val="18"/>
                <w:szCs w:val="18"/>
                <w:color w:val="auto"/>
              </w:rPr>
              <w:t>30.6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115.5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112.5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r>
      <w:tr>
        <w:trPr>
          <w:trHeight w:val="237"/>
        </w:trPr>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Regulated Utility Revenue</w:t>
            </w:r>
          </w:p>
        </w:tc>
        <w:tc>
          <w:tcPr>
            <w:tcW w:w="3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$253.9</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$241.9</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$1,003.5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$925.5</w:t>
            </w:r>
          </w:p>
        </w:tc>
      </w:tr>
      <w:tr>
        <w:trPr>
          <w:trHeight w:val="27"/>
        </w:trPr>
        <w:tc>
          <w:tcPr>
            <w:tcW w:w="5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7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T"/>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x"/>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lowerLetter"/>
      <w:start w:val="1"/>
    </w:lvl>
  </w:abstractNum>
  <w:abstractNum w:abstractNumId="5">
    <w:nsid w:val="3855585C"/>
    <w:multiLevelType w:val="hybridMultilevel"/>
    <w:lvl w:ilvl="0">
      <w:lvlJc w:val="left"/>
      <w:lvlText w:val="(%1)"/>
      <w:numFmt w:val="lowerLetter"/>
      <w:start w:val="1"/>
    </w:lvl>
  </w:abstractNum>
  <w:abstractNum w:abstractNumId="6">
    <w:nsid w:val="70A64E2A"/>
    <w:multiLevelType w:val="hybridMultilevel"/>
    <w:lvl w:ilvl="0">
      <w:lvlJc w:val="left"/>
      <w:lvlText w:val="(%1)"/>
      <w:numFmt w:val="lowerLetter"/>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1)"/>
      <w:numFmt w:val="lowerLetter"/>
      <w:start w:val="1"/>
    </w:lvl>
  </w:abstractNum>
  <w:abstractNum w:abstractNumId="10">
    <w:nsid w:val="725A06FB"/>
    <w:multiLevelType w:val="hybridMultilevel"/>
    <w:lvl w:ilvl="0">
      <w:lvlJc w:val="left"/>
      <w:lvlText w:val="(%1)"/>
      <w:numFmt w:val="lowerLetter"/>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lowerLetter"/>
      <w:start w:val="1"/>
    </w:lvl>
  </w:abstractNum>
  <w:abstractNum w:abstractNumId="13">
    <w:nsid w:val="7A6D8D3C"/>
    <w:multiLevelType w:val="hybridMultilevel"/>
    <w:lvl w:ilvl="0">
      <w:lvlJc w:val="left"/>
      <w:lvlText w:val="(%1)"/>
      <w:numFmt w:val="lowerLetter"/>
      <w:start w:val="1"/>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decimal"/>
      <w:start w:val="3"/>
    </w:lvl>
  </w:abstractNum>
  <w:abstractNum w:abstractNumId="19">
    <w:nsid w:val="32FFF902"/>
    <w:multiLevelType w:val="hybridMultilevel"/>
    <w:lvl w:ilvl="0">
      <w:lvlJc w:val="left"/>
      <w:lvlText w:val="\emdash "/>
      <w:numFmt w:val="bullet"/>
      <w:start w:val="1"/>
    </w:lvl>
  </w:abstractNum>
  <w:abstractNum w:abstractNumId="20">
    <w:nsid w:val="684A481A"/>
    <w:multiLevelType w:val="hybridMultilevel"/>
    <w:lvl w:ilvl="0">
      <w:lvlJc w:val="left"/>
      <w:lvlText w:val="%1"/>
      <w:numFmt w:val="decimal"/>
      <w:start w:val="32"/>
    </w:lvl>
  </w:abstractNum>
  <w:abstractNum w:abstractNumId="21">
    <w:nsid w:val="579478FE"/>
    <w:multiLevelType w:val="hybridMultilevel"/>
    <w:lvl w:ilvl="0">
      <w:lvlJc w:val="left"/>
      <w:lvlText w:val="%1"/>
      <w:numFmt w:val="decimal"/>
      <w:start w:val="99"/>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lowerLetter"/>
      <w:start w:val="1"/>
    </w:lvl>
  </w:abstractNum>
  <w:abstractNum w:abstractNumId="26">
    <w:nsid w:val="75C6C33A"/>
    <w:multiLevelType w:val="hybridMultilevel"/>
    <w:lvl w:ilvl="0">
      <w:lvlJc w:val="left"/>
      <w:lvlText w:val="(%1)"/>
      <w:numFmt w:val="lowerLetter"/>
      <w:start w:val="1"/>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1)"/>
      <w:numFmt w:val="lowerLetter"/>
      <w:start w:val="1"/>
    </w:lvl>
  </w:abstractNum>
  <w:abstractNum w:abstractNumId="30">
    <w:nsid w:val="374A3FE6"/>
    <w:multiLevelType w:val="hybridMultilevel"/>
    <w:lvl w:ilvl="0">
      <w:lvlJc w:val="left"/>
      <w:lvlText w:val="(%1)"/>
      <w:numFmt w:val="lowerLetter"/>
      <w:start w:val="1"/>
    </w:lvl>
  </w:abstractNum>
  <w:abstractNum w:abstractNumId="31">
    <w:nsid w:val="4F4EF005"/>
    <w:multiLevelType w:val="hybridMultilevel"/>
    <w:lvl w:ilvl="0">
      <w:lvlJc w:val="left"/>
      <w:lvlText w:val="(%1)"/>
      <w:numFmt w:val="lowerLetter"/>
      <w:start w:val="1"/>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lowerLetter"/>
      <w:start w:val="1"/>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lowerLetter"/>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lowerRoman"/>
      <w:start w:val="2"/>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1."/>
      <w:numFmt w:val="lowerLetter"/>
      <w:start w:val="4"/>
    </w:lvl>
  </w:abstractNum>
  <w:abstractNum w:abstractNumId="44">
    <w:nsid w:val="10233C99"/>
    <w:multiLevelType w:val="hybridMultilevel"/>
    <w:lvl w:ilvl="0">
      <w:lvlJc w:val="left"/>
      <w:lvlText w:val="%1."/>
      <w:numFmt w:val="lowerLetter"/>
      <w:start w:val="1"/>
    </w:lvl>
  </w:abstractNum>
  <w:abstractNum w:abstractNumId="45">
    <w:nsid w:val="3F6AB60F"/>
    <w:multiLevelType w:val="hybridMultilevel"/>
    <w:lvl w:ilvl="0">
      <w:lvlJc w:val="left"/>
      <w:lvlText w:val="%1."/>
      <w:numFmt w:val="lowerLetter"/>
      <w:start w:val="2"/>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Roman"/>
      <w:start w:val="1"/>
    </w:lvl>
  </w:abstractNum>
  <w:abstractNum w:abstractNumId="48">
    <w:nsid w:val="77AE35EB"/>
    <w:multiLevelType w:val="hybridMultilevel"/>
    <w:lvl w:ilvl="0">
      <w:lvlJc w:val="left"/>
      <w:lvlText w:val="%1."/>
      <w:numFmt w:val="lowerRoman"/>
      <w:start w:val="2"/>
    </w:lvl>
    <w:lvl w:ilvl="1">
      <w:lvlJc w:val="left"/>
      <w:lvlText w:val="(%2)"/>
      <w:numFmt w:val="decimal"/>
      <w:start w:val="12"/>
    </w:lvl>
  </w:abstractNum>
  <w:abstractNum w:abstractNumId="49">
    <w:nsid w:val="579BE4F1"/>
    <w:multiLevelType w:val="hybridMultilevel"/>
    <w:lvl w:ilvl="0">
      <w:lvlJc w:val="left"/>
      <w:lvlText w:val="%1."/>
      <w:numFmt w:val="lowerRoman"/>
      <w:start w:val="1"/>
    </w:lvl>
  </w:abstractNum>
  <w:abstractNum w:abstractNumId="50">
    <w:nsid w:val="310C50B3"/>
    <w:multiLevelType w:val="hybridMultilevel"/>
    <w:lvl w:ilvl="0">
      <w:lvlJc w:val="left"/>
      <w:lvlText w:val="%1."/>
      <w:numFmt w:val="lowerRoman"/>
      <w:start w:val="2"/>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5"/>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53"/>
    </w:lvl>
  </w:abstractNum>
  <w:abstractNum w:abstractNumId="56">
    <w:nsid w:val="1F48EAA1"/>
    <w:multiLevelType w:val="hybridMultilevel"/>
    <w:lvl w:ilvl="0">
      <w:lvlJc w:val="left"/>
      <w:lvlText w:val="%1"/>
      <w:numFmt w:val="decimal"/>
      <w:start w:val="1"/>
    </w:lvl>
    <w:lvl w:ilvl="1">
      <w:lvlJc w:val="left"/>
      <w:lvlText w:val="%2)"/>
      <w:numFmt w:val="lowerRoman"/>
      <w:start w:val="1"/>
    </w:lvl>
  </w:abstractNum>
  <w:abstractNum w:abstractNumId="57">
    <w:nsid w:val="1381823A"/>
    <w:multiLevelType w:val="hybridMultilevel"/>
    <w:lvl w:ilvl="0">
      <w:lvlJc w:val="left"/>
      <w:lvlText w:val="%1."/>
      <w:numFmt w:val="decimal"/>
      <w:start w:val="8"/>
    </w:lvl>
    <w:lvl w:ilvl="1">
      <w:lvlJc w:val="left"/>
      <w:lvlText w:val="%2"/>
      <w:numFmt w:val="lowerRoman"/>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4"/>
    </w:lvl>
  </w:abstractNum>
  <w:abstractNum w:abstractNumId="61">
    <w:nsid w:val="15014ACB"/>
    <w:multiLevelType w:val="hybridMultilevel"/>
    <w:lvl w:ilvl="0">
      <w:lvlJc w:val="left"/>
      <w:lvlText w:val="%1."/>
      <w:numFmt w:val="decimal"/>
      <w:start w:val="6"/>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53"/>
    </w:lvl>
  </w:abstractNum>
  <w:abstractNum w:abstractNumId="64">
    <w:nsid w:val="799D024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65">
    <w:nsid w:val="6B9476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66">
    <w:nsid w:val="42C296BD"/>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67">
    <w:nsid w:val="168E121F"/>
    <w:multiLevelType w:val="hybridMultilevel"/>
    <w:lvl w:ilvl="0">
      <w:lvlJc w:val="left"/>
      <w:lvlText w:val="%1."/>
      <w:numFmt w:val="decimal"/>
      <w:start w:val="11"/>
    </w:lvl>
  </w:abstractNum>
  <w:abstractNum w:abstractNumId="68">
    <w:nsid w:val="1EBA5D23"/>
    <w:multiLevelType w:val="hybridMultilevel"/>
    <w:lvl w:ilvl="0">
      <w:lvlJc w:val="left"/>
      <w:lvlText w:val="%1."/>
      <w:numFmt w:val="decimal"/>
      <w:start w:val="11"/>
    </w:lvl>
  </w:abstractNum>
  <w:abstractNum w:abstractNumId="69">
    <w:nsid w:val="661E3F1E"/>
    <w:multiLevelType w:val="hybridMultilevel"/>
    <w:lvl w:ilvl="0">
      <w:lvlJc w:val="left"/>
      <w:lvlText w:val="(%1)"/>
      <w:numFmt w:val="lowerRoman"/>
      <w:start w:val="1"/>
    </w:lvl>
  </w:abstractNum>
  <w:abstractNum w:abstractNumId="70">
    <w:nsid w:val="5DC79EA8"/>
    <w:multiLevelType w:val="hybridMultilevel"/>
    <w:lvl w:ilvl="0">
      <w:lvlJc w:val="left"/>
      <w:lvlText w:val="%1."/>
      <w:numFmt w:val="lowerRoman"/>
      <w:start w:val="1"/>
    </w:lvl>
  </w:abstractNum>
  <w:abstractNum w:abstractNumId="71">
    <w:nsid w:val="540A471C"/>
    <w:multiLevelType w:val="hybridMultilevel"/>
    <w:lvl w:ilvl="0">
      <w:lvlJc w:val="left"/>
      <w:lvlText w:val="(%1)"/>
      <w:numFmt w:val="decimal"/>
      <w:start w:val="6"/>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2019-12-29T17:42:49Z</dcterms:created>
  <dcterms:modified xsi:type="dcterms:W3CDTF">2019-12-29T17:42:49Z</dcterms:modified>
</cp:coreProperties>
</file>