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0"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04" w:lineRule="exact"/>
        <w:rPr>
          <w:sz w:val="24"/>
          <w:szCs w:val="24"/>
          <w:color w:val="auto"/>
        </w:rPr>
      </w:pPr>
    </w:p>
    <w:p>
      <w:pPr>
        <w:ind w:left="660" w:right="4140" w:hanging="634"/>
        <w:spacing w:after="0" w:line="297"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 to ______________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ALLETE, Inc.</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78" w:right="339" w:bottom="1440" w:gutter="0" w:footer="0" w:header="0"/>
        </w:sectPr>
      </w:pPr>
    </w:p>
    <w:p>
      <w:pPr>
        <w:spacing w:after="0" w:line="11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41-0418150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0" w:lineRule="exact"/>
        <w:rPr>
          <w:sz w:val="24"/>
          <w:szCs w:val="24"/>
          <w:color w:val="auto"/>
        </w:rPr>
      </w:pPr>
    </w:p>
    <w:p>
      <w:pPr>
        <w:sectPr>
          <w:pgSz w:w="11900" w:h="16838" w:orient="portrait"/>
          <w:cols w:equalWidth="0" w:num="2">
            <w:col w:w="6360" w:space="720"/>
            <w:col w:w="4160"/>
          </w:cols>
          <w:pgMar w:left="320" w:top="1278"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(218) 279-5000</w:t>
      </w:r>
    </w:p>
    <w:p>
      <w:pPr>
        <w:sectPr>
          <w:pgSz w:w="11900" w:h="16838" w:orient="portrait"/>
          <w:cols w:equalWidth="0" w:num="1">
            <w:col w:w="11240"/>
          </w:cols>
          <w:pgMar w:left="320" w:top="1278" w:right="339" w:bottom="1440" w:gutter="0" w:footer="0" w:header="0"/>
          <w:type w:val="continuous"/>
        </w:sectPr>
      </w:pP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278" w:right="339" w:bottom="1440" w:gutter="0" w:footer="0" w:header="0"/>
          <w:type w:val="continuous"/>
        </w:sectPr>
      </w:pPr>
    </w:p>
    <w:p>
      <w:pPr>
        <w:spacing w:after="0" w:line="61"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12" w:lineRule="exact"/>
        <w:rPr>
          <w:sz w:val="24"/>
          <w:szCs w:val="24"/>
          <w:color w:val="auto"/>
        </w:rPr>
      </w:pPr>
    </w:p>
    <w:p>
      <w:pPr>
        <w:sectPr>
          <w:pgSz w:w="11900" w:h="16838" w:orient="portrait"/>
          <w:cols w:equalWidth="0" w:num="3">
            <w:col w:w="4320" w:space="720"/>
            <w:col w:w="1620" w:space="720"/>
            <w:col w:w="3860"/>
          </w:cols>
          <w:pgMar w:left="320" w:top="1278" w:right="33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78" w:right="339" w:bottom="1440" w:gutter="0" w:footer="0" w:header="0"/>
          <w:type w:val="continuous"/>
        </w:sectPr>
      </w:pPr>
    </w:p>
    <w:p>
      <w:pPr>
        <w:spacing w:after="0" w:line="27" w:lineRule="exact"/>
        <w:rPr>
          <w:sz w:val="24"/>
          <w:szCs w:val="24"/>
          <w:color w:val="auto"/>
        </w:rPr>
      </w:pPr>
    </w:p>
    <w:p>
      <w:pPr>
        <w:ind w:left="420"/>
        <w:spacing w:after="0" w:line="259"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2">
            <w:col w:w="5020" w:space="180"/>
            <w:col w:w="6040"/>
          </w:cols>
          <w:pgMar w:left="320" w:top="1278" w:right="339" w:bottom="1440" w:gutter="0" w:footer="0" w:header="0"/>
          <w:type w:val="continuous"/>
        </w:sectPr>
      </w:pPr>
    </w:p>
    <w:p>
      <w:pPr>
        <w:ind w:left="1320"/>
        <w:spacing w:after="0" w:line="189" w:lineRule="exact"/>
        <w:tabs>
          <w:tab w:leader="none" w:pos="35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without par value,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57,818,971 shares outstanding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Definitions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Forward-Looking Statements</w:t>
            </w:r>
          </w:p>
        </w:tc>
        <w:tc>
          <w:tcPr>
            <w:tcW w:w="6200" w:type="dxa"/>
            <w:vAlign w:val="bottom"/>
            <w:gridSpan w:val="27"/>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Part I.</w:t>
            </w:r>
          </w:p>
        </w:tc>
        <w:tc>
          <w:tcPr>
            <w:tcW w:w="7460" w:type="dxa"/>
            <w:vAlign w:val="bottom"/>
            <w:gridSpan w:val="33"/>
          </w:tcPr>
          <w:p>
            <w:pPr>
              <w:ind w:left="20"/>
              <w:spacing w:after="0" w:line="189" w:lineRule="exact"/>
              <w:rPr>
                <w:sz w:val="20"/>
                <w:szCs w:val="20"/>
                <w:color w:val="auto"/>
              </w:rPr>
            </w:pPr>
            <w:r>
              <w:rPr>
                <w:rFonts w:ascii="Times New Roman" w:cs="Times New Roman" w:eastAsia="Times New Roman" w:hAnsi="Times New Roman"/>
                <w:sz w:val="18"/>
                <w:szCs w:val="18"/>
                <w:color w:val="0000FF"/>
              </w:rPr>
              <w:t>Financial Information</w:t>
            </w: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1.</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Financial Statements - Unaudited</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w:t>
            </w:r>
          </w:p>
        </w:tc>
        <w:tc>
          <w:tcPr>
            <w:tcW w:w="3060" w:type="dxa"/>
            <w:vAlign w:val="bottom"/>
            <w:gridSpan w:val="6"/>
          </w:tcPr>
          <w:p>
            <w:pPr>
              <w:spacing w:after="0"/>
              <w:rPr>
                <w:sz w:val="16"/>
                <w:szCs w:val="16"/>
                <w:color w:val="auto"/>
              </w:rPr>
            </w:pP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Income</w:t>
            </w:r>
          </w:p>
        </w:tc>
        <w:tc>
          <w:tcPr>
            <w:tcW w:w="3760" w:type="dxa"/>
            <w:vAlign w:val="bottom"/>
            <w:gridSpan w:val="10"/>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Comprehensive Income</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Cash Flows</w:t>
            </w:r>
          </w:p>
        </w:tc>
        <w:tc>
          <w:tcPr>
            <w:tcW w:w="3460" w:type="dxa"/>
            <w:vAlign w:val="bottom"/>
            <w:gridSpan w:val="9"/>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Equity</w:t>
            </w:r>
          </w:p>
        </w:tc>
        <w:tc>
          <w:tcPr>
            <w:tcW w:w="3460" w:type="dxa"/>
            <w:vAlign w:val="bottom"/>
            <w:gridSpan w:val="9"/>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1. Operations and Significant Accounting Policies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2. Regulatory Matters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3. Equity Investments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4. Fair Value</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5. Short-Term and Long-Term Debt</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6. Commitments, Guarantees and Contingencies</w:t>
            </w:r>
          </w:p>
        </w:tc>
        <w:tc>
          <w:tcPr>
            <w:tcW w:w="2140" w:type="dxa"/>
            <w:vAlign w:val="bottom"/>
            <w:gridSpan w:val="3"/>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Note 7. Earnings Per Share and Common Stock</w:t>
            </w:r>
          </w:p>
        </w:tc>
        <w:tc>
          <w:tcPr>
            <w:tcW w:w="2140" w:type="dxa"/>
            <w:vAlign w:val="bottom"/>
            <w:gridSpan w:val="3"/>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28</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8. Income Tax Expense</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9. Pension and Other Postretirement Benefit Plans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30</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10. Business Segments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11. Agreement and Plan of Merger</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32</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2.</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Comparison of the Quarters Ended</w:t>
            </w: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Comparison of the Nine Months Ended</w:t>
            </w:r>
          </w:p>
        </w:tc>
        <w:tc>
          <w:tcPr>
            <w:tcW w:w="3420" w:type="dxa"/>
            <w:vAlign w:val="bottom"/>
            <w:gridSpan w:val="8"/>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Critical Accounting Policies</w:t>
            </w:r>
          </w:p>
        </w:tc>
        <w:tc>
          <w:tcPr>
            <w:tcW w:w="3420" w:type="dxa"/>
            <w:vAlign w:val="bottom"/>
            <w:gridSpan w:val="8"/>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Outlook</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6640" w:type="dxa"/>
            <w:vAlign w:val="bottom"/>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4.</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48</w:t>
            </w:r>
          </w:p>
        </w:tc>
      </w:tr>
      <w:tr>
        <w:trPr>
          <w:trHeight w:val="20"/>
        </w:trPr>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0000FF"/>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II.</w:t>
            </w:r>
          </w:p>
        </w:tc>
        <w:tc>
          <w:tcPr>
            <w:tcW w:w="7460" w:type="dxa"/>
            <w:vAlign w:val="bottom"/>
            <w:gridSpan w:val="3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48</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180" w:type="dxa"/>
            <w:vAlign w:val="bottom"/>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49</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3.</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4.</w:t>
            </w:r>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49</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5.</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6.</w:t>
            </w:r>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08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14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regulated utility plant additions during construction periods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Properties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Transmission Holdings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Alloy Merger Sub</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Alloy Merger Sub LLC, a Delaware limited liability company and wholly owned subsidiary of Alloy Parent.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Alloy Parent</w:t>
            </w:r>
          </w:p>
        </w:tc>
        <w:tc>
          <w:tcPr>
            <w:tcW w:w="8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Alloy Parent LLC, a Delaware limited liability company which, upon closing, will be jointly owned by a wholly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1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owned subsidiary of Canada Pension Plan Investment Board and affiliates of investment vehicles affiliated 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one or more funds, accounts, or other entities managed or advised by Global Infrastructure Management, LLC.</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BNI Energy</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Boswell</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Caddo</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Clean Energy’s Caddo Wind Energy Facility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CCR</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Coal Combustion Residuals from Electric Utilities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Cliffs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CSAPR</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Diamond Spring</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Energy’s Diamond Spring Wind Energy Facility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Conservation and Optimization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EPA</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ESOP</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FASB</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FERC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10-K</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10-Q</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GHG</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HVDC</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High-Voltage Direct-Current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IBEW</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Brotherhood of Electrical Workers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 Direct</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___</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kV</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Kilovolt(s)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kWh</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7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Laskin</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Laskin Energy Center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Lampert Capital Markets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Lampert Capital Markets,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Merger</w:t>
            </w:r>
          </w:p>
        </w:tc>
        <w:tc>
          <w:tcPr>
            <w:tcW w:w="8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Pursuant to the Merger Agreement, on the terms and subject to the conditions set forth therein, Alloy Merger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1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Sub will merge with and into ALLETE (the “Merger”), with ALLETE continuing as the surviving corporation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Merger and becoming a subsidiary of Alloy Parent.</w:t>
            </w:r>
          </w:p>
        </w:tc>
        <w:tc>
          <w:tcPr>
            <w:tcW w:w="0" w:type="dxa"/>
            <w:vAlign w:val="bottom"/>
          </w:tcPr>
          <w:p>
            <w:pPr>
              <w:spacing w:after="0"/>
              <w:rPr>
                <w:sz w:val="1"/>
                <w:szCs w:val="1"/>
                <w:color w:val="auto"/>
              </w:rPr>
            </w:pPr>
          </w:p>
        </w:tc>
      </w:tr>
      <w:tr>
        <w:trPr>
          <w:trHeight w:val="679"/>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ALLETE, Inc. Third Quarter 2024 Form 10-Q</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120" w:type="dxa"/>
            <w:vAlign w:val="bottom"/>
            <w:gridSpan w:val="2"/>
          </w:tcPr>
          <w:p>
            <w:pPr>
              <w:ind w:left="248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Merger Agreement</w:t>
            </w: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as of May 5, 2024, by and among ALLETE, Alloy Parent, and Alloy</w:t>
            </w:r>
          </w:p>
        </w:tc>
      </w:tr>
      <w:tr>
        <w:trPr>
          <w:trHeight w:val="243"/>
        </w:trPr>
        <w:tc>
          <w:tcPr>
            <w:tcW w:w="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 Power</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operating division of ALLETE,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Minnkota Power</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Minnkota Power Cooperative, Inc.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MISO</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Midcontinent Independent System Operator,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Moody’s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Moody’s Investors Service, Inc.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MPCA</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 Pollution Control Agency</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MPUC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Public Utilities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Megawatt(s)</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NAAQS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Ambient Air Quality Standards</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NDPSC</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Dakota Public Service Commission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Energy</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Energy Equity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Nippon Steel</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Nippon Steel Corporation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Nobles 2</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Nobles 2 Power Partners,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3"/>
                <w:szCs w:val="23"/>
                <w:color w:val="auto"/>
                <w:vertAlign w:val="subscript"/>
              </w:rPr>
              <w:t>X</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Nitrogen Oxides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Northshore Mining</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Northshore Mining Company, a wholly-owned subsidiary of Cleveland-Cliffs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___</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___ to the Consolidated Financial Statements in this Form 10-Q</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NPDES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Pollutant Discharge Elimination System</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NTEC</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Nemadji Trail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PPA / PSA</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 / Power Sales Agreement</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PPACA</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Patient Protection and Affordable Care Act of 2010</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PSCW</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Service Commission of Wisconsin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RSOP</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Savings and Stock Ownership Plan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SO</w:t>
            </w:r>
            <w:r>
              <w:rPr>
                <w:rFonts w:ascii="Times New Roman" w:cs="Times New Roman" w:eastAsia="Times New Roman" w:hAnsi="Times New Roman"/>
                <w:sz w:val="23"/>
                <w:szCs w:val="23"/>
                <w:color w:val="auto"/>
                <w:vertAlign w:val="subscript"/>
              </w:rPr>
              <w:t>2</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Sulfur Dioxide</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Sofidel</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Sofidel Group</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Square Butte</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Square Butte Electric Cooperative, a North Dakota cooperative corporation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Shore Energy</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Shore Energy,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Paper</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Paper LLC</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SWL&amp;P</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Superior Water, Light and Power Company</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Taconite Harbor</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Taconite Harbor Energy Center</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4"/>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 Corporation</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Steel Corporation</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4"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objectives;</w:t>
      </w:r>
    </w:p>
    <w:p>
      <w:pPr>
        <w:spacing w:after="0" w:line="27"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domestic economic conditions affecting us or our customers;</w:t>
      </w:r>
    </w:p>
    <w:p>
      <w:pPr>
        <w:ind w:left="320" w:hanging="312"/>
        <w:spacing w:after="0" w:line="234"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laws and regulations or changes in tax rates or policies;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rates of inflation or availability of key materials and supplies;</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and administrative proceedings (whether civil or criminal) and settlements;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and pandemic diseases;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 bank financing and other financing sources;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 performance of the financial markets;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delays or changes in project costs;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 capital expenditures and our ability to raise revenues from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commodity prices on ALLETE and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skilled and experienced personnel;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emerging technology;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acts of terrorism and cybersecurity attacks;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expansion and integrate acquisitions;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growth rates and demographic patterns;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power market conditions;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including competition for retail and wholesale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restructuring initiatives in the electric industry;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on our businesses of climate change and future regulation to restrict the emissions of GHG;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increased deployment of distributed low-carbon electricity generation resources;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laws and regulations related to renewable and distributed generation;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availability and transportation of fuel and other commodities and the ability to recover the costs of such commodities;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industrial and municipal customers’ ability to execute announced expansion plans;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market conditions where our legacy Florida real estate investment is located may deteriorate;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realize value from, invest in, and develop new opportunities;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Alloy Parent or ALLETE may be unable to obtain governmental and regulatory approvals required for the Merger, or that required governmental and regulatory approvals or agreements with other parties interested therein may delay the Merger, may subject the Merger to or impose adverse conditions or costs, or may cause the parties to abandon the Merger;</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 or could otherwise cause the failure of the Merger to be consummated on the timeline anticipated;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and pendency of the Merger, during which ALLETE is subject to certain operating restrictions, could have an adverse effect on ALLETE’s businesses,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(Continued)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disclosures regarding factors that could cause our results or performance to differ from those anticipated by this report are discussed in Part I, Item 1A. Risk Factors of our 2023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7"/>
        </w:trPr>
        <w:tc>
          <w:tcPr>
            <w:tcW w:w="814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8"/>
              </w:rPr>
              <w:t>ALLETE</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14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814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140" w:type="dxa"/>
            <w:vAlign w:val="bottom"/>
          </w:tcPr>
          <w:p>
            <w:pPr>
              <w:spacing w:after="0"/>
              <w:rPr>
                <w:sz w:val="24"/>
                <w:szCs w:val="24"/>
                <w:color w:val="auto"/>
              </w:rPr>
            </w:pP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of $1.6 and $1.6)</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136.8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 Net</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166.6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30"/>
        </w:trPr>
        <w:tc>
          <w:tcPr>
            <w:tcW w:w="8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Prepayments and Other</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78.1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3"/>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483.4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5,112.8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386.1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337.9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 Net</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155.3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29"/>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261.7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3"/>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$6,737.2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Equity</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$110.8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Taxes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30"/>
        </w:trPr>
        <w:tc>
          <w:tcPr>
            <w:tcW w:w="8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3"/>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334.4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1,743.7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255.5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562.1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134.5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30"/>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314.4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23"/>
        </w:trPr>
        <w:tc>
          <w:tcPr>
            <w:tcW w:w="8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3,344.6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3,249.3</w:t>
            </w:r>
          </w:p>
        </w:tc>
      </w:tr>
      <w:tr>
        <w:trPr>
          <w:trHeight w:val="223"/>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Guarantees and Contingencies (Note 6)</w:t>
            </w:r>
          </w:p>
        </w:tc>
        <w:tc>
          <w:tcPr>
            <w:tcW w:w="17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ALLETE Equity</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Without Par Value, 80.0 Shares Authorized, 57.8 and 57.6 Shares Issued and Outstanding</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1,819.1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1,803.7</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1,033.1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r>
      <w:tr>
        <w:trPr>
          <w:trHeight w:val="223"/>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ALLETE Equity</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2,831.2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2,809.6</w:t>
            </w:r>
          </w:p>
        </w:tc>
      </w:tr>
      <w:tr>
        <w:trPr>
          <w:trHeight w:val="230"/>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560.7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r>
      <w:tr>
        <w:trPr>
          <w:trHeight w:val="223"/>
        </w:trPr>
        <w:tc>
          <w:tcPr>
            <w:tcW w:w="8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3,391.9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w:t>
            </w:r>
          </w:p>
        </w:tc>
      </w:tr>
      <w:tr>
        <w:trPr>
          <w:trHeight w:val="223"/>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Equity</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$6,737.2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r>
    </w:tbl>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35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5660" w:type="dxa"/>
            <w:vAlign w:val="bottom"/>
          </w:tcPr>
          <w:p>
            <w:pPr>
              <w:spacing w:after="0"/>
              <w:rPr>
                <w:sz w:val="19"/>
                <w:szCs w:val="19"/>
                <w:color w:val="auto"/>
              </w:rPr>
            </w:pPr>
          </w:p>
        </w:tc>
        <w:tc>
          <w:tcPr>
            <w:tcW w:w="35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6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$310.5</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$314.3</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$928.6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95.4</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63.2</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29"/>
        </w:trPr>
        <w:tc>
          <w:tcPr>
            <w:tcW w:w="5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 Non-utility</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56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Revenue</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407.2</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378.8</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1,165.0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116.5</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124.9</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22.7</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33.0</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92.7</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83.6</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70.8</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63.1</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30"/>
        </w:trPr>
        <w:tc>
          <w:tcPr>
            <w:tcW w:w="5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15.5</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56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361.9</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342.8</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1,043.0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45.3</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36.0</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122.0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(20.3)</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(20.5)</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Earnings</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4.7</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5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68.7</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3"/>
        </w:trPr>
        <w:tc>
          <w:tcPr>
            <w:tcW w:w="56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52.9</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88.9</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9"/>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19.3</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69.6</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23"/>
        </w:trPr>
        <w:tc>
          <w:tcPr>
            <w:tcW w:w="56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(16.3)</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$45.0</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$85.9</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2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57.8</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57.4</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56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57.9</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57.5</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$0.78</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$1.50</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$0.78</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$1.49</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3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5940" w:type="dxa"/>
            <w:vAlign w:val="bottom"/>
          </w:tcPr>
          <w:p>
            <w:pPr>
              <w:spacing w:after="0"/>
              <w:rPr>
                <w:sz w:val="19"/>
                <w:szCs w:val="19"/>
                <w:color w:val="auto"/>
              </w:rPr>
            </w:pPr>
          </w:p>
        </w:tc>
        <w:tc>
          <w:tcPr>
            <w:tcW w:w="32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1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9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$32.7</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$69.6</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$89.4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Securities</w:t>
            </w:r>
          </w:p>
        </w:tc>
        <w:tc>
          <w:tcPr>
            <w:tcW w:w="2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of Income Tax Expense of $—, $—, $— and $0.1</w:t>
            </w:r>
          </w:p>
        </w:tc>
        <w:tc>
          <w:tcPr>
            <w:tcW w:w="2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2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of Income Tax Benefit of $(0.1), $—, $(0.3) and $(0.1)</w:t>
            </w:r>
          </w:p>
        </w:tc>
        <w:tc>
          <w:tcPr>
            <w:tcW w:w="2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32.6</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69.5</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88.9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29"/>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ALLETE</w:t>
            </w:r>
          </w:p>
        </w:tc>
        <w:tc>
          <w:tcPr>
            <w:tcW w:w="2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$44.9</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$85.8</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$128.2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80" w:type="dxa"/>
            <w:vAlign w:val="bottom"/>
          </w:tcPr>
          <w:p>
            <w:pPr>
              <w:spacing w:after="0"/>
              <w:rPr>
                <w:sz w:val="19"/>
                <w:szCs w:val="19"/>
                <w:color w:val="auto"/>
              </w:rPr>
            </w:pPr>
          </w:p>
        </w:tc>
        <w:tc>
          <w:tcPr>
            <w:tcW w:w="362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7580" w:type="dxa"/>
            <w:vAlign w:val="bottom"/>
          </w:tcPr>
          <w:p>
            <w:pPr>
              <w:spacing w:after="0"/>
              <w:rPr>
                <w:sz w:val="19"/>
                <w:szCs w:val="19"/>
                <w:color w:val="auto"/>
              </w:rPr>
            </w:pPr>
          </w:p>
        </w:tc>
        <w:tc>
          <w:tcPr>
            <w:tcW w:w="3620" w:type="dxa"/>
            <w:vAlign w:val="bottom"/>
            <w:gridSpan w:val="2"/>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9"/>
        </w:trPr>
        <w:tc>
          <w:tcPr>
            <w:tcW w:w="75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Millions</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7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7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$89.4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Cash provided by Operating Activities:</w:t>
            </w:r>
          </w:p>
        </w:tc>
        <w:tc>
          <w:tcPr>
            <w:tcW w:w="27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AFUDC – Equity</w:t>
            </w:r>
          </w:p>
        </w:tc>
        <w:tc>
          <w:tcPr>
            <w:tcW w:w="2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from Equity Investments – Net of Dividends</w:t>
            </w:r>
          </w:p>
        </w:tc>
        <w:tc>
          <w:tcPr>
            <w:tcW w:w="2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(Gain) on Investments and Property, Plant and Equipment</w:t>
            </w:r>
          </w:p>
        </w:tc>
        <w:tc>
          <w:tcPr>
            <w:tcW w:w="2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Expense</w:t>
            </w:r>
          </w:p>
        </w:tc>
        <w:tc>
          <w:tcPr>
            <w:tcW w:w="2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PSAs</w:t>
            </w:r>
          </w:p>
        </w:tc>
        <w:tc>
          <w:tcPr>
            <w:tcW w:w="2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(3.8)</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Other Intangible Assets and Other Assets</w:t>
            </w:r>
          </w:p>
        </w:tc>
        <w:tc>
          <w:tcPr>
            <w:tcW w:w="2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2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(7.2)</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and ESOP Compensation Expense</w:t>
            </w:r>
          </w:p>
        </w:tc>
        <w:tc>
          <w:tcPr>
            <w:tcW w:w="2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Defined Benefit Pension and Other Postretirement Plan Benefit</w:t>
            </w:r>
          </w:p>
        </w:tc>
        <w:tc>
          <w:tcPr>
            <w:tcW w:w="2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(10.3)</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Fuel Adjustment Clause</w:t>
            </w:r>
          </w:p>
        </w:tc>
        <w:tc>
          <w:tcPr>
            <w:tcW w:w="2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Bad Debt Expense</w:t>
            </w:r>
          </w:p>
        </w:tc>
        <w:tc>
          <w:tcPr>
            <w:tcW w:w="27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Provision for Interim Rate Refund</w:t>
            </w:r>
          </w:p>
        </w:tc>
        <w:tc>
          <w:tcPr>
            <w:tcW w:w="2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17.0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3"/>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Receivable</w:t>
            </w:r>
          </w:p>
        </w:tc>
        <w:tc>
          <w:tcPr>
            <w:tcW w:w="2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26"/>
        </w:trPr>
        <w:tc>
          <w:tcPr>
            <w:tcW w:w="75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27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275.6</w:t>
            </w:r>
          </w:p>
        </w:tc>
      </w:tr>
      <w:tr>
        <w:trPr>
          <w:trHeight w:val="233"/>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Prepayments and Other</w:t>
            </w:r>
          </w:p>
        </w:tc>
        <w:tc>
          <w:tcPr>
            <w:tcW w:w="2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6"/>
        </w:trPr>
        <w:tc>
          <w:tcPr>
            <w:tcW w:w="75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2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33"/>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Renewable Tax Credit Sales</w:t>
            </w:r>
          </w:p>
        </w:tc>
        <w:tc>
          <w:tcPr>
            <w:tcW w:w="27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58.4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Contributions to Defined Benefit Pension Plans</w:t>
            </w:r>
          </w:p>
        </w:tc>
        <w:tc>
          <w:tcPr>
            <w:tcW w:w="2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Regulatory and Other Non-Current Assets</w:t>
            </w:r>
          </w:p>
        </w:tc>
        <w:tc>
          <w:tcPr>
            <w:tcW w:w="27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38.5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30"/>
        </w:trPr>
        <w:tc>
          <w:tcPr>
            <w:tcW w:w="7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Regulatory and Other Non-Current Liabilities</w:t>
            </w:r>
          </w:p>
        </w:tc>
        <w:tc>
          <w:tcPr>
            <w:tcW w:w="27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7.1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3"/>
        </w:trPr>
        <w:tc>
          <w:tcPr>
            <w:tcW w:w="7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2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367.3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520.0</w:t>
            </w: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Sale of Available-for-sale Securities</w:t>
            </w:r>
          </w:p>
        </w:tc>
        <w:tc>
          <w:tcPr>
            <w:tcW w:w="27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for Purchase of Available-for-sale Securities</w:t>
            </w:r>
          </w:p>
        </w:tc>
        <w:tc>
          <w:tcPr>
            <w:tcW w:w="2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for Equity Method Investments</w:t>
            </w:r>
          </w:p>
        </w:tc>
        <w:tc>
          <w:tcPr>
            <w:tcW w:w="2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(5.8)</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Additions to Property, Plant and Equipment</w:t>
            </w:r>
          </w:p>
        </w:tc>
        <w:tc>
          <w:tcPr>
            <w:tcW w:w="2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(230.3)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w:t>
            </w:r>
          </w:p>
        </w:tc>
      </w:tr>
      <w:tr>
        <w:trPr>
          <w:trHeight w:val="226"/>
        </w:trPr>
        <w:tc>
          <w:tcPr>
            <w:tcW w:w="7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16.4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23"/>
        </w:trPr>
        <w:tc>
          <w:tcPr>
            <w:tcW w:w="75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7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(219.9)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2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9.9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Issuance of Short-Term and Long-Term Debt</w:t>
            </w:r>
          </w:p>
        </w:tc>
        <w:tc>
          <w:tcPr>
            <w:tcW w:w="27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628.0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409.8</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Repayments of Short-Term and Long-Term Debt</w:t>
            </w:r>
          </w:p>
        </w:tc>
        <w:tc>
          <w:tcPr>
            <w:tcW w:w="2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(633.0)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(533.4)</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Non-Controlling Interest in Subsidiaries – Net</w:t>
            </w:r>
          </w:p>
        </w:tc>
        <w:tc>
          <w:tcPr>
            <w:tcW w:w="27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3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Distributions to Non-Controlling Interest</w:t>
            </w:r>
          </w:p>
        </w:tc>
        <w:tc>
          <w:tcPr>
            <w:tcW w:w="2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6"/>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27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(122.0)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w:t>
            </w:r>
          </w:p>
        </w:tc>
      </w:tr>
      <w:tr>
        <w:trPr>
          <w:trHeight w:val="230"/>
        </w:trPr>
        <w:tc>
          <w:tcPr>
            <w:tcW w:w="7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7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7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Cash used in Financing Activities</w:t>
            </w:r>
          </w:p>
        </w:tc>
        <w:tc>
          <w:tcPr>
            <w:tcW w:w="2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(115.8)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Cash, Cash Equivalents and Restricted Cash</w:t>
            </w:r>
          </w:p>
        </w:tc>
        <w:tc>
          <w:tcPr>
            <w:tcW w:w="2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r>
      <w:tr>
        <w:trPr>
          <w:trHeight w:val="228"/>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Beginning of Period</w:t>
            </w:r>
          </w:p>
        </w:tc>
        <w:tc>
          <w:tcPr>
            <w:tcW w:w="2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79.4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23"/>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27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$111.0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00"/>
          </w:cols>
          <w:pgMar w:left="340" w:top="887"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Pr>
          <w:p>
            <w:pPr>
              <w:spacing w:after="0"/>
              <w:rPr>
                <w:sz w:val="19"/>
                <w:szCs w:val="19"/>
                <w:color w:val="auto"/>
              </w:rPr>
            </w:pPr>
          </w:p>
        </w:tc>
        <w:tc>
          <w:tcPr>
            <w:tcW w:w="33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5700" w:type="dxa"/>
            <w:vAlign w:val="bottom"/>
          </w:tcPr>
          <w:p>
            <w:pPr>
              <w:spacing w:after="0"/>
              <w:rPr>
                <w:sz w:val="19"/>
                <w:szCs w:val="19"/>
                <w:color w:val="auto"/>
              </w:rPr>
            </w:pPr>
          </w:p>
        </w:tc>
        <w:tc>
          <w:tcPr>
            <w:tcW w:w="33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1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7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2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$1,813.8</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$1,791.6</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$1,803.7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r>
      <w:tr>
        <w:trPr>
          <w:trHeight w:val="230"/>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2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5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2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1,819.1</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1,797.2</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1,819.1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r>
      <w:tr>
        <w:trPr>
          <w:trHeight w:val="250"/>
        </w:trPr>
        <w:tc>
          <w:tcPr>
            <w:tcW w:w="57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(20.9)</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(24.4)</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Net of Income Taxes</w:t>
            </w:r>
          </w:p>
        </w:tc>
        <w:tc>
          <w:tcPr>
            <w:tcW w:w="2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Debt Securities</w:t>
            </w:r>
          </w:p>
        </w:tc>
        <w:tc>
          <w:tcPr>
            <w:tcW w:w="2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Plans</w:t>
            </w:r>
          </w:p>
        </w:tc>
        <w:tc>
          <w:tcPr>
            <w:tcW w:w="2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(21.0)</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(24.5)</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50"/>
        </w:trPr>
        <w:tc>
          <w:tcPr>
            <w:tcW w:w="57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1,028.8</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966.9</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1,026.4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45.0</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85.9</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9"/>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Dividends</w:t>
            </w:r>
          </w:p>
        </w:tc>
        <w:tc>
          <w:tcPr>
            <w:tcW w:w="2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(40.7)</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(38.9)</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23"/>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2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1,033.1</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1,013.9</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1,033.1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w:t>
            </w:r>
          </w:p>
        </w:tc>
      </w:tr>
      <w:tr>
        <w:trPr>
          <w:trHeight w:val="250"/>
        </w:trPr>
        <w:tc>
          <w:tcPr>
            <w:tcW w:w="57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 in Subsidiaries</w:t>
            </w:r>
          </w:p>
        </w:tc>
        <w:tc>
          <w:tcPr>
            <w:tcW w:w="2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573.0</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634.4</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597.0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Non-Controlling Interest in Subsidiaries – Net</w:t>
            </w:r>
          </w:p>
        </w:tc>
        <w:tc>
          <w:tcPr>
            <w:tcW w:w="2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(12.1)</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(16.3)</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5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2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560.7</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610.1</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560.7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r>
      <w:tr>
        <w:trPr>
          <w:trHeight w:val="250"/>
        </w:trPr>
        <w:tc>
          <w:tcPr>
            <w:tcW w:w="57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$3,391.9</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$3,396.7</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$3,391.9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$3,396.7</w:t>
            </w:r>
          </w:p>
        </w:tc>
      </w:tr>
      <w:tr>
        <w:trPr>
          <w:trHeight w:val="250"/>
        </w:trPr>
        <w:tc>
          <w:tcPr>
            <w:tcW w:w="57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2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Non-Controlling Interest in Subsidiaries</w:t>
            </w:r>
          </w:p>
        </w:tc>
        <w:tc>
          <w:tcPr>
            <w:tcW w:w="2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Redeemable Non-Controlling Interest</w:t>
            </w:r>
          </w:p>
        </w:tc>
        <w:tc>
          <w:tcPr>
            <w:tcW w:w="2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7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Share of Common Stock</w:t>
            </w:r>
          </w:p>
        </w:tc>
        <w:tc>
          <w:tcPr>
            <w:tcW w:w="2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$0.705</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$0.6775</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$2.115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w:t>
            </w:r>
          </w:p>
        </w:tc>
      </w:tr>
    </w:tbl>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71755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pursuant to such rules and regulations. Similarly, the December 31, 2023,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nine months ended September 30, 2024, are not necessarily indicative of results that may be expected for any other interim period or for the year ending December 31, 2024. For further information, refer to the Consolidated Financial Statements and notes included in our 2023 Form 10-K.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The Company performed an evaluation of subsequent events for potential recognition and disclosure through the date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issuance.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We consider all investments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September 30, 2024, restricted cash amounts included in Prepayments and Other on the Consolidated Balance Sheet include collateral deposits required under an ALLETE Clean Energy loan. The restricted cash amounts included in Other Non-Current Assets represent collateral deposits required under an ALLETE Clean Energy loan agreement as well as PSAs. The following table provides a reconciliation of cash, cash equivalents and restricted cash reported within the Consolidated Balance Sheet that aggregate to the amounts presented in the Consolidated Statement of Cash Flows.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$101.9</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$71.9</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$125.5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Prepayments and Other</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69"/>
        </w:trPr>
        <w:tc>
          <w:tcPr>
            <w:tcW w:w="5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Cash, Cash Equivalents and Restricted Cash on the Consolidated</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$111.0</w:t>
            </w: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$79.4</w:t>
            </w: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$131.2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Inventories – Net. </w:t>
      </w:r>
      <w:r>
        <w:rPr>
          <w:rFonts w:ascii="Times New Roman" w:cs="Times New Roman" w:eastAsia="Times New Roman" w:hAnsi="Times New Roman"/>
          <w:sz w:val="18"/>
          <w:szCs w:val="18"/>
          <w:color w:val="auto"/>
        </w:rPr>
        <w:t>Inventories are stated at the lower of cost or net realizable value. Inventories in our Regulated Operations segment are carried 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 – Net</w:t>
            </w:r>
          </w:p>
        </w:tc>
        <w:tc>
          <w:tcPr>
            <w:tcW w:w="3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auto"/>
            </w:tcBorders>
            <w:vMerge w:val="continue"/>
          </w:tcPr>
          <w:p>
            <w:pPr>
              <w:spacing w:after="0"/>
              <w:rPr>
                <w:sz w:val="21"/>
                <w:szCs w:val="21"/>
                <w:color w:val="auto"/>
              </w:rPr>
            </w:pPr>
          </w:p>
        </w:tc>
        <w:tc>
          <w:tcPr>
            <w:tcW w:w="3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Fuel </w:t>
            </w:r>
            <w:r>
              <w:rPr>
                <w:rFonts w:ascii="Times New Roman" w:cs="Times New Roman" w:eastAsia="Times New Roman" w:hAnsi="Times New Roman"/>
                <w:sz w:val="16"/>
                <w:szCs w:val="16"/>
                <w:i w:val="1"/>
                <w:iCs w:val="1"/>
                <w:color w:val="auto"/>
              </w:rPr>
              <w:t>(a)</w:t>
            </w:r>
          </w:p>
        </w:tc>
        <w:tc>
          <w:tcPr>
            <w:tcW w:w="3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115.5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Renewable Energy Facilities Under Development </w:t>
            </w:r>
            <w:r>
              <w:rPr>
                <w:rFonts w:ascii="Times New Roman" w:cs="Times New Roman" w:eastAsia="Times New Roman" w:hAnsi="Times New Roman"/>
                <w:sz w:val="16"/>
                <w:szCs w:val="16"/>
                <w:i w:val="1"/>
                <w:iCs w:val="1"/>
                <w:color w:val="auto"/>
              </w:rPr>
              <w:t>(b)</w:t>
            </w:r>
          </w:p>
        </w:tc>
        <w:tc>
          <w:tcPr>
            <w:tcW w:w="37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 – Net</w:t>
            </w:r>
          </w:p>
        </w:tc>
        <w:tc>
          <w:tcPr>
            <w:tcW w:w="3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$166.6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Fuel consists primarily of coal inventory at Minnesota Power.</w:t>
      </w:r>
    </w:p>
    <w:p>
      <w:pPr>
        <w:spacing w:after="0" w:line="28" w:lineRule="exact"/>
        <w:rPr>
          <w:rFonts w:ascii="Times New Roman" w:cs="Times New Roman" w:eastAsia="Times New Roman" w:hAnsi="Times New Roman"/>
          <w:sz w:val="16"/>
          <w:szCs w:val="16"/>
          <w:i w:val="1"/>
          <w:iCs w:val="1"/>
          <w:color w:val="auto"/>
        </w:rPr>
      </w:pPr>
    </w:p>
    <w:p>
      <w:pPr>
        <w:ind w:left="340" w:hanging="332"/>
        <w:spacing w:after="0" w:line="251" w:lineRule="auto"/>
        <w:tabs>
          <w:tab w:leader="none" w:pos="412"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Renewable Energy Facilities Under Development as of September 30, 2024, consists primarily of project costs related to renewable energy development projects at New Energy.</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aggregate carrying amount of goodwill was $154.9 million as of September 30, 2024 ($154.9 million as of December 31, 2023). There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no changes to goodwill by reportable segment for the quarter and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tc>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80" w:type="dxa"/>
            <w:vAlign w:val="bottom"/>
            <w:tcBorders>
              <w:bottom w:val="single" w:sz="8" w:color="auto"/>
            </w:tcBorders>
            <w:vMerge w:val="continue"/>
          </w:tcPr>
          <w:p>
            <w:pPr>
              <w:spacing w:after="0"/>
              <w:rPr>
                <w:sz w:val="21"/>
                <w:szCs w:val="21"/>
                <w:color w:val="auto"/>
              </w:rPr>
            </w:pPr>
          </w:p>
        </w:tc>
        <w:tc>
          <w:tcPr>
            <w:tcW w:w="2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Postretirement Benefit Plans</w:t>
            </w:r>
          </w:p>
        </w:tc>
        <w:tc>
          <w:tcPr>
            <w:tcW w:w="2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$101.1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16"/>
                <w:szCs w:val="16"/>
                <w:i w:val="1"/>
                <w:iCs w:val="1"/>
                <w:color w:val="auto"/>
              </w:rPr>
              <w:t>(a)</w:t>
            </w:r>
          </w:p>
        </w:tc>
        <w:tc>
          <w:tcPr>
            <w:tcW w:w="2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ALLETE Properties</w:t>
            </w:r>
          </w:p>
        </w:tc>
        <w:tc>
          <w:tcPr>
            <w:tcW w:w="2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$261.7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line="283" w:lineRule="auto"/>
        <w:tabs>
          <w:tab w:leader="none" w:pos="37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Contract Assets consist of payments made to customers as an incentive to execute or extend service agreements. The payments are being amortized over the term of the respective agreements as a reduction to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380" w:type="dxa"/>
            <w:vAlign w:val="bottom"/>
            <w:tcBorders>
              <w:bottom w:val="single" w:sz="8" w:color="auto"/>
            </w:tcBorders>
            <w:vMerge w:val="continue"/>
          </w:tcPr>
          <w:p>
            <w:pPr>
              <w:spacing w:after="0"/>
              <w:rPr>
                <w:sz w:val="20"/>
                <w:szCs w:val="20"/>
                <w:color w:val="auto"/>
              </w:rPr>
            </w:pPr>
          </w:p>
        </w:tc>
        <w:tc>
          <w:tcPr>
            <w:tcW w:w="4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Interim Rate Refund</w:t>
            </w:r>
          </w:p>
        </w:tc>
        <w:tc>
          <w:tcPr>
            <w:tcW w:w="4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4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PSAs</w:t>
            </w:r>
          </w:p>
        </w:tc>
        <w:tc>
          <w:tcPr>
            <w:tcW w:w="4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66.6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4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580" w:type="dxa"/>
            <w:vAlign w:val="bottom"/>
            <w:tcBorders>
              <w:bottom w:val="single" w:sz="8" w:color="auto"/>
            </w:tcBorders>
            <w:vMerge w:val="continue"/>
          </w:tcPr>
          <w:p>
            <w:pPr>
              <w:spacing w:after="0"/>
              <w:rPr>
                <w:sz w:val="21"/>
                <w:szCs w:val="21"/>
                <w:color w:val="auto"/>
              </w:rPr>
            </w:pPr>
          </w:p>
        </w:tc>
        <w:tc>
          <w:tcPr>
            <w:tcW w:w="4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Asset Retirement Obligation </w:t>
            </w:r>
            <w:r>
              <w:rPr>
                <w:rFonts w:ascii="Times New Roman" w:cs="Times New Roman" w:eastAsia="Times New Roman" w:hAnsi="Times New Roman"/>
                <w:sz w:val="16"/>
                <w:szCs w:val="16"/>
                <w:i w:val="1"/>
                <w:iCs w:val="1"/>
                <w:color w:val="auto"/>
              </w:rPr>
              <w:t>(a)(b)</w:t>
            </w:r>
          </w:p>
        </w:tc>
        <w:tc>
          <w:tcPr>
            <w:tcW w:w="4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$258.9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PSAs</w:t>
            </w:r>
          </w:p>
        </w:tc>
        <w:tc>
          <w:tcPr>
            <w:tcW w:w="4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3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4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$37.2 million in Other Non-Current Assets on the Consolidated Balance Sheet as of September 30, 2024 ($37.2 million as of December 31, 2023).</w:t>
      </w:r>
    </w:p>
    <w:p>
      <w:pPr>
        <w:ind w:left="340" w:hanging="332"/>
        <w:spacing w:after="0" w:line="257" w:lineRule="auto"/>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increase in Asset Retirement Obligation in 2024 reflects the impact of estimated compliance costs related to the EPA’s CCR Legacy Impoundment Rule finalized in May 2024. (See Note 6.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42"/>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3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0" w:type="dxa"/>
            <w:vAlign w:val="bottom"/>
          </w:tcPr>
          <w:p>
            <w:pPr>
              <w:spacing w:after="0"/>
              <w:rPr>
                <w:sz w:val="20"/>
                <w:szCs w:val="20"/>
                <w:color w:val="auto"/>
              </w:rPr>
            </w:pPr>
          </w:p>
        </w:tc>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Pension and Other Postretirement Benefit Plan Non-Service Credits </w:t>
            </w:r>
            <w:r>
              <w:rPr>
                <w:rFonts w:ascii="Times New Roman" w:cs="Times New Roman" w:eastAsia="Times New Roman" w:hAnsi="Times New Roman"/>
                <w:sz w:val="16"/>
                <w:szCs w:val="16"/>
                <w:i w:val="1"/>
                <w:iCs w:val="1"/>
                <w:color w:val="auto"/>
              </w:rPr>
              <w:t>(a)</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and Investment Income </w:t>
            </w:r>
            <w:r>
              <w:rPr>
                <w:rFonts w:ascii="Times New Roman" w:cs="Times New Roman" w:eastAsia="Times New Roman" w:hAnsi="Times New Roman"/>
                <w:sz w:val="16"/>
                <w:szCs w:val="16"/>
                <w:i w:val="1"/>
                <w:iCs w:val="1"/>
                <w:color w:val="auto"/>
              </w:rPr>
              <w:t>(b)</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 Equity</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Gain on Arbitration Award </w:t>
            </w:r>
            <w:r>
              <w:rPr>
                <w:rFonts w:ascii="Times New Roman" w:cs="Times New Roman" w:eastAsia="Times New Roman" w:hAnsi="Times New Roman"/>
                <w:sz w:val="16"/>
                <w:szCs w:val="16"/>
                <w:i w:val="1"/>
                <w:iCs w:val="1"/>
                <w:color w:val="auto"/>
              </w:rPr>
              <w:t>(c)</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58.4</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20" w:type="dxa"/>
            <w:vAlign w:val="bottom"/>
          </w:tcPr>
          <w:p>
            <w:pPr>
              <w:spacing w:after="0"/>
              <w:rPr>
                <w:sz w:val="19"/>
                <w:szCs w:val="19"/>
                <w:color w:val="auto"/>
              </w:rPr>
            </w:pPr>
          </w:p>
        </w:tc>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20" w:type="dxa"/>
            <w:vAlign w:val="bottom"/>
          </w:tcPr>
          <w:p>
            <w:pPr>
              <w:spacing w:after="0"/>
              <w:rPr>
                <w:sz w:val="19"/>
                <w:szCs w:val="19"/>
                <w:color w:val="auto"/>
              </w:rPr>
            </w:pPr>
          </w:p>
        </w:tc>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$68.7</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r>
    </w:tbl>
    <w:p>
      <w:pPr>
        <w:spacing w:after="0" w:line="65" w:lineRule="exact"/>
        <w:rPr>
          <w:sz w:val="20"/>
          <w:szCs w:val="20"/>
          <w:color w:val="auto"/>
        </w:rPr>
      </w:pPr>
    </w:p>
    <w:p>
      <w:pPr>
        <w:ind w:left="340" w:hanging="332"/>
        <w:spacing w:after="0" w:line="268" w:lineRule="auto"/>
        <w:tabs>
          <w:tab w:leader="none" w:pos="3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components of net periodic pension and other postretirement benefit cost other than service cost. (See Note 9. Pension and Other Postretirement Benefit Plans.)</w:t>
      </w:r>
    </w:p>
    <w:p>
      <w:pPr>
        <w:ind w:left="340" w:hanging="332"/>
        <w:spacing w:after="0" w:line="248" w:lineRule="auto"/>
        <w:tabs>
          <w:tab w:leader="none" w:pos="3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Interest and Investment Income for the quarter and nine months ended September 30, 2023, reflects $5.1 million of interest income related to interest awarded as part of an arbitration ruling involving a subsidiary of ALLETE Clean Energy. (See Note 6. Commitments, Guarantees, and Contingencies.)</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line="270" w:lineRule="auto"/>
        <w:tabs>
          <w:tab w:leader="none" w:pos="331"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This reflects a gain recognized for the favorable outcome of an arbitration ruling involving a subsidiary of ALLETE Clean Energy. (See Note 6. Commitments, Guarantees, and Contingencies.)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20" w:type="dxa"/>
            <w:vAlign w:val="bottom"/>
          </w:tcPr>
          <w:p>
            <w:pPr>
              <w:spacing w:after="0"/>
              <w:rPr>
                <w:sz w:val="19"/>
                <w:szCs w:val="19"/>
                <w:color w:val="auto"/>
              </w:rPr>
            </w:pPr>
          </w:p>
        </w:tc>
        <w:tc>
          <w:tcPr>
            <w:tcW w:w="34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7820" w:type="dxa"/>
            <w:vAlign w:val="bottom"/>
          </w:tcPr>
          <w:p>
            <w:pPr>
              <w:spacing w:after="0"/>
              <w:rPr>
                <w:sz w:val="19"/>
                <w:szCs w:val="19"/>
                <w:color w:val="auto"/>
              </w:rPr>
            </w:pPr>
          </w:p>
        </w:tc>
        <w:tc>
          <w:tcPr>
            <w:tcW w:w="34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Statement of Cash Flows Information</w:t>
            </w:r>
          </w:p>
        </w:tc>
        <w:tc>
          <w:tcPr>
            <w:tcW w:w="2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 Net of Amounts Capitalized</w:t>
            </w:r>
          </w:p>
        </w:tc>
        <w:tc>
          <w:tcPr>
            <w:tcW w:w="2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 Net</w:t>
            </w:r>
          </w:p>
        </w:tc>
        <w:tc>
          <w:tcPr>
            <w:tcW w:w="2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in Accounts Payable for Capital Additions to Property, Plant and Equipment</w:t>
            </w:r>
          </w:p>
        </w:tc>
        <w:tc>
          <w:tcPr>
            <w:tcW w:w="2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Capitalized Asset Retirement Costs </w:t>
            </w:r>
            <w:r>
              <w:rPr>
                <w:rFonts w:ascii="Times New Roman" w:cs="Times New Roman" w:eastAsia="Times New Roman" w:hAnsi="Times New Roman"/>
                <w:sz w:val="16"/>
                <w:szCs w:val="16"/>
                <w:i w:val="1"/>
                <w:iCs w:val="1"/>
                <w:color w:val="auto"/>
              </w:rPr>
              <w:t>(a)</w:t>
            </w:r>
          </w:p>
        </w:tc>
        <w:tc>
          <w:tcPr>
            <w:tcW w:w="2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AFUDC–Equity</w:t>
            </w:r>
          </w:p>
        </w:tc>
        <w:tc>
          <w:tcPr>
            <w:tcW w:w="2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79" w:lineRule="exact"/>
        <w:rPr>
          <w:sz w:val="20"/>
          <w:szCs w:val="20"/>
          <w:color w:val="auto"/>
        </w:rPr>
      </w:pPr>
    </w:p>
    <w:p>
      <w:pPr>
        <w:ind w:left="340" w:hanging="332"/>
        <w:spacing w:after="0" w:line="283" w:lineRule="auto"/>
        <w:tabs>
          <w:tab w:leader="none" w:pos="3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Capitalized asset retirement costs in 2024 reflect the impact of estimated compliance costs related to the EPA’s CCR Legacy Impoundment Rule finalized in May 2024. (See Note 6. Commitments, Guarantees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and Disclosure Rules.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Operations and Significant Accounting Policies to the Consolidated Financial Statements in our 2023 Form 10-K, with additional disclosure provided in the following paragraphs.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 Climate-related Disclosures Rule. </w:t>
      </w:r>
      <w:r>
        <w:rPr>
          <w:rFonts w:ascii="Times New Roman" w:cs="Times New Roman" w:eastAsia="Times New Roman" w:hAnsi="Times New Roman"/>
          <w:sz w:val="18"/>
          <w:szCs w:val="18"/>
          <w:color w:val="auto"/>
        </w:rPr>
        <w:t>On March 6, 2024, the SEC issued the final rules regarding the enhancement and standardization of climate-related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for investors (Rule). The Rule requires registrants to provide certain climate-related information in their annual reports and registration statements. These requirements include disclosing climate-related risks that materially affect or are reasonably likely to materially affect a registrant’s business strategy, results of operations, or financial condition as well as certain disclosures related to greenhouse-gas emissions, and the effects of severe weather events and other natural conditions. The Rule provides that the disclosure requirements will begin phasing in for annual periods beginning in 2025. The Company is evaluating the final rule to determine its impact on the Company’s disclosures. The Rule is currently being challenged before the U.S. Court of Appeals for the Eighth Circuit (Eighth Circuit Court), and the SEC issued a voluntary stay of the Rule on April 4, 2024, pending judicial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In November 2023, the FASB issued Accounting Standards Update 2023-07, Improvements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 Disclosures (ASU 2023-07). ASU 2023-07 requires that an entity provide enhanced disclosures about significant segment expenses that are regularly provided to the chief operating decision maker, among other disclosures. ASU 2023-07 is effective for annual periods beginning after December 15, 2023, and for quarterly periods beginning after December 15, 2024, with early adoption permitted. We have assessed the impact of this updated guidance and expect to provide enhanced disclosures for our segments in our Form 10-K for the year ended December 31, 2024.</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new accounting pronouncements or rules that we anticipate having a material effect on the presentation of ALLETE’s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REGULATORY MATTERS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Regulatory matters are summarized in Note 4. Regulatory Matters to the Consolidated Financial Statements in our 2023 Form 10-K, with additional disclosure provided in the following paragraphs.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Electric Rates. </w:t>
      </w:r>
      <w:r>
        <w:rPr>
          <w:rFonts w:ascii="Times New Roman" w:cs="Times New Roman" w:eastAsia="Times New Roman" w:hAnsi="Times New Roman"/>
          <w:sz w:val="18"/>
          <w:szCs w:val="18"/>
          <w:color w:val="auto"/>
        </w:rPr>
        <w:t>Entities within our Regulated Operations segment file for periodic rate revisions with the MPUC, PSCW or FERC. As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MPUC, Minnesota Power also recognizes revenue under cost recovery riders for transmission, renewable, and environmental investments and expenditures. Revenue from cost recovery riders was $15.1 million for the nine months ended September 30, 2024 ($44.9 million for the nine months ended September 30, 2023).</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Minnesota General Rate Case. </w:t>
      </w:r>
      <w:r>
        <w:rPr>
          <w:rFonts w:ascii="Times New Roman" w:cs="Times New Roman" w:eastAsia="Times New Roman" w:hAnsi="Times New Roman"/>
          <w:sz w:val="18"/>
          <w:szCs w:val="18"/>
          <w:color w:val="auto"/>
        </w:rPr>
        <w:t>On November 1, 2023, Minnesota Power filed a retail rate increase request with the MPUC seeking an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In separate orders dated December 19, 2023, the MPUC accepted the filing as complete and approved an annual interim rate increase of approximately $64 million, net of rider revenue, beginning January 1, 2024, subject to refund.</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 2024, Minnesota Power entered into a settlement agreement with the Minnesota Department of Commerce, Minnesota Office of the Attorney General, Residential Utilities Division, and Large Power Intervenors to settle the retail rate increase request. As part of the settlement agreement, the parties agreed on all issues, including an overall rate increase of $33.97 million, net of rider revenue and amounts transferring to the fuel adjustment clause, a return on equity of 9.78 percent, all non-financial items and cost allocation. At a hearing on October 24, 2024, the MPUC approved the settlement agreement. Final rates are expected to be implemented in the first quarter of 2025; interim rates will be collected through this period with reserves recorded as necessary. As a result of the settlement, Minnesota Power recorded a reserve for an interim rate refund of $17.0 million pre-tax as of September 30, 2024, which is subject to MPUC approval of Minnesota Power’s refund calculation.</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2022 Minnesota General Rate Case. </w:t>
      </w:r>
      <w:r>
        <w:rPr>
          <w:rFonts w:ascii="Times New Roman" w:cs="Times New Roman" w:eastAsia="Times New Roman" w:hAnsi="Times New Roman"/>
          <w:sz w:val="18"/>
          <w:szCs w:val="18"/>
          <w:color w:val="auto"/>
        </w:rPr>
        <w:t>Minnesota Power appealed with the Minnesota Court of Appeals (Court) specific aspects of the MPUC’s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May 2023 rate case orders for the ratemaking treatment of Taconite Harbor and Minnesota Power’s prepaid pension asset. Oral arguments on the appeal were heard by the Court on June 27, 2024. On September 9, 2024, the Court affirmed the MPUC’s Taconite Harbor treatment, but reversed and remanded the treatment of Minnesota Power’s prepaid pension asset back to the MPUC. The Court directed the MPUC to determine the amount of Minnesota Power’s prepaid pension asset to be included in rate base. The MPUC has not yet determined the next procedural steps in implementing the Court’s decision.</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Wisconsin General Rate Case. </w:t>
      </w:r>
      <w:r>
        <w:rPr>
          <w:rFonts w:ascii="Times New Roman" w:cs="Times New Roman" w:eastAsia="Times New Roman" w:hAnsi="Times New Roman"/>
          <w:sz w:val="18"/>
          <w:szCs w:val="18"/>
          <w:color w:val="auto"/>
        </w:rPr>
        <w:t>On March 29, 2024, SWL&amp;P filed a rate increase request for its electric, gas and water utilities with the PSCW.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seeks an overall return on equity of 10.00 percent and a 55.00 percent equity ratio. On an annualized basis, the requested change would increase rates by approximately 5.90 percent for retail customers and generate an estimated $7.3 million of additional revenue. The change to SWL&amp;P customers’ rates will be determined by the PSCW later this year. Any rate adjustments are anticipated to become effective in January 2025. We cannot predict the level of final rates that may be authorized by the PSCW.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2. REGULATORY MATTERS (Continued)</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Transmission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investments and expenditures, including a return on the capital invested. Current customer billing rates are based on an MPUC order dated December 19, 2023, which provisionally approved Minnesota Power’s latest transmission factor filing submitted on October 24, 2023. Updated billing rates were included on customer bills starting in the first quarter of 2024, and the MPUC approved Minnesota Power’s transmission factor filing with no changes in an order dated March 5, 2024.</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Renewable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the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renewable investments and expenditures, including a return on the capital invested. Current customer billing rates for the renewable cost recovery rider were approved by the MPUC in an order dated October 3, 2023. On March 27, 2024, Minnesota Power submitted its latest renewable factor filing. In an order dated June 25, 2024, the MPUC approved the filing and Minnesota Power is authorized to include updated billing rates on customer bills beginning October 1, 2024.</w:t>
      </w:r>
    </w:p>
    <w:p>
      <w:pPr>
        <w:spacing w:after="0" w:line="21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Solar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solar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investments and expenditures for meeting the state of Minnesota’s solar energy standard. Current customer billing rates were approved by the MPUC in an order dated December 26, 2023. Updated billing rates were included on customer bills starting in the first quarter of 2024.</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Fuel Adjustment Clause. </w:t>
      </w:r>
      <w:r>
        <w:rPr>
          <w:rFonts w:ascii="Times New Roman" w:cs="Times New Roman" w:eastAsia="Times New Roman" w:hAnsi="Times New Roman"/>
          <w:sz w:val="18"/>
          <w:szCs w:val="18"/>
          <w:color w:val="auto"/>
        </w:rPr>
        <w:t>Minnesota Power incurred lower fuel and purchased power costs in 2023 than those factored in its fuel adjustment forecast filed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2022 for 2023, which resulted in the recognition of an approximately $13 million regulatory liability as of December 31, 2023. Minnesota Power requested to refund the regulatory liability over 12 months beginning in the third quarter of 2024 as part of its annual true-up filing submitted to the MPUC on March 1, 2024. In an order dated July 1, 2024, the MPUC approved the filing, and authorized Minnesota Power to refund the regulatory liability over 12 months beginning on September 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Power filed its annual forecasted fuel and purchased energy rates for 2025 on May 1, 2024.</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Energy Conservation and Optimization (ECO) Plan. </w:t>
      </w:r>
      <w:r>
        <w:rPr>
          <w:rFonts w:ascii="Times New Roman" w:cs="Times New Roman" w:eastAsia="Times New Roman" w:hAnsi="Times New Roman"/>
          <w:sz w:val="18"/>
          <w:szCs w:val="18"/>
          <w:color w:val="auto"/>
        </w:rPr>
        <w:t>On April 1, 2024, Minnesota Power submitted its 2023 ECO annual filing (formerly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Conservation Improvement Plan) detailing Minnesota Power’s ECO plan results and requesting a financial incentive of $2.2 million, which will be recognized upon approval by the MPUC. In 2023, a financial incentive of $2.2 million was recognized in the third quarter upon approval by the MPUC of the 2022 ECO annual filing. The financial incentives are recognized in the period in which the MPUC approves the filing.</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Regulatory Assets and Liabilities. </w:t>
      </w:r>
      <w:r>
        <w:rPr>
          <w:rFonts w:ascii="Times New Roman" w:cs="Times New Roman" w:eastAsia="Times New Roman" w:hAnsi="Times New Roman"/>
          <w:sz w:val="18"/>
          <w:szCs w:val="18"/>
          <w:color w:val="auto"/>
        </w:rPr>
        <w:t>Our regulated utility operations are subject to accounting standards for the effects of certain types of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REGULATORY MATTERS (Continued)</w:t>
            </w: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tc>
        <w:tc>
          <w:tcPr>
            <w:tcW w:w="3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auto"/>
            </w:tcBorders>
            <w:vMerge w:val="continue"/>
          </w:tcPr>
          <w:p>
            <w:pPr>
              <w:spacing w:after="0"/>
              <w:rPr>
                <w:sz w:val="21"/>
                <w:szCs w:val="21"/>
                <w:color w:val="auto"/>
              </w:rPr>
            </w:pPr>
          </w:p>
        </w:tc>
        <w:tc>
          <w:tcPr>
            <w:tcW w:w="3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Current Regulatory Assets </w:t>
            </w:r>
            <w:r>
              <w:rPr>
                <w:rFonts w:ascii="Times New Roman" w:cs="Times New Roman" w:eastAsia="Times New Roman" w:hAnsi="Times New Roman"/>
                <w:sz w:val="16"/>
                <w:szCs w:val="16"/>
                <w:i w:val="1"/>
                <w:iCs w:val="1"/>
                <w:color w:val="auto"/>
              </w:rPr>
              <w:t>(a)</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Regulatory Assets</w:t>
            </w:r>
          </w:p>
        </w:tc>
        <w:tc>
          <w:tcPr>
            <w:tcW w:w="3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$0.6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Regulatory Assets</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Plans</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$214.5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81.7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39.9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Taconite Harbor</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Manufactured Gas Plant</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Recovery Riders</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PPACA Income Tax Deferral</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Non-Current Regulatory Assets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$386.1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Current Regulatory Liabilities </w:t>
            </w:r>
            <w:r>
              <w:rPr>
                <w:rFonts w:ascii="Times New Roman" w:cs="Times New Roman" w:eastAsia="Times New Roman" w:hAnsi="Times New Roman"/>
                <w:sz w:val="16"/>
                <w:szCs w:val="16"/>
                <w:i w:val="1"/>
                <w:iCs w:val="1"/>
                <w:color w:val="auto"/>
              </w:rPr>
              <w:t>(b)</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Interim Rate Refund</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Transmission Formula Rates Refund</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3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$27.8</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Regulatory Liabilities</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$292.8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Wholesale and Retail Contra AFUDC</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76.2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Plant Removal Obligations</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Non-Jurisdictional Land Sales</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55.0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39.2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Tax Credits</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Boswell Units 1 and 2 Net Plant and Equipment</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5.6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Regulatory Liabilities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$562.1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Current regulatory assets are presented within Prepayments and Other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Current regulatory liabilities are presented within Other Current Liabilities on the Consolidated Balance Sheet.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EQUITY INVESTMENTS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Investment in ATC</w:t>
      </w:r>
      <w:r>
        <w:rPr>
          <w:rFonts w:ascii="Times New Roman" w:cs="Times New Roman" w:eastAsia="Times New Roman" w:hAnsi="Times New Roman"/>
          <w:sz w:val="18"/>
          <w:szCs w:val="18"/>
          <w:color w:val="auto"/>
        </w:rPr>
        <w:t>. Our wholly-owned subsidiary, ALLETE Transmission Holdings, owns approximately 8 percent of ATC, a Wisconsin-based utility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owns and maintains electric transmission assets in portions of Wisconsin, Michigan, Minnesota and Illinois. We account for our investment in ATC under the equity method of accounting.</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ALLETE’s Investment in ATC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December 31, 2023</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Investments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ATC Earnings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Distributed ATC Earnings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the Remeasurement of Deferred Income Taxes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September 30, 2024</w:t>
            </w:r>
          </w:p>
        </w:tc>
        <w:tc>
          <w:tcPr>
            <w:tcW w:w="3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3. EQUITY INVESTMENTS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ATC’s authorized return on equity was 10.02 percent, or 10.52 percent including an incentive adder for participation in a regional transmission organization (RTO), based on a 2020 FERC order which is subject to various outstanding legal challenges related to the return on equity calculation and refund period ordered by the FERC. In August 2022, the U.S. Court of Appeals for the District of Columbia Circuit (D.C. Circuit) vacated and remanded the 2020 FERC order back to FERC. On October 17, 2024, FERC ordered a return on equity of 9.98 percent, or 10.48 percent including an incentive adder for participation in a RTO effective September 28, 2016.</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FERC issued a Notice of Proposed Rulemaking in 2021 proposing to limit the 0.50 percent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Investment in Nobles 2. </w:t>
      </w:r>
      <w:r>
        <w:rPr>
          <w:rFonts w:ascii="Times New Roman" w:cs="Times New Roman" w:eastAsia="Times New Roman" w:hAnsi="Times New Roman"/>
          <w:sz w:val="18"/>
          <w:szCs w:val="18"/>
          <w:color w:val="auto"/>
        </w:rPr>
        <w:t>Our subsidiary, ALLETE South Wind, owns 49 percent of Nobles 2, the entity that owns and operates a 250 MW wind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in southwestern Minnesota pursuant to a 20-year PPA with Minnesota Power. We account for our investment in Nobles 2 under the equity method of accounting.</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ALLETE’s Investment in Nobles 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980" w:type="dxa"/>
            <w:vAlign w:val="bottom"/>
            <w:tcBorders>
              <w:top w:val="single" w:sz="8" w:color="auto"/>
            </w:tcBorders>
          </w:tcPr>
          <w:p>
            <w:pPr>
              <w:spacing w:after="0"/>
              <w:rPr>
                <w:sz w:val="19"/>
                <w:szCs w:val="19"/>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December 31, 2023</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in Nobles 2 Earnings </w:t>
            </w:r>
            <w:r>
              <w:rPr>
                <w:rFonts w:ascii="Times New Roman" w:cs="Times New Roman" w:eastAsia="Times New Roman" w:hAnsi="Times New Roman"/>
                <w:sz w:val="16"/>
                <w:szCs w:val="16"/>
                <w:i w:val="1"/>
                <w:iCs w:val="1"/>
                <w:color w:val="auto"/>
              </w:rPr>
              <w:t>(a)</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Distributed Nobles 2 Earnings</w:t>
            </w:r>
          </w:p>
        </w:tc>
        <w:tc>
          <w:tcPr>
            <w:tcW w:w="3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September 30, 2024</w:t>
            </w:r>
          </w:p>
        </w:tc>
        <w:tc>
          <w:tcPr>
            <w:tcW w:w="3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r>
    </w:tbl>
    <w:p>
      <w:pPr>
        <w:spacing w:after="0" w:line="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Company also recorded earnings from net loss attributable to non-controlling interest of $8.4 million related to its investment in Nobles 2.</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2023 Form 10-K.</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our assets and liabilities that were accounted for at fair value on a recurring basis as of September 30, 2024, and December 31, 2023.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on the Consolidated Balance Sheet approximates the carrying amount and therefore is excluded from the recurring fair value measures in the following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FAIR VALUE (Continued)</w:t>
            </w:r>
          </w:p>
        </w:tc>
        <w:tc>
          <w:tcPr>
            <w:tcW w:w="1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91"/>
        </w:trPr>
        <w:tc>
          <w:tcPr>
            <w:tcW w:w="6220" w:type="dxa"/>
            <w:vAlign w:val="bottom"/>
          </w:tcPr>
          <w:p>
            <w:pPr>
              <w:spacing w:after="0"/>
              <w:rPr>
                <w:sz w:val="24"/>
                <w:szCs w:val="24"/>
                <w:color w:val="auto"/>
              </w:rPr>
            </w:pPr>
          </w:p>
        </w:tc>
        <w:tc>
          <w:tcPr>
            <w:tcW w:w="434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rPr>
              <w:t>Fair Value as of September 30, 2024</w:t>
            </w:r>
          </w:p>
        </w:tc>
        <w:tc>
          <w:tcPr>
            <w:tcW w:w="660" w:type="dxa"/>
            <w:vAlign w:val="bottom"/>
          </w:tcPr>
          <w:p>
            <w:pPr>
              <w:spacing w:after="0"/>
              <w:rPr>
                <w:sz w:val="24"/>
                <w:szCs w:val="24"/>
                <w:color w:val="auto"/>
              </w:rPr>
            </w:pPr>
          </w:p>
        </w:tc>
      </w:tr>
      <w:tr>
        <w:trPr>
          <w:trHeight w:val="238"/>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1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$9.2</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Available-for-sale – Corporate and Governmental Debt Securities </w:t>
            </w:r>
            <w:r>
              <w:rPr>
                <w:rFonts w:ascii="Times New Roman" w:cs="Times New Roman" w:eastAsia="Times New Roman" w:hAnsi="Times New Roman"/>
                <w:sz w:val="16"/>
                <w:szCs w:val="16"/>
                <w:i w:val="1"/>
                <w:iCs w:val="1"/>
                <w:color w:val="auto"/>
              </w:rPr>
              <w:t>(b)</w:t>
            </w:r>
          </w:p>
        </w:tc>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6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7.5</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$16.7</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c>
          <w:tcPr>
            <w:tcW w:w="1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196"/>
        </w:trPr>
        <w:tc>
          <w:tcPr>
            <w:tcW w:w="6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6"/>
                <w:szCs w:val="16"/>
                <w:i w:val="1"/>
                <w:iCs w:val="1"/>
                <w:color w:val="auto"/>
              </w:rPr>
              <w:t>(c)</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$20.5</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1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$20.5</w:t>
            </w:r>
          </w:p>
        </w:tc>
        <w:tc>
          <w:tcPr>
            <w:tcW w:w="1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tc>
        <w:tc>
          <w:tcPr>
            <w:tcW w:w="660" w:type="dxa"/>
            <w:vAlign w:val="bottom"/>
          </w:tcPr>
          <w:p>
            <w:pPr>
              <w:spacing w:after="0"/>
              <w:rPr>
                <w:sz w:val="19"/>
                <w:szCs w:val="19"/>
                <w:color w:val="auto"/>
              </w:rPr>
            </w:pPr>
          </w:p>
        </w:tc>
      </w:tr>
      <w:tr>
        <w:trPr>
          <w:trHeight w:val="238"/>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2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 Corporate and Governmental Debt Securities</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2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$14.5</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196"/>
        </w:trPr>
        <w:tc>
          <w:tcPr>
            <w:tcW w:w="6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6"/>
                <w:szCs w:val="16"/>
                <w:i w:val="1"/>
                <w:iCs w:val="1"/>
                <w:color w:val="auto"/>
              </w:rPr>
              <w:t>(c)</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$16.5</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2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$16.5</w:t>
            </w:r>
          </w:p>
        </w:tc>
        <w:tc>
          <w:tcPr>
            <w:tcW w:w="1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6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Assets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line="248" w:lineRule="auto"/>
        <w:tabs>
          <w:tab w:leader="none" w:pos="3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September 30, 2024, the aggregate amount of available-for-sale corporate and governmental debt securities maturing in one year or less was $2.2 million, in one year to less than three years was $2.3 million, in three years to less than five years was $1.7 million and in five or more years was $0.5 million.</w:t>
      </w:r>
    </w:p>
    <w:p>
      <w:pPr>
        <w:spacing w:after="0" w:line="1"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Liabilities on the Consolidated Balance Sheet.</w:t>
      </w:r>
    </w:p>
    <w:p>
      <w:pPr>
        <w:spacing w:after="0" w:line="2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With the exception of the item listed in the following table, the estimated fair value of all financial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approximates the carrying amount. The fair value of the item listed in the following table was based on quoted market prices for the same or similar instruments (Level 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Short-Term and Long-Term Debt </w:t>
            </w:r>
            <w:r>
              <w:rPr>
                <w:rFonts w:ascii="Times New Roman" w:cs="Times New Roman" w:eastAsia="Times New Roman" w:hAnsi="Times New Roman"/>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30, 2024</w:t>
            </w:r>
          </w:p>
        </w:tc>
        <w:tc>
          <w:tcPr>
            <w:tcW w:w="4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$1,794.4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$1,724.7</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2023</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$1,799.4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w:t>
            </w: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Excludes unamortized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4. FAIR VALUE (Continued)</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Assets and Liabilities Measured at Fair Value on a Nonrecurring Basis. </w:t>
      </w:r>
      <w:r>
        <w:rPr>
          <w:rFonts w:ascii="Times New Roman" w:cs="Times New Roman" w:eastAsia="Times New Roman" w:hAnsi="Times New Roman"/>
          <w:sz w:val="18"/>
          <w:szCs w:val="18"/>
          <w:color w:val="auto"/>
        </w:rPr>
        <w:t>Non-financial assets such as equity method investments, land inventory,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plant and equipment are measured at fair value when there is an indicator of impairment and recorded at fair value only when an impairment is recognized. For the quarter and nine months ended September 30, 2024, and the year ended December 31, 2023, there were no indicators of impairment for these non-financial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monitor changes in the broader energy markets along with wind resource expectations that could indicate impairment at ALLETE Clean Energy wind energy facilities upon contract expirations or for facilities without long-term contracts for their entire output. A continued decline or volatility in energy prices or lower wind resource expectations could result in a future impairment.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SHORT-TERM AND LONG-TERM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short-term and long-term debt as of September 30, 2024, and December 31,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5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auto"/>
            </w:tcBorders>
            <w:vMerge w:val="continue"/>
          </w:tcPr>
          <w:p>
            <w:pPr>
              <w:spacing w:after="0"/>
              <w:rPr>
                <w:sz w:val="21"/>
                <w:szCs w:val="21"/>
                <w:color w:val="auto"/>
              </w:rPr>
            </w:pPr>
          </w:p>
        </w:tc>
        <w:tc>
          <w:tcPr>
            <w:tcW w:w="350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1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$41.8</w:t>
            </w:r>
          </w:p>
        </w:tc>
        <w:tc>
          <w:tcPr>
            <w:tcW w:w="2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1,752.6</w:t>
            </w: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$1,794.4</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5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352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1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$111.5</w:t>
            </w:r>
          </w:p>
        </w:tc>
        <w:tc>
          <w:tcPr>
            <w:tcW w:w="2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1,687.9</w:t>
            </w: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$1,799.4</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$23.4 million outstanding in standby letters of credit and no outstanding draws under our lines of credit as of September 30, 2024 ($19.4 million in standby letters of credit and $34.1 million outstanding draws on our lines of credit as of December 31, 2023). We also have standby letters of credit outstanding under other letter of credit facilities. (See Note 6. Commitments, Guarantees and Contingencies.)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September 5, 2024, ALLETE issued and sold $150 million of senior unsecured notes (“Notes”) to certain institutional buyers in the private placement market. The Notes were sold in reliance on an exemption from registration under Section 4(a)(2) of the Securities Act of 1933, as amended, to institutional accredited investors. Of the Notes issued and sold, $100 million of the Notes bear interest at a rate of 5.94 percent and mature on September 5, 2029, and $50 million of the Notes bear interest at a rate of 6.18 percent and mature on September 5, 2034. Interest on the Notes will be payable semi-annually on March 5 and September 5 of each year, commencing on March 5, 2025. The Company has the option to prepay all or a portion of the Notes at its discretion, subject to a make-whole provision. The Notes are subject to additional terms and conditions which are customary for these types of transactions. Proceeds from the sale of the Notes were used for refinancing of debt and general corporate purposes.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31, 2024, ALLETE issued a notice to the holders of its 2.65 percent senior notes due September 10, 2025, (“2025 Notes”) regarding the Company’s exercise of its option to prepay all of the issued and outstanding 2025 Notes. ALLETE prepaid all $150 million in aggregate principal amount of the 2025 Notes on September 5, 2024. The 2025 Notes were prepaid at 100 percent of their principal amount,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5. SHORT-TERM AND LONG-TERM DEBT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2024, ALLETE issued $100 million of its First Mortgage Bonds (Bonds) to certain institutional buyers in the private placement market. The Bonds, which bear interest at 5.72 percent, will mature on April 30, 2039 and pay interest semi-annually in April and October of each year, commencing on October 30, 2024. ALLETE has the option to prepay all or a portion of the Bonds at its discretion, subject to a make-whole provision. The Bonds are subject to additional terms and conditions which are customary for these types of transactions. Proceeds from the sale of the Bonds were used to refinance existing indebtedness and for general corporate purposes. The Bonds were sold in reliance on an exemption from registration under Section 4(a)(2) of the Securities Act of 1933, as amended, to institutional accredited investors.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Financial Covenants. </w:t>
      </w:r>
      <w:r>
        <w:rPr>
          <w:rFonts w:ascii="Times New Roman" w:cs="Times New Roman" w:eastAsia="Times New Roman" w:hAnsi="Times New Roman"/>
          <w:sz w:val="18"/>
          <w:szCs w:val="18"/>
          <w:color w:val="auto"/>
        </w:rPr>
        <w:t>Our long-term debt arrangements contain customary covenants. In addition, our lines of credit and letters of credit supporting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2024, our ratio was approximately 0.36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September 30, 2024, ALLETE was in compliance with its financial covenants.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Power Purchase and Sale Agreements. </w:t>
      </w:r>
      <w:r>
        <w:rPr>
          <w:rFonts w:ascii="Times New Roman" w:cs="Times New Roman" w:eastAsia="Times New Roman" w:hAnsi="Times New Roman"/>
          <w:sz w:val="18"/>
          <w:szCs w:val="18"/>
          <w:color w:val="auto"/>
        </w:rPr>
        <w:t>Our long-term PPAs have been evaluated under the accounting guidance for variable interest entities.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PPAs are summarized in Note 9. Commitments, Guarantees and Contingencies to the Consolidated Financial Statements in our 2023 Form 10-K, with additional disclosure provided in the following paragraphs.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Square Butte PPA. </w:t>
      </w:r>
      <w:r>
        <w:rPr>
          <w:rFonts w:ascii="Times New Roman" w:cs="Times New Roman" w:eastAsia="Times New Roman" w:hAnsi="Times New Roman"/>
          <w:sz w:val="18"/>
          <w:szCs w:val="18"/>
          <w:color w:val="auto"/>
        </w:rPr>
        <w:t>As of September 30, 2024, Square Butte had total debt outstanding of $174.2 million. Fuel expenses are recoverable through Minnesota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Power’s fuel adjustment clause and include the cost of coal purchased from BNI Energy under a long-term contract. Minnesota Power’s cost of power purchased from Square Butte during the nine months ended September 30, 2024, was $66.0 million ($64.8 million for the same period in 2023). This reflects Minnesota Power’s pro rata share of total Square Butte costs based on the 50 percent output entitlement. Included in this amount was Minnesota Power’s pro rata share of interest expense of $3.8 million ($4.1 million for the same period in 2023). Minnesota Power’s payments to Square Butte are approved as a purchased power expense for ratemaking purposes by both the MPUC and the FERC.</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Minnkota Power PSA. </w:t>
      </w:r>
      <w:r>
        <w:rPr>
          <w:rFonts w:ascii="Times New Roman" w:cs="Times New Roman" w:eastAsia="Times New Roman" w:hAnsi="Times New Roman"/>
          <w:sz w:val="18"/>
          <w:szCs w:val="18"/>
          <w:color w:val="auto"/>
        </w:rPr>
        <w:t>Minnesota Power has a PSA with Minnkota Power, which commenced in 2014. Under the PSA, Minnesota Power is selling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41 percent in 2024 and 37 percent in 2023.</w:t>
      </w: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Coal, Rail and Shipping Contracts. </w:t>
      </w:r>
      <w:r>
        <w:rPr>
          <w:rFonts w:ascii="Times New Roman" w:cs="Times New Roman" w:eastAsia="Times New Roman" w:hAnsi="Times New Roman"/>
          <w:sz w:val="18"/>
          <w:szCs w:val="18"/>
          <w:color w:val="auto"/>
        </w:rPr>
        <w:t>Minnesota Power has coal supply agreements providing for the purchase of a significant portion of its coal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through December 2025. Minnesota Power also has coal transportation agreements in place for the delivery of a significant portion of its coal requirements through December 2024. The costs of fuel and related transportation costs for Minnesota Power’s generation are recoverable from Minnesota Power’s utility customers through the fuel adjustment clause.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Air. </w:t>
      </w:r>
      <w:r>
        <w:rPr>
          <w:rFonts w:ascii="Times New Roman" w:cs="Times New Roman" w:eastAsia="Times New Roman" w:hAnsi="Times New Roman"/>
          <w:sz w:val="18"/>
          <w:szCs w:val="18"/>
          <w:color w:val="auto"/>
        </w:rPr>
        <w:t>The electric utility industry is regulated both at the federal and state level to address air emissions. Minnesota Power’s thermal generating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mainly burn low-sulfur western sub-bituminous coal, as well as natural gas and biomass. All of Minnesota Power’s coal-fired generating facilities are equipped with pollution control equipment such as scrubbers, baghouses and low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technologies. Under currently applicable environmental regulations, these facilities are substantially compliant with emission requirements.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Cross-State Air Pollution Rule (CSAPR). </w:t>
      </w:r>
      <w:r>
        <w:rPr>
          <w:rFonts w:ascii="Times New Roman" w:cs="Times New Roman" w:eastAsia="Times New Roman" w:hAnsi="Times New Roman"/>
          <w:sz w:val="18"/>
          <w:szCs w:val="18"/>
          <w:color w:val="auto"/>
        </w:rPr>
        <w:t>The CSAPR requires certain states in the eastern half of the U.S., including Minnesota, to reduce power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and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allowances issued and pending issuance as well as consideration of current rules, we currently expect generation levels and emission rates will result in continued compliance with the CSAPR. Minnesota Power will continue to monitor ongoing CSAPR rulemakings and compliance implementation, including the EPA’s Good Neighbor Rule which modifies certain aspects of the CSAPR’s program scope and extent (see </w:t>
      </w:r>
      <w:r>
        <w:rPr>
          <w:rFonts w:ascii="Times New Roman" w:cs="Times New Roman" w:eastAsia="Times New Roman" w:hAnsi="Times New Roman"/>
          <w:sz w:val="18"/>
          <w:szCs w:val="18"/>
          <w:i w:val="1"/>
          <w:iCs w:val="1"/>
          <w:color w:val="auto"/>
        </w:rPr>
        <w:t>EPA Good Neighbor Plan for 2015 Ozone NAAQS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National Ambient Air Quality Standards (NAAQS). </w:t>
      </w:r>
      <w:r>
        <w:rPr>
          <w:rFonts w:ascii="Times New Roman" w:cs="Times New Roman" w:eastAsia="Times New Roman" w:hAnsi="Times New Roman"/>
          <w:sz w:val="18"/>
          <w:szCs w:val="18"/>
          <w:color w:val="auto"/>
        </w:rPr>
        <w:t>The EPA is required to review each NAAQS every five years. If the EPA determines that a state’s 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is not in compliance with the NAAQS, the state is required to adopt plans describing how it will reduce emissions to attain the NAAQS. Minnesota Power actively monitors NAAQS developments, and the EPA is currently reviewing the secondary NAAQS for NOx,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and particulate matter. Implementation of the EPA’s February 2024 final rule lowering the annual primary standard for fine particulate matter began on May 6, 2024. The EPA also released a draft rule on April 15, 2024, proposing to revise the secondary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NAAQS while retaining certain secondary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and particulate matter NAAQS, with a final rule expected by January 2025. Anticipated timelines and compliance costs related to this and other potential NAAQS revisions cannot yet be estimated but costs could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i w:val="1"/>
          <w:iCs w:val="1"/>
          <w:color w:val="auto"/>
        </w:rPr>
        <w:t>EPA Good Neighbor Plan for 2015 Ozone NAAQS</w:t>
      </w:r>
      <w:r>
        <w:rPr>
          <w:rFonts w:ascii="Times New Roman" w:cs="Times New Roman" w:eastAsia="Times New Roman" w:hAnsi="Times New Roman"/>
          <w:sz w:val="18"/>
          <w:szCs w:val="18"/>
          <w:color w:val="auto"/>
        </w:rPr>
        <w:t>. On June 5, 2023, after disapproving state implementation plans, the EPA published a final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Plan (FIP) rule in the Federal Register, the Good Neighbor Plan, to address regional ozone transport for the 2015 Ozone NAAQS by reducing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emissions during the period of May 1 through September 30 (ozone season). In its justification for the final rule, the EPA asserted that 23 states, including Minnesota, were modeled as significant contributors to downwind states’ challenges in attaining or maintaining ozone NAAQS compliance within their state borders. The Good Neighbor Plan is designed to resolve this interstate transport issue by implementing a variety of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reduction strategies, including federal implementation plan requirements,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emission limitations, and ozone season allowance program requirements. The final rule imposed restrictions on fossil-fuel fired power plants in 22 states and on certain industrial sources in 20 states, with implementation occurring through changes to the existing CSAPR program for power plants.</w:t>
      </w:r>
    </w:p>
    <w:p>
      <w:pPr>
        <w:spacing w:after="0" w:line="2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the EPA partially disapproved the Good Neighbor State Implementation Plans (SIPs) for the states of Minnesota and Wisconsin, among others, Minnesota is subject to the final Good Neighbor Plan. However, Minnesota Power and a coalition of other Minnesota utilities and industry (the parties) co-filed challenges to the EPA’s final Minnesota SIP disapproval, submitting a petition for reconsideration and stay to the EPA, and a petition for judicial review to the Eighth Circuit Court. The parties are challenging and requesting reconsideration of certain technical components of the EPA’s review and subsequent partial disapproval of the state of Minnesota’s SIP. On July 5, 2023, the Eighth Circuit Court granted a stay of the SIP disapproval preventing the Good Neighbor Plan from taking effect in Minnesota; oral arguments occurred on October 22, 2024. On March 28, 2024, the EPA issued a partial denial of several administrative reconsideration and stay petitions, including from the Minnesota coalition.</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29, 2023, the EPA issued an updated final interim rule addressing the stays in Minnesota and five other states, formally delaying the effective date of the final FIP for states with active stays in place. The state of Minnesota therefore did not become subject to compliance obligations for the 2023 or 2024 ozone seasons. Future compliance obligations will depend on resolution of the stay. Additionally, challenges have been filed against the final FIP rule by the Minnesota coalition parties and other entities, although the Minnesota coalition FIP challenge is currently in abeyance pending resolution of the SIP disapproval case. On June 27, 2024, the U.S. Supreme Court granted an emergency stay of the FIP rule requested by several states and industry groups, staying enforcement pending the D.C. Circuit’s review and any petition for writ of certiorari. Anticipated timelines and compliance costs related to final Good Neighbor Plan compliance cannot yet be estimated due to uncertainties about SIP approval resolution, implementation timing, FIP rule outcome, and allowance costs and facility emissions during the ozone season. However, the costs could be material, including costs of additional NOx controls, emission allowance program participation, or operational changes, if any are required. Minnesota Power would seek recovery of additional costs through a rate proceeding.</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EPA National Emission Standards for Hazardous Air Pollutants for Major Sources: Industrial, Commercial and Institutional Boilers and Process Heaters (Industrial Boiler MACT) Rule</w:t>
      </w:r>
      <w:r>
        <w:rPr>
          <w:rFonts w:ascii="Times New Roman" w:cs="Times New Roman" w:eastAsia="Times New Roman" w:hAnsi="Times New Roman"/>
          <w:sz w:val="18"/>
          <w:szCs w:val="18"/>
          <w:color w:val="auto"/>
        </w:rPr>
        <w:t>. A final rule issued by the EPA for Industrial Boiler MACT became effective in 2013 with compliance required at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sources in 2016, which applied to Minnesota Power’s Hibbard Renewable Energy Center and Rapids Energy Center. Compliance consisted largely of adjustments to fuels and operating practices and compliance costs were not material. After this initial rulemaking, litigation from 2016 through 2018 resulted in court orders directing that the EPA reconsider certain aspects of the regulation. A final rule incorporating these revisions became effective in December 2022, with a compliance deadline of October 6, 2025. Compliance costs are not expected to be material.</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EPA Mercury and Air Toxics Standards (MATS) Rule</w:t>
      </w:r>
      <w:r>
        <w:rPr>
          <w:rFonts w:ascii="Times New Roman" w:cs="Times New Roman" w:eastAsia="Times New Roman" w:hAnsi="Times New Roman"/>
          <w:sz w:val="18"/>
          <w:szCs w:val="18"/>
          <w:color w:val="auto"/>
        </w:rPr>
        <w:t>. On April 25, 2024, the EPA published a final rule to revise the existing 2012 MATS Rule,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air emissions of hazardous air pollutants from coal- and oil-fired electric generating units (EGUs). The final rule eliminates certain MATS compliance flexibility, lowers the particulate emission standard for all coal-fired EGUs, and reduces the mercury emission standard for lignite-fired EGUs. The rule became effective July 8, 2024, with compliance required beginning July 6, 2027. The MATS regulation applies at Minnesota Power’s Boswell facility, which is currently well-controlled for these emissions and already complying with some of the new requirements. The Company anticipates the new rule will not have material impacts at Boswell. However, compliance costs cannot yet be fully estimated, and recovery of any additional costs would be sought through a rate proceeding. Litigation against the EPA’s latest MATS Rule revision from a number of U.S. states as well as several companies and industry groups is ongoing. Motions to stay the rule were denied by the U.S. Court of Appeals for the D.C. Circuit on August 6, 2024, and the U.S. Supreme Court on October 4, 2024.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Climate Change. </w:t>
      </w:r>
      <w:r>
        <w:rPr>
          <w:rFonts w:ascii="Times New Roman" w:cs="Times New Roman" w:eastAsia="Times New Roman" w:hAnsi="Times New Roman"/>
          <w:sz w:val="18"/>
          <w:szCs w:val="18"/>
          <w:color w:val="auto"/>
        </w:rPr>
        <w:t>The scientific community generally accepts that emissions of GHGs are linked to global climate change which creates physical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renewable power supply for both our operations and the operations of others;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energy conservation initiatives for our customers and engaging in other demand side management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efficiency of our generating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research of technologies to reduce carbon emissions from generating facilities and carbon sequestration efforts;</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developing less carbon intensive future generating assets such as efficient and flexible natural gas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fired generating facilities;</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vegetation on right-of-way corridors to reduce potential wildfire or storm damage risks; and</w:t>
      </w:r>
    </w:p>
    <w:p>
      <w:pPr>
        <w:spacing w:after="0" w:line="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 Regulation of GHG Emissions. </w:t>
      </w:r>
      <w:r>
        <w:rPr>
          <w:rFonts w:ascii="Times New Roman" w:cs="Times New Roman" w:eastAsia="Times New Roman" w:hAnsi="Times New Roman"/>
          <w:sz w:val="18"/>
          <w:szCs w:val="18"/>
          <w:color w:val="auto"/>
        </w:rPr>
        <w:t>On April 25, 2024, the EPA issued several final greenhouse gas regulations to establish emissions standards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for fossil fuel-fired electric generating units (EGUs) under Section 111 of the Clean Air Act (CAA). The final rules revise new source performance standards (NSPS) for new, modified and reconstructed EGUs (Section 111(b) of the CAA) and creates new emission guidelines for existing EGUs (Section 111(d) of the CAA). The action also officially repeals the predecessor regulation “Affordable Clean Energy Rule”, first issued in 2019 and later vacated in 2021. Compliance will be required beginning January 1, 2030 for existing sources, and upon commencing operation of new units. The 111(d) rule also requires states to submit plans to provide for the establishment, implementation and enforcement of performance standards for existing sources. States must submit either a state plan or negative declaration letter to the EPA by May 11, 2026.</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final Section 111 rules apply to several Company assets, including existing EGUs at the Boswell and Laskin facilities as well as the proposed combined cycle natural gas-fired generating facility, Nemadji Trail Energy Center. The Company anticipates compliance with the rules may require operational or planning adjustments. The state implementation plan process for Section 111(d) existing units will also be a factor in determining specific requirements and timing. We are unable to predict compliance costs at this time; however, the costs could be material. Minnesota Power would seek recovery of additional costs through a rate proceeding. The Company is also monitoring litigation of the final Section 111 rules, which began when the rules were published in the Federal Register on May 9, 2024 and continues in federal court. Both the D.C. Circuit and the U.S. Supreme Court have declined requests to block the rule from becoming effective while litigation is ongoing. Outcomes from ongoing litigation may impact both the timing of rule effectiveness and the ultimate compliance obligations required by the rule.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w:t>
      </w:r>
      <w:r>
        <w:rPr>
          <w:rFonts w:ascii="Times New Roman" w:cs="Times New Roman" w:eastAsia="Times New Roman" w:hAnsi="Times New Roman"/>
          <w:sz w:val="18"/>
          <w:szCs w:val="18"/>
          <w:color w:val="auto"/>
        </w:rPr>
        <w:t>The Clean Water Act requires NPDES permits be obtained from the EPA or delegated state agencies for any wastewater discharged into navigable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waters. We have obtained all necessary NPDES permits, including NPDES storm water permits for applicable facilities, to conduct our operations.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Steam Electric Power Generating Effluent Limitations Guidelines. </w:t>
      </w:r>
      <w:r>
        <w:rPr>
          <w:rFonts w:ascii="Times New Roman" w:cs="Times New Roman" w:eastAsia="Times New Roman" w:hAnsi="Times New Roman"/>
          <w:sz w:val="18"/>
          <w:szCs w:val="18"/>
          <w:color w:val="auto"/>
        </w:rPr>
        <w:t>In 2015, the EPA issued revised federal effluent limitation guidelines (ELG) for steam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power generating stations under the Clean Water Act. It set effluent limits and prescribed Best Available Control Technology (BACT) for several wastewater streams, including flue gas desulphurization (FGD) water, bottom ash transport water and coal combustion landfill leachate. In October 2020, the EPA published a final ELG Rule allowing re-use of bottom ash transport water in FGD scrubber systems with limited discharges related to maintaining system water balance. The rule set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9, 2024, the EPA finalized revisions to the 2020 ELG rule. The final rule establishes zero discharge limitations for bottom ash transport water, FGD wastewater, and combustion residual leachate. A definition for legacy wastewater was established, with deferral to state permit programs for setting discharge limits based on best professional judgment. The rule maintains exemptions for units permanently ceasing coal combustion by 2028 and adds a new subcategory for units that are retiring by 2032 and have already complied with either the 2015 or 2020 ELG rules. Additionally, the rule establishes mercury and arsenic limitations for functionally equivalent discharges of leachate via groundwater to surface water. Compliance deadlines are determined by the applicable state permitting authority through permit incorporation as soon as July 8, 2024, but no later than December 31, 2029.</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Bottom ash transport and FGD wastewater ELGs are not expected to have a significant impact on Minnesota Power operations. Zero leachate discharge requirements have the potential to impact dewatering associated with the closed Taconite Harbor dry ash landfill. New limitations for arsenic and mercury related to functionally equivalent (groundwater to surface water) discharges are not currently anticipated to impact Minnesota Power facilities.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Permitted Water Discharges – Sulfate</w:t>
      </w:r>
      <w:r>
        <w:rPr>
          <w:rFonts w:ascii="Times New Roman" w:cs="Times New Roman" w:eastAsia="Times New Roman" w:hAnsi="Times New Roman"/>
          <w:sz w:val="18"/>
          <w:szCs w:val="18"/>
          <w:color w:val="auto"/>
        </w:rPr>
        <w:t>. In 2017, the MPCA released a draft water quality standard in an attempt to update Minnesota’s existing 10 mg/L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Clean Water Act requires the MPCA to update the state's impaired water list every two years. Beginning in 2021 through the latest release approved by the EPA in April 2024, this list now includes Minnesota lakes and streams identified as wild rice waters that are listed for sulfate impairment. The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or its customers, if any. Minnesota Power would seek recovery of additional costs through a rate proceeding.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Solid and Hazardous Waste. </w:t>
      </w:r>
      <w:r>
        <w:rPr>
          <w:rFonts w:ascii="Times New Roman" w:cs="Times New Roman" w:eastAsia="Times New Roman" w:hAnsi="Times New Roman"/>
          <w:sz w:val="18"/>
          <w:szCs w:val="18"/>
          <w:color w:val="auto"/>
        </w:rPr>
        <w:t>The Resource Conservation and Recovery Act of 1976 regulates the management and disposal of solid and hazardous wastes.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notify the EPA of hazardous waste activity and, consequently, routinely submit reports to the EPA.</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Coal Ash Management Facilities. </w:t>
      </w:r>
      <w:r>
        <w:rPr>
          <w:rFonts w:ascii="Times New Roman" w:cs="Times New Roman" w:eastAsia="Times New Roman" w:hAnsi="Times New Roman"/>
          <w:sz w:val="18"/>
          <w:szCs w:val="18"/>
          <w:color w:val="auto"/>
        </w:rPr>
        <w:t>Minnesota Power produces the majority of its coal ash at Boswell, with small amounts of ash generated at Hibbard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Boswell Ash Wastewater Spill. </w:t>
      </w:r>
      <w:r>
        <w:rPr>
          <w:rFonts w:ascii="Times New Roman" w:cs="Times New Roman" w:eastAsia="Times New Roman" w:hAnsi="Times New Roman"/>
          <w:sz w:val="18"/>
          <w:szCs w:val="18"/>
          <w:color w:val="auto"/>
        </w:rPr>
        <w:t>On August 12, 2024, Minnesota Power received a Notice of Violation (NOV) from the MPCA, related to the spill at Boswell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pipeline carrying ash wastewater from an inactive onsite storage pond to Blackwater Creek, which the Company reported on July 16, 2024. Minnesota Power responded to the MPCA NOV, clarifying certain statements made by the MPCA, as well as providing a written report and required plans. We are awaiting a proposed Stipulation Agreement from the MPCA. Minnesota Power continues to work with state and federal agencies to evaluate and mitigate the impacts from this event. We are unable to predict the mitigation or other costs related to the ash wastewater spill at this time; however, the costs could be material.</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Coal Combustion Residuals from Electric Utilities. </w:t>
      </w:r>
      <w:r>
        <w:rPr>
          <w:rFonts w:ascii="Times New Roman" w:cs="Times New Roman" w:eastAsia="Times New Roman" w:hAnsi="Times New Roman"/>
          <w:sz w:val="18"/>
          <w:szCs w:val="18"/>
          <w:color w:val="auto"/>
        </w:rPr>
        <w:t>In 2015, the EPA published a final rule (2015 Rule) regulating CCR as nonhazardous waste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Subtitle D of the Resource Conservation and Recovery Act (RCRA) in the Federal Register. The rule included additional requirements for new landfill and impoundment construction as well as closure activities related to certain existing impoundments. Costs of compliance for Boswell and Laskin are expected to be incurred primarily over the next 12 years and be between approximately $65 million and $120 million. Compliance costs for CCR at Taconite Harbor are not expected to be material. Minnesota Power would seek recovery of additional costs through a rate proceeding.</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 continues to work on minimizing compliance costs through evaluation of beneficial re-use and recycling of CCR. In 2018, a U.S. District Court for the District of Columbia decision vacated specific provisions of the CCR rule, which resulted in a change to the status of existing clay-lined impoundments at Boswell being considered unlined. In September 2020, the EPA finalized the CCR Part A Rule, which required all unlined impoundments to cease disposal and initiate closure. Upon completion of dry ash conversion activities, Boswell ceased disposal in both impoundments in September 2022. Both impoundments are now inactive and have initiated closure.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8, 2024, the EPA's final CCR Legacy Impoundment Rule was published in the Federal Register. The final rule expands the scope of units regulated under the CCR rule to include legacy ponds (inactive surface impoundments at inactive facilities) and creates a new category of units called CCR management units (CCRMU), which includes inactive and closed impoundments and landfills as well as other non-containerized accumulations of CCR. The final rule requires all regulated generating facilities to evaluate and identify past deposits of CCR materials on their sites and close or re-close existing CCR units to meet current closure standards, as well as install groundwater monitoring systems, conduct groundwater monitoring, and implement groundwater corrective actions as necessary. Additionally, the EPA finalized portions of the proposed CCR Part B Rule, which allows CCR units to certify closure while conducting groundwater remediation activities. Impacts to previously closed CCR units at Boswell and Laskin are anticipated. Compliance costs for Minnesota Power’s Boswell and Laskin facilities are estimated to be between approximately $50 million and $85 million and are expected to be incurred over the next 10 years based on our preliminary assessment; however, we continue to evaluate the impact of the rule and these estimates may be revised in future periods. Minnesota Power is expected to seek recovery of these costs through a rate proceeding.</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EPA released a proposed CCR Part B rulemaking in February 2020 addressing options for beneficial reuse of CCR materials, alternative liner demonstrations and other CCR regulatory revisions. Portions of the Part B rule addressing alternative liner equivalency standards were finalized in November 2020. A final rule establishing the remaining CCR beneficial reuse requirements is expected but has been moved to EPA’s long term rulemakings, without a publication target date currently. According to its latest Unified Agenda, the EPA plans to publish the final CCR federal permit rule implementing a permitting program for tribal lands and nonparticipating states in October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Matters.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Manufactured Gas Plant Site. </w:t>
      </w:r>
      <w:r>
        <w:rPr>
          <w:rFonts w:ascii="Times New Roman" w:cs="Times New Roman" w:eastAsia="Times New Roman" w:hAnsi="Times New Roman"/>
          <w:sz w:val="18"/>
          <w:szCs w:val="18"/>
          <w:color w:val="auto"/>
        </w:rPr>
        <w:t>SWL&amp;P has completed a portion of the remediation activities at a former manufactured gas plant site located in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Wisconsin, and formerly operated by SWL&amp;P. We continue working with the Wisconsin Department of Natural Resources on the remaining remediation at the site and surrounding properties. As of September 30, 2024, SWL&amp;P has recorded a liability of approximately $1 million for remediation costs at this site. SWL&amp;P has recorded the recovery of the remediation costs associated with the site as a regulatory asset as we expect recovery of these costs to be allowed by the PSCW.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Surety Bonds and Other Indemnifications.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multiple credit facility agreements in place that provide the ability to issue standby letters of credit to satisfy contractual security requirements across our businesses. As of September 30, 2024, we had $140.0 million of outstanding letters of credit issued, including those issued under our revolving credit facility, and $105.1 million in outstanding surety bonds. We do not believe it is likely that any of these outstanding letters of credit or surety bonds will be drawn upon.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and third quarters of 2024, under the tax credit transferability provision of the Inflation Reduction Act, we entered into agreements with third parties to sell a portion of our renewable tax credits. ALLETE has indemnified the parties for the value of renewable tax credits sold to date of approximately $61.5 million.</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Regulated Operations. </w:t>
      </w:r>
      <w:r>
        <w:rPr>
          <w:rFonts w:ascii="Times New Roman" w:cs="Times New Roman" w:eastAsia="Times New Roman" w:hAnsi="Times New Roman"/>
          <w:sz w:val="18"/>
          <w:szCs w:val="18"/>
          <w:color w:val="auto"/>
        </w:rPr>
        <w:t>As of September 30, 2024, we had $31.3 million outstanding in standby letters of credit and surety bonds at our 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which are pledged as security to MISO, the NDPSC and state agencies.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ALLETE Clean Energy. </w:t>
      </w:r>
      <w:r>
        <w:rPr>
          <w:rFonts w:ascii="Times New Roman" w:cs="Times New Roman" w:eastAsia="Times New Roman" w:hAnsi="Times New Roman"/>
          <w:sz w:val="18"/>
          <w:szCs w:val="18"/>
          <w:color w:val="auto"/>
        </w:rPr>
        <w:t>ALLETE Clean Energy is party to PSAs that expire in various years between 2024 and 2039. As of September 30, 2024, ALLETE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Clean Energy has $81.6 million outstanding in standby letters of credit and surety bonds, the majority of which are pledged as security under these PSAs.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BNI Energy</w:t>
      </w:r>
      <w:r>
        <w:rPr>
          <w:rFonts w:ascii="Times New Roman" w:cs="Times New Roman" w:eastAsia="Times New Roman" w:hAnsi="Times New Roman"/>
          <w:sz w:val="18"/>
          <w:szCs w:val="18"/>
          <w:color w:val="auto"/>
        </w:rPr>
        <w:t>. As of September 30, 2024,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in Nobles 2</w:t>
      </w:r>
      <w:r>
        <w:rPr>
          <w:rFonts w:ascii="Times New Roman" w:cs="Times New Roman" w:eastAsia="Times New Roman" w:hAnsi="Times New Roman"/>
          <w:sz w:val="18"/>
          <w:szCs w:val="18"/>
          <w:color w:val="auto"/>
        </w:rPr>
        <w:t>. The Nobles 2 wind energy facility requires standby letters of credit as security for certain contractual obligations. As of September 30, 2024, ALLETE South Wind has $10.1 million outstanding in standby letters of credit, related to its portion of the security requirements relative to its ownership in Nobles 2.</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South Shore Energy</w:t>
      </w:r>
      <w:r>
        <w:rPr>
          <w:rFonts w:ascii="Times New Roman" w:cs="Times New Roman" w:eastAsia="Times New Roman" w:hAnsi="Times New Roman"/>
          <w:sz w:val="18"/>
          <w:szCs w:val="18"/>
          <w:color w:val="auto"/>
        </w:rPr>
        <w:t>. As of September 30, 2024, South Shore Energy had $29.7 million outstanding in standby letters of credit pledged as security in connection with the development of NTEC.</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New Energy</w:t>
      </w:r>
      <w:r>
        <w:rPr>
          <w:rFonts w:ascii="Times New Roman" w:cs="Times New Roman" w:eastAsia="Times New Roman" w:hAnsi="Times New Roman"/>
          <w:sz w:val="18"/>
          <w:szCs w:val="18"/>
          <w:color w:val="auto"/>
        </w:rPr>
        <w:t>. As of September 30, 2024, New Energy had surety bonds outstanding of $10.0 million related to the development of renewable energy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received a number of demand letters alleging that the disclosures contained in the preliminary proxy statement, as amended, and filed with the SEC in connection with a special meeting of shareholders to consider the Merger (Preliminary Proxy), were deficient and demanding that certain corrective disclosures be made. In addition, two complaints have been filed against ALLETE and its directors. The first was filed on July 1, 2024, in the U.S. District Court for the Southern District of New York, alleging violation of Sections 14(a) and 20(a) of the Securities Exchange Act of 1934, disclosure deficiency in the Preliminary Proxy, and seeking to enjoin the transaction until certain disclosures are corrected. On September 3, 2024, that complaint was voluntarily dismissed without prejudice. The second complaint was filed on August 6, 2024, in the New York State Supreme Court, alleging negligent misrepresentation and negligence related to alleged deficiencies in the Preliminary Proxy. That complaint has not been served on any defendant. The Company believes that the demand letters and remaining complaint are without merit.</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(Continued)</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2023, an ALLETE Clean Energy subsidiary initiated arbitration proceedings seeking damages against a counterparty for non-performance under a contract. Arbitration hearings were held in June and July 2023, and a final arbitration ruling was issued in favor of ALLETE Clean Energy’s subsidiary in September 2023. The final arbitration ruling awarded $68.3 million to ALLETE Clean Energy’s subsidiary, which included prejudgment interest of $5.1 million, recovery of $3.6 million of arbitration-related costs, and resulted in the recognition of a $58.4 million pre-tax gain in the third quarter of 2023. The arbitration ruling also resulted in the receipt of approximately $60 million of cash, net of distribution to non-controlling interest, in the third quarter of 2023.</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PER SHARE AND COMMON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$45.0</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$85.9</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57.8</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57.4</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$0.78</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$1.50</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$128.7</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$195.6</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57.7</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57.3</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$2.23</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$3.41</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INCOME TAX EXPENSE</w:t>
            </w:r>
          </w:p>
        </w:tc>
        <w:tc>
          <w:tcPr>
            <w:tcW w:w="2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2"/>
        </w:trPr>
        <w:tc>
          <w:tcPr>
            <w:tcW w:w="5400" w:type="dxa"/>
            <w:vAlign w:val="bottom"/>
          </w:tcPr>
          <w:p>
            <w:pPr>
              <w:spacing w:after="0"/>
              <w:rPr>
                <w:sz w:val="24"/>
                <w:szCs w:val="24"/>
                <w:color w:val="auto"/>
              </w:rPr>
            </w:pPr>
          </w:p>
        </w:tc>
        <w:tc>
          <w:tcPr>
            <w:tcW w:w="36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2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5400" w:type="dxa"/>
            <w:vAlign w:val="bottom"/>
          </w:tcPr>
          <w:p>
            <w:pPr>
              <w:spacing w:after="0"/>
              <w:rPr>
                <w:sz w:val="19"/>
                <w:szCs w:val="19"/>
                <w:color w:val="auto"/>
              </w:rPr>
            </w:pPr>
          </w:p>
        </w:tc>
        <w:tc>
          <w:tcPr>
            <w:tcW w:w="36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4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16"/>
                <w:szCs w:val="16"/>
                <w:i w:val="1"/>
                <w:iCs w:val="1"/>
                <w:color w:val="auto"/>
              </w:rPr>
              <w:t>(a)</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54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16"/>
                <w:szCs w:val="16"/>
                <w:i w:val="1"/>
                <w:iCs w:val="1"/>
                <w:color w:val="auto"/>
              </w:rPr>
              <w:t>(b)</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9.1</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2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4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$19.3</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bl>
    <w:p>
      <w:pPr>
        <w:spacing w:after="0" w:line="9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quarter and nine months ended September 30, 2024 and 2023, the federal current tax expense is partially offset by tax credits.</w:t>
      </w:r>
    </w:p>
    <w:p>
      <w:pPr>
        <w:spacing w:after="0" w:line="11" w:lineRule="exact"/>
        <w:rPr>
          <w:rFonts w:ascii="Times New Roman" w:cs="Times New Roman" w:eastAsia="Times New Roman" w:hAnsi="Times New Roman"/>
          <w:sz w:val="16"/>
          <w:szCs w:val="16"/>
          <w:i w:val="1"/>
          <w:iCs w:val="1"/>
          <w:color w:val="auto"/>
        </w:rPr>
      </w:pPr>
    </w:p>
    <w:p>
      <w:pPr>
        <w:jc w:val="both"/>
        <w:ind w:left="340" w:hanging="332"/>
        <w:spacing w:after="0" w:line="251" w:lineRule="auto"/>
        <w:tabs>
          <w:tab w:leader="none" w:pos="3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quarter and nine months ended September 30, 2024, the federal deferred income tax benefit is primarily due to tax credits. For the nine months ended September 30, 2023, the federal deferred income tax benefit is primarily due to tax credits, partially offset by deferred partnership income. For quarter ended September 30, 2023, the federal deferred tax expense was due to deferred partnership income, partially offset by tax credits.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8. INCOME TAX EXPENSE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336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Taxes from Federal Statutory</w:t>
            </w:r>
          </w:p>
        </w:tc>
        <w:tc>
          <w:tcPr>
            <w:tcW w:w="33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3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Rate to Total Income Tax Expense</w:t>
            </w:r>
          </w:p>
        </w:tc>
        <w:tc>
          <w:tcPr>
            <w:tcW w:w="2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$35.6</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$88.9</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$97.7</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$168.3</w:t>
            </w:r>
          </w:p>
        </w:tc>
      </w:tr>
      <w:tr>
        <w:trPr>
          <w:trHeight w:val="22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21 %</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21 %</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Computed at Statutory Federal Rate</w:t>
            </w:r>
          </w:p>
        </w:tc>
        <w:tc>
          <w:tcPr>
            <w:tcW w:w="2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$7.5</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$18.7</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$20.5</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Tax Due to:</w:t>
            </w:r>
          </w:p>
        </w:tc>
        <w:tc>
          <w:tcPr>
            <w:tcW w:w="2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Taxes – Net of Federal Income Tax Benefit</w:t>
            </w:r>
          </w:p>
        </w:tc>
        <w:tc>
          <w:tcPr>
            <w:tcW w:w="2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Production Tax Credits </w:t>
            </w:r>
            <w:r>
              <w:rPr>
                <w:rFonts w:ascii="Times New Roman" w:cs="Times New Roman" w:eastAsia="Times New Roman" w:hAnsi="Times New Roman"/>
                <w:sz w:val="16"/>
                <w:szCs w:val="16"/>
                <w:i w:val="1"/>
                <w:iCs w:val="1"/>
                <w:color w:val="auto"/>
              </w:rPr>
              <w:t>(a)</w:t>
            </w:r>
          </w:p>
        </w:tc>
        <w:tc>
          <w:tcPr>
            <w:tcW w:w="2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(8.3)</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(25.0)</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w:t>
            </w:r>
            <w:r>
              <w:rPr>
                <w:rFonts w:ascii="Times New Roman" w:cs="Times New Roman" w:eastAsia="Times New Roman" w:hAnsi="Times New Roman"/>
                <w:sz w:val="16"/>
                <w:szCs w:val="16"/>
                <w:i w:val="1"/>
                <w:iCs w:val="1"/>
                <w:color w:val="auto"/>
              </w:rPr>
              <w:t>(a)</w:t>
            </w:r>
          </w:p>
        </w:tc>
        <w:tc>
          <w:tcPr>
            <w:tcW w:w="2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Differences – Excess Deferred Tax</w:t>
            </w:r>
          </w:p>
        </w:tc>
        <w:tc>
          <w:tcPr>
            <w:tcW w:w="2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(7.7)</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AFUDC – Equity</w:t>
            </w:r>
          </w:p>
        </w:tc>
        <w:tc>
          <w:tcPr>
            <w:tcW w:w="2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Portion of Transaction Costs</w:t>
            </w:r>
          </w:p>
        </w:tc>
        <w:tc>
          <w:tcPr>
            <w:tcW w:w="2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0.7</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1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$19.3</w:t>
            </w:r>
          </w:p>
        </w:tc>
        <w:tc>
          <w:tcPr>
            <w:tcW w:w="126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$8.3</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r>
    </w:tbl>
    <w:p>
      <w:pPr>
        <w:spacing w:after="0" w:line="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For the quarter and nine months ended September 30, 2024 and 2023, the credits are presented net of any estimated discount on the sale of certain credits.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the effective tax rate was 8.5 percent (12.1 percent for the nine months ended September 30, 2023). The effective tax rates for 2024 and 2023 were primarily impacted by production tax credits.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As of September 30, 2024, we had gross unrecognized tax benefits of $1.1 million ($1.1 million as of December 31, 2023).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gross unrecognized tax benefits, $0.6 million represents the amount of unrecognized tax benefits included on the Consolidated Balance Sheet that, if recognized, would favorably impact the effective income tax rate. The unrecognized tax benefit amounts have been presented as an increase to the net deferred tax liability on the Consolidated Balance Sheet.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and its subsidiaries file a consolidated federal income tax return as well as combined and separate state income tax returns in various jurisdictions. ALLETE is currently under examination by the state of Minnesota for the tax years 2020 through 2022. ALLETE has no open federal audits and is no longer subject to federal examination for years before 2021 or state examination for years before 2020. Additionally, the statute of limitations related to the federal tax credit carryforwards will remain open until those credits are utilized in subsequent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6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20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38"/>
        </w:trPr>
        <w:tc>
          <w:tcPr>
            <w:tcW w:w="65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9.7</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(11.2)</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$4.9</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29.0</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30.4</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(33.6)</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4.9</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These components of net periodic benefit cost (credit) are included in the line item “Other” under Other Income (Expense) on the Consolidated Statement of Income.</w:t>
      </w:r>
    </w:p>
    <w:p>
      <w:pPr>
        <w:spacing w:after="0" w:line="2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Employer Contributions. </w:t>
      </w:r>
      <w:r>
        <w:rPr>
          <w:rFonts w:ascii="Times New Roman" w:cs="Times New Roman" w:eastAsia="Times New Roman" w:hAnsi="Times New Roman"/>
          <w:sz w:val="18"/>
          <w:szCs w:val="18"/>
          <w:color w:val="auto"/>
        </w:rPr>
        <w:t>For the nine months ended September 30, 2024, we contributed $25.0 million in cash to the defined benefit pension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($17.3 million for the nine months ended September 30, 2023); we do not expect to make additional contributions to our defined benefit pension plans in 2024. For the nine months ended September 30, 2024, and 2023, we made no contributions to our other postretirement benefit plans; we do not expect to make any contributions to our other postretirement benefit plans in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BUSINESS SEGMENTS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New Energy, a renewable energy development company, BNI Energy, our coal mining operations in North Dakota,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BUSINESS SEGMENTS (Continued)</w:t>
            </w:r>
          </w:p>
        </w:tc>
        <w:tc>
          <w:tcPr>
            <w:tcW w:w="2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9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6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1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Regulated Operations</w:t>
            </w:r>
          </w:p>
        </w:tc>
        <w:tc>
          <w:tcPr>
            <w:tcW w:w="2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$41.9</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$37.9</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30"/>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49.5</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49.2</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9"/>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149.8</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154.3</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29"/>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32.0</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9"/>
        </w:trPr>
        <w:tc>
          <w:tcPr>
            <w:tcW w:w="20" w:type="dxa"/>
            <w:vAlign w:val="bottom"/>
          </w:tcPr>
          <w:p>
            <w:pPr>
              <w:spacing w:after="0"/>
              <w:rPr>
                <w:sz w:val="19"/>
                <w:szCs w:val="19"/>
                <w:color w:val="auto"/>
              </w:rPr>
            </w:pPr>
          </w:p>
        </w:tc>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28.1</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33.2</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Regulated Operations</w:t>
            </w:r>
          </w:p>
        </w:tc>
        <w:tc>
          <w:tcPr>
            <w:tcW w:w="2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310.5</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314.3</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928.6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r>
      <w:tr>
        <w:trPr>
          <w:trHeight w:val="196"/>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ALLETE Clean Energy</w:t>
            </w:r>
          </w:p>
        </w:tc>
        <w:tc>
          <w:tcPr>
            <w:tcW w:w="2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PSA</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12.9</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Wind Energy Facilities</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22.9</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r>
      <w:tr>
        <w:trPr>
          <w:trHeight w:val="230"/>
        </w:trPr>
        <w:tc>
          <w:tcPr>
            <w:tcW w:w="20" w:type="dxa"/>
            <w:vAlign w:val="bottom"/>
          </w:tcPr>
          <w:p>
            <w:pPr>
              <w:spacing w:after="0"/>
              <w:rPr>
                <w:sz w:val="19"/>
                <w:szCs w:val="19"/>
                <w:color w:val="auto"/>
              </w:rPr>
            </w:pPr>
          </w:p>
        </w:tc>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ALLETE Clean Energy</w:t>
            </w:r>
          </w:p>
        </w:tc>
        <w:tc>
          <w:tcPr>
            <w:tcW w:w="2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34.1</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196"/>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2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Contract</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24.6</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Renewable Development Projects</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29.2</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20.8</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30"/>
        </w:trPr>
        <w:tc>
          <w:tcPr>
            <w:tcW w:w="20" w:type="dxa"/>
            <w:vAlign w:val="bottom"/>
          </w:tcPr>
          <w:p>
            <w:pPr>
              <w:spacing w:after="0"/>
              <w:rPr>
                <w:sz w:val="19"/>
                <w:szCs w:val="19"/>
                <w:color w:val="auto"/>
              </w:rPr>
            </w:pPr>
          </w:p>
        </w:tc>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Corporate and Other</w:t>
            </w:r>
          </w:p>
        </w:tc>
        <w:tc>
          <w:tcPr>
            <w:tcW w:w="2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62.6</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50.3</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2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$407.2</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$378.8</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$1,165.0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$1,477.1</w:t>
            </w:r>
          </w:p>
        </w:tc>
      </w:tr>
      <w:tr>
        <w:trPr>
          <w:trHeight w:val="223"/>
        </w:trPr>
        <w:tc>
          <w:tcPr>
            <w:tcW w:w="2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ALLETE</w:t>
            </w:r>
          </w:p>
        </w:tc>
        <w:tc>
          <w:tcPr>
            <w:tcW w:w="2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Regulated Operations</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$34.0</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$34.0</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ALLETE Clean Energy </w:t>
            </w:r>
            <w:r>
              <w:rPr>
                <w:rFonts w:ascii="Times New Roman" w:cs="Times New Roman" w:eastAsia="Times New Roman" w:hAnsi="Times New Roman"/>
                <w:sz w:val="16"/>
                <w:szCs w:val="16"/>
                <w:i w:val="1"/>
                <w:iCs w:val="1"/>
                <w:color w:val="auto"/>
              </w:rPr>
              <w:t>(a)</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54.8</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6"/>
                <w:szCs w:val="16"/>
                <w:i w:val="1"/>
                <w:iCs w:val="1"/>
                <w:color w:val="auto"/>
              </w:rPr>
              <w:t>(b)</w:t>
            </w:r>
          </w:p>
        </w:tc>
        <w:tc>
          <w:tcPr>
            <w:tcW w:w="2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Income Attributable to ALLETE</w:t>
            </w:r>
          </w:p>
        </w:tc>
        <w:tc>
          <w:tcPr>
            <w:tcW w:w="2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$45.0</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$85.9</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bl>
    <w:p>
      <w:pPr>
        <w:spacing w:after="0" w:line="6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Net income in 2023 includes a $44.3 million after-tax gain recognized for a favorable arbitration ruling. (See Note 6. Commitments, Guarantees and Contingencies.)</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line="257" w:lineRule="auto"/>
        <w:tabs>
          <w:tab w:leader="none" w:pos="340"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Net income in 2023 includes a $3.8 million after-tax expense recognized for the consolidated income tax impact of the gain on arbitration. (See Note 6. Commitments, Guarantees and Contingencies.)</w:t>
      </w: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464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52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6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Regulated Operations</w:t>
            </w:r>
          </w:p>
        </w:tc>
        <w:tc>
          <w:tcPr>
            <w:tcW w:w="4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$4,410.3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$4,335.0</w:t>
            </w:r>
          </w:p>
        </w:tc>
      </w:tr>
      <w:tr>
        <w:trPr>
          <w:trHeight w:val="216"/>
        </w:trPr>
        <w:tc>
          <w:tcPr>
            <w:tcW w:w="52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ALLETE Clean Energy</w:t>
            </w:r>
          </w:p>
        </w:tc>
        <w:tc>
          <w:tcPr>
            <w:tcW w:w="4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1,581.6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1,594.1</w:t>
            </w:r>
          </w:p>
        </w:tc>
      </w:tr>
      <w:tr>
        <w:trPr>
          <w:trHeight w:val="216"/>
        </w:trPr>
        <w:tc>
          <w:tcPr>
            <w:tcW w:w="52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4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745.3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w:t>
            </w:r>
          </w:p>
        </w:tc>
      </w:tr>
      <w:tr>
        <w:trPr>
          <w:trHeight w:val="223"/>
        </w:trPr>
        <w:tc>
          <w:tcPr>
            <w:tcW w:w="5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$6,737.2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11. AGREEMENT AND PLAN OF MERGER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2024, ALLETE entered into the Merger Agreement. Pursuant to the Merger Agreement, on the terms and subject to the conditions set forth therein, Alloy Merger Sub will merge with and into ALLETE, with ALLETE continuing as the surviving corporation in the Merger and becoming a subsidiary of Alloy Parent.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10, 2024, ALLETE filed a definitive proxy statement relating to the Merger Agreement and notice of a special meeting of the shareholders that was held on August 21, 2024, at which shareholders of ALLETE voted to approve and adopt the Merger Agreement, among other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19, 2024, the Company filed requests for approval of the Merger with the MPUC, PSCW and FERC. On October 7, 2024, the MPUC issued an order referring the docket to the Minnesota Office of Administrative Hearings for a contested case proceeding and requesting the Administrative Law Judge issue a report and recommendation by July 15, 2025. Approval of the Merger from these and other regulators is required for consummation of the Merger. The Company received approval from the Committee on Foreign Investment in the United States (CFIUS) and all required international approvals in the third quarter of 2024.</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which has been unanimously approved by the board of directors of ALLETE as well as approved and adopted by the shareholders of ALLETE, at the effective time of the Merger (Effective Time), each share of common stock, without par value, of ALLETE (ALLETE common stock) issued and outstanding immediately prior to the Effective Time (other than shares of ALLETE common stock held by any holder who properly exercises dissenters’ rights under Minnesota law in respect of such shares and any shares of ALLETE common stock held by an affiliate of Alloy Parent) shall be converted into the right to receive $67.00 in cash, without interest (Merger Consideration). The aggregate equity value of the ALLETE common stock acquired by Parent will be approximately $3.9 billion as calculated as of May 5, 2024.</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at the Effective Time, each restricted stock unit (RSU) with respect to ALLETE common stock subject to time-based vesting that is outstanding immediately prior to the Effective Time will be cancelled and converted into a contingent right to receive an amount in cash, without interest, equal to the Merger Consideration, payable (i) in the case of such right converted from unvested RSUs, upon the same vesting conditions as applied to the corresponding RSU or (ii) in the case of such right converted from vested RSUs, as soon as reasonably practicable following the closing date of the Merger (the Closing Date). Each performance share award with respect to ALLETE common stock that is outstanding and unvested immediately prior to the Effective Time will be cancelled and converted into a right to receive, without interest, the Merger Consideration multiplied by the number of shares of ALLETE common stock subject to the award, determined based on attainment of the greater of target and actual performance as of the last business day immediately preceding the Closing Date. A pro rata portion (based on the elapsed portion of the performance period at that time) of the converted performance share awards will be paid out as soon as reasonably practicable following the Closing Date, with the remainder of the award being subject to time-vesting for the remainder of the applicable performance period. Further, purchase rights accumulated during the offering period in effect under the Company’s ESPP immediately prior to closing will be automatically exercised into shares of ALLETE common stock no later than five business days prior to the Closing Date, and the ESPP will be terminated as of immediately prior to the Closing Date.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Consummation of the Merger is subject to various closing conditions, including: (1) approval of the shareholders of ALLETE; (2) receipt of all required regulatory approvals without the imposition of a Burdensome Condition (as defined in the Merger Agreement);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 with</w:t>
      </w:r>
    </w:p>
    <w:p>
      <w:pPr>
        <w:spacing w:after="0" w:line="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respect to the Company. The Merger Agreement contains certain termination rights for ALLETE and Alloy Parent, which were described in a Current Report of Form 8-K filed by ALLETE on May 6, 2024. In the Merger Agreement, among other things, ALLETE has agreed, subject to certain exceptions, to, and to cause each of its subsidiaries to conduct its business in the ordinary course, consistent with past practice, from the date of the Merger Agreement until the Effective Time, and not to take certain actions prior to the closing of the Merger without the prior written consent of Alloy Parent (which consent shall not be unreasonably withheld, conditioned or delayed, except where ALLETE seeks Alloy Parent’s consent to enter into a material new line of business or cease operations of an existing material line of business). The Merger Agreement also provides that ALLETE may request that Alloy Parent purchase up to a total of $300 million of preferred stock of ALLETE in the second half of 2025, subject to certain parameters. If Alloy Parent declines to purchase the preferred stock, ALLETE will have the right to issue ALLETE common stock up to certain limits.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notes to those statements, Management’s Discussion and Analysis of Financial Condition and Results of Operations from our 2023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2023 Form 10-K under the headings: “Forward-Looking Statements” located on page 7 and “Risk Factors” located in Part I, Item 1A, beginning on page 25 of our 2023 Form 10-K. The risks and uncertainties described in this Form 10-Q and our 2023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2024, ALLETE entered into the Merger Agreement. (See Note 11. Agreement and Plan of Merger.)</w:t>
      </w: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includes our regulated utilities, Minnesota Power and SWL&amp;P, as well as our investment in ATC, a Wisconsin-based 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2. Regulatory Matters.)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focuses on developing, acquiring, and operating clean and renewable energy projects. ALLETE Clean Energy currently owns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in seven states, more than 1,200 MW of nameplate capacity wind energy generation with a majority contracted under PSAs of various durations. In addition, ALLETE Clean Energy also engages in the development of wind energy facilities to operate under long-term PSAs or for sale to others upon completion.</w:t>
      </w:r>
    </w:p>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is comprised of New Energy, a renewable development company; our investment in Nobles 2, an entity that owns and operates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is incorporated under the laws of Minnesota. Our corporate headquarters are in Duluth, Minnesota. Statistical information is presented as of September 30, 2024, unless otherwise indicated. All subsidiaries are wholly-owned unless otherwise specifically indicated. References in this report to “we,” “us” and “our” are to ALLETE and its subsidiaries, collectively.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net income discussion summarizes a comparison of the nine months ended September 30, 2024, to the nine months ended September 30, 2023.</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Net income attributable to ALLETE for the nine months ended September 30, 2024, was $128.7 million, or $2.23 per diluted share, compared to $195.6 million, or $3.41 per diluted share, for the same period in 2023. Net income in 2024 includes transaction expenses of $19.5 million after-tax, or $0.34 per share, related to the Merger. (See Note 11. Agreement and Plan of Merger.) Net income in 2023 included a $40.5 million, or $0.71 per share, after-tax gain recognized for a favorable arbitration ruling involving a subsidiary of ALLETE Clean Energy. (See Note 6.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CONDITION AND RESULTS OF OPERATIONS (Continued)</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net income attributable to ALLETE was $111.9 million for the nine months ended September 30, 2024, compared to $112.4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same period in 2023. Net income at Minnesota Power was similar to 2023 reflecting the implementation of interim rates on January 1, 2024, net of reserves related to Minnesota Power’s rate case settlement (see Note 2. Regulatory Matters), and higher transmission margins, which was partially offset by higher operating and maintenance, depreciation, and property tax expenses. Net income at SWL&amp;P was lower than 2023 primarily due to higher operating and maintenance expenses. Our after-tax equity earnings in ATC were similar to 2023. (See Note 3. Equity Investments.)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net income attributable to ALLETE was $10.1 million for the nine months ended September 30, 2024, compared to $66.4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same period in 2023. Net income in 2024 includes a $3.5 million after-tax gain on the sale of the Whitetail wind project. Net income in 2023 included a $4.3 million after-tax gain on the sale of the Red Barn project as well as a $44.3 million after-tax gain recognized for a favorable arbitration ruling involving a subsidiary of ALLETE Clean Energy. (See Note 6. Commitments, Guarantees, and Contingencies.)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net income attributable to ALLETE was $6.7 million for the nine months ended September 30, 2024, compared to net income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$16.8 million for the same period in 2023. Net income in 2024 includes transaction expenses of $19.5 million after-tax related to the Merger (See Note 11. Agreement and Plan of Merger), and also reflects lower earnings from Minnesota solar projects as investment tax credits were recognized in 2023 for the projects. Net income in 2023 reflects a $3.8 million after-tax expense for the consolidated income tax impact of the gain on the favorable arbitration ruling. Net income at New Energy was $23.4 million in 2024 compared to $12.0 million in 2023.</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QUARTER ENDED SEPTEMBER 30, 2024 AND 2023</w:t>
            </w:r>
          </w:p>
        </w:tc>
        <w:tc>
          <w:tcPr>
            <w:tcW w:w="2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10. Business Segments for financial results by segment.)</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2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 – Utility</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30"/>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117.2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30"/>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63.6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9"/>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4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4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44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bl>
    <w:p>
      <w:pPr>
        <w:spacing w:after="0" w:line="329"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Utility </w:t>
      </w:r>
      <w:r>
        <w:rPr>
          <w:rFonts w:ascii="Times New Roman" w:cs="Times New Roman" w:eastAsia="Times New Roman" w:hAnsi="Times New Roman"/>
          <w:sz w:val="18"/>
          <w:szCs w:val="18"/>
          <w:color w:val="auto"/>
        </w:rPr>
        <w:t>decreased $3.8 million from 2023 primarily due to lower fuel adjustment cause recoveries, the timing of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incentives compared to 2023, lower transmission revenue, and lower revenue from kWh sales. These increases were partially offset by the implementation of interim rate revenue, net of reserves, in 2024.</w:t>
      </w:r>
    </w:p>
    <w:p>
      <w:pPr>
        <w:spacing w:after="0" w:line="20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 xml:space="preserve">Fuel adjustment clause revenue decreased $7.6 million due to lower fuel and purchased power costs attributable to retail and municipal customers. (See </w:t>
      </w:r>
      <w:r>
        <w:rPr>
          <w:rFonts w:ascii="Times New Roman" w:cs="Times New Roman" w:eastAsia="Times New Roman" w:hAnsi="Times New Roman"/>
          <w:sz w:val="18"/>
          <w:szCs w:val="18"/>
          <w:i w:val="1"/>
          <w:iCs w:val="1"/>
          <w:color w:val="auto"/>
        </w:rPr>
        <w:t>Fuel, Purchased Power and Gas – Utility.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Revenue from financial incentives decreased $2.2 million due to MPUC approval timing differences between 2024 and 2023. In 2023, a financial incentive of $2.2 million was recognized in the third quarter. Minnesota Power submitted its 2023 ECO annual filing on April 1, 2024, requesting a $2.2 million financial incentive which will be recognized upon approval by the MPUC.</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COMPARISON OF THE QUARTER ENDED SEPTEMBER 30, 2024 AND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Transmission revenue decreased $1.5 million primarily due to lower MISO-related revenue.</w:t>
      </w:r>
    </w:p>
    <w:p>
      <w:pPr>
        <w:spacing w:after="0" w:line="25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Lower revenue from kWh sales decreased revenue by $1.5 million from 2023 reflecting lower sales to industrial customers, partially offset by higher sales to residential and municipal customers as well as other power suppliers. Sales to industrial customers decreased primarily due to lower sales to taconite customers.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80" w:type="dxa"/>
            <w:vAlign w:val="bottom"/>
          </w:tcPr>
          <w:p>
            <w:pPr>
              <w:spacing w:after="0"/>
              <w:rPr>
                <w:sz w:val="19"/>
                <w:szCs w:val="19"/>
                <w:color w:val="auto"/>
              </w:rPr>
            </w:pPr>
          </w:p>
        </w:tc>
      </w:tr>
      <w:tr>
        <w:trPr>
          <w:trHeight w:val="23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2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262</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4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4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2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354</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355</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1,715</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1,742</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120</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3"/>
        </w:trPr>
        <w:tc>
          <w:tcPr>
            <w:tcW w:w="4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2,451</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2,459</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616</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526</w:t>
            </w: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90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3,067</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2,985</w:t>
            </w:r>
          </w:p>
        </w:tc>
        <w:tc>
          <w:tcPr>
            <w:tcW w:w="148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31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 from electric sales to taconite customers accounted for 32 percent of regulated operating revenue in 2024 (34 percent in 2023). Revenue from electric sales to paper, pulp and secondary wood product customers accounted for 5 percent of regulated operating revenue in 2024 (5 percent in 2023). Revenue from electric sales to pipelines and other industrial customers accounted for 11 percent of regulated operating revenue in 2024 (10 percent in 2023).</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Interim retail rates for Minnesota Power, subject to refund, were approved by the MPUC and became effective January 1, 2024, resulting in revenue of $10.2 million, net of reserves related to Minnesota Power’s rate case settlement and rider revenue incorporated into base rates. (See Note 2. Regulatory Matters.)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decreased $1.9 million, or 1 percent, from 2023.</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Fuel, Purchased Power and Gas – Utility </w:t>
      </w:r>
      <w:r>
        <w:rPr>
          <w:rFonts w:ascii="Times New Roman" w:cs="Times New Roman" w:eastAsia="Times New Roman" w:hAnsi="Times New Roman"/>
          <w:sz w:val="18"/>
          <w:szCs w:val="18"/>
          <w:color w:val="auto"/>
        </w:rPr>
        <w:t>expense decreased $8.4 million from 2023 primarily due to lower purchased power prices.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Transmission Services – Utility </w:t>
      </w:r>
      <w:r>
        <w:rPr>
          <w:rFonts w:ascii="Times New Roman" w:cs="Times New Roman" w:eastAsia="Times New Roman" w:hAnsi="Times New Roman"/>
          <w:sz w:val="18"/>
          <w:szCs w:val="18"/>
          <w:color w:val="auto"/>
        </w:rPr>
        <w:t>expense decreased $3.1 million from 2023 primarily due to lower MISO-related expense.</w:t>
      </w:r>
    </w:p>
    <w:p>
      <w:pPr>
        <w:spacing w:after="0" w:line="239"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expense increased $2.2 million, or 4 percent, from 2023 primarily due to higher salaries and wages, and higher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professional services.</w:t>
      </w:r>
    </w:p>
    <w:p>
      <w:pPr>
        <w:spacing w:after="0" w:line="18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expense increased $7.3 million, or 16 percent, from 2023 reflecting the impact of estimated compliance costs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EPA’s CCR Legacy Impoundment Rule finalized in May 2024 and a higher plant in service balance in 2024.</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$1.3 million from 2023 reflecting lower pension and other postretirement benefit plan non-service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COMPARISON OF THE QUARTER ENDED SEPTEMBER 30, 2024 AND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95"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3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3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3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Other – Non-utility </w:t>
            </w:r>
            <w:r>
              <w:rPr>
                <w:rFonts w:ascii="Times New Roman" w:cs="Times New Roman" w:eastAsia="Times New Roman" w:hAnsi="Times New Roman"/>
                <w:sz w:val="16"/>
                <w:szCs w:val="16"/>
                <w:i w:val="1"/>
                <w:iCs w:val="1"/>
                <w:color w:val="auto"/>
              </w:rPr>
              <w:t>(a)</w:t>
            </w:r>
          </w:p>
        </w:tc>
        <w:tc>
          <w:tcPr>
            <w:tcW w:w="3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3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3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9"/>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6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6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bl>
    <w:p>
      <w:pPr>
        <w:spacing w:after="0" w:line="9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(a)</w:t>
        <w:tab/>
        <w:t>Represents non-cash amortization of differences between contract prices and estimated market prices on assumed PSAs.</w:t>
      </w: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increased $19.9 million compared to 2023 primarily due to the sale of ALLETE Clean Energy’s Whitetail wind project in 2024.</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kWh</w:t>
            </w:r>
          </w:p>
        </w:tc>
        <w:tc>
          <w:tcPr>
            <w:tcW w:w="15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 Energy Regions</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Midwest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89.5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392.5</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142.3</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 of Wind Energy Facility</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22.9</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Production and Operating Revenue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$34.1</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655.7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Sales – Non-utility </w:t>
      </w:r>
      <w:r>
        <w:rPr>
          <w:rFonts w:ascii="Times New Roman" w:cs="Times New Roman" w:eastAsia="Times New Roman" w:hAnsi="Times New Roman"/>
          <w:sz w:val="18"/>
          <w:szCs w:val="18"/>
          <w:color w:val="auto"/>
        </w:rPr>
        <w:t>increased $18.3 million from 2023 reflecting the sale of ALLETE Clean Energy’s Whitetail wind project in 2024.</w:t>
      </w:r>
    </w:p>
    <w:p>
      <w:pPr>
        <w:spacing w:after="0" w:line="25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and Maintenance </w:t>
      </w:r>
      <w:r>
        <w:rPr>
          <w:rFonts w:ascii="Times New Roman" w:cs="Times New Roman" w:eastAsia="Times New Roman" w:hAnsi="Times New Roman"/>
          <w:sz w:val="18"/>
          <w:szCs w:val="18"/>
          <w:color w:val="auto"/>
        </w:rPr>
        <w:t>expense increased $1.7 million from 2023 primarily due to higher contract and professional services reflecting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recovery in 2023 of $3.6 million for arbitration-related costs incurred that were awarded as part of a favorable arbitration ruling involving a subsidiary of ALLETE Clean Energy. (See Note 6. Commitments, Guarantees and Contingencies.)</w:t>
      </w:r>
    </w:p>
    <w:p>
      <w:pPr>
        <w:spacing w:after="0" w:line="19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decreased $63.2 million from 2023 reflecting the $58.4 million gain recognized for a favorable arbitration ruling in 2023 involving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ALLETE Clean Energy and higher interest income related to $5.1 million of interest awarded as part of the favorable arbitration ruling. (See Note 6. Commitments, Guarantees, and Contingencies.)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w:t>
      </w:r>
      <w:r>
        <w:rPr>
          <w:rFonts w:ascii="Times New Roman" w:cs="Times New Roman" w:eastAsia="Times New Roman" w:hAnsi="Times New Roman"/>
          <w:sz w:val="18"/>
          <w:szCs w:val="18"/>
          <w:color w:val="auto"/>
        </w:rPr>
        <w:t>decreased $16.5 million from 2023 primarily due to lower pre-tax income.</w:t>
      </w:r>
    </w:p>
    <w:p>
      <w:pPr>
        <w:spacing w:after="0" w:line="25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Attributable to Non-Controlling Interest </w:t>
      </w:r>
      <w:r>
        <w:rPr>
          <w:rFonts w:ascii="Times New Roman" w:cs="Times New Roman" w:eastAsia="Times New Roman" w:hAnsi="Times New Roman"/>
          <w:sz w:val="18"/>
          <w:szCs w:val="18"/>
          <w:color w:val="auto"/>
        </w:rPr>
        <w:t>decreased $4.7 million from 2023 reflecting lower wind resources at our tax equity financed wind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facilities. This decrease was partially offset by a higher production tax credit rate, as determined by the Internal Revenue Service, in 2024 compared to 2023.</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COMPARISON OF THE QUARTER ENDED SEPTEMBER 30, 2024 AND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30"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increased $12.3 million, or 24 percent, from 2023 primarily due to higher revenue from sales of renewable energy projects at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 2024 compared to 2023 reflecting the timing of project closings.</w:t>
      </w:r>
    </w:p>
    <w:p>
      <w:pPr>
        <w:spacing w:after="0" w:line="182"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ALLETE </w:t>
      </w:r>
      <w:r>
        <w:rPr>
          <w:rFonts w:ascii="Times New Roman" w:cs="Times New Roman" w:eastAsia="Times New Roman" w:hAnsi="Times New Roman"/>
          <w:sz w:val="18"/>
          <w:szCs w:val="18"/>
          <w:color w:val="auto"/>
        </w:rPr>
        <w:t>of $7.1 million in 2024 compared to net loss of $2.9 million in 2023. Net income in 2024 includes higher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renewable energy projects at New Energy in 2024 compared to 2023, partially offset by lower earnings from Minnesota solar projects as investment tax credits were recognized in 2023 for the projects and transaction expenses of $3.8 million after-tax related to the Merger. (See Note 11. Agreement and Plan of Merger). Net loss in 2023 also includes a $3.8 million after-tax expense for the consolidated income tax impact of the gain on the favorable arbitration ruling. Net income at New Energy was $11.7 million in 2024 compared to $0.5 million in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Consolidated</w:t>
      </w:r>
    </w:p>
    <w:p>
      <w:pPr>
        <w:spacing w:after="0" w:line="24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quarter ended September 30, 2024, the effective tax rate was an expense of 8.1 percent (expense of 21.7 percent for the quarter ended September 30, 2023). The lower effective tax rate is primarily due to lower pre-tax income.</w:t>
      </w:r>
    </w:p>
    <w:p>
      <w:pPr>
        <w:spacing w:after="0" w:line="189"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We expect our annual effective tax rate in 2024 to be lower than 2023 primarily due to lower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tc>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10. Business Segments for financial results by segment.)</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80"/>
        </w:trPr>
        <w:tc>
          <w:tcPr>
            <w:tcW w:w="440" w:type="dxa"/>
            <w:vAlign w:val="bottom"/>
          </w:tcPr>
          <w:p>
            <w:pPr>
              <w:spacing w:after="0"/>
              <w:rPr>
                <w:sz w:val="24"/>
                <w:szCs w:val="24"/>
                <w:color w:val="auto"/>
              </w:rPr>
            </w:pPr>
          </w:p>
        </w:tc>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 – Utility</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$928.6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r>
      <w:tr>
        <w:trPr>
          <w:trHeight w:val="230"/>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358.9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43.9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197.1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145.4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30"/>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41.8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30"/>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125.6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30"/>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44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2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$111.9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bl>
    <w:p>
      <w:pPr>
        <w:spacing w:after="0" w:line="329"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Utility </w:t>
      </w:r>
      <w:r>
        <w:rPr>
          <w:rFonts w:ascii="Times New Roman" w:cs="Times New Roman" w:eastAsia="Times New Roman" w:hAnsi="Times New Roman"/>
          <w:sz w:val="18"/>
          <w:szCs w:val="18"/>
          <w:color w:val="auto"/>
        </w:rPr>
        <w:t>increased $9.5 million from 2023 primarily due to the implementation of interim rates on January 1, 2024, and higher fuel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 clause recoveries. These increases were partially offset by lower transmission revenue, kWh sales, gas sales and the timing of financial incentives compared to 2023.</w:t>
      </w:r>
    </w:p>
    <w:p>
      <w:pPr>
        <w:spacing w:after="0" w:line="20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Interim retail rates for Minnesota Power, subject to refund, were approved by the MPUC and became effective January 1, 2024, resulting in revenue of $30.9 million, net of reserves related to Minnesota Power’s rate case settlement and rider revenue incorporated into base rates. (See Note 2. Regulatory Matters.)</w:t>
      </w:r>
    </w:p>
    <w:p>
      <w:pPr>
        <w:spacing w:after="0" w:line="20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 xml:space="preserve">Fuel adjustment clause revenue increased $6.2 million due to higher fuel and purchased power costs attributable to retail and municipal customers. (See </w:t>
      </w:r>
      <w:r>
        <w:rPr>
          <w:rFonts w:ascii="Times New Roman" w:cs="Times New Roman" w:eastAsia="Times New Roman" w:hAnsi="Times New Roman"/>
          <w:sz w:val="18"/>
          <w:szCs w:val="18"/>
          <w:i w:val="1"/>
          <w:iCs w:val="1"/>
          <w:color w:val="auto"/>
        </w:rPr>
        <w:t>Fuel, Purchased Power and Gas – Utility.</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3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 xml:space="preserve">Transmission revenue decreased $11.7 million primarily due to lower MISO-related revenue. Transmission revenue in 2024 included the refund of MISO transmission payments that were over collected during 2023. (See </w:t>
      </w:r>
      <w:r>
        <w:rPr>
          <w:rFonts w:ascii="Times New Roman" w:cs="Times New Roman" w:eastAsia="Times New Roman" w:hAnsi="Times New Roman"/>
          <w:sz w:val="18"/>
          <w:szCs w:val="18"/>
          <w:i w:val="1"/>
          <w:iCs w:val="1"/>
          <w:color w:val="auto"/>
        </w:rPr>
        <w:t>Transmission Services – Utility).</w:t>
      </w:r>
    </w:p>
    <w:p>
      <w:pPr>
        <w:spacing w:after="0" w:line="18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Lower kWh sales decreased revenue by $5.4 million from 2023 reflecting lower sales to residential and commercial customers as well as lower sales to other power suppliers, partially offset by higher sales to industrial customers. Sales to residential and commercial customers decreased from 2023 primarily due to milder weather in 2024 compared to 2023. Sales to other power suppliers, which are sold at market-based prices into the MISO market on a daily basis or through PSAs of various durations, decreased reflecting fewer market sales, partially offset by higher market prices in 2024 compared to 2023. Sales to industrial customers increased primarily due to higher sales to paper, pulp and secondary wood product customers and taconite customers reflecting Cliffs’ Northshore mine operating in 2024 compared to being idled in the first quarter of 2023.</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80" w:type="dxa"/>
            <w:vAlign w:val="bottom"/>
          </w:tcPr>
          <w:p>
            <w:pPr>
              <w:spacing w:after="0"/>
              <w:rPr>
                <w:sz w:val="19"/>
                <w:szCs w:val="19"/>
                <w:color w:val="auto"/>
              </w:rPr>
            </w:pPr>
          </w:p>
        </w:tc>
      </w:tr>
      <w:tr>
        <w:trPr>
          <w:trHeight w:val="23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793</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812</w:t>
            </w:r>
          </w:p>
        </w:tc>
        <w:tc>
          <w:tcPr>
            <w:tcW w:w="1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2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999</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1,022</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5,242</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5,178</w:t>
            </w:r>
          </w:p>
        </w:tc>
        <w:tc>
          <w:tcPr>
            <w:tcW w:w="1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350</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14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7,384</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7,362</w:t>
            </w:r>
          </w:p>
        </w:tc>
        <w:tc>
          <w:tcPr>
            <w:tcW w:w="1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1,952</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2,008</w:t>
            </w:r>
          </w:p>
        </w:tc>
        <w:tc>
          <w:tcPr>
            <w:tcW w:w="14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(56)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9,336</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9,370</w:t>
            </w:r>
          </w:p>
        </w:tc>
        <w:tc>
          <w:tcPr>
            <w:tcW w:w="14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31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 from electric sales to taconite customers accounted for 33 percent of regulated operating revenue in 2024 (32 percent in 2023). Revenue from electric sales to paper, pulp and secondary wood product customers accounted for 5 percent of regulated operating revenue in 2024 (5 percent in 2023). Revenue from electric sales to pipelines and other industrial customers accounted for 11 percent of regulated operating revenue in 2024 (11 percent in 2023).</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 xml:space="preserve">Revenue from gas sales at SWL&amp;P decreased $4.5 million reflecting fewer gas sales resulting from warmer winter weather and lower gas prices in 2024 compared to 2023. (See </w:t>
      </w:r>
      <w:r>
        <w:rPr>
          <w:rFonts w:ascii="Times New Roman" w:cs="Times New Roman" w:eastAsia="Times New Roman" w:hAnsi="Times New Roman"/>
          <w:sz w:val="18"/>
          <w:szCs w:val="18"/>
          <w:i w:val="1"/>
          <w:iCs w:val="1"/>
          <w:color w:val="auto"/>
        </w:rPr>
        <w:t>Fuel, Purchased Power and Gas – Utility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Revenue from financial incentives decreased $2.2 million due to MPUC approval timing differences between 2024 and 2023. In 2023, a financial incentive of $2.2 million was recognized in the third quarter. Minnesota Power submitted its 2023 ECO annual filing on April 1, 2024, requesting a $2.2 million financial incentive which will be recognized upon approval by the MPUC.</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increased $16.4 million, or 2 percent, from 2023.</w:t>
      </w:r>
    </w:p>
    <w:p>
      <w:pPr>
        <w:spacing w:after="0" w:line="25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Fuel, Purchased Power and Gas – Utility </w:t>
      </w:r>
      <w:r>
        <w:rPr>
          <w:rFonts w:ascii="Times New Roman" w:cs="Times New Roman" w:eastAsia="Times New Roman" w:hAnsi="Times New Roman"/>
          <w:sz w:val="18"/>
          <w:szCs w:val="18"/>
          <w:color w:val="auto"/>
        </w:rPr>
        <w:t>expense increased $7.1 million, or 2 percent, from 2023 primarily due to higher purchased power prices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fuel costs. These increases were partially offset by lower kWh sales as well as lower gas sales and prices.</w:t>
      </w:r>
    </w:p>
    <w:p>
      <w:pPr>
        <w:spacing w:after="0" w:line="185"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Transmission Services – Utility </w:t>
      </w:r>
      <w:r>
        <w:rPr>
          <w:rFonts w:ascii="Times New Roman" w:cs="Times New Roman" w:eastAsia="Times New Roman" w:hAnsi="Times New Roman"/>
          <w:sz w:val="18"/>
          <w:szCs w:val="18"/>
          <w:color w:val="auto"/>
        </w:rPr>
        <w:t>expense decreased $22.4 million, or 34 percent, from 2023 primarily due to lower MISO-related expense. Transmission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Services – Utility expense in 2024 included the refund of MISO transmission payments that were over billed during 2023. (See </w:t>
      </w:r>
      <w:r>
        <w:rPr>
          <w:rFonts w:ascii="Times New Roman" w:cs="Times New Roman" w:eastAsia="Times New Roman" w:hAnsi="Times New Roman"/>
          <w:sz w:val="18"/>
          <w:szCs w:val="18"/>
          <w:i w:val="1"/>
          <w:iCs w:val="1"/>
          <w:color w:val="auto"/>
        </w:rPr>
        <w:t>Operating Revenue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Utility).</w:t>
      </w:r>
    </w:p>
    <w:p>
      <w:pPr>
        <w:spacing w:after="0" w:line="200"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expense increased $12.3 million, or 7 percent, from 2023 primarily due to higher salaries and wages, benefit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and professional services.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1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expense increased $11.4 million, or 9 percent, from 2023 primarily due to the impact of estimated compliance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EPA’s CCR Legacy Impoundment Rule finalized in May 2024 and a higher plant in service balance in 2024.</w:t>
      </w:r>
    </w:p>
    <w:p>
      <w:pPr>
        <w:spacing w:after="0" w:line="199"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Taxes Other than Income Taxes </w:t>
      </w:r>
      <w:r>
        <w:rPr>
          <w:rFonts w:ascii="Times New Roman" w:cs="Times New Roman" w:eastAsia="Times New Roman" w:hAnsi="Times New Roman"/>
          <w:sz w:val="18"/>
          <w:szCs w:val="18"/>
          <w:color w:val="auto"/>
        </w:rPr>
        <w:t>increased $8.0 million, or 24 percent, from 2023 primarily due to higher property tax expense. Property tax expense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included the favorable impact of an updated estimate for 2022 property tax expense recorded in 2023.</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$7.4 million from 2023 reflecting lower pension and other postretirement benefit plan non-service costs.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tc>
        <w:tc>
          <w:tcPr>
            <w:tcW w:w="3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8"/>
        </w:trPr>
        <w:tc>
          <w:tcPr>
            <w:tcW w:w="760" w:type="dxa"/>
            <w:vAlign w:val="bottom"/>
          </w:tcPr>
          <w:p>
            <w:pPr>
              <w:spacing w:after="0"/>
              <w:rPr>
                <w:sz w:val="24"/>
                <w:szCs w:val="24"/>
                <w:color w:val="auto"/>
              </w:rPr>
            </w:pP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30"/>
        </w:trPr>
        <w:tc>
          <w:tcPr>
            <w:tcW w:w="760" w:type="dxa"/>
            <w:vAlign w:val="bottom"/>
          </w:tcPr>
          <w:p>
            <w:pPr>
              <w:spacing w:after="0"/>
              <w:rPr>
                <w:sz w:val="19"/>
                <w:szCs w:val="19"/>
                <w:color w:val="auto"/>
              </w:rPr>
            </w:pPr>
          </w:p>
        </w:tc>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Other – Non-utility </w:t>
            </w:r>
            <w:r>
              <w:rPr>
                <w:rFonts w:ascii="Times New Roman" w:cs="Times New Roman" w:eastAsia="Times New Roman" w:hAnsi="Times New Roman"/>
                <w:sz w:val="16"/>
                <w:szCs w:val="16"/>
                <w:i w:val="1"/>
                <w:iCs w:val="1"/>
                <w:color w:val="auto"/>
              </w:rPr>
              <w:t>(a)</w:t>
            </w:r>
          </w:p>
        </w:tc>
        <w:tc>
          <w:tcPr>
            <w:tcW w:w="3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Non-utility</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r>
      <w:tr>
        <w:trPr>
          <w:trHeight w:val="230"/>
        </w:trPr>
        <w:tc>
          <w:tcPr>
            <w:tcW w:w="76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Maintenance</w:t>
            </w:r>
          </w:p>
        </w:tc>
        <w:tc>
          <w:tcPr>
            <w:tcW w:w="3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760" w:type="dxa"/>
            <w:vAlign w:val="bottom"/>
          </w:tcPr>
          <w:p>
            <w:pPr>
              <w:spacing w:after="0"/>
              <w:rPr>
                <w:sz w:val="19"/>
                <w:szCs w:val="19"/>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76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6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3"/>
        </w:trPr>
        <w:tc>
          <w:tcPr>
            <w:tcW w:w="760" w:type="dxa"/>
            <w:vAlign w:val="bottom"/>
          </w:tcPr>
          <w:p>
            <w:pPr>
              <w:spacing w:after="0"/>
              <w:rPr>
                <w:sz w:val="19"/>
                <w:szCs w:val="19"/>
                <w:color w:val="auto"/>
              </w:rPr>
            </w:pPr>
          </w:p>
        </w:tc>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9"/>
        </w:trPr>
        <w:tc>
          <w:tcPr>
            <w:tcW w:w="76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bl>
    <w:p>
      <w:pPr>
        <w:spacing w:after="0" w:line="9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(a)</w:t>
        <w:tab/>
        <w:t>Represents non-cash amortization of differences between contract prices and estimated market prices on assumed PSAs.</w:t>
      </w:r>
    </w:p>
    <w:p>
      <w:pPr>
        <w:spacing w:after="0" w:line="255"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$327.9 million from 2023 primarily due to the sales of ALLETE Clean Energy’s Northern Wind and Red Barn projects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2023, partially offset by the sale of ALLETE Clean Energy’s Whitetail wind project in 2024. In addition, operating revenue in 2024 was negatively impacted by a network outage located near Caddo. The network outage began in the fourth quarter of 2023 resulting from a forced outage of a substation and the transmission lines feeding that substation. This forced outage increased congestion experienced by Caddo resulting in lower kWh sales and pricing. The forced outage was resolved in June 2024. (See Outlook - ALLETE Clean Energy.)</w:t>
      </w: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kWh</w:t>
            </w: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 Energy Regions</w:t>
            </w: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$14.8</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152.6</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Midwest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13.8</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393.4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1,389.1</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495.4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 of Wind Energy Facility</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22.9</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348.4</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Production and Operating Revenue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$68.9</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2,430.5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Non-utility </w:t>
      </w:r>
      <w:r>
        <w:rPr>
          <w:rFonts w:ascii="Times New Roman" w:cs="Times New Roman" w:eastAsia="Times New Roman" w:hAnsi="Times New Roman"/>
          <w:sz w:val="18"/>
          <w:szCs w:val="18"/>
          <w:color w:val="auto"/>
        </w:rPr>
        <w:t>decreased $324.0 million from 2023 primarily due to the sales of ALLETE Clean Energy’s Northern Wind and Red Barn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projects, partially offset by the sale of ALLETE Clean Energy’s Whitetail wind project.</w:t>
      </w:r>
    </w:p>
    <w:p>
      <w:pPr>
        <w:sectPr>
          <w:pgSz w:w="11900" w:h="16838" w:orient="portrait"/>
          <w:cols w:equalWidth="0" w:num="1">
            <w:col w:w="11240"/>
          </w:cols>
          <w:pgMar w:left="320" w:top="873" w:right="3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 (Continued)</w:t>
      </w:r>
    </w:p>
    <w:p>
      <w:pPr>
        <w:spacing w:after="0" w:line="230"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and Maintenance </w:t>
      </w:r>
      <w:r>
        <w:rPr>
          <w:rFonts w:ascii="Times New Roman" w:cs="Times New Roman" w:eastAsia="Times New Roman" w:hAnsi="Times New Roman"/>
          <w:sz w:val="18"/>
          <w:szCs w:val="18"/>
          <w:color w:val="auto"/>
        </w:rPr>
        <w:t>expense decreased $1.7 million from 2023 primarily due to business interruption insurance proceeds at Diamond Spring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2024 related to a transformer outage in the first half of 2024.</w:t>
      </w:r>
    </w:p>
    <w:p>
      <w:pPr>
        <w:spacing w:after="0" w:line="18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decreased $61.0 million from 2023 primarily due to a $58.4 million gain recognized for a favorable arbitration ruling in 2023 involving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subsidiary of ALLETE Clean Energy and higher interest income related to $5.1 million of interest awarded as part of the favorable arbitration ruling. (See Note 6. Commitments, Guarantees, and Contingencies.)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w:t>
      </w:r>
      <w:r>
        <w:rPr>
          <w:rFonts w:ascii="Times New Roman" w:cs="Times New Roman" w:eastAsia="Times New Roman" w:hAnsi="Times New Roman"/>
          <w:sz w:val="18"/>
          <w:szCs w:val="18"/>
          <w:color w:val="auto"/>
        </w:rPr>
        <w:t>increased $17.8 million from 2023 primarily due to lower pre-tax income.</w:t>
      </w:r>
    </w:p>
    <w:p>
      <w:pPr>
        <w:spacing w:after="0" w:line="25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Attributable to Non-Controlling Interest </w:t>
      </w:r>
      <w:r>
        <w:rPr>
          <w:rFonts w:ascii="Times New Roman" w:cs="Times New Roman" w:eastAsia="Times New Roman" w:hAnsi="Times New Roman"/>
          <w:sz w:val="18"/>
          <w:szCs w:val="18"/>
          <w:color w:val="auto"/>
        </w:rPr>
        <w:t>decreased $12.0 million from 2023 reflecting lower availability at ALLETE Clean Energy’s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financed wind energy facilities resulting from the impacts of a network outage near Caddo and a transformer outage at Diamond Spring. This decrease was partially offset by a higher production tax credit rate, as determined by the Internal Revenue Service, in 2024 compared to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increased $6.3 million, or 4 percent, from 2023 primarily due to higher revenue at BNI Energy, which operates under cost-plus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fee contracts, as a result of higher expenses in 2024 compared to 2023.</w:t>
      </w:r>
    </w:p>
    <w:p>
      <w:pPr>
        <w:spacing w:after="0" w:line="182"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ALLETE </w:t>
      </w:r>
      <w:r>
        <w:rPr>
          <w:rFonts w:ascii="Times New Roman" w:cs="Times New Roman" w:eastAsia="Times New Roman" w:hAnsi="Times New Roman"/>
          <w:sz w:val="18"/>
          <w:szCs w:val="18"/>
          <w:color w:val="auto"/>
        </w:rPr>
        <w:t>was $6.7 million in 2024 compared to net income of $16.8 million in 2023. Net income in 2024 includes higher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renewable energy projects at New Energy in 2024 compared to 2023, partially offset by lower earnings from Minnesota solar projects as investment tax credits were recognized in 2023 for the projects and transaction expenses of $19.5 million after-tax related to the Merger (See Note 11. Agreement and Plan of Merger). The net income in 2023 also reflects a $3.8 million after tax-expense for the consolidated income tax impact of the gain on the favorable arbitration ruling. Net income at New Energy was $23.4 million in 2024 compared to $12.0 million in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Consolidated</w:t>
      </w:r>
    </w:p>
    <w:p>
      <w:pPr>
        <w:spacing w:after="0" w:line="24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the effective tax rate was an expense of 8.5 percent (12.1 percent for the nine months ended September 30, 2023). The lower effective tax rate for 2024 is primarily due to lower pre-tax income.</w:t>
      </w:r>
    </w:p>
    <w:p>
      <w:pPr>
        <w:spacing w:after="0" w:line="189"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We expect our annual effective tax rate in 2024 to be lower than 2023 primarily due to lower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our 2023 Form 10-K.</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2024, ALLETE entered into the Merger Agreement. (See Note 11. Agreement and Plan of Merger.) As a result of the Merger, transaction costs are expected to be material in 2024.</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2024. ALLETE expects its businesses to generally provide regulated, contracted or recurring revenues, and to support sustained growth in net income and cash flow.</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Minnesota Carbon-Free Legislation. </w:t>
      </w:r>
      <w:r>
        <w:rPr>
          <w:rFonts w:ascii="Times New Roman" w:cs="Times New Roman" w:eastAsia="Times New Roman" w:hAnsi="Times New Roman"/>
          <w:sz w:val="18"/>
          <w:szCs w:val="18"/>
          <w:color w:val="auto"/>
        </w:rPr>
        <w:t>On February 7, 2023, the Minnesota Governor signed into law legislation that updates the state’s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The Company is evaluating the law to identify challenges and opportunities it could present.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Minnesota Power’s long-term strategy is to be the leading electric energy provider in northeastern Minnesota by providing safe,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In 2021, Minnesota Power announced its vision of delivering 100 percent carbon-free energy by 2050.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Minnesota General Rate Case. </w:t>
      </w:r>
      <w:r>
        <w:rPr>
          <w:rFonts w:ascii="Times New Roman" w:cs="Times New Roman" w:eastAsia="Times New Roman" w:hAnsi="Times New Roman"/>
          <w:sz w:val="18"/>
          <w:szCs w:val="18"/>
          <w:color w:val="auto"/>
        </w:rPr>
        <w:t>On November 1, 2023, Minnesota Power filed a retail rate increase request with the MPUC seeking an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In separate orders dated December 19, 2023, the MPUC accepted the filing as complete and approved an annual interim rate increase of approximately $64 million, net of rider revenue, beginning January 1, 2024, subject to refund.</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 2024, Minnesota Power entered into a settlement agreement with the Minnesota Department of Commerce, Minnesota Office of the Attorney General, Residential Utilities Division, and Large Power Intervenors to settle the retail rate increase request. As part of the settlement agreement, the parties agreed on all issues, including an overall rate increase of $33.97 million, net of rider revenue and amounts transferring to the fuel adjustment clause, a return on equity of 9.78 percent, all non-financial items and cost allocation. At a hearing on October 24, 2024, the MPUC approved the settlement agreement. Final rates are expected to be implemented in the first quarter of 2025; interim rates will be collected through this period with reserves recorded as necessary. As a result of the settlement, Minnesota Power recorded a reserve for an interim rate refund of $17.0 million pre-tax as of September 30, 2024, which is subject to MPUC approval of Minnesota Power’s refund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Regulated Operations (Continued)</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Wisconsin General Rate Case. </w:t>
      </w:r>
      <w:r>
        <w:rPr>
          <w:rFonts w:ascii="Times New Roman" w:cs="Times New Roman" w:eastAsia="Times New Roman" w:hAnsi="Times New Roman"/>
          <w:sz w:val="18"/>
          <w:szCs w:val="18"/>
          <w:color w:val="auto"/>
        </w:rPr>
        <w:t>On March 29, 2024, SWL&amp;P filed a rate increase request for its electric, gas and water utilities with the PSCW.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seeks an overall return on equity of 10.00 percent and a 55.00 percent equity ratio. On an annualized basis, the requested change would increase revenue by approximately 5.90 percent for retail customers and generate an estimated $7.3 million of additional revenue. The change to SWL&amp;P customers’ rates will be determined by the PSCW later this year. Any rate adjustments are anticipated to become effective in January 2025. We cannot predict the level of final rates that may be authorized by the PSCW.</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Solar Energy Request For Proposals. </w:t>
      </w:r>
      <w:r>
        <w:rPr>
          <w:rFonts w:ascii="Times New Roman" w:cs="Times New Roman" w:eastAsia="Times New Roman" w:hAnsi="Times New Roman"/>
          <w:sz w:val="18"/>
          <w:szCs w:val="18"/>
          <w:color w:val="auto"/>
        </w:rPr>
        <w:t>On October 2, 2023, Minnesota Power filed a notice with the MPUC of its intent to issue a request for proposals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300 MW of solar energy resources. Minnesota Power issued the request for proposals on November 15, 2023, which were accepted through January 17, 2024. On September 23, 2024, Minnesota Power announced plans to build an 85 MW solar project and a 119.5 MW solar project in Northern Minnesota, both of which are expected to be in service in mid-2027 subject to MPUC approval.</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Wind Energy Request For Proposals. </w:t>
      </w:r>
      <w:r>
        <w:rPr>
          <w:rFonts w:ascii="Times New Roman" w:cs="Times New Roman" w:eastAsia="Times New Roman" w:hAnsi="Times New Roman"/>
          <w:sz w:val="18"/>
          <w:szCs w:val="18"/>
          <w:color w:val="auto"/>
        </w:rPr>
        <w:t>On December 15, 2023, Minnesota Power filed a notice with the MPUC of its intent to issue a request for proposals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up to 400 MW of wind energy resources. Minnesota Power issued the request for proposals on February 15, 2024, which were accepted through April 11, 2024. The proposals are currently being evaluated.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Customers.</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Industrial Customers. </w:t>
      </w:r>
      <w:r>
        <w:rPr>
          <w:rFonts w:ascii="Times New Roman" w:cs="Times New Roman" w:eastAsia="Times New Roman" w:hAnsi="Times New Roman"/>
          <w:sz w:val="18"/>
          <w:szCs w:val="18"/>
          <w:color w:val="auto"/>
        </w:rPr>
        <w:t>Electric power is one of several key inputs in the taconite mining, paper, pulp and secondary wood products, pipeline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Approximately 56 percent of our regulated utility kWh sales in the nine months ended September 30, 2024, were made to our industrial customers (55 percent in the nine months ended September 30,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Taconite</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USS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USS Corporation’s Minntac and Keetac plants are large power industrial customers of Minnesota Power. These plants have the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to produce approximately 22 million tons of iron ore pellets annually which includes 4 million tons of direct-reduced grade pellets.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December 18, 2023, USS Corporation announced it entered into a definitive agreement in which Nippon Steel will acquire all of the shares of USS Corporation. On April 12, 2024, USS Corporation shareholders approved the proposed acquisition. USS Corporation expects the transaction to close in the second half of 2024, subject to regulatory approvals, at which time USS Corporation stated it will continue to operate under the U.S. Steel brand name and will maintain its headquarters in Pittsburgh, Pennsylvania.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Paper, Pulp and Secondary Wood Products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Sofidel</w:t>
      </w:r>
      <w:r>
        <w:rPr>
          <w:rFonts w:ascii="Times New Roman" w:cs="Times New Roman" w:eastAsia="Times New Roman" w:hAnsi="Times New Roman"/>
          <w:sz w:val="18"/>
          <w:szCs w:val="18"/>
          <w:color w:val="auto"/>
        </w:rPr>
        <w:t>. ST Paper, a former Large Power Customer of Minnesota Power, announced on January 3, 2024, that it had entered into an agreement to sell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Duluth Mill to Sofidel, a privately held Italian multinational company that is currently the seventh largest manufacturer of tissue paper in the world. Sofidel completed the acquisition of the Duluth Mill in the first quarter of 2024. In the third quarter of 2024, Sofidel announced plans to invest between $200 million and $250 million to add a conversion facility and automated warehouse to the tissue plant.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in ATC. </w:t>
      </w:r>
      <w:r>
        <w:rPr>
          <w:rFonts w:ascii="Times New Roman" w:cs="Times New Roman" w:eastAsia="Times New Roman" w:hAnsi="Times New Roman"/>
          <w:sz w:val="18"/>
          <w:szCs w:val="18"/>
          <w:color w:val="auto"/>
        </w:rPr>
        <w:t>ATC’s most recent 10-year transmission assessment, which covers the years 2023 through 2032, identifies a need for between $6.6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and $8.1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 (Continued)</w:t>
      </w:r>
    </w:p>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North Plains Connector Development Agreement. </w:t>
      </w:r>
      <w:r>
        <w:rPr>
          <w:rFonts w:ascii="Times New Roman" w:cs="Times New Roman" w:eastAsia="Times New Roman" w:hAnsi="Times New Roman"/>
          <w:sz w:val="18"/>
          <w:szCs w:val="18"/>
          <w:color w:val="auto"/>
        </w:rPr>
        <w:t>In December 2023, ALLETE and Grid United LLC, an independent transmission company,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agreements for the North Plains Connector project. The project is a new, approximately 400-mile high-voltage direct-current (HVDC) transmission line from central North Dakota, to Colstrip, Montana that will be the first transmission connection between three regional U.S. electric energy markets: MISO, the Western Interconnection and the Southwest Power Pool. This new link, open to all sources of electric generation, would create 3,000 MW of transfer capacity between the middle of the country and the West Coast, easing congestion on the transmission system, increasing resiliency and reliability in all three energy markets, and enabling fast sharing of renewable energy across a vast area with diverse weather patterns. The project capital cost is expected to be approximately $3.2 billion. On August 6, 2024, the U.S. Department of Energy awarded a $700 million grant to the project. ALLETE expects to pursue up to 35 percent ownership and would oversee the line’s operation. The companies began project permitting in 2023 as they work toward a planned in-service date as early as 2032, pending regulatory and other necessary approvals.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Duluth Loop Reliability Project. </w:t>
      </w:r>
      <w:r>
        <w:rPr>
          <w:rFonts w:ascii="Times New Roman" w:cs="Times New Roman" w:eastAsia="Times New Roman" w:hAnsi="Times New Roman"/>
          <w:sz w:val="18"/>
          <w:szCs w:val="18"/>
          <w:color w:val="auto"/>
        </w:rPr>
        <w:t>In October 2021, Minnesota Power submitted an application for a certificate of need for the Duluth Loop Reliability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This transmission project was proposed to enhance reliability in and around Duluth, Minnesota. The project includes the construction of a new 115-kV transmission line; construction of an approximately one-mile extension of an existing 230-kV transmission line; and upgrades to several substations. A certificate of need was granted and a route permit was issued by the MPUC on April 3, 2023. The Duluth Loop Reliability Project is expected to be completed and in service by late 2026 to early 2027, with an estimated cost of $50 million to $70 million.</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HVDC Transmission System Project. </w:t>
      </w:r>
      <w:r>
        <w:rPr>
          <w:rFonts w:ascii="Times New Roman" w:cs="Times New Roman" w:eastAsia="Times New Roman" w:hAnsi="Times New Roman"/>
          <w:sz w:val="18"/>
          <w:szCs w:val="18"/>
          <w:color w:val="auto"/>
        </w:rPr>
        <w:t>On June 1, 2023, Minnesota Power submitted an application for a certificate of need and route permit with the MPUC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replace aging critical infrastructure and modernize the terminal stations of its HVDC transmission line. On June 21, 2024, the administrative law judge issued a report containing recommendations to approve the certificate of need and route permit. On August 1, 2024, the MPUC approved the certificate of need and route permit. Minnesota Power uses the 465-mile, 250-kV HVDC transmission line that runs from Center, North Dakota, to Duluth, Minnesota, to transport wind energy from North Dakota while gradually phasing out coal-based electricity delivered to its system over this transmission line from Square Butte’s lignite coal-fired generating unit. The HVDC transmission system project is expected to improve reliability of the transmission system, improve system resiliency, expand the operating capacity of the HVDC terminals, and replace critical infrastructure. Pending regulatory approvals in Minnesota and North Dakota, construction could begin as early as 2024, with an in-service date expected between 2028 and 2030. The project is estimated to cost between $800 million and $900 million. On October 18, 2023, the U.S. Department of Energy awarded a $50 million grant to Minnesota Power for this project, which will be used to prepare the HVDC transmission system for future expansion and help reduce project costs to customers. In addition, this project was awarded $15 million in state funding as part of an energy and climate budget bill passed by the Minnesota Legislature in 2023. Further, Minnesota Power’s application to the Minnesota Department of Commerce (DOC) State Competitiveness Fund Match Program received notification the DOC is reserving $10 million as a cost share for the project. In total, Minnesota Power has been awarded $75 million in federal and state dollars in support of the project.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Northland Reliability Project</w:t>
      </w:r>
      <w:r>
        <w:rPr>
          <w:rFonts w:ascii="Times New Roman" w:cs="Times New Roman" w:eastAsia="Times New Roman" w:hAnsi="Times New Roman"/>
          <w:sz w:val="18"/>
          <w:szCs w:val="18"/>
          <w:color w:val="auto"/>
        </w:rPr>
        <w:t>. Minnesota Power and Great River Energy announced in July 2022 their intent to build a 150-mile, 345-kV transmission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northern Minnesota to central Minnesota to support continued reliability in the Upper Midwest. Great River Energy, a wholesale electric power cooperative, and Minnesota Power filed a Notice of Intent to Construct, Own and Maintain the transmission line with the MPUC in August 2022. This joint project is part of a portfolio of transmission projects approved in July 2022 by MISO as part of the first phase of its Long Range Transmission Plan. Planning for the approximately $970 million to $1,350 million transmission line is in its early stages with the route anticipated to generally follow existing rights of way in an established power line corridor. The MPUC will determine the final route as well as cost recovery for Minnesota Power’s approximately 50 percent estimated share of the project. On August 4, 2023, Minnesota Power and Great River Energy submitted an application for a certificate of need and route permit with the MPUC. On May 10, 2024, the FERC approved Minnesota Power's request to recover on construction work in progress related to this project from Minnesota Power’s wholesale customers. Subject to regulatory approvals, the transmission line is expected to be in service in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 (Continued)</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Big Stone South Transmission Project. </w:t>
      </w:r>
      <w:r>
        <w:rPr>
          <w:rFonts w:ascii="Times New Roman" w:cs="Times New Roman" w:eastAsia="Times New Roman" w:hAnsi="Times New Roman"/>
          <w:sz w:val="18"/>
          <w:szCs w:val="18"/>
          <w:color w:val="auto"/>
        </w:rPr>
        <w:t>Northern States Power, Great River Energy, Minnesota Power, Otter Tail Power Company, and Missouri 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Resources (Project Developers) announced in July 2022 their intent to build a 150-mile, 345-kV transmission line to improve reliability in North Dakota and South Dakota, and western and central Minnesota. This joint project is part of a portfolio of transmission projects approved in July 2022 by MISO as part of the first phase of its Long Range Transmission Plan. A Notice of Intent to Construct, Own and Maintain the transmission line was filed with the MPUC in October 2022. On September 29, 2023, the Project Developers submitted an application for a certificate of need and route permit with the MPUC, which was approved on October 3, 2024. The project is in its early stages and is expected to cost between $600 million and $700 million. Minnesota Power has asset ownership in the Alexandria-Big Oaks portion of the project which does not require a route permit and will begin construction immediately following the October 3, 2024 Certificate of Need approval. Minnesota Power is a 16.5 percent owner of this portion of the project and will invest at this level for the entire portion of the project. On March 13, 2024, Minnesota Power submitted a filing with the FERC requesting to recover on construction work in progress related to this project from Minnesota Power’s wholesale customers. The Minnesota Power portion of this transmission line is expected to be in service in 2027.</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Starting in September 2023, a substation and the transmission lines feeding that substation located near Caddo, and operated by another party, experienced a forced outage. This forced outage increased congestion experienced by Caddo during the first half of 2024. The forced outage was resolved in June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and Other includes New Energy, a renewable energy development company,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Liquidity Position. </w:t>
      </w:r>
      <w:r>
        <w:rPr>
          <w:rFonts w:ascii="Times New Roman" w:cs="Times New Roman" w:eastAsia="Times New Roman" w:hAnsi="Times New Roman"/>
          <w:sz w:val="18"/>
          <w:szCs w:val="18"/>
          <w:color w:val="auto"/>
        </w:rPr>
        <w:t>ALLETE is well-positioned to meet the Company’s liquidity needs. As of September 30, 2024, we had cash and cash equivalents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$101.9 million, $338.6 million in available consolidated lines of credit, 2.1 million original issue shares of common stock available for issuance through a distribution agreement with Lampert Capital Markets and a debt-to-capital ratio of 35 percent. Pursuant to the Merger Agreement, ALLETE has agreed, subject to certain exceptions, to, and to cause each of its subsidiaries to, conduct its business in the ordinary course, consistent with past practice, from the date of the Merger Agreement until the effective time of the Merger, and not to take certain actions prior to the closing of the Merger without the prior written consent of Alloy Parent (which consent shall not be unreasonably withheld, conditioned or delayed, except where ALLETE seeks Alloy Parent’s consent to enter into a material new line of business or cease operations of an existing material line of business). (See Note 11. 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Capital Structure. </w:t>
            </w:r>
            <w:r>
              <w:rPr>
                <w:rFonts w:ascii="Times New Roman" w:cs="Times New Roman" w:eastAsia="Times New Roman" w:hAnsi="Times New Roman"/>
                <w:sz w:val="18"/>
                <w:szCs w:val="18"/>
                <w:color w:val="auto"/>
              </w:rPr>
              <w:t>ALLETE’s capital structure is as follows:</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4"/>
                <w:szCs w:val="24"/>
                <w:color w:val="auto"/>
              </w:rPr>
            </w:pPr>
          </w:p>
        </w:tc>
        <w:tc>
          <w:tcPr>
            <w:tcW w:w="2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ALLETE Equity</w:t>
            </w:r>
          </w:p>
        </w:tc>
        <w:tc>
          <w:tcPr>
            <w:tcW w:w="2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$2,831.2</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$2,809.6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560.7</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597.0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Short-Term and Long-Term Debt </w:t>
            </w:r>
            <w:r>
              <w:rPr>
                <w:rFonts w:ascii="Times New Roman" w:cs="Times New Roman" w:eastAsia="Times New Roman" w:hAnsi="Times New Roman"/>
                <w:sz w:val="16"/>
                <w:szCs w:val="16"/>
                <w:i w:val="1"/>
                <w:iCs w:val="1"/>
                <w:color w:val="auto"/>
              </w:rPr>
              <w:t>(a)</w:t>
            </w:r>
          </w:p>
        </w:tc>
        <w:tc>
          <w:tcPr>
            <w:tcW w:w="2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1,794.4</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1,799.4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$5,187.0</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$5,206.5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57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Excludes unamortized debt issuance costs.</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Selected information from the Consolidated Statement of Cash Flows is as follows:</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2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$79.4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367.3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(219.9)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(115.8)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31.6</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$111.0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lower in 2024 compared to 2023 reflecting cash proceeds from the sales of ALLETE Clean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Energy’s Northern Wind and Red Barn projects in 2023, higher cash contributions to defined benefit pension in 2024, and timing of recovery under Minnesota Power’s fuel adjustment clause. These decreases were partially offset by proceeds from the sale of renewable tax credits in 2024.</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was higher in 2024 compared to 2023 reflecting more payments for additions to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compared to 2023, partially offset by cash grants received for our HVDC Transmission System Project in 2024. (See Outlook.)</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in 2024 reflected higher repayments of long-term debt in 2024, partially offset by higher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issuance of long-term debt compared to 2023.</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Working Capital. </w:t>
      </w:r>
      <w:r>
        <w:rPr>
          <w:rFonts w:ascii="Times New Roman" w:cs="Times New Roman" w:eastAsia="Times New Roman" w:hAnsi="Times New Roman"/>
          <w:sz w:val="18"/>
          <w:szCs w:val="18"/>
          <w:color w:val="auto"/>
        </w:rPr>
        <w:t>Additional working capital, if and when needed, generally is provided by consolidated bank lines of credit and the issuance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long-term debt, common stock and commercial paper. As of September 30, 2024, we had consolidated bank lines of credit aggregating $362.0 million ($423.1 million as of December 31, 2023), the majority of which expire in January 2027. (See Note 5. Short-Term and Long-Term Debt.) We had $23.4 million outstanding in standby letters of credit and no outstanding draws under our lines of credit as of September 30, 2024 ($19.4 million in standby letters of credit and $34.1 million outstanding draws on our lines of credit as of December 31, 2023). As of September 30, 2024, we also had $116.7 million outstanding in standby letters of credit under other credit facility agreements.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as of September 30, 2024, we had 2.5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The amount and timing of future sales of our securities will depend upon market conditions and our specific needs.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During the nine months ended September 30, 2024, we issued 0.3 million shares of common stock through Invest Direct, ESPP, and RSOP,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in net proceeds of $9.9 million (0.2 million shares were issued for the nine months ended September 30, 2023, resulting in net proceeds of $11.4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Covenants. </w:t>
      </w:r>
      <w:r>
        <w:rPr>
          <w:rFonts w:ascii="Times New Roman" w:cs="Times New Roman" w:eastAsia="Times New Roman" w:hAnsi="Times New Roman"/>
          <w:sz w:val="18"/>
          <w:szCs w:val="18"/>
          <w:color w:val="auto"/>
        </w:rPr>
        <w:t>See Note 5. Short-Term and Long-Term Debt for information regarding our financial covenants.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Pension and Other Postretirement Benefit Plans. </w:t>
      </w:r>
      <w:r>
        <w:rPr>
          <w:rFonts w:ascii="Times New Roman" w:cs="Times New Roman" w:eastAsia="Times New Roman" w:hAnsi="Times New Roman"/>
          <w:sz w:val="18"/>
          <w:szCs w:val="18"/>
          <w:color w:val="auto"/>
        </w:rPr>
        <w:t>Management considers various factors when making funding decisions, such as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Off-Balance Sheet Arrangements. </w:t>
      </w:r>
      <w:r>
        <w:rPr>
          <w:rFonts w:ascii="Times New Roman" w:cs="Times New Roman" w:eastAsia="Times New Roman" w:hAnsi="Times New Roman"/>
          <w:sz w:val="18"/>
          <w:szCs w:val="18"/>
          <w:color w:val="auto"/>
        </w:rPr>
        <w:t>Off-balance sheet arrangements are summarized in our 2023 Form 10-K, with additional disclosure in Note 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Guarantees and Contingencies.</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Credit Ratings</w:t>
      </w:r>
      <w:r>
        <w:rPr>
          <w:rFonts w:ascii="Times New Roman" w:cs="Times New Roman" w:eastAsia="Times New Roman" w:hAnsi="Times New Roman"/>
          <w:sz w:val="18"/>
          <w:szCs w:val="18"/>
          <w:color w:val="auto"/>
        </w:rPr>
        <w:t>. Access to reasonably priced capital markets is dependent in part on credit and ratings. Our securities have been rated by S&amp;P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4780" w:type="dxa"/>
            <w:vAlign w:val="bottom"/>
          </w:tcPr>
          <w:p>
            <w:pPr>
              <w:jc w:val="center"/>
              <w:ind w:left="3232"/>
              <w:spacing w:after="0"/>
              <w:rPr>
                <w:sz w:val="20"/>
                <w:szCs w:val="20"/>
                <w:color w:val="auto"/>
              </w:rPr>
            </w:pPr>
            <w:r>
              <w:rPr>
                <w:rFonts w:ascii="Times New Roman" w:cs="Times New Roman" w:eastAsia="Times New Roman" w:hAnsi="Times New Roman"/>
                <w:sz w:val="18"/>
                <w:szCs w:val="18"/>
                <w:b w:val="1"/>
                <w:bCs w:val="1"/>
                <w:color w:val="auto"/>
              </w:rPr>
              <w:t>S&amp;P Global</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auto"/>
            </w:tcBorders>
            <w:vMerge w:val="continue"/>
          </w:tcPr>
          <w:p>
            <w:pPr>
              <w:spacing w:after="0"/>
              <w:rPr>
                <w:sz w:val="21"/>
                <w:szCs w:val="21"/>
                <w:color w:val="auto"/>
              </w:rPr>
            </w:pPr>
          </w:p>
        </w:tc>
        <w:tc>
          <w:tcPr>
            <w:tcW w:w="4780" w:type="dxa"/>
            <w:vAlign w:val="bottom"/>
            <w:tcBorders>
              <w:bottom w:val="single" w:sz="8" w:color="auto"/>
            </w:tcBorders>
          </w:tcPr>
          <w:p>
            <w:pPr>
              <w:jc w:val="center"/>
              <w:ind w:left="3232"/>
              <w:spacing w:after="0"/>
              <w:rPr>
                <w:sz w:val="20"/>
                <w:szCs w:val="20"/>
                <w:color w:val="auto"/>
              </w:rPr>
            </w:pPr>
            <w:r>
              <w:rPr>
                <w:rFonts w:ascii="Times New Roman" w:cs="Times New Roman" w:eastAsia="Times New Roman" w:hAnsi="Times New Roman"/>
                <w:sz w:val="18"/>
                <w:szCs w:val="18"/>
                <w:b w:val="1"/>
                <w:bCs w:val="1"/>
                <w:color w:val="auto"/>
                <w:w w:val="99"/>
              </w:rPr>
              <w:t xml:space="preserve">Ratings </w:t>
            </w:r>
            <w:r>
              <w:rPr>
                <w:rFonts w:ascii="Times New Roman" w:cs="Times New Roman" w:eastAsia="Times New Roman" w:hAnsi="Times New Roman"/>
                <w:sz w:val="16"/>
                <w:szCs w:val="16"/>
                <w:i w:val="1"/>
                <w:iCs w:val="1"/>
                <w:color w:val="auto"/>
                <w:w w:val="99"/>
              </w:rPr>
              <w:t>(a)</w:t>
            </w: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Issuer Credit Rating</w:t>
            </w:r>
          </w:p>
        </w:tc>
        <w:tc>
          <w:tcPr>
            <w:tcW w:w="4780" w:type="dxa"/>
            <w:vAlign w:val="bottom"/>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Baa1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780" w:type="dxa"/>
            <w:vAlign w:val="bottom"/>
          </w:tcPr>
          <w:p>
            <w:pPr>
              <w:jc w:val="center"/>
              <w:ind w:left="3212"/>
              <w:spacing w:after="0"/>
              <w:rPr>
                <w:sz w:val="20"/>
                <w:szCs w:val="20"/>
                <w:color w:val="auto"/>
              </w:rPr>
            </w:pPr>
            <w:r>
              <w:rPr>
                <w:rFonts w:ascii="Times New Roman" w:cs="Times New Roman" w:eastAsia="Times New Roman" w:hAnsi="Times New Roman"/>
                <w:sz w:val="18"/>
                <w:szCs w:val="18"/>
                <w:color w:val="auto"/>
                <w:w w:val="99"/>
              </w:rPr>
              <w:t>A-2</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Mortgage Bonds</w:t>
            </w:r>
          </w:p>
        </w:tc>
        <w:tc>
          <w:tcPr>
            <w:tcW w:w="4780" w:type="dxa"/>
            <w:vAlign w:val="bottom"/>
            <w:tcBorders>
              <w:bottom w:val="single" w:sz="8" w:color="auto"/>
            </w:tcBorders>
            <w:shd w:val="clear" w:color="auto" w:fill="CCEEFF"/>
          </w:tcPr>
          <w:p>
            <w:pPr>
              <w:jc w:val="center"/>
              <w:ind w:left="3232"/>
              <w:spacing w:after="0"/>
              <w:rPr>
                <w:sz w:val="20"/>
                <w:szCs w:val="20"/>
                <w:color w:val="auto"/>
              </w:rPr>
            </w:pPr>
            <w:r>
              <w:rPr>
                <w:rFonts w:ascii="Times New Roman" w:cs="Times New Roman" w:eastAsia="Times New Roman" w:hAnsi="Times New Roman"/>
                <w:sz w:val="16"/>
                <w:szCs w:val="16"/>
                <w:i w:val="1"/>
                <w:iCs w:val="1"/>
                <w:color w:val="auto"/>
                <w:w w:val="96"/>
              </w:rPr>
              <w:t>(b)</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59" w:lineRule="auto"/>
        <w:tabs>
          <w:tab w:leader="none" w:pos="379"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May 7, 2024, S&amp;P Global Ratings revised its outlook on ALLETE to negative from stable and affirmed all of its ratings on ALLETE. S&amp;P Global Ratings cited the possibility for higher leverage and weaker financial measures because of the Merger as its rationale for issuing the negative outlook.</w:t>
      </w:r>
    </w:p>
    <w:p>
      <w:pPr>
        <w:ind w:left="360" w:hanging="352"/>
        <w:spacing w:after="0"/>
        <w:tabs>
          <w:tab w:leader="none" w:pos="36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Not rated by S&amp;P Global Ratings.</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 Requirements. </w:t>
      </w:r>
      <w:r>
        <w:rPr>
          <w:rFonts w:ascii="Times New Roman" w:cs="Times New Roman" w:eastAsia="Times New Roman" w:hAnsi="Times New Roman"/>
          <w:sz w:val="18"/>
          <w:szCs w:val="18"/>
          <w:color w:val="auto"/>
        </w:rPr>
        <w:t>For the nine months ended September 30, 2024, capital expenditures totaled $229.5 million ($182.0 million for the nine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2023). The expenditures were primarily made in the Regulated Operations segment.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ALLETE had 1,622 employees, of which 1,564 were full-time.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and SWL&amp;P have an aggregate of 490 employees covered under collective bargaining agreements, of which most are members of International Brotherhood of Electrical Workers (IBEW) Local 31. The current labor agreements with IBEW Local 31 expire on April 30, 2026, for Minnesota Power and January 31, 2027, for SWL&amp;P.</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BNI Energy has 181 employees, of which 131 are subject to a labor agreement with IBEW Local 1593. The current labor agreement with IBEW Local 1593 expires on March 31, 2026.</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INVESTMENTS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Available-for-Sale Securities</w:t>
      </w:r>
      <w:r>
        <w:rPr>
          <w:rFonts w:ascii="Times New Roman" w:cs="Times New Roman" w:eastAsia="Times New Roman" w:hAnsi="Times New Roman"/>
          <w:sz w:val="18"/>
          <w:szCs w:val="18"/>
          <w:color w:val="auto"/>
        </w:rPr>
        <w:t>. As of September 30, 2024, our available-for-sale securities portfolio consisted primarily of securities held 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plans to fund employee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MARKETING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September 30, 2024, an increase of 100 basis points in interest rates would impact the amount of pre-tax interest expense by $0.3 million. This amount was determined by considering the impact of a hypothetical 100 basis point increase to the average variable interest rate on the variable rate debt outstanding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As of September 30, 2024, evaluations were performed, under the supervision and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Controls. </w:t>
      </w:r>
      <w:r>
        <w:rPr>
          <w:rFonts w:ascii="Times New Roman" w:cs="Times New Roman" w:eastAsia="Times New Roman" w:hAnsi="Times New Roman"/>
          <w:sz w:val="18"/>
          <w:szCs w:val="18"/>
          <w:color w:val="auto"/>
        </w:rPr>
        <w:t>There has been no change in our internal control over financial reporting that occurred during our most recent fiscal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material legal and regulatory proceedings, see Note 4. Regulatory Matters and Note 9. Commitments, Guarantees and Contingencies to the Consolidated Financial Statements in our 2023 Form 10-K and Note 2. Regulatory Matters and Note 6. Commitments, Guarantees and Contingencies herein. Such information is incorporated herein by reference.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2023 Form 10-K includes a detailed discussion of our risk factors. The information presented below updates, and should be read in conjunction with, the risk factors disclosed in Part I, Item 1A. Risk Factors of our 2023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the Merger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2024, ALLETE entered into the Merger Agreement. (See Note 11. Agreement and Plan of Merger.)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when or if the Merger will be completed.</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Consummation of the Merger is subject to various closing conditions, including: (1) approval of the shareholders of ALLETE; (2) receipt of all required regulatory approvals without the imposition of a Burdensome Condition;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 with respect to the Company. The Merger Agreement also contains certain termination rights for both ALLETE and Alloy Parent, including if the Merger is not consummated by August 5, 2025 (subject to extension for an additional two successive three-month periods if all of the conditions to closing, other than the conditions related to obtaining regulatory approvals, have been satisfied). There can be no assurance that the conditions to completion of the Merger will be satisfied or waived or that other events will not intervene to delay or result in the failure to close the proposed Merger. The Merger Agreement also provides for certain termination rights for each of ALLETE and Alloy Parent. If the Merger Agreement is terminated, there may be various material, adverse consequences to the Company, including that the Company could be required to pay Alloy Parent a termination fee of $116 million under certain specified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Merger, during which the Company is subject to certain operating restrictions, could have an adverse effect on the Company’s businesses, results of operations, financial condition or cash flows.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announcement and pendency of the Merger could disrupt the Company’s businesses, and uncertainty about the effect of the Merger may have an adverse effect on the Company. These uncertainties could affect existing employee relationships, disrupt the business of the Company, and could cause suppliers, vendors, partners, lenders and others that deal with the Company to: (1) defer entering into contracts with the Company; or (2) making other decisions concerning the Company or seek to change or cancel existing business relationships with the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also requires the Company to obtain Parent’s consent prior to taking certain specified actions while the Merger is pending. These restrictions may prevent the Company from pursuing otherwise attractive business opportunities or making other changes to its business prior to the completion of the Merger.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will incur substantial transaction fees and costs in connection with the Merger.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transaction costs of $19.5 million after-tax through September 30, 2024, and expects to incur additional material expenses in connection with the Merger and completion of the transactions contemplated by the Merger Agreement. Further, even if the proposed Merger is not completed, the Company will need to pay certain costs relating to the proposed Merger incurred prior to the date the proposed Merger was abandoned, such as legal, accounting, financial advisory, filing and printing fees.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demand letters and complaints related to the Merger and may become the target of securities class action and derivative lawsuits which could result in substantial costs and may delay or prevent the Merger from being completed.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to us and divert management time and resources. Additionally, if a plaintiff is successful in obtaining an injunction prohibiting consummation of the Merger, then that injunction may delay or prevent the Merger from being completed. We have received a number of demand letters alleging that the disclosures contained in the preliminary proxy statement, as amended, and filed with the SEC in connection with a special meeting of shareholders to consider the Merger (Preliminary Proxy), were deficient and demanding that certain corrective disclosures be made. In addition, a complaint has been filed in the U.S. District Court for the Southern District of New York alleging violation of Sections 14(a) and 20(a) of the Securities Exchange Act of 1934, disclosure deficiency in the Preliminary Proxy, and seeking to enjoin the transaction until certain disclosures are corrected. On September 3, 2024, that complaint was voluntarily dismissed without prejudice. A second complaint was filed on August 6, 2024, in the New York State Supreme Court, alleging negligent misrepresentation and negligence related to alleged deficiencies in the Preliminary Proxy. That complaint has not been served on any defendant. The Company believes that the demand letters and remaining complaint are without merit.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Trading Plans. </w:t>
      </w:r>
      <w:r>
        <w:rPr>
          <w:rFonts w:ascii="Times New Roman" w:cs="Times New Roman" w:eastAsia="Times New Roman" w:hAnsi="Times New Roman"/>
          <w:sz w:val="18"/>
          <w:szCs w:val="18"/>
          <w:color w:val="auto"/>
        </w:rPr>
        <w:t>During the quarter ended September 30, 2024, no director or officer of the Company adopted or terminated a “Rule 10b5-1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or “non-Rule 10b5-1 trading arrangement,” as each term is defined in Item 408(a)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214745"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14745" cy="274320"/>
                    </a:xfrm>
                    <a:prstGeom prst="rect">
                      <a:avLst/>
                    </a:prstGeom>
                    <a:noFill/>
                  </pic:spPr>
                </pic:pic>
              </a:graphicData>
            </a:graphic>
          </wp:anchor>
        </w:drawing>
      </w:r>
    </w:p>
    <w:p>
      <w:pPr>
        <w:spacing w:after="0" w:line="20" w:lineRule="exact"/>
        <w:rPr>
          <w:sz w:val="20"/>
          <w:szCs w:val="20"/>
          <w:color w:val="auto"/>
        </w:rPr>
      </w:pPr>
    </w:p>
    <w:p>
      <w:pPr>
        <w:ind w:left="1080" w:right="1480" w:hanging="1054"/>
        <w:spacing w:after="0" w:line="245" w:lineRule="auto"/>
        <w:tabs>
          <w:tab w:leader="none" w:pos="1080" w:val="left"/>
        </w:tabs>
        <w:numPr>
          <w:ilvl w:val="0"/>
          <w:numId w:val="15"/>
        </w:numPr>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Agreement and Plan of Merger by and among ALLETE, Inc., Alloy Parent LLC and Alloy Merger Sub LLC, dated as of</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May 5, 2024 (filed as Exhibit 2.1 to the May 6, 2024, Form 8-K, File No. 1-3548).*</w:t>
        </w:r>
      </w:hyperlink>
    </w:p>
    <w:tbl>
      <w:tblPr>
        <w:tblLayout w:type="fixed"/>
        <w:tblInd w:w="0" w:type="dxa"/>
        <w:tblCellMar>
          <w:top w:w="0" w:type="dxa"/>
          <w:left w:w="0" w:type="dxa"/>
          <w:bottom w:w="0" w:type="dxa"/>
          <w:right w:w="0" w:type="dxa"/>
        </w:tblCellMar>
      </w:tblPr>
      <w:tr>
        <w:trPr>
          <w:trHeight w:val="190"/>
        </w:trPr>
        <w:tc>
          <w:tcPr>
            <w:tcW w:w="40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20" w:type="dxa"/>
            <w:vAlign w:val="bottom"/>
            <w:gridSpan w:val="6"/>
          </w:tcPr>
          <w:p>
            <w:pPr>
              <w:spacing w:after="0" w:line="190" w:lineRule="exact"/>
              <w:rPr>
                <w:sz w:val="20"/>
                <w:szCs w:val="20"/>
                <w:color w:val="auto"/>
              </w:rPr>
            </w:pPr>
            <w:r>
              <w:rPr>
                <w:rFonts w:ascii="Times New Roman" w:cs="Times New Roman" w:eastAsia="Times New Roman" w:hAnsi="Times New Roman"/>
                <w:sz w:val="18"/>
                <w:szCs w:val="18"/>
                <w:color w:val="0000FF"/>
              </w:rPr>
              <w:t>ALLETE Executive Long-Term Incentive Compensation Plan Performance Share Grant Effective April 13, 2022.</w:t>
            </w: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16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7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Extraordinary Compensation Award and Opportunity Effective September 25, 2023.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16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31(a)</w:t>
            </w:r>
          </w:p>
        </w:tc>
        <w:tc>
          <w:tcPr>
            <w:tcW w:w="87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by the Chief Executive Officer Pursuant to Section 302 of the Sarbanes-Oxley</w:t>
            </w:r>
          </w:p>
        </w:tc>
      </w:tr>
      <w:tr>
        <w:trPr>
          <w:trHeight w:val="169"/>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8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31(b)</w:t>
            </w:r>
          </w:p>
        </w:tc>
        <w:tc>
          <w:tcPr>
            <w:tcW w:w="87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by the Chief Financial Officer Pursuant to Section 302 of the Sarbanes-Oxley</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8700" w:type="dxa"/>
            <w:vAlign w:val="bottom"/>
            <w:tcBorders>
              <w:top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1080" w:right="1460" w:hanging="1054"/>
        <w:spacing w:after="0" w:line="242" w:lineRule="auto"/>
        <w:tabs>
          <w:tab w:leader="none" w:pos="1080" w:val="left"/>
        </w:tabs>
        <w:numPr>
          <w:ilvl w:val="0"/>
          <w:numId w:val="1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Section 1350 Certification of Periodic Report by the Chief Executive Officer and the Chief Financial Officer Pursuant to Section 906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14745" cy="145415"/>
                    </a:xfrm>
                    <a:prstGeom prst="rect">
                      <a:avLst/>
                    </a:prstGeom>
                    <a:noFill/>
                  </pic:spPr>
                </pic:pic>
              </a:graphicData>
            </a:graphic>
          </wp:anchor>
        </w:drawing>
      </w:r>
    </w:p>
    <w:p>
      <w:pPr>
        <w:ind w:left="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95</w:t>
      </w:r>
      <w:r>
        <w:rPr>
          <w:sz w:val="20"/>
          <w:szCs w:val="20"/>
          <w:color w:val="auto"/>
        </w:rPr>
        <w:tab/>
      </w:r>
      <w:r>
        <w:rPr>
          <w:rFonts w:ascii="Times New Roman" w:cs="Times New Roman" w:eastAsia="Times New Roman" w:hAnsi="Times New Roman"/>
          <w:sz w:val="18"/>
          <w:szCs w:val="18"/>
          <w:u w:val="single" w:color="auto"/>
          <w:color w:val="0000FF"/>
        </w:rPr>
        <w:t>Mine Safety.</w:t>
      </w:r>
    </w:p>
    <w:p>
      <w:pPr>
        <w:spacing w:after="0" w:line="23" w:lineRule="exact"/>
        <w:rPr>
          <w:rFonts w:ascii="Times New Roman" w:cs="Times New Roman" w:eastAsia="Times New Roman" w:hAnsi="Times New Roman"/>
          <w:sz w:val="18"/>
          <w:szCs w:val="18"/>
          <w:u w:val="single" w:color="auto"/>
          <w:color w:val="0000FF"/>
        </w:rPr>
      </w:pPr>
    </w:p>
    <w:p>
      <w:pPr>
        <w:jc w:val="both"/>
        <w:ind w:left="1080" w:right="1460" w:hanging="1054"/>
        <w:spacing w:after="0" w:line="223" w:lineRule="auto"/>
        <w:tabs>
          <w:tab w:leader="none" w:pos="1080" w:val="left"/>
        </w:tabs>
        <w:numPr>
          <w:ilvl w:val="0"/>
          <w:numId w:val="1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ALLETE News Release dated October 30, 2024, announcing 2024 third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184"/>
        </w:trPr>
        <w:tc>
          <w:tcPr>
            <w:tcW w:w="8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101.INS</w:t>
            </w:r>
          </w:p>
        </w:tc>
        <w:tc>
          <w:tcPr>
            <w:tcW w:w="8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w:t>
            </w:r>
          </w:p>
        </w:tc>
      </w:tr>
      <w:tr>
        <w:trPr>
          <w:trHeight w:val="234"/>
        </w:trPr>
        <w:tc>
          <w:tcPr>
            <w:tcW w:w="880" w:type="dxa"/>
            <w:vAlign w:val="bottom"/>
            <w:shd w:val="clear" w:color="auto" w:fill="CCEEFF"/>
          </w:tcPr>
          <w:p>
            <w:pPr>
              <w:spacing w:after="0"/>
              <w:rPr>
                <w:sz w:val="20"/>
                <w:szCs w:val="20"/>
                <w:color w:val="auto"/>
              </w:rPr>
            </w:pP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Schema</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Calculation</w:t>
            </w: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Definition</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Label</w:t>
            </w: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Presentation</w:t>
            </w:r>
          </w:p>
        </w:tc>
      </w:tr>
      <w:tr>
        <w:trPr>
          <w:trHeight w:val="229"/>
        </w:trPr>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9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14" w:lineRule="exact"/>
        <w:rPr>
          <w:rFonts w:ascii="Times New Roman" w:cs="Times New Roman" w:eastAsia="Times New Roman" w:hAnsi="Times New Roman"/>
          <w:sz w:val="18"/>
          <w:szCs w:val="18"/>
          <w:u w:val="single" w:color="auto"/>
          <w:color w:val="0000FF"/>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*Schedules and exhibits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3" w:lineRule="exact"/>
        <w:rPr>
          <w:rFonts w:ascii="Times New Roman" w:cs="Times New Roman" w:eastAsia="Times New Roman" w:hAnsi="Times New Roman"/>
          <w:sz w:val="18"/>
          <w:szCs w:val="18"/>
          <w:u w:val="single" w:color="auto"/>
          <w:color w:val="0000FF"/>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60"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2024</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W. Morris</w:t>
            </w:r>
          </w:p>
        </w:tc>
      </w:tr>
      <w:tr>
        <w:trPr>
          <w:trHeight w:val="218"/>
        </w:trPr>
        <w:tc>
          <w:tcPr>
            <w:tcW w:w="55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Steven W. Morris</w:t>
            </w:r>
          </w:p>
        </w:tc>
      </w:tr>
      <w:tr>
        <w:trPr>
          <w:trHeight w:val="229"/>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34"/>
        </w:trPr>
        <w:tc>
          <w:tcPr>
            <w:tcW w:w="55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Third Quarter 2024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240"/>
          </w:cols>
          <w:pgMar w:left="320" w:top="887" w:right="339" w:bottom="1440" w:gutter="0" w:footer="0" w:header="0"/>
        </w:sectPr>
      </w:pPr>
    </w:p>
    <w:bookmarkStart w:id="51" w:name="page52"/>
    <w:bookmarkEnd w:id="51"/>
    <w:p>
      <w:pPr>
        <w:ind w:left="5200"/>
        <w:spacing w:after="0"/>
        <w:rPr>
          <w:sz w:val="20"/>
          <w:szCs w:val="20"/>
          <w:color w:val="auto"/>
        </w:rPr>
      </w:pPr>
      <w:r>
        <w:rPr>
          <w:rFonts w:ascii="Times New Roman" w:cs="Times New Roman" w:eastAsia="Times New Roman" w:hAnsi="Times New Roman"/>
          <w:sz w:val="22"/>
          <w:szCs w:val="22"/>
          <w:b w:val="1"/>
          <w:bCs w:val="1"/>
          <w:color w:val="auto"/>
        </w:rPr>
        <w:t>ALLETE</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EXECUTIVE LONG-TERM INCENTIVE COMPENSATION PLAN</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PERFORMANCE SHARE GRANT</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Jeff Scissons</w:t>
      </w:r>
    </w:p>
    <w:p>
      <w:pPr>
        <w:spacing w:after="0" w:line="200" w:lineRule="exact"/>
        <w:rPr>
          <w:sz w:val="20"/>
          <w:szCs w:val="20"/>
          <w:color w:val="auto"/>
        </w:rPr>
      </w:pPr>
    </w:p>
    <w:p>
      <w:pPr>
        <w:spacing w:after="0" w:line="249" w:lineRule="exact"/>
        <w:rPr>
          <w:sz w:val="20"/>
          <w:szCs w:val="20"/>
          <w:color w:val="auto"/>
        </w:rPr>
      </w:pPr>
    </w:p>
    <w:p>
      <w:pPr>
        <w:ind w:left="20" w:right="20"/>
        <w:spacing w:after="0" w:line="220" w:lineRule="auto"/>
        <w:rPr>
          <w:sz w:val="20"/>
          <w:szCs w:val="20"/>
          <w:color w:val="auto"/>
        </w:rPr>
      </w:pPr>
      <w:r>
        <w:rPr>
          <w:rFonts w:ascii="Times New Roman" w:cs="Times New Roman" w:eastAsia="Times New Roman" w:hAnsi="Times New Roman"/>
          <w:sz w:val="22"/>
          <w:szCs w:val="22"/>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Performance Shares, as set forth below, subject to the terms and conditions set forth in this Grant, including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hereto and all documents incorporated herein by reference: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Performance Shares Granted: 396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Grant: April 13, 2022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Period: January 1, 2022 through December 31, 2024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Performance Goals: See </w:t>
      </w:r>
      <w:r>
        <w:rPr>
          <w:rFonts w:ascii="Times New Roman" w:cs="Times New Roman" w:eastAsia="Times New Roman" w:hAnsi="Times New Roman"/>
          <w:sz w:val="22"/>
          <w:szCs w:val="22"/>
          <w:u w:val="single" w:color="auto"/>
          <w:color w:val="auto"/>
        </w:rPr>
        <w:t>Annex C</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This Grant is made in accordance with the Plan.</w:t>
      </w:r>
    </w:p>
    <w:p>
      <w:pPr>
        <w:spacing w:after="0" w:line="206" w:lineRule="exact"/>
        <w:rPr>
          <w:sz w:val="20"/>
          <w:szCs w:val="20"/>
          <w:color w:val="auto"/>
        </w:rPr>
      </w:pPr>
    </w:p>
    <w:p>
      <w:pPr>
        <w:ind w:left="20"/>
        <w:spacing w:after="0" w:line="236" w:lineRule="auto"/>
        <w:rPr>
          <w:sz w:val="20"/>
          <w:szCs w:val="20"/>
          <w:color w:val="auto"/>
        </w:rPr>
      </w:pPr>
      <w:r>
        <w:rPr>
          <w:rFonts w:ascii="Times New Roman" w:cs="Times New Roman" w:eastAsia="Times New Roman" w:hAnsi="Times New Roman"/>
          <w:sz w:val="22"/>
          <w:szCs w:val="22"/>
          <w:color w:val="auto"/>
        </w:rPr>
        <w:t xml:space="preserve">Further terms and conditions of the Grant are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and Performance Goals are set forth in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hereto, both of which are integral parts of this Grant.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Any term, provision or condition applicable to the Performance Shares set forth in the Plan and not set forth herein is hereby</w:t>
      </w:r>
    </w:p>
    <w:p>
      <w:pPr>
        <w:spacing w:after="0" w:line="1" w:lineRule="exact"/>
        <w:rPr>
          <w:sz w:val="20"/>
          <w:szCs w:val="20"/>
          <w:color w:val="auto"/>
        </w:rPr>
      </w:pPr>
    </w:p>
    <w:p>
      <w:pPr>
        <w:ind w:left="20" w:right="640"/>
        <w:spacing w:after="0" w:line="225" w:lineRule="auto"/>
        <w:rPr>
          <w:sz w:val="20"/>
          <w:szCs w:val="20"/>
          <w:color w:val="auto"/>
        </w:rPr>
      </w:pPr>
      <w:r>
        <w:rPr>
          <w:rFonts w:ascii="Times New Roman" w:cs="Times New Roman" w:eastAsia="Times New Roman" w:hAnsi="Times New Roman"/>
          <w:sz w:val="22"/>
          <w:szCs w:val="22"/>
          <w:color w:val="auto"/>
        </w:rPr>
        <w:t>incorporated by reference. To the extent any provision hereof is inconsistent with a Plan provision, the Plan provision will govern.</w:t>
      </w:r>
    </w:p>
    <w:p>
      <w:pPr>
        <w:spacing w:after="0" w:line="177" w:lineRule="exact"/>
        <w:rPr>
          <w:sz w:val="20"/>
          <w:szCs w:val="20"/>
          <w:color w:val="auto"/>
        </w:rPr>
      </w:pPr>
    </w:p>
    <w:p>
      <w:pPr>
        <w:jc w:val="both"/>
        <w:ind w:left="20" w:right="440"/>
        <w:spacing w:after="0" w:line="225" w:lineRule="auto"/>
        <w:rPr>
          <w:sz w:val="20"/>
          <w:szCs w:val="20"/>
          <w:color w:val="auto"/>
        </w:rPr>
      </w:pPr>
      <w:r>
        <w:rPr>
          <w:rFonts w:ascii="Times New Roman" w:cs="Times New Roman" w:eastAsia="Times New Roman" w:hAnsi="Times New Roman"/>
          <w:sz w:val="22"/>
          <w:szCs w:val="22"/>
          <w:color w:val="auto"/>
        </w:rPr>
        <w:t xml:space="preserve">YOU SHOULD CAREFULLY READ AND REVIEW THE TERMS AND CONDITIONS SET FORTH IN THIS GRANT, INCLUDING </w:t>
      </w:r>
      <w:r>
        <w:rPr>
          <w:rFonts w:ascii="Times New Roman" w:cs="Times New Roman" w:eastAsia="Times New Roman" w:hAnsi="Times New Roman"/>
          <w:sz w:val="22"/>
          <w:szCs w:val="22"/>
          <w:u w:val="single" w:color="auto"/>
          <w:color w:val="auto"/>
        </w:rPr>
        <w:t>ANNEX A HERETO</w:t>
      </w:r>
      <w:r>
        <w:rPr>
          <w:rFonts w:ascii="Times New Roman" w:cs="Times New Roman" w:eastAsia="Times New Roman" w:hAnsi="Times New Roman"/>
          <w:sz w:val="22"/>
          <w:szCs w:val="22"/>
          <w:color w:val="auto"/>
        </w:rPr>
        <w:t>, WHICH CONTAINS IMPORTANT INFORMATION, INCLUDING MANDATORY CLAIMS AND ARBITRATION PROCEDURES.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You will be deemed to have accepted this Grant on the Date of Grant and all its associated terms and conditions, including the</w:t>
      </w:r>
    </w:p>
    <w:p>
      <w:pPr>
        <w:spacing w:after="0" w:line="1" w:lineRule="exact"/>
        <w:rPr>
          <w:sz w:val="20"/>
          <w:szCs w:val="20"/>
          <w:color w:val="auto"/>
        </w:rPr>
      </w:pPr>
    </w:p>
    <w:p>
      <w:pPr>
        <w:ind w:left="20" w:right="60"/>
        <w:spacing w:after="0" w:line="225" w:lineRule="auto"/>
        <w:rPr>
          <w:sz w:val="20"/>
          <w:szCs w:val="20"/>
          <w:color w:val="auto"/>
        </w:rPr>
      </w:pPr>
      <w:r>
        <w:rPr>
          <w:rFonts w:ascii="Times New Roman" w:cs="Times New Roman" w:eastAsia="Times New Roman" w:hAnsi="Times New Roman"/>
          <w:sz w:val="22"/>
          <w:szCs w:val="22"/>
          <w:u w:val="single" w:color="auto"/>
          <w:color w:val="auto"/>
        </w:rPr>
        <w:t>mandatory claims and arbitration procedures set forth in Annex A, unless you notify the Company of your non-acceptance of the Grant by contacting the Director – Human Resources, in writing within sixty (60) days of the Date of Grant.</w:t>
      </w:r>
    </w:p>
    <w:p>
      <w:pPr>
        <w:spacing w:after="0" w:line="177" w:lineRule="exact"/>
        <w:rPr>
          <w:sz w:val="20"/>
          <w:szCs w:val="20"/>
          <w:color w:val="auto"/>
        </w:rPr>
      </w:pPr>
    </w:p>
    <w:p>
      <w:pPr>
        <w:ind w:left="20" w:right="80"/>
        <w:spacing w:after="0" w:line="236" w:lineRule="auto"/>
        <w:rPr>
          <w:sz w:val="20"/>
          <w:szCs w:val="20"/>
          <w:color w:val="auto"/>
        </w:rPr>
      </w:pPr>
      <w:r>
        <w:rPr>
          <w:rFonts w:ascii="Times New Roman" w:cs="Times New Roman" w:eastAsia="Times New Roman" w:hAnsi="Times New Roman"/>
          <w:sz w:val="22"/>
          <w:szCs w:val="22"/>
          <w:color w:val="auto"/>
        </w:rPr>
        <w:t>IN WITNESS WHEREOF, ALLETE has caused this Grant to be executed by its Chair, President and Chief Executive Officer as of the date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138430</wp:posOffset>
            </wp:positionV>
            <wp:extent cx="2966085" cy="8401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96608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Attachments: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Annex C</w:t>
      </w:r>
    </w:p>
    <w:p>
      <w:pPr>
        <w:sectPr>
          <w:pgSz w:w="11900" w:h="16838" w:orient="portrait"/>
          <w:cols w:equalWidth="0" w:num="1">
            <w:col w:w="11220"/>
          </w:cols>
          <w:pgMar w:left="300" w:top="1134" w:right="37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3"/>
          <w:szCs w:val="23"/>
          <w:b w:val="1"/>
          <w:bCs w:val="1"/>
          <w:u w:val="single" w:color="auto"/>
          <w:color w:val="auto"/>
        </w:rPr>
        <w:t>ANNEX A</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ALLETE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EXECUTIVE LONG-TERM INCENTIVE COMPENSATION PLAN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PERFORMANCE SHARE GRANT</w:t>
      </w: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Performance Share Grant to which this is annexed is subject to the following additional terms and conditions:</w:t>
      </w:r>
    </w:p>
    <w:p>
      <w:pPr>
        <w:spacing w:after="0" w:line="247" w:lineRule="exact"/>
        <w:rPr>
          <w:sz w:val="20"/>
          <w:szCs w:val="20"/>
          <w:color w:val="auto"/>
        </w:rPr>
      </w:pPr>
    </w:p>
    <w:p>
      <w:pPr>
        <w:jc w:val="both"/>
        <w:ind w:firstLine="305"/>
        <w:spacing w:after="0" w:line="250" w:lineRule="auto"/>
        <w:tabs>
          <w:tab w:leader="none" w:pos="756"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xml:space="preserve"> You will receive Dividend Equivalents with respect to Performance Shares that are earned and payable. Dividend Equivalents are calculated and credited to you after the Performance Period has ended. The Dividend Equivalents will be in the form of additional Performance Shares, which will be added to the number of Performance Shares earned,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w:t>
      </w:r>
    </w:p>
    <w:p>
      <w:pPr>
        <w:spacing w:after="0" w:line="213" w:lineRule="exact"/>
        <w:rPr>
          <w:rFonts w:ascii="Times New Roman" w:cs="Times New Roman" w:eastAsia="Times New Roman" w:hAnsi="Times New Roman"/>
          <w:sz w:val="22"/>
          <w:szCs w:val="22"/>
          <w:color w:val="auto"/>
        </w:rPr>
      </w:pPr>
    </w:p>
    <w:p>
      <w:pPr>
        <w:jc w:val="both"/>
        <w:ind w:firstLine="278"/>
        <w:spacing w:after="0" w:line="249" w:lineRule="auto"/>
        <w:tabs>
          <w:tab w:leader="none" w:pos="70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Satisfaction of Goals.</w:t>
      </w:r>
      <w:r>
        <w:rPr>
          <w:rFonts w:ascii="Times New Roman" w:cs="Times New Roman" w:eastAsia="Times New Roman" w:hAnsi="Times New Roman"/>
          <w:sz w:val="22"/>
          <w:szCs w:val="22"/>
          <w:color w:val="auto"/>
        </w:rPr>
        <w:t xml:space="preserve"> Performance Shares remain unearned unless and until Performance Goals are achieved. After the Performance Period has ended, ALLETE’s Chair, President, and CEO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Straight line interpolation will be used to determine earned awards based on achievement of goals between the threshold and target levels.</w:t>
      </w:r>
    </w:p>
    <w:p>
      <w:pPr>
        <w:spacing w:after="0" w:line="208" w:lineRule="exact"/>
        <w:rPr>
          <w:rFonts w:ascii="Times New Roman" w:cs="Times New Roman" w:eastAsia="Times New Roman" w:hAnsi="Times New Roman"/>
          <w:sz w:val="22"/>
          <w:szCs w:val="22"/>
          <w:color w:val="auto"/>
        </w:rPr>
      </w:pPr>
    </w:p>
    <w:p>
      <w:pPr>
        <w:jc w:val="both"/>
        <w:ind w:firstLine="258"/>
        <w:spacing w:after="0" w:line="251" w:lineRule="auto"/>
        <w:tabs>
          <w:tab w:leader="none" w:pos="66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Subject to the provisions of Section 4 below and to provisions in the Plan for Change in Control, Performance Shares (as increased by the Dividend Equivalents) shall be paid in full after ALLETE’s Chair, President, and CEO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w:t>
      </w:r>
    </w:p>
    <w:p>
      <w:pPr>
        <w:sectPr>
          <w:pgSz w:w="11900" w:h="16838" w:orient="portrait"/>
          <w:cols w:equalWidth="0" w:num="1">
            <w:col w:w="11240"/>
          </w:cols>
          <w:pgMar w:left="320" w:top="873" w:right="339" w:bottom="1440" w:gutter="0" w:footer="0" w:header="0"/>
        </w:sectPr>
      </w:pPr>
    </w:p>
    <w:bookmarkStart w:id="53" w:name="page54"/>
    <w:bookmarkEnd w:id="53"/>
    <w:p>
      <w:pPr>
        <w:ind w:left="-8" w:firstLine="8"/>
        <w:spacing w:after="0" w:line="271" w:lineRule="auto"/>
        <w:tabs>
          <w:tab w:leader="none" w:pos="38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Upon Death, Retirement or Disability; Forfeiture of Unvested Performance Shares Upon Demotion, Unsatisfactory Job Performance, Default on Certain Agreements or Other Separation from Service.</w:t>
      </w:r>
    </w:p>
    <w:p>
      <w:pPr>
        <w:spacing w:after="0" w:line="185" w:lineRule="exact"/>
        <w:rPr>
          <w:sz w:val="20"/>
          <w:szCs w:val="20"/>
          <w:color w:val="auto"/>
        </w:rPr>
      </w:pPr>
    </w:p>
    <w:p>
      <w:pPr>
        <w:jc w:val="both"/>
        <w:ind w:left="652" w:firstLine="648"/>
        <w:spacing w:after="0" w:line="255" w:lineRule="auto"/>
        <w:rPr>
          <w:sz w:val="20"/>
          <w:szCs w:val="20"/>
          <w:color w:val="auto"/>
        </w:rPr>
      </w:pPr>
      <w:r>
        <w:rPr>
          <w:rFonts w:ascii="Times New Roman" w:cs="Times New Roman" w:eastAsia="Times New Roman" w:hAnsi="Times New Roman"/>
          <w:sz w:val="22"/>
          <w:szCs w:val="22"/>
          <w:color w:val="auto"/>
        </w:rPr>
        <w:t>4.1 If during a Performance Period you (i) Retire, (ii) die while employed by a Related Company, or (iii) become Disabled, you (or your beneficiary or estate) will receive a payment of any Performance Shares (as increased by the Dividend Equivalents) after the end of the Performance Period in accordance with Section 3 above.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you were in the position as of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month.</w:t>
      </w:r>
    </w:p>
    <w:p>
      <w:pPr>
        <w:spacing w:after="0" w:line="109" w:lineRule="exact"/>
        <w:rPr>
          <w:sz w:val="20"/>
          <w:szCs w:val="20"/>
          <w:color w:val="auto"/>
        </w:rPr>
      </w:pPr>
    </w:p>
    <w:p>
      <w:pPr>
        <w:jc w:val="both"/>
        <w:ind w:left="652" w:firstLine="648"/>
        <w:spacing w:after="0" w:line="263" w:lineRule="auto"/>
        <w:rPr>
          <w:sz w:val="20"/>
          <w:szCs w:val="20"/>
          <w:color w:val="auto"/>
        </w:rPr>
      </w:pPr>
      <w:r>
        <w:rPr>
          <w:rFonts w:ascii="Times New Roman" w:cs="Times New Roman" w:eastAsia="Times New Roman" w:hAnsi="Times New Roman"/>
          <w:sz w:val="22"/>
          <w:szCs w:val="22"/>
          <w:color w:val="auto"/>
        </w:rPr>
        <w:t>4.2 If after the end of a Performance Period, but before any or all Performance Shares have been paid, you Retire, die or become Disabled, you (or your beneficiary or estate) will be entitled to full payout of all earned Performance Shares (as increased by the Dividend Equivalents) in accordance with Section 3 above.</w:t>
      </w:r>
    </w:p>
    <w:p>
      <w:pPr>
        <w:spacing w:after="0" w:line="194" w:lineRule="exact"/>
        <w:rPr>
          <w:sz w:val="20"/>
          <w:szCs w:val="20"/>
          <w:color w:val="auto"/>
        </w:rPr>
      </w:pPr>
    </w:p>
    <w:p>
      <w:pPr>
        <w:jc w:val="both"/>
        <w:ind w:left="652" w:firstLine="648"/>
        <w:spacing w:after="0" w:line="268" w:lineRule="auto"/>
        <w:rPr>
          <w:sz w:val="20"/>
          <w:szCs w:val="20"/>
          <w:color w:val="auto"/>
        </w:rPr>
      </w:pPr>
      <w:r>
        <w:rPr>
          <w:rFonts w:ascii="Times New Roman" w:cs="Times New Roman" w:eastAsia="Times New Roman" w:hAnsi="Times New Roman"/>
          <w:sz w:val="21"/>
          <w:szCs w:val="21"/>
          <w:color w:val="auto"/>
        </w:rPr>
        <w:t>4.3 If, prior to payment of all Performance Shares,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with the result that some portion or all of your unpaid Performance Shares (and related Dividend Equivalents) will be forfeited.</w:t>
      </w:r>
    </w:p>
    <w:p>
      <w:pPr>
        <w:spacing w:after="0" w:line="191" w:lineRule="exact"/>
        <w:rPr>
          <w:sz w:val="20"/>
          <w:szCs w:val="20"/>
          <w:color w:val="auto"/>
        </w:rPr>
      </w:pPr>
    </w:p>
    <w:p>
      <w:pPr>
        <w:jc w:val="both"/>
        <w:ind w:left="652" w:firstLine="648"/>
        <w:spacing w:after="0" w:line="257" w:lineRule="auto"/>
        <w:rPr>
          <w:sz w:val="20"/>
          <w:szCs w:val="20"/>
          <w:color w:val="auto"/>
        </w:rPr>
      </w:pPr>
      <w:r>
        <w:rPr>
          <w:rFonts w:ascii="Times New Roman" w:cs="Times New Roman" w:eastAsia="Times New Roman" w:hAnsi="Times New Roman"/>
          <w:sz w:val="22"/>
          <w:szCs w:val="22"/>
          <w:color w:val="auto"/>
        </w:rPr>
        <w:t>4.4 If you have a Separation from Service for any reason other than those specified in subsection 4.1 above, all Performance Shares (and related Dividend Equivalents), to the extent not yet paid, shall be forfeited on the date of such Separation from Service, except as otherwise provided by ALLETE’s Chair, President, and CEO.</w:t>
      </w:r>
    </w:p>
    <w:p>
      <w:pPr>
        <w:spacing w:after="0" w:line="200" w:lineRule="exact"/>
        <w:rPr>
          <w:sz w:val="20"/>
          <w:szCs w:val="20"/>
          <w:color w:val="auto"/>
        </w:rPr>
      </w:pPr>
    </w:p>
    <w:p>
      <w:pPr>
        <w:jc w:val="both"/>
        <w:ind w:left="-8" w:firstLine="345"/>
        <w:spacing w:after="0" w:line="263" w:lineRule="auto"/>
        <w:tabs>
          <w:tab w:leader="none" w:pos="829"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94" w:lineRule="exact"/>
        <w:rPr>
          <w:rFonts w:ascii="Times New Roman" w:cs="Times New Roman" w:eastAsia="Times New Roman" w:hAnsi="Times New Roman"/>
          <w:sz w:val="22"/>
          <w:szCs w:val="22"/>
          <w:color w:val="auto"/>
        </w:rPr>
      </w:pPr>
    </w:p>
    <w:p>
      <w:pPr>
        <w:jc w:val="both"/>
        <w:ind w:left="-8" w:firstLine="312"/>
        <w:spacing w:after="0" w:line="249" w:lineRule="auto"/>
        <w:tabs>
          <w:tab w:leader="none" w:pos="76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 Compliance. This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ectPr>
          <w:pgSz w:w="11900" w:h="16838" w:orient="portrait"/>
          <w:cols w:equalWidth="0" w:num="1">
            <w:col w:w="11232"/>
          </w:cols>
          <w:pgMar w:left="328" w:top="895" w:right="339" w:bottom="1440" w:gutter="0" w:footer="0" w:header="0"/>
        </w:sectPr>
      </w:pPr>
    </w:p>
    <w:bookmarkStart w:id="54" w:name="page55"/>
    <w:bookmarkEnd w:id="54"/>
    <w:p>
      <w:pPr>
        <w:spacing w:after="0"/>
        <w:tabs>
          <w:tab w:leader="none" w:pos="360" w:val="left"/>
        </w:tabs>
        <w:rPr>
          <w:sz w:val="20"/>
          <w:szCs w:val="20"/>
          <w:color w:val="auto"/>
        </w:rPr>
      </w:pPr>
      <w:r>
        <w:rPr>
          <w:rFonts w:ascii="Times New Roman" w:cs="Times New Roman" w:eastAsia="Times New Roman" w:hAnsi="Times New Roman"/>
          <w:sz w:val="22"/>
          <w:szCs w:val="22"/>
          <w:color w:val="auto"/>
        </w:rPr>
        <w:t>7.</w:t>
      </w:r>
      <w:r>
        <w:rPr>
          <w:sz w:val="20"/>
          <w:szCs w:val="20"/>
          <w:color w:val="auto"/>
        </w:rPr>
        <w:tab/>
      </w:r>
      <w:r>
        <w:rPr>
          <w:rFonts w:ascii="Times New Roman" w:cs="Times New Roman" w:eastAsia="Times New Roman" w:hAnsi="Times New Roman"/>
          <w:sz w:val="21"/>
          <w:szCs w:val="21"/>
          <w:u w:val="single" w:color="auto"/>
          <w:color w:val="auto"/>
        </w:rPr>
        <w:t>Claims Procedure and Arbitration</w:t>
      </w:r>
      <w:r>
        <w:rPr>
          <w:rFonts w:ascii="Times New Roman" w:cs="Times New Roman" w:eastAsia="Times New Roman" w:hAnsi="Times New Roman"/>
          <w:sz w:val="21"/>
          <w:szCs w:val="21"/>
          <w:color w:val="auto"/>
        </w:rPr>
        <w:t>. The Grant is subject to the following claims procedures:</w:t>
      </w:r>
    </w:p>
    <w:p>
      <w:pPr>
        <w:spacing w:after="0" w:line="247" w:lineRule="exact"/>
        <w:rPr>
          <w:sz w:val="20"/>
          <w:szCs w:val="20"/>
          <w:color w:val="auto"/>
        </w:rPr>
      </w:pPr>
    </w:p>
    <w:p>
      <w:pPr>
        <w:jc w:val="both"/>
        <w:ind w:firstLine="297"/>
        <w:spacing w:after="0" w:line="256"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Mandatory Claims Procedures.</w:t>
      </w:r>
      <w:r>
        <w:rPr>
          <w:rFonts w:ascii="Times New Roman" w:cs="Times New Roman" w:eastAsia="Times New Roman" w:hAnsi="Times New Roman"/>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203"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Claim Submission</w:t>
      </w:r>
      <w:r>
        <w:rPr>
          <w:rFonts w:ascii="Times New Roman" w:cs="Times New Roman" w:eastAsia="Times New Roman" w:hAnsi="Times New Roman"/>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220"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Notice of Denial</w:t>
      </w:r>
      <w:r>
        <w:rPr>
          <w:rFonts w:ascii="Times New Roman" w:cs="Times New Roman" w:eastAsia="Times New Roman" w:hAnsi="Times New Roman"/>
          <w:sz w:val="22"/>
          <w:szCs w:val="22"/>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206" w:lineRule="exact"/>
        <w:rPr>
          <w:sz w:val="20"/>
          <w:szCs w:val="20"/>
          <w:color w:val="auto"/>
        </w:rPr>
      </w:pPr>
    </w:p>
    <w:p>
      <w:pPr>
        <w:jc w:val="both"/>
        <w:ind w:firstLine="297"/>
        <w:spacing w:after="0" w:line="284"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If, after exhausting the procedures set forth above, a Claimant wishes to pursue legal action, any action by the Claimant with respect to a claim, must be resolved by arbitration in the manner described herein.</w:t>
      </w:r>
    </w:p>
    <w:p>
      <w:pPr>
        <w:spacing w:after="0" w:line="171" w:lineRule="exact"/>
        <w:rPr>
          <w:sz w:val="20"/>
          <w:szCs w:val="20"/>
          <w:color w:val="auto"/>
        </w:rPr>
      </w:pPr>
    </w:p>
    <w:p>
      <w:pPr>
        <w:jc w:val="both"/>
        <w:ind w:left="1300" w:hanging="332"/>
        <w:spacing w:after="0" w:line="252" w:lineRule="auto"/>
        <w:tabs>
          <w:tab w:leader="none" w:pos="1480" w:val="left"/>
        </w:tabs>
        <w:numPr>
          <w:ilvl w:val="0"/>
          <w:numId w:val="2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Time Limits</w:t>
      </w:r>
      <w:r>
        <w:rPr>
          <w:rFonts w:ascii="Times New Roman" w:cs="Times New Roman" w:eastAsia="Times New Roman" w:hAnsi="Times New Roman"/>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179" w:lineRule="exact"/>
        <w:rPr>
          <w:rFonts w:ascii="Times New Roman" w:cs="Times New Roman" w:eastAsia="Times New Roman" w:hAnsi="Times New Roman"/>
          <w:sz w:val="22"/>
          <w:szCs w:val="22"/>
          <w:i w:val="1"/>
          <w:iCs w:val="1"/>
          <w:color w:val="auto"/>
        </w:rPr>
      </w:pPr>
    </w:p>
    <w:p>
      <w:pPr>
        <w:ind w:left="1300" w:hanging="332"/>
        <w:spacing w:after="0" w:line="284" w:lineRule="auto"/>
        <w:tabs>
          <w:tab w:leader="none" w:pos="1534" w:val="left"/>
        </w:tabs>
        <w:numPr>
          <w:ilvl w:val="0"/>
          <w:numId w:val="2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Rules Applicable to Arbitration</w:t>
      </w:r>
      <w:r>
        <w:rPr>
          <w:rFonts w:ascii="Times New Roman" w:cs="Times New Roman" w:eastAsia="Times New Roman" w:hAnsi="Times New Roman"/>
          <w:sz w:val="22"/>
          <w:szCs w:val="22"/>
          <w:color w:val="auto"/>
        </w:rPr>
        <w:t>. The arbitration process shall be conducted in accordance with the Commercial Law Rules of the American Arbitration Association.</w:t>
      </w:r>
    </w:p>
    <w:p>
      <w:pPr>
        <w:spacing w:after="0" w:line="143" w:lineRule="exact"/>
        <w:rPr>
          <w:rFonts w:ascii="Times New Roman" w:cs="Times New Roman" w:eastAsia="Times New Roman" w:hAnsi="Times New Roman"/>
          <w:sz w:val="22"/>
          <w:szCs w:val="22"/>
          <w:i w:val="1"/>
          <w:iCs w:val="1"/>
          <w:color w:val="auto"/>
        </w:rPr>
      </w:pPr>
    </w:p>
    <w:p>
      <w:pPr>
        <w:ind w:left="1360" w:hanging="392"/>
        <w:spacing w:after="0"/>
        <w:tabs>
          <w:tab w:leader="none" w:pos="1360" w:val="left"/>
        </w:tabs>
        <w:numPr>
          <w:ilvl w:val="0"/>
          <w:numId w:val="2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The arbitration shall be conducted in Minneapolis, Minnesota.</w:t>
      </w:r>
    </w:p>
    <w:p>
      <w:pPr>
        <w:spacing w:after="0" w:line="219" w:lineRule="exact"/>
        <w:rPr>
          <w:rFonts w:ascii="Times New Roman" w:cs="Times New Roman" w:eastAsia="Times New Roman" w:hAnsi="Times New Roman"/>
          <w:sz w:val="22"/>
          <w:szCs w:val="22"/>
          <w:i w:val="1"/>
          <w:iCs w:val="1"/>
          <w:color w:val="auto"/>
        </w:rPr>
      </w:pPr>
    </w:p>
    <w:p>
      <w:pPr>
        <w:jc w:val="both"/>
        <w:ind w:left="1300" w:hanging="332"/>
        <w:spacing w:after="0" w:line="251" w:lineRule="auto"/>
        <w:tabs>
          <w:tab w:leader="none" w:pos="1399" w:val="left"/>
        </w:tabs>
        <w:numPr>
          <w:ilvl w:val="0"/>
          <w:numId w:val="2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181" w:lineRule="exact"/>
        <w:rPr>
          <w:rFonts w:ascii="Times New Roman" w:cs="Times New Roman" w:eastAsia="Times New Roman" w:hAnsi="Times New Roman"/>
          <w:sz w:val="22"/>
          <w:szCs w:val="22"/>
          <w:i w:val="1"/>
          <w:iCs w:val="1"/>
          <w:color w:val="auto"/>
        </w:rPr>
      </w:pPr>
    </w:p>
    <w:p>
      <w:pPr>
        <w:ind w:left="1300" w:hanging="332"/>
        <w:spacing w:after="0" w:line="271" w:lineRule="auto"/>
        <w:tabs>
          <w:tab w:leader="none" w:pos="1441" w:val="left"/>
        </w:tabs>
        <w:numPr>
          <w:ilvl w:val="0"/>
          <w:numId w:val="2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Judgment upon any award entered by an arbitrator may be entered in any court having jurisdiction over the parties.</w:t>
      </w:r>
    </w:p>
    <w:p>
      <w:pPr>
        <w:sectPr>
          <w:pgSz w:w="11900" w:h="16838" w:orient="portrait"/>
          <w:cols w:equalWidth="0" w:num="1">
            <w:col w:w="10580"/>
          </w:cols>
          <w:pgMar w:left="980" w:top="895" w:right="339" w:bottom="1440" w:gutter="0" w:footer="0" w:header="0"/>
        </w:sectPr>
      </w:pPr>
    </w:p>
    <w:bookmarkStart w:id="55" w:name="page56"/>
    <w:bookmarkEnd w:id="55"/>
    <w:p>
      <w:pPr>
        <w:jc w:val="both"/>
        <w:ind w:left="840" w:hanging="332"/>
        <w:spacing w:after="0" w:line="251" w:lineRule="auto"/>
        <w:tabs>
          <w:tab w:leader="none" w:pos="891" w:val="left"/>
        </w:tabs>
        <w:numPr>
          <w:ilvl w:val="0"/>
          <w:numId w:val="2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Waiver of Class, Collective, and Representative Actions</w:t>
      </w:r>
      <w:r>
        <w:rPr>
          <w:rFonts w:ascii="Times New Roman" w:cs="Times New Roman" w:eastAsia="Times New Roman" w:hAnsi="Times New Roman"/>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181" w:lineRule="exact"/>
        <w:rPr>
          <w:rFonts w:ascii="Times New Roman" w:cs="Times New Roman" w:eastAsia="Times New Roman" w:hAnsi="Times New Roman"/>
          <w:sz w:val="22"/>
          <w:szCs w:val="22"/>
          <w:i w:val="1"/>
          <w:iCs w:val="1"/>
          <w:color w:val="auto"/>
        </w:rPr>
      </w:pPr>
    </w:p>
    <w:p>
      <w:pPr>
        <w:jc w:val="both"/>
        <w:ind w:left="840" w:hanging="332"/>
        <w:spacing w:after="0" w:line="251" w:lineRule="auto"/>
        <w:tabs>
          <w:tab w:leader="none" w:pos="939" w:val="left"/>
        </w:tabs>
        <w:numPr>
          <w:ilvl w:val="0"/>
          <w:numId w:val="2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Standard of Review</w:t>
      </w:r>
      <w:r>
        <w:rPr>
          <w:rFonts w:ascii="Times New Roman" w:cs="Times New Roman" w:eastAsia="Times New Roman" w:hAnsi="Times New Roman"/>
          <w:sz w:val="22"/>
          <w:szCs w:val="22"/>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Times New Roman" w:cs="Times New Roman" w:eastAsia="Times New Roman" w:hAnsi="Times New Roman"/>
          <w:sz w:val="22"/>
          <w:szCs w:val="22"/>
          <w:i w:val="1"/>
          <w:iCs w:val="1"/>
          <w:color w:val="auto"/>
        </w:rPr>
        <w:t>Conkright v. Frommert</w:t>
      </w:r>
      <w:r>
        <w:rPr>
          <w:rFonts w:ascii="Times New Roman" w:cs="Times New Roman" w:eastAsia="Times New Roman" w:hAnsi="Times New Roman"/>
          <w:sz w:val="22"/>
          <w:szCs w:val="22"/>
          <w:color w:val="auto"/>
        </w:rPr>
        <w:t xml:space="preserve">, 130 S. Ct. 1640 (2010), </w:t>
      </w:r>
      <w:r>
        <w:rPr>
          <w:rFonts w:ascii="Times New Roman" w:cs="Times New Roman" w:eastAsia="Times New Roman" w:hAnsi="Times New Roman"/>
          <w:sz w:val="22"/>
          <w:szCs w:val="22"/>
          <w:i w:val="1"/>
          <w:iCs w:val="1"/>
          <w:color w:val="auto"/>
        </w:rPr>
        <w:t>Metropolitan Life Insurance Co. v.</w:t>
      </w:r>
      <w:r>
        <w:rPr>
          <w:rFonts w:ascii="Times New Roman" w:cs="Times New Roman" w:eastAsia="Times New Roman" w:hAnsi="Times New Roman"/>
          <w:sz w:val="22"/>
          <w:szCs w:val="22"/>
          <w:color w:val="auto"/>
        </w:rPr>
        <w:t xml:space="preserve"> Glenn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554 U.S. 105 (2008), and </w:t>
      </w:r>
      <w:r>
        <w:rPr>
          <w:rFonts w:ascii="Times New Roman" w:cs="Times New Roman" w:eastAsia="Times New Roman" w:hAnsi="Times New Roman"/>
          <w:sz w:val="22"/>
          <w:szCs w:val="22"/>
          <w:i w:val="1"/>
          <w:iCs w:val="1"/>
          <w:color w:val="auto"/>
        </w:rPr>
        <w:t>Firestone Tire and Rubber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Company v. Bruch, </w:t>
      </w:r>
      <w:r>
        <w:rPr>
          <w:rFonts w:ascii="Times New Roman" w:cs="Times New Roman" w:eastAsia="Times New Roman" w:hAnsi="Times New Roman"/>
          <w:sz w:val="22"/>
          <w:szCs w:val="22"/>
          <w:color w:val="auto"/>
        </w:rPr>
        <w:t>489 U.S. 101 (1989), and shall accord due deference to the determinations,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interpretations, and construction of the Plan document by the Claims Administrator.</w:t>
      </w:r>
    </w:p>
    <w:p>
      <w:pPr>
        <w:spacing w:after="0" w:line="181" w:lineRule="exact"/>
        <w:rPr>
          <w:rFonts w:ascii="Times New Roman" w:cs="Times New Roman" w:eastAsia="Times New Roman" w:hAnsi="Times New Roman"/>
          <w:sz w:val="22"/>
          <w:szCs w:val="22"/>
          <w:i w:val="1"/>
          <w:iCs w:val="1"/>
          <w:color w:val="auto"/>
        </w:rPr>
      </w:pPr>
    </w:p>
    <w:p>
      <w:pPr>
        <w:ind w:left="900" w:hanging="392"/>
        <w:spacing w:after="0"/>
        <w:tabs>
          <w:tab w:leader="none" w:pos="900" w:val="left"/>
        </w:tabs>
        <w:numPr>
          <w:ilvl w:val="0"/>
          <w:numId w:val="2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General Procedures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i w:val="1"/>
          <w:iCs w:val="1"/>
          <w:color w:val="auto"/>
        </w:rPr>
      </w:pPr>
    </w:p>
    <w:p>
      <w:pPr>
        <w:jc w:val="both"/>
        <w:ind w:left="1000" w:hanging="249"/>
        <w:spacing w:after="0" w:line="250" w:lineRule="auto"/>
        <w:tabs>
          <w:tab w:leader="none" w:pos="992"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Rules</w:t>
      </w:r>
      <w:r>
        <w:rPr>
          <w:rFonts w:ascii="Times New Roman" w:cs="Times New Roman" w:eastAsia="Times New Roman" w:hAnsi="Times New Roman"/>
          <w:sz w:val="22"/>
          <w:szCs w:val="22"/>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186" w:lineRule="exact"/>
        <w:rPr>
          <w:rFonts w:ascii="Times New Roman" w:cs="Times New Roman" w:eastAsia="Times New Roman" w:hAnsi="Times New Roman"/>
          <w:sz w:val="22"/>
          <w:szCs w:val="22"/>
          <w:color w:val="auto"/>
        </w:rPr>
      </w:pPr>
    </w:p>
    <w:p>
      <w:pPr>
        <w:jc w:val="both"/>
        <w:ind w:left="1000" w:hanging="309"/>
        <w:spacing w:after="0" w:line="252" w:lineRule="auto"/>
        <w:tabs>
          <w:tab w:leader="none" w:pos="992"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Substantive Law</w:t>
      </w:r>
      <w:r>
        <w:rPr>
          <w:rFonts w:ascii="Times New Roman" w:cs="Times New Roman" w:eastAsia="Times New Roman" w:hAnsi="Times New Roman"/>
          <w:sz w:val="22"/>
          <w:szCs w:val="22"/>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192" w:lineRule="exact"/>
        <w:rPr>
          <w:rFonts w:ascii="Times New Roman" w:cs="Times New Roman" w:eastAsia="Times New Roman" w:hAnsi="Times New Roman"/>
          <w:sz w:val="22"/>
          <w:szCs w:val="22"/>
          <w:color w:val="auto"/>
        </w:rPr>
      </w:pPr>
    </w:p>
    <w:p>
      <w:pPr>
        <w:jc w:val="both"/>
        <w:ind w:left="1000" w:hanging="369"/>
        <w:spacing w:after="0" w:line="250" w:lineRule="auto"/>
        <w:tabs>
          <w:tab w:leader="none" w:pos="992"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194" w:lineRule="exact"/>
        <w:rPr>
          <w:rFonts w:ascii="Times New Roman" w:cs="Times New Roman" w:eastAsia="Times New Roman" w:hAnsi="Times New Roman"/>
          <w:sz w:val="22"/>
          <w:szCs w:val="22"/>
          <w:color w:val="auto"/>
        </w:rPr>
      </w:pPr>
    </w:p>
    <w:p>
      <w:pPr>
        <w:jc w:val="both"/>
        <w:ind w:left="1000" w:hanging="357"/>
        <w:spacing w:after="0" w:line="252" w:lineRule="auto"/>
        <w:tabs>
          <w:tab w:leader="none" w:pos="97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Pre-Hearing Procedures</w:t>
      </w:r>
      <w:r>
        <w:rPr>
          <w:rFonts w:ascii="Times New Roman" w:cs="Times New Roman" w:eastAsia="Times New Roman" w:hAnsi="Times New Roman"/>
          <w:sz w:val="22"/>
          <w:szCs w:val="22"/>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ectPr>
          <w:pgSz w:w="11900" w:h="16838" w:orient="portrait"/>
          <w:cols w:equalWidth="0" w:num="1">
            <w:col w:w="10120"/>
          </w:cols>
          <w:pgMar w:left="1440" w:top="895" w:right="339" w:bottom="1440" w:gutter="0" w:footer="0" w:header="0"/>
        </w:sectPr>
      </w:pPr>
    </w:p>
    <w:bookmarkStart w:id="56" w:name="page57"/>
    <w:bookmarkEnd w:id="56"/>
    <w:p>
      <w:pPr>
        <w:jc w:val="both"/>
        <w:ind w:left="1869" w:hanging="285"/>
        <w:spacing w:after="0" w:line="249" w:lineRule="auto"/>
        <w:tabs>
          <w:tab w:leader="none" w:pos="1845" w:val="left"/>
        </w:tabs>
        <w:numPr>
          <w:ilvl w:val="3"/>
          <w:numId w:val="2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Fees and Costs</w:t>
      </w:r>
      <w:r>
        <w:rPr>
          <w:rFonts w:ascii="Times New Roman" w:cs="Times New Roman" w:eastAsia="Times New Roman" w:hAnsi="Times New Roman"/>
          <w:sz w:val="22"/>
          <w:szCs w:val="22"/>
          <w:color w:val="auto"/>
        </w:rPr>
        <w:t>. Administrative arbitration fees and arbitrator compensation shall be borne equally by the parties, and each party shall be responsible for its own attorney’s fees, if any; provided, however, that ALLETE’s Chair, President, and CEO will authorize payment by the Company of all administrative arbitration fees, arbitrator compensation and attorney’s fees if ALLETE’s Chair, President, and CEO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83" w:lineRule="exact"/>
        <w:rPr>
          <w:rFonts w:ascii="Times New Roman" w:cs="Times New Roman" w:eastAsia="Times New Roman" w:hAnsi="Times New Roman"/>
          <w:sz w:val="22"/>
          <w:szCs w:val="22"/>
          <w:i w:val="1"/>
          <w:iCs w:val="1"/>
          <w:color w:val="auto"/>
        </w:rPr>
      </w:pPr>
    </w:p>
    <w:p>
      <w:pPr>
        <w:jc w:val="both"/>
        <w:ind w:left="1709" w:hanging="332"/>
        <w:spacing w:after="0" w:line="268" w:lineRule="auto"/>
        <w:tabs>
          <w:tab w:leader="none" w:pos="1760" w:val="left"/>
        </w:tabs>
        <w:numPr>
          <w:ilvl w:val="2"/>
          <w:numId w:val="2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u w:val="single" w:color="auto"/>
          <w:color w:val="auto"/>
        </w:rPr>
        <w:t>Interstate Commerce and the Federal Arbitration Act</w:t>
      </w:r>
      <w:r>
        <w:rPr>
          <w:rFonts w:ascii="Times New Roman" w:cs="Times New Roman" w:eastAsia="Times New Roman" w:hAnsi="Times New Roman"/>
          <w:sz w:val="21"/>
          <w:szCs w:val="21"/>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203" w:lineRule="exact"/>
        <w:rPr>
          <w:rFonts w:ascii="Times New Roman" w:cs="Times New Roman" w:eastAsia="Times New Roman" w:hAnsi="Times New Roman"/>
          <w:sz w:val="21"/>
          <w:szCs w:val="21"/>
          <w:i w:val="1"/>
          <w:iCs w:val="1"/>
          <w:color w:val="auto"/>
        </w:rPr>
      </w:pPr>
    </w:p>
    <w:p>
      <w:pPr>
        <w:jc w:val="both"/>
        <w:ind w:left="-251" w:firstLine="656"/>
        <w:spacing w:after="0" w:line="257" w:lineRule="auto"/>
        <w:tabs>
          <w:tab w:leader="none" w:pos="81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of Actions.</w:t>
      </w:r>
      <w:r>
        <w:rPr>
          <w:rFonts w:ascii="Times New Roman" w:cs="Times New Roman" w:eastAsia="Times New Roman" w:hAnsi="Times New Roman"/>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Executive Compensation Committee.</w:t>
      </w:r>
    </w:p>
    <w:p>
      <w:pPr>
        <w:spacing w:after="0" w:line="199" w:lineRule="exact"/>
        <w:rPr>
          <w:rFonts w:ascii="Times New Roman" w:cs="Times New Roman" w:eastAsia="Times New Roman" w:hAnsi="Times New Roman"/>
          <w:sz w:val="22"/>
          <w:szCs w:val="22"/>
          <w:color w:val="auto"/>
        </w:rPr>
      </w:pPr>
    </w:p>
    <w:p>
      <w:pPr>
        <w:jc w:val="both"/>
        <w:ind w:left="-251" w:firstLine="656"/>
        <w:spacing w:after="0" w:line="257" w:lineRule="auto"/>
        <w:tabs>
          <w:tab w:leader="none" w:pos="77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Impact on Other Benefits</w:t>
      </w:r>
      <w:r>
        <w:rPr>
          <w:rFonts w:ascii="Times New Roman" w:cs="Times New Roman" w:eastAsia="Times New Roman" w:hAnsi="Times New Roman"/>
          <w:sz w:val="22"/>
          <w:szCs w:val="22"/>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213" w:lineRule="exact"/>
        <w:rPr>
          <w:rFonts w:ascii="Times New Roman" w:cs="Times New Roman" w:eastAsia="Times New Roman" w:hAnsi="Times New Roman"/>
          <w:sz w:val="22"/>
          <w:szCs w:val="22"/>
          <w:color w:val="auto"/>
        </w:rPr>
      </w:pPr>
    </w:p>
    <w:p>
      <w:pPr>
        <w:jc w:val="both"/>
        <w:ind w:left="-251" w:firstLine="251"/>
        <w:spacing w:after="0" w:line="275" w:lineRule="auto"/>
        <w:tabs>
          <w:tab w:leader="none" w:pos="50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Any notice hereunder to ALLETE shall be addressed to ALLETE, 30 West Superior Street, Duluth, Minnesota 55802, Attention: Director – Human Resources, and any notice hereunder to you shall be directed to your address as indicated by ALLETE’s records, subject to the right of either party to designate at any time hereafter in writing some other address.</w:t>
      </w:r>
    </w:p>
    <w:p>
      <w:pPr>
        <w:spacing w:after="0" w:line="182" w:lineRule="exact"/>
        <w:rPr>
          <w:rFonts w:ascii="Times New Roman" w:cs="Times New Roman" w:eastAsia="Times New Roman" w:hAnsi="Times New Roman"/>
          <w:sz w:val="21"/>
          <w:szCs w:val="21"/>
          <w:color w:val="auto"/>
        </w:rPr>
      </w:pPr>
    </w:p>
    <w:p>
      <w:pPr>
        <w:jc w:val="both"/>
        <w:ind w:left="-251" w:firstLine="656"/>
        <w:spacing w:after="0" w:line="272" w:lineRule="auto"/>
        <w:tabs>
          <w:tab w:leader="none" w:pos="875"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Severability.</w:t>
      </w:r>
      <w:r>
        <w:rPr>
          <w:rFonts w:ascii="Times New Roman" w:cs="Times New Roman" w:eastAsia="Times New Roman" w:hAnsi="Times New Roman"/>
          <w:sz w:val="21"/>
          <w:szCs w:val="21"/>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ectPr>
          <w:pgSz w:w="11900" w:h="16838" w:orient="portrait"/>
          <w:cols w:equalWidth="0" w:num="1">
            <w:col w:w="10989"/>
          </w:cols>
          <w:pgMar w:left="571" w:top="895" w:right="339" w:bottom="1440" w:gutter="0" w:footer="0" w:header="0"/>
        </w:sectPr>
      </w:pPr>
    </w:p>
    <w:bookmarkStart w:id="57" w:name="page58"/>
    <w:bookmarkEnd w:id="57"/>
    <w:p>
      <w:pPr>
        <w:ind w:left="-656" w:right="20" w:firstLine="656"/>
        <w:spacing w:after="0" w:line="271" w:lineRule="auto"/>
        <w:tabs>
          <w:tab w:leader="none" w:pos="55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not otherwise defined herein shall have the meanings given them in the Plan. The following definitions apply to the Grant and this Annex A:</w:t>
      </w:r>
    </w:p>
    <w:p>
      <w:pPr>
        <w:spacing w:after="0" w:line="181" w:lineRule="exact"/>
        <w:rPr>
          <w:sz w:val="20"/>
          <w:szCs w:val="20"/>
          <w:color w:val="auto"/>
        </w:rPr>
      </w:pPr>
    </w:p>
    <w:p>
      <w:pPr>
        <w:jc w:val="both"/>
        <w:ind w:left="4" w:firstLine="648"/>
        <w:spacing w:after="0" w:line="265"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Claims Administrator”</w:t>
      </w:r>
      <w:r>
        <w:rPr>
          <w:rFonts w:ascii="Times New Roman" w:cs="Times New Roman" w:eastAsia="Times New Roman" w:hAnsi="Times New Roman"/>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61" w:lineRule="exact"/>
        <w:rPr>
          <w:sz w:val="20"/>
          <w:szCs w:val="20"/>
          <w:color w:val="auto"/>
        </w:rPr>
      </w:pPr>
    </w:p>
    <w:p>
      <w:pPr>
        <w:ind w:left="644"/>
        <w:spacing w:after="0"/>
        <w:tabs>
          <w:tab w:leader="none" w:pos="1224"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it may be amended from time to time.</w:t>
      </w:r>
    </w:p>
    <w:p>
      <w:pPr>
        <w:spacing w:after="0" w:line="220" w:lineRule="exact"/>
        <w:rPr>
          <w:sz w:val="20"/>
          <w:szCs w:val="20"/>
          <w:color w:val="auto"/>
        </w:rPr>
      </w:pPr>
    </w:p>
    <w:p>
      <w:pPr>
        <w:ind w:left="644"/>
        <w:spacing w:after="0"/>
        <w:tabs>
          <w:tab w:leader="none" w:pos="1224"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Disabled</w:t>
      </w:r>
      <w:r>
        <w:rPr>
          <w:rFonts w:ascii="Times New Roman" w:cs="Times New Roman" w:eastAsia="Times New Roman" w:hAnsi="Times New Roman"/>
          <w:sz w:val="21"/>
          <w:szCs w:val="21"/>
          <w:color w:val="auto"/>
        </w:rPr>
        <w:t>” means a physical or mental condition in which the Participant is:</w:t>
      </w:r>
    </w:p>
    <w:p>
      <w:pPr>
        <w:spacing w:after="0" w:line="224" w:lineRule="exact"/>
        <w:rPr>
          <w:sz w:val="20"/>
          <w:szCs w:val="20"/>
          <w:color w:val="auto"/>
        </w:rPr>
      </w:pPr>
    </w:p>
    <w:p>
      <w:pPr>
        <w:ind w:left="1624" w:hanging="652"/>
        <w:spacing w:after="0" w:line="263" w:lineRule="auto"/>
        <w:tabs>
          <w:tab w:leader="none" w:pos="146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67" w:lineRule="exact"/>
        <w:rPr>
          <w:rFonts w:ascii="Times New Roman" w:cs="Times New Roman" w:eastAsia="Times New Roman" w:hAnsi="Times New Roman"/>
          <w:sz w:val="22"/>
          <w:szCs w:val="22"/>
          <w:color w:val="auto"/>
        </w:rPr>
      </w:pPr>
    </w:p>
    <w:p>
      <w:pPr>
        <w:ind w:left="1624" w:hanging="652"/>
        <w:spacing w:after="0" w:line="252" w:lineRule="auto"/>
        <w:tabs>
          <w:tab w:leader="none" w:pos="147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92" w:lineRule="exact"/>
        <w:rPr>
          <w:rFonts w:ascii="Times New Roman" w:cs="Times New Roman" w:eastAsia="Times New Roman" w:hAnsi="Times New Roman"/>
          <w:sz w:val="22"/>
          <w:szCs w:val="22"/>
          <w:color w:val="auto"/>
        </w:rPr>
      </w:pPr>
    </w:p>
    <w:p>
      <w:pPr>
        <w:ind w:left="1424" w:hanging="452"/>
        <w:spacing w:after="0"/>
        <w:tabs>
          <w:tab w:leader="none" w:pos="14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to be totally disabled by the Social Security Administration; or</w:t>
      </w:r>
    </w:p>
    <w:p>
      <w:pPr>
        <w:spacing w:after="0" w:line="219" w:lineRule="exact"/>
        <w:rPr>
          <w:rFonts w:ascii="Times New Roman" w:cs="Times New Roman" w:eastAsia="Times New Roman" w:hAnsi="Times New Roman"/>
          <w:sz w:val="22"/>
          <w:szCs w:val="22"/>
          <w:color w:val="auto"/>
        </w:rPr>
      </w:pPr>
    </w:p>
    <w:p>
      <w:pPr>
        <w:ind w:left="1624" w:hanging="652"/>
        <w:spacing w:after="0" w:line="257" w:lineRule="auto"/>
        <w:tabs>
          <w:tab w:leader="none" w:pos="144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69" w:lineRule="exact"/>
        <w:rPr>
          <w:sz w:val="20"/>
          <w:szCs w:val="20"/>
          <w:color w:val="auto"/>
        </w:rPr>
      </w:pPr>
    </w:p>
    <w:p>
      <w:pPr>
        <w:jc w:val="both"/>
        <w:ind w:left="4" w:firstLine="648"/>
        <w:spacing w:after="0" w:line="250"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Related Company</w:t>
      </w:r>
      <w:r>
        <w:rPr>
          <w:rFonts w:ascii="Times New Roman" w:cs="Times New Roman" w:eastAsia="Times New Roman" w:hAnsi="Times New Roman"/>
          <w:sz w:val="22"/>
          <w:szCs w:val="22"/>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ectPr>
          <w:pgSz w:w="11900" w:h="16838" w:orient="portrait"/>
          <w:cols w:equalWidth="0" w:num="1">
            <w:col w:w="10584"/>
          </w:cols>
          <w:pgMar w:left="976" w:top="895" w:right="339" w:bottom="1440" w:gutter="0" w:footer="0" w:header="0"/>
        </w:sectPr>
      </w:pPr>
    </w:p>
    <w:bookmarkStart w:id="58" w:name="page59"/>
    <w:bookmarkEnd w:id="58"/>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Retires</w:t>
      </w:r>
      <w:r>
        <w:rPr>
          <w:rFonts w:ascii="Times New Roman" w:cs="Times New Roman" w:eastAsia="Times New Roman" w:hAnsi="Times New Roman"/>
          <w:sz w:val="22"/>
          <w:szCs w:val="22"/>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7" w:lineRule="exact"/>
        <w:rPr>
          <w:sz w:val="20"/>
          <w:szCs w:val="20"/>
          <w:color w:val="auto"/>
        </w:rPr>
      </w:pPr>
    </w:p>
    <w:p>
      <w:pPr>
        <w:jc w:val="both"/>
        <w:ind w:firstLine="250"/>
        <w:spacing w:after="0" w:line="261" w:lineRule="auto"/>
        <w:rPr>
          <w:sz w:val="20"/>
          <w:szCs w:val="20"/>
          <w:color w:val="auto"/>
        </w:rPr>
      </w:pPr>
      <w:r>
        <w:rPr>
          <w:rFonts w:ascii="Times New Roman" w:cs="Times New Roman" w:eastAsia="Times New Roman" w:hAnsi="Times New Roman"/>
          <w:sz w:val="21"/>
          <w:szCs w:val="21"/>
          <w:color w:val="auto"/>
        </w:rPr>
        <w:t>12.6 “</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ectPr>
          <w:pgSz w:w="11900" w:h="16838" w:orient="portrait"/>
          <w:cols w:equalWidth="0" w:num="1">
            <w:col w:w="10580"/>
          </w:cols>
          <w:pgMar w:left="980" w:top="891"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Effective April 13, 2022</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ALLETE</w:t>
      </w:r>
    </w:p>
    <w:p>
      <w:pPr>
        <w:spacing w:after="0" w:line="5" w:lineRule="exact"/>
        <w:rPr>
          <w:sz w:val="20"/>
          <w:szCs w:val="20"/>
          <w:color w:val="auto"/>
        </w:rPr>
      </w:pPr>
    </w:p>
    <w:p>
      <w:pPr>
        <w:ind w:left="220" w:right="2380" w:firstLine="2189"/>
        <w:spacing w:after="0" w:line="259" w:lineRule="auto"/>
        <w:rPr>
          <w:sz w:val="20"/>
          <w:szCs w:val="20"/>
          <w:color w:val="auto"/>
        </w:rPr>
      </w:pPr>
      <w:r>
        <w:rPr>
          <w:rFonts w:ascii="Times New Roman" w:cs="Times New Roman" w:eastAsia="Times New Roman" w:hAnsi="Times New Roman"/>
          <w:sz w:val="22"/>
          <w:szCs w:val="22"/>
          <w:b w:val="1"/>
          <w:bCs w:val="1"/>
          <w:color w:val="auto"/>
        </w:rPr>
        <w:t>EXECUTIVE LONG TERM INCENTIVE COMPENSATION PLAN PERFORMANCE SHARE GRANT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Financial Measure and Calculation</w:t>
      </w:r>
      <w:r>
        <w:rPr>
          <w:rFonts w:ascii="Times New Roman" w:cs="Times New Roman" w:eastAsia="Times New Roman" w:hAnsi="Times New Roman"/>
          <w:sz w:val="22"/>
          <w:szCs w:val="22"/>
          <w:color w:val="auto"/>
        </w:rPr>
        <w:t>:</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1"/>
          <w:szCs w:val="21"/>
          <w:color w:val="auto"/>
        </w:rPr>
        <w:t>In order for Employee to be eligible to receive any of the Performance Shares the Company</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shall achieve 90% of the Budgeted Cumulative Gross Profit (“</w:t>
      </w:r>
      <w:r>
        <w:rPr>
          <w:rFonts w:ascii="Times New Roman" w:cs="Times New Roman" w:eastAsia="Times New Roman" w:hAnsi="Times New Roman"/>
          <w:sz w:val="21"/>
          <w:szCs w:val="21"/>
          <w:b w:val="1"/>
          <w:bCs w:val="1"/>
          <w:color w:val="auto"/>
        </w:rPr>
        <w:t>Threshold Performance</w:t>
      </w:r>
      <w:r>
        <w:rPr>
          <w:rFonts w:ascii="Times New Roman" w:cs="Times New Roman" w:eastAsia="Times New Roman" w:hAnsi="Times New Roman"/>
          <w:sz w:val="21"/>
          <w:szCs w:val="21"/>
          <w:color w:val="auto"/>
        </w:rPr>
        <w:t>”) as of December 31, 2024. If Threshold Performance is achieved, Employee is eligible to receive 50% of the Performance Shares. In order for Employee to be eligible to receive 100% of the Performance Shares, the Company shall achieve at least 100% of the Budgeted Cumulative Gross Profit as of December 31, 2024. If the Company’s performance falls between Threshold and Budgeted Cumulative Gross Profit, the Employee will be eligible to receive the percentage of the Performance Shares calculated using straight-line interpolation (between 50%-100%) for determining payout. In addition, unless otherwise approved by the Company (acting with the express approval of its Board of Directors or parent company), for 2022, the SG&amp;A line item set forth on the ALLETE Corporate model shall be within a band of +/- 20% and for 2023 and 2024, the SG&amp;A line item the ALLETE Corporate model shall be within a band of +/- 10% in each of those years. For purposes hereof, “</w:t>
      </w:r>
      <w:r>
        <w:rPr>
          <w:rFonts w:ascii="Times New Roman" w:cs="Times New Roman" w:eastAsia="Times New Roman" w:hAnsi="Times New Roman"/>
          <w:sz w:val="21"/>
          <w:szCs w:val="21"/>
          <w:b w:val="1"/>
          <w:bCs w:val="1"/>
          <w:color w:val="auto"/>
        </w:rPr>
        <w:t>Budgeted Cumulative Gross Profit</w:t>
      </w:r>
      <w:r>
        <w:rPr>
          <w:rFonts w:ascii="Times New Roman" w:cs="Times New Roman" w:eastAsia="Times New Roman" w:hAnsi="Times New Roman"/>
          <w:sz w:val="21"/>
          <w:szCs w:val="21"/>
          <w:color w:val="auto"/>
        </w:rPr>
        <w:t>” is defined as the cumulative gross profit of the Company over the entire three-year time period using the ALLETE Corporate model.</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Performance Level</w:t>
            </w:r>
          </w:p>
        </w:tc>
        <w:tc>
          <w:tcPr>
            <w:tcW w:w="360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Budgeted Cumulative Gross Profit</w:t>
            </w:r>
          </w:p>
        </w:tc>
        <w:tc>
          <w:tcPr>
            <w:tcW w:w="35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8"/>
              </w:rPr>
              <w:t>Payout Percentage (% of Target Award)</w:t>
            </w:r>
          </w:p>
        </w:tc>
      </w:tr>
      <w:tr>
        <w:trPr>
          <w:trHeight w:val="264"/>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Target</w:t>
            </w:r>
          </w:p>
        </w:tc>
        <w:tc>
          <w:tcPr>
            <w:tcW w:w="3600" w:type="dxa"/>
            <w:vAlign w:val="bottom"/>
            <w:tcBorders>
              <w:bottom w:val="single" w:sz="8" w:color="auto"/>
              <w:right w:val="single" w:sz="8" w:color="auto"/>
            </w:tcBorders>
          </w:tcPr>
          <w:p>
            <w:pPr>
              <w:jc w:val="right"/>
              <w:ind w:right="1452"/>
              <w:spacing w:after="0"/>
              <w:rPr>
                <w:sz w:val="20"/>
                <w:szCs w:val="20"/>
                <w:color w:val="auto"/>
              </w:rPr>
            </w:pPr>
            <w:r>
              <w:rPr>
                <w:rFonts w:ascii="Times New Roman" w:cs="Times New Roman" w:eastAsia="Times New Roman" w:hAnsi="Times New Roman"/>
                <w:sz w:val="22"/>
                <w:szCs w:val="22"/>
                <w:color w:val="auto"/>
              </w:rPr>
              <w:t>100%</w:t>
            </w:r>
          </w:p>
        </w:tc>
        <w:tc>
          <w:tcPr>
            <w:tcW w:w="3560" w:type="dxa"/>
            <w:vAlign w:val="bottom"/>
            <w:tcBorders>
              <w:bottom w:val="single" w:sz="8" w:color="auto"/>
              <w:right w:val="single" w:sz="8" w:color="auto"/>
            </w:tcBorders>
          </w:tcPr>
          <w:p>
            <w:pPr>
              <w:jc w:val="right"/>
              <w:ind w:right="1432"/>
              <w:spacing w:after="0"/>
              <w:rPr>
                <w:sz w:val="20"/>
                <w:szCs w:val="20"/>
                <w:color w:val="auto"/>
              </w:rPr>
            </w:pPr>
            <w:r>
              <w:rPr>
                <w:rFonts w:ascii="Times New Roman" w:cs="Times New Roman" w:eastAsia="Times New Roman" w:hAnsi="Times New Roman"/>
                <w:sz w:val="22"/>
                <w:szCs w:val="22"/>
                <w:color w:val="auto"/>
              </w:rPr>
              <w:t>100%</w:t>
            </w:r>
          </w:p>
        </w:tc>
      </w:tr>
      <w:tr>
        <w:trPr>
          <w:trHeight w:val="263"/>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w:t>
            </w:r>
          </w:p>
        </w:tc>
        <w:tc>
          <w:tcPr>
            <w:tcW w:w="3600" w:type="dxa"/>
            <w:vAlign w:val="bottom"/>
            <w:tcBorders>
              <w:bottom w:val="single" w:sz="8" w:color="auto"/>
              <w:right w:val="single" w:sz="8" w:color="auto"/>
            </w:tcBorders>
          </w:tcPr>
          <w:p>
            <w:pPr>
              <w:jc w:val="right"/>
              <w:ind w:right="1512"/>
              <w:spacing w:after="0"/>
              <w:rPr>
                <w:sz w:val="20"/>
                <w:szCs w:val="20"/>
                <w:color w:val="auto"/>
              </w:rPr>
            </w:pPr>
            <w:r>
              <w:rPr>
                <w:rFonts w:ascii="Times New Roman" w:cs="Times New Roman" w:eastAsia="Times New Roman" w:hAnsi="Times New Roman"/>
                <w:sz w:val="22"/>
                <w:szCs w:val="22"/>
                <w:color w:val="auto"/>
              </w:rPr>
              <w:t>90%</w:t>
            </w:r>
          </w:p>
        </w:tc>
        <w:tc>
          <w:tcPr>
            <w:tcW w:w="3560" w:type="dxa"/>
            <w:vAlign w:val="bottom"/>
            <w:tcBorders>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796925</wp:posOffset>
            </wp:positionV>
            <wp:extent cx="1714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8"/>
        <w:spacing w:after="0" w:line="219" w:lineRule="auto"/>
        <w:tabs>
          <w:tab w:leader="none" w:pos="105" w:val="left"/>
        </w:tabs>
        <w:numPr>
          <w:ilvl w:val="0"/>
          <w:numId w:val="3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For purposes of this Annex C to the ALLETE Executive Long Term Incentive Plan Performance Share Grant, each references to the “Company” means New Energy Equity LLC.</w:t>
      </w:r>
    </w:p>
    <w:p>
      <w:pPr>
        <w:sectPr>
          <w:pgSz w:w="11900" w:h="16838" w:orient="portrait"/>
          <w:cols w:equalWidth="0" w:num="1">
            <w:col w:w="11220"/>
          </w:cols>
          <w:pgMar w:left="320" w:top="891" w:right="359" w:bottom="1440" w:gutter="0" w:footer="0" w:header="0"/>
        </w:sectPr>
      </w:pPr>
    </w:p>
    <w:bookmarkStart w:id="60" w:name="page61"/>
    <w:bookmarkEnd w:id="6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42695" cy="591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242695" cy="591185"/>
                    </a:xfrm>
                    <a:prstGeom prst="rect">
                      <a:avLst/>
                    </a:prstGeom>
                    <a:noFill/>
                  </pic:spPr>
                </pic:pic>
              </a:graphicData>
            </a:graphic>
          </wp:anchor>
        </w:drawing>
        <w:t>Extraordinary Compensation Award and Opportunity</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Jeff Scissons</w:t>
      </w:r>
    </w:p>
    <w:p>
      <w:pPr>
        <w:spacing w:after="0" w:line="251"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22"/>
          <w:szCs w:val="22"/>
          <w:color w:val="auto"/>
        </w:rPr>
        <w:t>The following Extraordinary Compensation award and opportunity is made for Jeff Scissons in connection with the Polaris Project (“Project”):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Milestone Based Bonus Opportunity</w:t>
      </w:r>
    </w:p>
    <w:p>
      <w:pPr>
        <w:spacing w:after="0" w:line="33"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22"/>
          <w:szCs w:val="22"/>
          <w:color w:val="auto"/>
        </w:rPr>
        <w:t>This describes the bonus opportunities you will be eligible to earn based on your performance through transaction closing (anticipated to be late 2024/early 2025).</w:t>
      </w:r>
    </w:p>
    <w:p>
      <w:pPr>
        <w:spacing w:after="0" w:line="198"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The first milestone bonus opportunity is based on a merger agreement being signed with a counterparty and will be 25% of the award opportunity. The remaining 75% is earned upon successfully closing of the transaction.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Earned awards will be determined and paid to you within 45 days after the applicable milestone date. In order to receive the full award opportunity, you must accomplish the entire goal; senior leadership has discretionary authority to approve prorated awards if deemed appropriate.</w:t>
      </w:r>
    </w:p>
    <w:p>
      <w:pPr>
        <w:spacing w:after="0" w:line="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You will not be entitled to receive a bonus if your job performance is deemed unsatisfactory by the Company or if you leave service for any reason prior to the achievement of the milestone. Payments are vested immediately upon meeting the milestone. All awards are subject to applicable taxes.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5"/>
              </w:rPr>
              <w:t>Award</w:t>
            </w:r>
          </w:p>
        </w:tc>
      </w:tr>
      <w:tr>
        <w:trPr>
          <w:trHeight w:val="234"/>
        </w:trPr>
        <w:tc>
          <w:tcPr>
            <w:tcW w:w="7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40"/>
              <w:spacing w:after="0" w:line="233" w:lineRule="exact"/>
              <w:rPr>
                <w:sz w:val="20"/>
                <w:szCs w:val="20"/>
                <w:color w:val="auto"/>
              </w:rPr>
            </w:pPr>
            <w:r>
              <w:rPr>
                <w:rFonts w:ascii="Times New Roman" w:cs="Times New Roman" w:eastAsia="Times New Roman" w:hAnsi="Times New Roman"/>
                <w:sz w:val="22"/>
                <w:szCs w:val="22"/>
                <w:b w:val="1"/>
                <w:bCs w:val="1"/>
                <w:color w:val="auto"/>
                <w:w w:val="98"/>
              </w:rPr>
              <w:t>Amount</w:t>
            </w:r>
          </w:p>
        </w:tc>
      </w:tr>
      <w:tr>
        <w:trPr>
          <w:trHeight w:val="289"/>
        </w:trPr>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(net)</w:t>
            </w:r>
          </w:p>
        </w:tc>
        <w:tc>
          <w:tcPr>
            <w:tcW w:w="40" w:type="dxa"/>
            <w:vAlign w:val="bottom"/>
          </w:tcPr>
          <w:p>
            <w:pPr>
              <w:spacing w:after="0"/>
              <w:rPr>
                <w:sz w:val="24"/>
                <w:szCs w:val="24"/>
                <w:color w:val="auto"/>
              </w:rPr>
            </w:pPr>
          </w:p>
        </w:tc>
      </w:tr>
      <w:tr>
        <w:trPr>
          <w:trHeight w:val="407"/>
        </w:trPr>
        <w:tc>
          <w:tcPr>
            <w:tcW w:w="7680" w:type="dxa"/>
            <w:vAlign w:val="bottom"/>
          </w:tcPr>
          <w:p>
            <w:pPr>
              <w:ind w:left="1040"/>
              <w:spacing w:after="0"/>
              <w:rPr>
                <w:sz w:val="20"/>
                <w:szCs w:val="20"/>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8"/>
                <w:szCs w:val="28"/>
                <w:b w:val="1"/>
                <w:bCs w:val="1"/>
                <w:color w:val="auto"/>
                <w:vertAlign w:val="superscript"/>
              </w:rPr>
              <w:t>st</w:t>
            </w:r>
            <w:r>
              <w:rPr>
                <w:rFonts w:ascii="Times New Roman" w:cs="Times New Roman" w:eastAsia="Times New Roman" w:hAnsi="Times New Roman"/>
                <w:sz w:val="22"/>
                <w:szCs w:val="22"/>
                <w:b w:val="1"/>
                <w:bCs w:val="1"/>
                <w:color w:val="auto"/>
              </w:rPr>
              <w:t xml:space="preserve"> Milestone: Polaris Merger Agreement Signed</w:t>
            </w:r>
          </w:p>
        </w:tc>
        <w:tc>
          <w:tcPr>
            <w:tcW w:w="86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color w:val="auto"/>
                <w:w w:val="97"/>
              </w:rPr>
              <w:t>$43,750</w:t>
            </w:r>
          </w:p>
        </w:tc>
        <w:tc>
          <w:tcPr>
            <w:tcW w:w="40" w:type="dxa"/>
            <w:vAlign w:val="bottom"/>
          </w:tcPr>
          <w:p>
            <w:pPr>
              <w:spacing w:after="0"/>
              <w:rPr>
                <w:sz w:val="24"/>
                <w:szCs w:val="24"/>
                <w:color w:val="auto"/>
              </w:rPr>
            </w:pPr>
          </w:p>
        </w:tc>
      </w:tr>
      <w:tr>
        <w:trPr>
          <w:trHeight w:val="580"/>
        </w:trPr>
        <w:tc>
          <w:tcPr>
            <w:tcW w:w="7680" w:type="dxa"/>
            <w:vAlign w:val="bottom"/>
          </w:tcPr>
          <w:p>
            <w:pPr>
              <w:ind w:left="1040"/>
              <w:spacing w:after="0"/>
              <w:rPr>
                <w:sz w:val="20"/>
                <w:szCs w:val="20"/>
                <w:color w:val="auto"/>
              </w:rPr>
            </w:pP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8"/>
                <w:szCs w:val="28"/>
                <w:b w:val="1"/>
                <w:bCs w:val="1"/>
                <w:color w:val="auto"/>
                <w:vertAlign w:val="superscript"/>
              </w:rPr>
              <w:t>nd</w:t>
            </w:r>
            <w:r>
              <w:rPr>
                <w:rFonts w:ascii="Times New Roman" w:cs="Times New Roman" w:eastAsia="Times New Roman" w:hAnsi="Times New Roman"/>
                <w:sz w:val="22"/>
                <w:szCs w:val="22"/>
                <w:b w:val="1"/>
                <w:bCs w:val="1"/>
                <w:color w:val="auto"/>
              </w:rPr>
              <w:t xml:space="preserve"> Milestone: Polaris transaction closed</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9"/>
              </w:rPr>
              <w:t>$131,250</w:t>
            </w:r>
          </w:p>
        </w:tc>
      </w:tr>
      <w:tr>
        <w:trPr>
          <w:trHeight w:val="444"/>
        </w:trPr>
        <w:tc>
          <w:tcPr>
            <w:tcW w:w="7680" w:type="dxa"/>
            <w:vAlign w:val="bottom"/>
          </w:tcPr>
          <w:p>
            <w:pPr>
              <w:ind w:left="5120"/>
              <w:spacing w:after="0"/>
              <w:rPr>
                <w:sz w:val="20"/>
                <w:szCs w:val="20"/>
                <w:color w:val="auto"/>
              </w:rPr>
            </w:pPr>
            <w:r>
              <w:rPr>
                <w:rFonts w:ascii="Times New Roman" w:cs="Times New Roman" w:eastAsia="Times New Roman" w:hAnsi="Times New Roman"/>
                <w:sz w:val="22"/>
                <w:szCs w:val="22"/>
                <w:b w:val="1"/>
                <w:bCs w:val="1"/>
                <w:color w:val="auto"/>
                <w:w w:val="99"/>
              </w:rPr>
              <w:t>Net Milestone Opportunity</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$175,000</w:t>
            </w:r>
          </w:p>
        </w:tc>
      </w:tr>
      <w:tr>
        <w:trPr>
          <w:trHeight w:val="365"/>
        </w:trPr>
        <w:tc>
          <w:tcPr>
            <w:tcW w:w="7680" w:type="dxa"/>
            <w:vAlign w:val="bottom"/>
          </w:tcPr>
          <w:p>
            <w:pPr>
              <w:jc w:val="right"/>
              <w:ind w:right="7512"/>
              <w:spacing w:after="0"/>
              <w:rPr>
                <w:sz w:val="20"/>
                <w:szCs w:val="20"/>
                <w:color w:val="auto"/>
              </w:rPr>
            </w:pPr>
            <w:r>
              <w:rPr>
                <w:rFonts w:ascii="Times New Roman" w:cs="Times New Roman" w:eastAsia="Times New Roman" w:hAnsi="Times New Roman"/>
                <w:sz w:val="22"/>
                <w:szCs w:val="22"/>
                <w:color w:val="auto"/>
                <w:w w:val="71"/>
              </w:rPr>
              <w: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0"/>
          <w:szCs w:val="20"/>
          <w:i w:val="1"/>
          <w:iCs w:val="1"/>
          <w:color w:val="auto"/>
        </w:rPr>
        <w:t>Notice: This Extraordinary Compensation award and opportunity is not intended as a guarantee of future employment; nor is it intended to alter your at-will employment status; nor does this opportunity entitle you to any future Extraordinary Compensation bonus opportunities or payments; nor does it create or limit your participation in other Company incentive programs.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Acknowledgment Signature: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signature below indicates that this has been reviewed and there is a clear understanding of the award offering.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8"/>
              </w:rPr>
              <w:t>____/s/Jeff Scissons__</w:t>
            </w:r>
          </w:p>
        </w:tc>
        <w:tc>
          <w:tcPr>
            <w:tcW w:w="15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9/25/23</w:t>
            </w:r>
          </w:p>
        </w:tc>
      </w:tr>
      <w:tr>
        <w:trPr>
          <w:trHeight w:val="269"/>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Jeff Scissons</w:t>
            </w:r>
          </w:p>
        </w:tc>
        <w:tc>
          <w:tcPr>
            <w:tcW w:w="158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w w:val="95"/>
              </w:rPr>
              <w:t>Date</w:t>
            </w:r>
          </w:p>
        </w:tc>
      </w:tr>
    </w:tbl>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60"/>
          </w:cols>
          <w:pgMar w:left="320" w:top="1391" w:right="4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ALLETE;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2024</w:t>
            </w:r>
          </w:p>
        </w:tc>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Bethany M. Owen</w:t>
            </w:r>
          </w:p>
        </w:tc>
      </w:tr>
      <w:tr>
        <w:trPr>
          <w:trHeight w:val="218"/>
        </w:trPr>
        <w:tc>
          <w:tcPr>
            <w:tcW w:w="44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Bethany M. Owen</w:t>
            </w:r>
          </w:p>
        </w:tc>
      </w:tr>
      <w:tr>
        <w:trPr>
          <w:trHeight w:val="234"/>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r>
    </w:tbl>
    <w:p>
      <w:pPr>
        <w:sectPr>
          <w:pgSz w:w="11900" w:h="16838" w:orient="portrait"/>
          <w:cols w:equalWidth="0" w:num="1">
            <w:col w:w="11240"/>
          </w:cols>
          <w:pgMar w:left="320" w:top="88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W. Morris, of ALLETE, Inc. (ALLETE), certify that:</w:t>
      </w:r>
    </w:p>
    <w:p>
      <w:pPr>
        <w:spacing w:after="0" w:line="25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ALLETE;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2024</w:t>
            </w:r>
          </w:p>
        </w:tc>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W. Morris</w:t>
            </w:r>
          </w:p>
        </w:tc>
      </w:tr>
      <w:tr>
        <w:trPr>
          <w:trHeight w:val="218"/>
        </w:trPr>
        <w:tc>
          <w:tcPr>
            <w:tcW w:w="402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W. Morris</w:t>
            </w:r>
          </w:p>
        </w:tc>
      </w:tr>
      <w:tr>
        <w:trPr>
          <w:trHeight w:val="234"/>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8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each of the undersigned officers of ALLETE, Inc. (ALLETE), does hereby certify that:</w:t>
      </w:r>
    </w:p>
    <w:p>
      <w:pPr>
        <w:spacing w:after="0" w:line="189" w:lineRule="exact"/>
        <w:rPr>
          <w:sz w:val="20"/>
          <w:szCs w:val="20"/>
          <w:color w:val="auto"/>
        </w:rPr>
      </w:pPr>
    </w:p>
    <w:p>
      <w:pPr>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ALLETE for the period ended September 30, 2024, (Report) fully complies with the requirements of Section 13(a) of the Securities Exchange Act of 1934 (15 U.S.C. 78m); and</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30, 2024</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Bethany M. Owen</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30, 2024</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Steven W. Morris</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38" w:lineRule="exact"/>
        <w:rPr>
          <w:sz w:val="20"/>
          <w:szCs w:val="20"/>
          <w:color w:val="auto"/>
        </w:rPr>
      </w:pPr>
    </w:p>
    <w:tbl>
      <w:tblPr>
        <w:tblLayout w:type="fixed"/>
        <w:tblInd w:w="30" w:type="dxa"/>
        <w:tblCellMar>
          <w:top w:w="0" w:type="dxa"/>
          <w:left w:w="0" w:type="dxa"/>
          <w:bottom w:w="0" w:type="dxa"/>
          <w:right w:w="0" w:type="dxa"/>
        </w:tblCellMar>
      </w:tblPr>
      <w:tr>
        <w:trPr>
          <w:trHeight w:val="558"/>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Notice of</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Received</w:t>
            </w: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Pattern of</w:t>
            </w:r>
          </w:p>
        </w:tc>
        <w:tc>
          <w:tcPr>
            <w:tcW w:w="9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Mine or Operating</w:t>
            </w: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 Dollar</w:t>
            </w:r>
          </w:p>
        </w:tc>
        <w:tc>
          <w:tcPr>
            <w:tcW w:w="8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Violation</w:t>
            </w:r>
          </w:p>
        </w:tc>
        <w:tc>
          <w:tcPr>
            <w:tcW w:w="9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Notice of</w:t>
            </w:r>
          </w:p>
        </w:tc>
        <w:tc>
          <w:tcPr>
            <w:tcW w:w="8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 Actions</w:t>
            </w: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10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 to</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Resolved</w:t>
            </w: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Identification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S&amp;S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Orders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110(b)(2)</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104(e)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Section</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Last Day of</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98"/>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0" w:type="dxa"/>
            <w:vAlign w:val="bottom"/>
          </w:tcPr>
          <w:p>
            <w:pPr>
              <w:spacing w:after="0"/>
              <w:rPr>
                <w:sz w:val="1"/>
                <w:szCs w:val="1"/>
                <w:color w:val="auto"/>
              </w:rPr>
            </w:pPr>
          </w:p>
        </w:tc>
      </w:tr>
      <w:tr>
        <w:trPr>
          <w:trHeight w:val="138"/>
        </w:trPr>
        <w:tc>
          <w:tcPr>
            <w:tcW w:w="1240" w:type="dxa"/>
            <w:vAlign w:val="bottom"/>
            <w:tcBorders>
              <w:left w:val="single" w:sz="8" w:color="auto"/>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quarter ended September 30, 2024, BNI Energy, owner of Center Mine, received one citation under Section 104(a) of the Mine Safety Act. For the quarter ended September 30, 2024, BNI Energy paid no penalties for citations closed during the period. For the quarter ended September 30, 2024, there were no citations, orders, violations or notices under Sections 104(b), 104(d), 107(a), 104(e) or 110(b)(2) of the Mine Safety Act and there were no fatalities.</w:t>
      </w:r>
    </w:p>
    <w:p>
      <w:pPr>
        <w:sectPr>
          <w:pgSz w:w="11900" w:h="16838" w:orient="portrait"/>
          <w:cols w:equalWidth="0" w:num="1">
            <w:col w:w="11240"/>
          </w:cols>
          <w:pgMar w:left="320" w:top="887" w:right="339" w:bottom="1440" w:gutter="0" w:footer="0" w:header="0"/>
        </w:sectPr>
      </w:pPr>
    </w:p>
    <w:bookmarkStart w:id="65" w:name="page66"/>
    <w:bookmarkEnd w:id="65"/>
    <w:p>
      <w:pPr>
        <w:ind w:left="10460"/>
        <w:spacing w:after="0"/>
        <w:rPr>
          <w:sz w:val="20"/>
          <w:szCs w:val="20"/>
          <w:color w:val="auto"/>
        </w:rPr>
      </w:pPr>
      <w:r>
        <w:rPr>
          <w:rFonts w:ascii="Times New Roman" w:cs="Times New Roman" w:eastAsia="Times New Roman" w:hAnsi="Times New Roman"/>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-85090</wp:posOffset>
            </wp:positionV>
            <wp:extent cx="1371600" cy="6261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p>
      <w:pPr>
        <w:spacing w:after="0" w:line="3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For Release: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2024</w:t>
      </w:r>
    </w:p>
    <w:p>
      <w:pPr>
        <w:spacing w:after="0" w:line="200" w:lineRule="exact"/>
        <w:rPr>
          <w:sz w:val="20"/>
          <w:szCs w:val="20"/>
          <w:color w:val="auto"/>
        </w:rPr>
      </w:pPr>
    </w:p>
    <w:p>
      <w:pPr>
        <w:sectPr>
          <w:pgSz w:w="11900" w:h="16838" w:orient="portrait"/>
          <w:cols w:equalWidth="0" w:num="2">
            <w:col w:w="8100" w:space="720"/>
            <w:col w:w="2420"/>
          </w:cols>
          <w:pgMar w:left="320" w:top="999" w:right="339" w:bottom="1440" w:gutter="0" w:footer="0" w:header="0"/>
          <w:type w:val="continuous"/>
        </w:sectPr>
      </w:pPr>
    </w:p>
    <w:p>
      <w:pPr>
        <w:spacing w:after="0" w:line="7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Investor Contact: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660"/>
        <w:spacing w:after="0" w:line="292" w:lineRule="auto"/>
        <w:rPr>
          <w:sz w:val="20"/>
          <w:szCs w:val="20"/>
          <w:color w:val="auto"/>
        </w:rPr>
      </w:pPr>
      <w:r>
        <w:rPr>
          <w:rFonts w:ascii="Times New Roman" w:cs="Times New Roman" w:eastAsia="Times New Roman" w:hAnsi="Times New Roman"/>
          <w:sz w:val="18"/>
          <w:szCs w:val="18"/>
          <w:color w:val="auto"/>
        </w:rPr>
        <w:t>218-723-3952 shareholder@allete.com</w:t>
      </w:r>
    </w:p>
    <w:p>
      <w:pPr>
        <w:spacing w:after="0" w:line="1" w:lineRule="exact"/>
        <w:rPr>
          <w:sz w:val="20"/>
          <w:szCs w:val="20"/>
          <w:color w:val="auto"/>
        </w:rPr>
      </w:pPr>
    </w:p>
    <w:p>
      <w:pPr>
        <w:sectPr>
          <w:pgSz w:w="11900" w:h="16838" w:orient="portrait"/>
          <w:cols w:equalWidth="0" w:num="2">
            <w:col w:w="8420" w:space="400"/>
            <w:col w:w="2420"/>
          </w:cols>
          <w:pgMar w:left="320" w:top="99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86"/>
          <w:szCs w:val="86"/>
          <w:b w:val="1"/>
          <w:bCs w:val="1"/>
          <w:i w:val="1"/>
          <w:iCs w:val="1"/>
          <w:color w:val="auto"/>
        </w:rPr>
        <w:t>NEWS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ALLETE, Inc. reports third quarter 2024 earnings</w:t>
      </w:r>
    </w:p>
    <w:p>
      <w:pPr>
        <w:spacing w:after="0" w:line="4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20"/>
          <w:szCs w:val="20"/>
          <w:color w:val="auto"/>
        </w:rPr>
        <w:t>DULUTH, Minn. - ALLETE, Inc. (NYSE: ALE) today reported third quarter 2024 earnings of 78 cents per share on net income of $45.0 million. Last year’s third quarter results were $1.49 per share on net income of $85.9 million. Net income for the same quarter in 2023 included approximately 71 cents per share for the favorable arbitration ruling involving a subsidiary of ALLETE Clean Energy. Net income for the third quarter this year included approximately 7 cents per share of transaction expenses related to the merger agreement entered into on May 5, 2024, with Canada Pension Plan Investment Board and Global Infrastructure Partners.</w:t>
      </w:r>
    </w:p>
    <w:p>
      <w:pPr>
        <w:spacing w:after="0" w:line="22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“It has been a busy year thus far, and I couldn’t be prouder of our entire ALLETE team, working diligently on many fronts to execute our Sustainability in Action strategy in tandem with initiatives as part of the merger agreement with Canada Pension Plan Investment Board and Global Infrastructure Partners,” said ALLETE Chair, President, and Chief Executive Officer Bethany Owen. “The merger is progressing as planned, and we remain on track for a mid-2025 closing, subject to all necessary approvals. One very significant milestone was met in the third quarter with ALLETE’s shareholders’ approval of the merger in August,” Owen continued. “At Minnesota Power, several key milestones have been met. Last week, we were pleased that the Minnesota Public Utilities Commission approved the 2023 rate case settlement agreement with final rates expected to be implemented in the first quarter of 2025. Also in October, the Minnesota Public Utilities Commission approved the Big Stone South Transmission project to boost reliability and increase access to renewable energy, and in September, Minnesota Power announced plans to build two large solar projects in northern Minnesota as part of our continued transition towards a cleaner energy future. These two projects will make up approximately two-thirds of the solar generation called for in our Integrated Resource Plan approved in 2023. In addition, Minnesota Power’s request for proposal for 400 megawatts of new wind projects continues to progress as planned. ALLETE Clean Energy closed on the sale of its 68-megawatt Whitetail project, and New Energy Equity had a very strong quarter as the team continues to execute on its strategy and robust pipeline of projects.”</w:t>
      </w:r>
    </w:p>
    <w:p>
      <w:pPr>
        <w:spacing w:after="0" w:line="22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20"/>
          <w:szCs w:val="20"/>
          <w:color w:val="auto"/>
        </w:rPr>
        <w:t>ALLETE’s Regulated Operations segment, which includes Minnesota Power, Superior Water, Light and Power and the Company’s investment in the American Transmission Company, recorded third quarter 2024 net income of $34.0 million, equaling earnings in the third quarter a year ago. Net income at Minnesota Power reflects the implementation of interim rates, net of reserves, partially offset by higher operating and maintenance and depreciation expenses in the third quarter of 2024 compared to 2023.</w:t>
      </w:r>
    </w:p>
    <w:p>
      <w:pPr>
        <w:spacing w:after="0" w:line="213" w:lineRule="exact"/>
        <w:rPr>
          <w:sz w:val="20"/>
          <w:szCs w:val="20"/>
          <w:color w:val="auto"/>
        </w:rPr>
      </w:pPr>
    </w:p>
    <w:p>
      <w:pPr>
        <w:spacing w:after="0" w:line="340" w:lineRule="auto"/>
        <w:rPr>
          <w:sz w:val="20"/>
          <w:szCs w:val="20"/>
          <w:color w:val="auto"/>
        </w:rPr>
      </w:pPr>
      <w:r>
        <w:rPr>
          <w:rFonts w:ascii="Times New Roman" w:cs="Times New Roman" w:eastAsia="Times New Roman" w:hAnsi="Times New Roman"/>
          <w:sz w:val="19"/>
          <w:szCs w:val="19"/>
          <w:color w:val="auto"/>
        </w:rPr>
        <w:t>ALLETE Clean Energy recorded third quarter 2024 net income of $3.9 million compared to $54.8 million in 2023. Earnings in 2023 included the gain recognized for the favorable arbitration award. Positively impacting the third quarter of 2024 was the sale of the Whitetail project.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1 of 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p>
      <w:pPr>
        <w:sectPr>
          <w:pgSz w:w="11900" w:h="16838" w:orient="portrait"/>
          <w:cols w:equalWidth="0" w:num="1">
            <w:col w:w="11240"/>
          </w:cols>
          <w:pgMar w:left="320" w:top="999" w:right="339" w:bottom="1440" w:gutter="0" w:footer="0" w:header="0"/>
          <w:type w:val="continuous"/>
        </w:sectPr>
      </w:pPr>
    </w:p>
    <w:bookmarkStart w:id="66" w:name="page67"/>
    <w:bookmarkEnd w:id="66"/>
    <w:p>
      <w:pPr>
        <w:ind w:right="60"/>
        <w:spacing w:after="0" w:line="285" w:lineRule="auto"/>
        <w:rPr>
          <w:sz w:val="20"/>
          <w:szCs w:val="20"/>
          <w:color w:val="auto"/>
        </w:rPr>
      </w:pPr>
      <w:r>
        <w:rPr>
          <w:rFonts w:ascii="Times New Roman" w:cs="Times New Roman" w:eastAsia="Times New Roman" w:hAnsi="Times New Roman"/>
          <w:sz w:val="20"/>
          <w:szCs w:val="20"/>
          <w:color w:val="auto"/>
        </w:rPr>
        <w:t>Corporate and Other businesses, which include New Energy Equity, BNI Energy, ALLETE Properties and our investments in renewable energy facilities, recorded net income of $7.1 million in the third quarter of 2024, compared to a net loss of $2.9 million in 2023. Net income in the third quarter of 2024 included increased earnings at New Energy Equity on project sales. These increases were partially offset by transaction expenses of approximately 7 cents per share, related to the merger agreement entered into in May of 2024. The net loss in 2023 also reflected increased tax expense related to the arbitration award.</w:t>
      </w:r>
    </w:p>
    <w:p>
      <w:pPr>
        <w:spacing w:after="0" w:line="21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0"/>
          <w:szCs w:val="20"/>
          <w:color w:val="auto"/>
        </w:rPr>
        <w:t>“Results for the third quarter of 2024 exceeded internal expectations,” said ALLETE Senior Vice President and Chief Financial Officer Steve Morris. “New Energy Equity 's financial results exceeded expectations due to timing of project closings with attractive margins, and ALLETE Clean Energy’s results were higher than our expectations primarily due to the sale of the Whitetail project. These increases were partially offset by merger related expenses.”</w:t>
      </w:r>
    </w:p>
    <w:p>
      <w:pPr>
        <w:spacing w:after="0" w:line="2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color w:val="auto"/>
        </w:rPr>
        <w:t xml:space="preserve">ALLETE is an energy company headquartered in Duluth, Minn. In addition to its electric utilities, Minnesota Power and Superior Water, Light and Power of Wisconsin, ALLETE owns ALLETE Clean Energy, based in Duluth, BNI Energy in Bismarck, N.D., New Energy Equity in Annapolis, MD, and has an eight percent equity interest in the American Transmission Co. More information about ALLETE is available at www.allete.com. </w:t>
      </w:r>
      <w:r>
        <w:rPr>
          <w:rFonts w:ascii="Times New Roman" w:cs="Times New Roman" w:eastAsia="Times New Roman" w:hAnsi="Times New Roman"/>
          <w:sz w:val="20"/>
          <w:szCs w:val="20"/>
          <w:i w:val="1"/>
          <w:iCs w:val="1"/>
          <w:color w:val="auto"/>
        </w:rPr>
        <w:t>ALE-CORP</w:t>
      </w:r>
    </w:p>
    <w:p>
      <w:pPr>
        <w:spacing w:after="0" w:line="216"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4"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0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Page 2 of 4</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p>
      <w:pPr>
        <w:sectPr>
          <w:pgSz w:w="11900" w:h="16838" w:orient="portrait"/>
          <w:cols w:equalWidth="0" w:num="1">
            <w:col w:w="11220"/>
          </w:cols>
          <w:pgMar w:left="320" w:top="940"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Millions Except Per Share Amounts -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Pr>
          <w:p>
            <w:pPr>
              <w:spacing w:after="0"/>
              <w:rPr>
                <w:sz w:val="19"/>
                <w:szCs w:val="19"/>
                <w:color w:val="auto"/>
              </w:rPr>
            </w:pPr>
          </w:p>
        </w:tc>
        <w:tc>
          <w:tcPr>
            <w:tcW w:w="35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570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720" w:type="dxa"/>
            <w:vAlign w:val="bottom"/>
          </w:tcPr>
          <w:p>
            <w:pPr>
              <w:spacing w:after="0"/>
              <w:rPr>
                <w:sz w:val="19"/>
                <w:szCs w:val="19"/>
                <w:color w:val="auto"/>
              </w:rPr>
            </w:pPr>
          </w:p>
        </w:tc>
      </w:tr>
      <w:tr>
        <w:trPr>
          <w:trHeight w:val="238"/>
        </w:trPr>
        <w:tc>
          <w:tcPr>
            <w:tcW w:w="57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2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$310.5</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$314.3</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$928.6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2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95.4</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63.2</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232.6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30"/>
        </w:trPr>
        <w:tc>
          <w:tcPr>
            <w:tcW w:w="5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 Non-utility</w:t>
            </w:r>
          </w:p>
        </w:tc>
        <w:tc>
          <w:tcPr>
            <w:tcW w:w="27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Operating Revenue</w:t>
            </w:r>
          </w:p>
        </w:tc>
        <w:tc>
          <w:tcPr>
            <w:tcW w:w="2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407.2</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378.8</w:t>
            </w: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1,165.0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1,477.1</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7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116.5</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124.9</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357.3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19.6</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43.9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2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47.0</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33.0</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103.2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92.7</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83.6</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286.5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70.8</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63.1</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29"/>
        </w:trPr>
        <w:tc>
          <w:tcPr>
            <w:tcW w:w="5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7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15.3</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15.5</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50.3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361.9</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342.8</w:t>
            </w: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1,043.0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1,339.3</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7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45.3</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36.0</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122.0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(20.3)</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(60.8)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Earnings</w:t>
            </w:r>
          </w:p>
        </w:tc>
        <w:tc>
          <w:tcPr>
            <w:tcW w:w="2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5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68.7</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(9.7)</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52.9</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(24.3)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35.6</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88.9</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97.7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9"/>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2.9</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19.3</w:t>
            </w: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7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32.7</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69.6</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89.4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23"/>
        </w:trPr>
        <w:tc>
          <w:tcPr>
            <w:tcW w:w="5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(12.3)</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(16.3)</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(39.3)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27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$45.0</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$85.9</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$128.7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2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57.8</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57.4</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5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57.9</w:t>
            </w: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57.5</w:t>
            </w: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57.8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2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$0.78</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2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$0.78</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$1.49</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Share of Common Stock</w:t>
            </w:r>
          </w:p>
        </w:tc>
        <w:tc>
          <w:tcPr>
            <w:tcW w:w="27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$0.705</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$0.6775</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$2.115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rPr>
          <w:sz w:val="20"/>
          <w:szCs w:val="20"/>
          <w:color w:val="auto"/>
        </w:rPr>
      </w:pPr>
      <w:r>
        <w:rPr>
          <w:rFonts w:ascii="Times New Roman" w:cs="Times New Roman" w:eastAsia="Times New Roman" w:hAnsi="Times New Roman"/>
          <w:sz w:val="18"/>
          <w:szCs w:val="18"/>
          <w:color w:val="auto"/>
        </w:rPr>
        <w:t>Millions - Unaudited</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0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39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0" w:type="dxa"/>
            <w:vAlign w:val="bottom"/>
          </w:tcPr>
          <w:p>
            <w:pPr>
              <w:spacing w:after="0"/>
              <w:rPr>
                <w:sz w:val="1"/>
                <w:szCs w:val="1"/>
                <w:color w:val="auto"/>
              </w:rPr>
            </w:pPr>
          </w:p>
        </w:tc>
      </w:tr>
      <w:tr>
        <w:trPr>
          <w:trHeight w:val="238"/>
        </w:trPr>
        <w:tc>
          <w:tcPr>
            <w:tcW w:w="3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5,013.4</w:t>
            </w: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175"/>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337.9</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39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Defined Benefit Pension and Other Postretirement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43"/>
        </w:trPr>
        <w:tc>
          <w:tcPr>
            <w:tcW w:w="30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 Plans</w:t>
            </w:r>
          </w:p>
        </w:tc>
        <w:tc>
          <w:tcPr>
            <w:tcW w:w="1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Intangibles – Net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0" w:type="dxa"/>
            <w:vAlign w:val="bottom"/>
          </w:tcPr>
          <w:p>
            <w:pPr>
              <w:spacing w:after="0"/>
              <w:rPr>
                <w:sz w:val="1"/>
                <w:szCs w:val="1"/>
                <w:color w:val="auto"/>
              </w:rPr>
            </w:pPr>
          </w:p>
        </w:tc>
      </w:tr>
      <w:tr>
        <w:trPr>
          <w:trHeight w:val="169"/>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$6,737.2</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c>
          <w:tcPr>
            <w:tcW w:w="398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Total Liabilities, Redeemable Non-Controlling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c>
          <w:tcPr>
            <w:tcW w:w="0" w:type="dxa"/>
            <w:vAlign w:val="bottom"/>
          </w:tcPr>
          <w:p>
            <w:pPr>
              <w:spacing w:after="0"/>
              <w:rPr>
                <w:sz w:val="1"/>
                <w:szCs w:val="1"/>
                <w:color w:val="auto"/>
              </w:rPr>
            </w:pPr>
          </w:p>
        </w:tc>
      </w:tr>
      <w:tr>
        <w:trPr>
          <w:trHeight w:val="241"/>
        </w:trPr>
        <w:tc>
          <w:tcPr>
            <w:tcW w:w="30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9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and Equity</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3 of 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p>
      <w:pPr>
        <w:sectPr>
          <w:pgSz w:w="11900" w:h="16838" w:orient="portrait"/>
          <w:cols w:equalWidth="0" w:num="1">
            <w:col w:w="11240"/>
          </w:cols>
          <w:pgMar w:left="320" w:top="927"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7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7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ALLETE, Inc.</w:t>
            </w:r>
          </w:p>
        </w:tc>
        <w:tc>
          <w:tcPr>
            <w:tcW w:w="2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136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3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Regulated Operations</w:t>
            </w:r>
          </w:p>
        </w:tc>
        <w:tc>
          <w:tcPr>
            <w:tcW w:w="2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$34.0</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$34.0</w:t>
            </w:r>
          </w:p>
        </w:tc>
        <w:tc>
          <w:tcPr>
            <w:tcW w:w="16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ALLETE Clean Energy</w:t>
            </w:r>
          </w:p>
        </w:tc>
        <w:tc>
          <w:tcPr>
            <w:tcW w:w="2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3.9</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54.8</w:t>
            </w:r>
          </w:p>
        </w:tc>
        <w:tc>
          <w:tcPr>
            <w:tcW w:w="1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and Other</w:t>
            </w:r>
          </w:p>
        </w:tc>
        <w:tc>
          <w:tcPr>
            <w:tcW w:w="23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7.1</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$45.0</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$85.9</w:t>
            </w:r>
          </w:p>
        </w:tc>
        <w:tc>
          <w:tcPr>
            <w:tcW w:w="16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$128.7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3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$0.78</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$1.49</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$2.23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Borders>
              <w:bottom w:val="single" w:sz="8" w:color="auto"/>
            </w:tcBorders>
            <w:shd w:val="clear" w:color="auto" w:fill="CCEEFF"/>
          </w:tcPr>
          <w:p>
            <w:pPr>
              <w:spacing w:after="0"/>
              <w:rPr>
                <w:sz w:val="19"/>
                <w:szCs w:val="19"/>
                <w:color w:val="auto"/>
              </w:rPr>
            </w:pPr>
          </w:p>
        </w:tc>
      </w:tr>
      <w:tr>
        <w:trPr>
          <w:trHeight w:val="601"/>
        </w:trPr>
        <w:tc>
          <w:tcPr>
            <w:tcW w:w="20" w:type="dxa"/>
            <w:vAlign w:val="bottom"/>
          </w:tcPr>
          <w:p>
            <w:pPr>
              <w:spacing w:after="0"/>
              <w:rPr>
                <w:sz w:val="24"/>
                <w:szCs w:val="24"/>
                <w:color w:val="auto"/>
              </w:rPr>
            </w:pP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Statistical Data</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High</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$64.90</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$59.22</w:t>
            </w: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$65.86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Low</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$61.51</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$52.30</w:t>
            </w:r>
          </w:p>
        </w:tc>
        <w:tc>
          <w:tcPr>
            <w:tcW w:w="1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$55.86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Close</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$64.19</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$52.80</w:t>
            </w: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$64.19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Book Value</w:t>
            </w:r>
          </w:p>
        </w:tc>
        <w:tc>
          <w:tcPr>
            <w:tcW w:w="23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$48.97</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$48.48</w:t>
            </w:r>
          </w:p>
        </w:tc>
        <w:tc>
          <w:tcPr>
            <w:tcW w:w="16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$48.97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Pr>
          <w:p>
            <w:pPr>
              <w:spacing w:after="0"/>
              <w:rPr>
                <w:sz w:val="19"/>
                <w:szCs w:val="19"/>
                <w:color w:val="auto"/>
              </w:rPr>
            </w:pPr>
          </w:p>
        </w:tc>
      </w:tr>
      <w:tr>
        <w:trPr>
          <w:trHeight w:val="588"/>
        </w:trPr>
        <w:tc>
          <w:tcPr>
            <w:tcW w:w="20" w:type="dxa"/>
            <w:vAlign w:val="bottom"/>
          </w:tcPr>
          <w:p>
            <w:pPr>
              <w:spacing w:after="0"/>
              <w:rPr>
                <w:sz w:val="24"/>
                <w:szCs w:val="24"/>
                <w:color w:val="auto"/>
              </w:rPr>
            </w:pP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Regulated Utility</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Retail and Municipal</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Residential</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262</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250</w:t>
            </w:r>
          </w:p>
        </w:tc>
        <w:tc>
          <w:tcPr>
            <w:tcW w:w="1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793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354</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355</w:t>
            </w: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999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Industrial</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1,715</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1,742</w:t>
            </w:r>
          </w:p>
        </w:tc>
        <w:tc>
          <w:tcPr>
            <w:tcW w:w="1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5,242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Municipal</w:t>
            </w:r>
          </w:p>
        </w:tc>
        <w:tc>
          <w:tcPr>
            <w:tcW w:w="2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120</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112</w:t>
            </w:r>
          </w:p>
        </w:tc>
        <w:tc>
          <w:tcPr>
            <w:tcW w:w="1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350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2,451</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2,459</w:t>
            </w:r>
          </w:p>
        </w:tc>
        <w:tc>
          <w:tcPr>
            <w:tcW w:w="1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7,384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Other Power Suppliers</w:t>
            </w:r>
          </w:p>
        </w:tc>
        <w:tc>
          <w:tcPr>
            <w:tcW w:w="2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616</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526</w:t>
            </w:r>
          </w:p>
        </w:tc>
        <w:tc>
          <w:tcPr>
            <w:tcW w:w="1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1,952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3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3,067</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2,985</w:t>
            </w:r>
          </w:p>
        </w:tc>
        <w:tc>
          <w:tcPr>
            <w:tcW w:w="16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9,336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20" w:type="dxa"/>
            <w:vAlign w:val="bottom"/>
          </w:tcPr>
          <w:p>
            <w:pPr>
              <w:spacing w:after="0"/>
              <w:rPr>
                <w:sz w:val="19"/>
                <w:szCs w:val="19"/>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Regulated Utility Revenue</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Regulated Utility Revenue</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Retail and Municipal Electric Revenue</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Residential</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$40.0</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$36.0</w:t>
            </w:r>
          </w:p>
        </w:tc>
        <w:tc>
          <w:tcPr>
            <w:tcW w:w="1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Commercial</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48.8</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48.6</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139.1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Industrial</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149.2</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153.8</w:t>
            </w:r>
          </w:p>
        </w:tc>
        <w:tc>
          <w:tcPr>
            <w:tcW w:w="1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454.0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Municipal</w:t>
            </w:r>
          </w:p>
        </w:tc>
        <w:tc>
          <w:tcPr>
            <w:tcW w:w="2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9.2</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8.7</w:t>
            </w:r>
          </w:p>
        </w:tc>
        <w:tc>
          <w:tcPr>
            <w:tcW w:w="1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25.6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Retail and Municipal Electric Revenue</w:t>
            </w:r>
          </w:p>
        </w:tc>
        <w:tc>
          <w:tcPr>
            <w:tcW w:w="2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247.2</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247.1</w:t>
            </w:r>
          </w:p>
        </w:tc>
        <w:tc>
          <w:tcPr>
            <w:tcW w:w="1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739.8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Power Suppliers</w:t>
            </w: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32.0</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31.0</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(Includes Water and Gas Revenue)</w:t>
            </w:r>
          </w:p>
        </w:tc>
        <w:tc>
          <w:tcPr>
            <w:tcW w:w="23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31.3</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36.2</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86.4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Regulated Utility Revenue</w:t>
            </w:r>
          </w:p>
        </w:tc>
        <w:tc>
          <w:tcPr>
            <w:tcW w:w="2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$310.5</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$314.3</w:t>
            </w:r>
          </w:p>
        </w:tc>
        <w:tc>
          <w:tcPr>
            <w:tcW w:w="1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$928.6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0" w:type="dxa"/>
            <w:vAlign w:val="bottom"/>
            <w:tcBorders>
              <w:bottom w:val="single" w:sz="8" w:color="auto"/>
            </w:tcBorders>
          </w:tcPr>
          <w:p>
            <w:pPr>
              <w:spacing w:after="0"/>
              <w:rPr>
                <w:sz w:val="19"/>
                <w:szCs w:val="19"/>
                <w:color w:val="auto"/>
              </w:rPr>
            </w:pPr>
          </w:p>
        </w:tc>
      </w:tr>
    </w:tbl>
    <w:p>
      <w:pPr>
        <w:spacing w:after="0" w:line="2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 of 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sectPr>
      <w:pgSz w:w="11900" w:h="16838" w:orient="portrait"/>
      <w:cols w:equalWidth="0" w:num="1">
        <w:col w:w="11240"/>
      </w:cols>
      <w:pgMar w:left="320" w:top="9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2"/>
      <w:numFmt w:val="bullet"/>
      <w:start w:val="1"/>
    </w:lvl>
  </w:abstractNum>
  <w:abstractNum w:abstractNumId="15">
    <w:nsid w:val="4353D0CD"/>
    <w:multiLevelType w:val="hybridMultilevel"/>
    <w:lvl w:ilvl="0">
      <w:lvlJc w:val="left"/>
      <w:lvlText w:val="%1"/>
      <w:numFmt w:val="decimal"/>
      <w:start w:val="32"/>
    </w:lvl>
  </w:abstractNum>
  <w:abstractNum w:abstractNumId="16">
    <w:nsid w:val="B03E0C6"/>
    <w:multiLevelType w:val="hybridMultilevel"/>
    <w:lvl w:ilvl="0">
      <w:lvlJc w:val="left"/>
      <w:lvlText w:val="%1"/>
      <w:numFmt w:val="decimal"/>
      <w:start w:val="99"/>
    </w:lvl>
  </w:abstractNum>
  <w:abstractNum w:abstractNumId="17">
    <w:nsid w:val="189A769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54E49EB4"/>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19">
    <w:nsid w:val="71F32454"/>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20">
    <w:nsid w:val="2CA88611"/>
    <w:multiLevelType w:val="hybridMultilevel"/>
    <w:lvl w:ilvl="0">
      <w:lvlJc w:val="left"/>
      <w:lvlText w:val="%1."/>
      <w:numFmt w:val="decimal"/>
      <w:start w:val="4"/>
    </w:lvl>
  </w:abstractNum>
  <w:abstractNum w:abstractNumId="21">
    <w:nsid w:val="836C40E"/>
    <w:multiLevelType w:val="hybridMultilevel"/>
    <w:lvl w:ilvl="0">
      <w:lvlJc w:val="left"/>
      <w:lvlText w:val="%1"/>
      <w:numFmt w:val="decimal"/>
      <w:start w:val="1"/>
    </w:lvl>
    <w:lvl w:ilvl="1">
      <w:lvlJc w:val="left"/>
      <w:lvlText w:val="%2."/>
      <w:numFmt w:val="decimal"/>
      <w:start w:val="5"/>
    </w:lvl>
  </w:abstractNum>
  <w:abstractNum w:abstractNumId="22">
    <w:nsid w:val="2901D82"/>
    <w:multiLevelType w:val="hybridMultilevel"/>
    <w:lvl w:ilvl="0">
      <w:lvlJc w:val="left"/>
      <w:lvlText w:val="%1."/>
      <w:numFmt w:val="decimal"/>
      <w:start w:val="6"/>
    </w:lvl>
    <w:lvl w:ilvl="1">
      <w:lvlJc w:val="left"/>
      <w:lvlText w:val="%2"/>
      <w:numFmt w:val="decimal"/>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6"/>
    </w:lvl>
    <w:lvl w:ilvl="1">
      <w:lvlJc w:val="left"/>
      <w:lvlText w:val="%2."/>
      <w:numFmt w:val="lowerRoman"/>
      <w:start w:val="3"/>
    </w:lvl>
    <w:lvl w:ilvl="2">
      <w:lvlJc w:val="left"/>
      <w:lvlText w:val="%3."/>
      <w:numFmt w:val="lowerRoman"/>
      <w:start w:val="1"/>
    </w:lvl>
  </w:abstractNum>
  <w:abstractNum w:abstractNumId="25">
    <w:nsid w:val="1E7FF521"/>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5"/>
    </w:lvl>
  </w:abstractNum>
  <w:abstractNum w:abstractNumId="26">
    <w:nsid w:val="7C3DBD3D"/>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27">
    <w:nsid w:val="737B8DDC"/>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lvl w:ilvl="3">
      <w:lvlJc w:val="left"/>
      <w:lvlText w:val="%4"/>
      <w:numFmt w:val="lowerRoman"/>
      <w:start w:val="1"/>
    </w:lvl>
  </w:abstractNum>
  <w:abstractNum w:abstractNumId="28">
    <w:nsid w:val="6CEAF087"/>
    <w:multiLevelType w:val="hybridMultilevel"/>
    <w:lvl w:ilvl="0">
      <w:lvlJc w:val="left"/>
      <w:lvlText w:val="%1."/>
      <w:numFmt w:val="decimal"/>
      <w:start w:val="10"/>
    </w:lvl>
    <w:lvl w:ilvl="1">
      <w:lvlJc w:val="left"/>
      <w:lvlText w:val="%2."/>
      <w:numFmt w:val="decimal"/>
      <w:start w:val="11"/>
    </w:lvl>
    <w:lvl w:ilvl="2">
      <w:lvlJc w:val="left"/>
      <w:lvlText w:val="%3"/>
      <w:numFmt w:val="lowerRoman"/>
      <w:start w:val="1"/>
    </w:lvl>
    <w:lvl w:ilvl="3">
      <w:lvlJc w:val="left"/>
      <w:lvlText w:val="%4"/>
      <w:numFmt w:val="lowerRoman"/>
      <w:start w:val="1"/>
    </w:lvl>
  </w:abstractNum>
  <w:abstractNum w:abstractNumId="29">
    <w:nsid w:val="22221A70"/>
    <w:multiLevelType w:val="hybridMultilevel"/>
    <w:lvl w:ilvl="0">
      <w:lvlJc w:val="left"/>
      <w:lvlText w:val="%1."/>
      <w:numFmt w:val="decimal"/>
      <w:start w:val="12"/>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59" Type="http://schemas.openxmlformats.org/officeDocument/2006/relationships/hyperlink" Target="https://www.sec.gov/Archives/edgar/data/66756/000006675624000034/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2024-10-30T05:17:25Z</dcterms:created>
  <dcterms:modified xsi:type="dcterms:W3CDTF">2024-10-30T05:17:25Z</dcterms:modified>
</cp:coreProperties>
</file>