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4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72" w:right="239" w:bottom="1440" w:gutter="0" w:footer="0" w:header="0"/>
          <w:type w:val="continuous"/>
        </w:sectPr>
      </w:pPr>
    </w:p>
    <w:p>
      <w:pPr>
        <w:spacing w:after="0" w:line="29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51,271,007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March 31, 2018</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1"/>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1180" w:type="dxa"/>
            <w:vAlign w:val="bottom"/>
            <w:gridSpan w:val="48"/>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29"/>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Note 2. Investments</w:t>
              </w:r>
            </w:hyperlink>
          </w:p>
        </w:tc>
        <w:tc>
          <w:tcPr>
            <w:tcW w:w="7440" w:type="dxa"/>
            <w:vAlign w:val="bottom"/>
            <w:tcBorders>
              <w:bottom w:val="single" w:sz="8" w:color="CCEEFF"/>
            </w:tcBorders>
            <w:gridSpan w:val="2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Note 3. Acquisitions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3"/>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 5. Fair Value</w:t>
              </w:r>
            </w:hyperlink>
          </w:p>
        </w:tc>
        <w:tc>
          <w:tcPr>
            <w:tcW w:w="6040" w:type="dxa"/>
            <w:vAlign w:val="bottom"/>
            <w:tcBorders>
              <w:top w:val="single" w:sz="8" w:color="CCEEFF"/>
            </w:tcBorders>
            <w:gridSpan w:val="1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Note 6.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960" w:type="dxa"/>
            <w:vAlign w:val="bottom"/>
            <w:tcBorders>
              <w:top w:val="single" w:sz="8" w:color="0000EE"/>
            </w:tcBorders>
            <w:gridSpan w:val="16"/>
          </w:tcPr>
          <w:p>
            <w:pPr>
              <w:spacing w:after="0" w:line="202"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Note 7. Investment in ATC</w:t>
              </w:r>
            </w:hyperlink>
          </w:p>
        </w:tc>
        <w:tc>
          <w:tcPr>
            <w:tcW w:w="6920" w:type="dxa"/>
            <w:vAlign w:val="bottom"/>
            <w:tcBorders>
              <w:top w:val="single" w:sz="8" w:color="CCEEFF"/>
            </w:tcBorders>
            <w:gridSpan w:val="2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6"/>
            <w:shd w:val="clear" w:color="auto" w:fill="CCEEFF"/>
          </w:tcPr>
          <w:p>
            <w:pPr>
              <w:spacing w:after="0" w:line="20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Note 8. Short-Term and Long-Term Debt</w:t>
              </w:r>
            </w:hyperlink>
          </w:p>
        </w:tc>
        <w:tc>
          <w:tcPr>
            <w:tcW w:w="59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Note 9. Income Tax Expense</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10. Reclassifications out of Accumulated Other Comprehensive Loss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5"/>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11. Earnings Per Share and Common Stock</w:t>
              </w:r>
            </w:hyperlink>
          </w:p>
        </w:tc>
        <w:tc>
          <w:tcPr>
            <w:tcW w:w="35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4"/>
            <w:shd w:val="clear" w:color="auto" w:fill="CCEEFF"/>
          </w:tcPr>
          <w:p>
            <w:pPr>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Note 12. Pension and Other Postretirement Benefit Plans</w:t>
              </w:r>
            </w:hyperlink>
          </w:p>
        </w:tc>
        <w:tc>
          <w:tcPr>
            <w:tcW w:w="478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Note 13.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Note 14. Business Segments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Comparison of the Three Months Ended</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Critical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Outlook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Liquidity and Capital Resources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Other</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Part II.</w:t>
              </w:r>
            </w:hyperlink>
          </w:p>
        </w:tc>
        <w:tc>
          <w:tcPr>
            <w:tcW w:w="10380" w:type="dxa"/>
            <w:vAlign w:val="bottom"/>
            <w:gridSpan w:val="44"/>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1.</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1A.</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520" w:type="dxa"/>
            <w:vAlign w:val="bottom"/>
            <w:tcBorders>
              <w:top w:val="single" w:sz="8" w:color="CCEEFF"/>
            </w:tcBorders>
            <w:gridSpan w:val="2"/>
          </w:tcPr>
          <w:p>
            <w:pPr>
              <w:spacing w:after="0"/>
              <w:rPr>
                <w:sz w:val="17"/>
                <w:szCs w:val="17"/>
                <w:color w:val="auto"/>
              </w:rPr>
            </w:pPr>
          </w:p>
        </w:tc>
        <w:tc>
          <w:tcPr>
            <w:tcW w:w="4340" w:type="dxa"/>
            <w:vAlign w:val="bottom"/>
            <w:tcBorders>
              <w:top w:val="single" w:sz="8" w:color="0000EE"/>
            </w:tcBorders>
            <w:gridSpan w:val="35"/>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5000" w:type="dxa"/>
            <w:vAlign w:val="bottom"/>
            <w:tcBorders>
              <w:top w:val="single" w:sz="8" w:color="CCEEFF"/>
            </w:tcBorders>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5.</w:t>
              </w:r>
            </w:hyperlink>
          </w:p>
        </w:tc>
        <w:tc>
          <w:tcPr>
            <w:tcW w:w="520" w:type="dxa"/>
            <w:vAlign w:val="bottom"/>
            <w:tcBorders>
              <w:top w:val="single" w:sz="8" w:color="CCEEFF"/>
            </w:tcBorders>
            <w:gridSpan w:val="2"/>
          </w:tcPr>
          <w:p>
            <w:pPr>
              <w:spacing w:after="0"/>
              <w:rPr>
                <w:sz w:val="17"/>
                <w:szCs w:val="17"/>
                <w:color w:val="auto"/>
              </w:rPr>
            </w:pPr>
          </w:p>
        </w:tc>
        <w:tc>
          <w:tcPr>
            <w:tcW w:w="1760" w:type="dxa"/>
            <w:vAlign w:val="bottom"/>
            <w:tcBorders>
              <w:top w:val="single" w:sz="8" w:color="0000EE"/>
            </w:tcBorders>
            <w:gridSpan w:val="12"/>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580" w:type="dxa"/>
            <w:vAlign w:val="bottom"/>
            <w:tcBorders>
              <w:top w:val="single" w:sz="8" w:color="CCEEFF"/>
            </w:tcBorders>
            <w:gridSpan w:val="2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6.</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Exhibits</w:t>
              </w:r>
            </w:hyperlink>
          </w:p>
        </w:tc>
        <w:tc>
          <w:tcPr>
            <w:tcW w:w="8740" w:type="dxa"/>
            <w:vAlign w:val="bottom"/>
            <w:tcBorders>
              <w:bottom w:val="single" w:sz="8" w:color="CCEEFF"/>
            </w:tcBorders>
            <w:gridSpan w:val="35"/>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c>
          <w:tcPr>
            <w:tcW w:w="20" w:type="dxa"/>
            <w:vAlign w:val="bottom"/>
          </w:tcPr>
          <w:p>
            <w:pPr>
              <w:spacing w:after="0"/>
              <w:rPr>
                <w:sz w:val="17"/>
                <w:szCs w:val="17"/>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EITE</w:t>
            </w:r>
          </w:p>
        </w:tc>
        <w:tc>
          <w:tcPr>
            <w:tcW w:w="8180" w:type="dxa"/>
            <w:vAlign w:val="bottom"/>
            <w:gridSpan w:val="2"/>
          </w:tcPr>
          <w:p>
            <w:pPr>
              <w:spacing w:after="0"/>
              <w:rPr>
                <w:sz w:val="20"/>
                <w:szCs w:val="20"/>
                <w:color w:val="auto"/>
              </w:rPr>
            </w:pPr>
            <w:r>
              <w:rPr>
                <w:rFonts w:ascii="Arial" w:cs="Arial" w:eastAsia="Arial" w:hAnsi="Arial"/>
                <w:sz w:val="18"/>
                <w:szCs w:val="18"/>
                <w:color w:val="auto"/>
              </w:rPr>
              <w:t>Energy-Intensive Trade-Exposed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gridSpan w:val="2"/>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77"/>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1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42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2018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TCJA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Cuts and Job Act of 2017 (Public Law 115-97)</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gridSpan w:val="2"/>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gridSpan w:val="2"/>
          </w:tcPr>
          <w:p>
            <w:pPr>
              <w:spacing w:after="0"/>
              <w:rPr>
                <w:sz w:val="20"/>
                <w:szCs w:val="20"/>
                <w:color w:val="auto"/>
              </w:rPr>
            </w:pPr>
            <w:r>
              <w:rPr>
                <w:rFonts w:ascii="Arial" w:cs="Arial" w:eastAsia="Arial" w:hAnsi="Arial"/>
                <w:sz w:val="18"/>
                <w:szCs w:val="18"/>
                <w:color w:val="auto"/>
              </w:rPr>
              <w:t>Tonka Equipment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gridSpan w:val="2"/>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43"/>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80" w:type="dxa"/>
            <w:vAlign w:val="bottom"/>
          </w:tcPr>
          <w:p>
            <w:pPr>
              <w:spacing w:after="0"/>
              <w:rPr>
                <w:sz w:val="21"/>
                <w:szCs w:val="21"/>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WTG</w:t>
            </w:r>
          </w:p>
        </w:tc>
        <w:tc>
          <w:tcPr>
            <w:tcW w:w="818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2018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of ALLETE’s 2017 Form 10-K.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rPr>
              <w:t>ALLETE</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CONSOLIDATED BALANCE SHEET</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w w:val="93"/>
              </w:rPr>
              <w:t>Unaudited</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38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8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$98.5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$2.1 and $2.1)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128.2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143.1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403.6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3,786.1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3,822.4</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376.0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120.1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118.7</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224.5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225.9</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109.0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$5,072.1</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$88.1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$136.3</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14.6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106.2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130.2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83.2</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399.6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1,396.5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1,439.2</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229.7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516.0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532.0</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175.2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257.8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267.1</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2,974.8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3,011.8</w:t>
            </w: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w w:val="95"/>
              </w:rPr>
              <w:t>Common Stock Without Par Value, 80.0 Shares Authorized, 51.3 and 51.1 Shares Issued and Outstanding</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1,407.4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1,401.4</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717.8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689.4</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2,097.3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2,068.2</w:t>
            </w: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$5,072.1</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80" w:type="dxa"/>
            <w:vAlign w:val="bottom"/>
          </w:tcPr>
          <w:p>
            <w:pPr>
              <w:jc w:val="center"/>
              <w:ind w:left="295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50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800" w:type="dxa"/>
            <w:vAlign w:val="bottom"/>
          </w:tcPr>
          <w:p>
            <w:pPr>
              <w:spacing w:after="0"/>
              <w:rPr>
                <w:sz w:val="23"/>
                <w:szCs w:val="23"/>
                <w:color w:val="auto"/>
              </w:rPr>
            </w:pPr>
          </w:p>
        </w:tc>
        <w:tc>
          <w:tcPr>
            <w:tcW w:w="25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800" w:type="dxa"/>
            <w:vAlign w:val="bottom"/>
          </w:tcPr>
          <w:p>
            <w:pPr>
              <w:spacing w:after="0"/>
              <w:rPr>
                <w:sz w:val="23"/>
                <w:szCs w:val="23"/>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$270.2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$281.6</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6.0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358.2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365.6</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18.4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86.5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16.3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300.8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57.4</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(16.9)</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47.3</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$51.0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51.2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$0.97</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$0.56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$0.535</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80" w:type="dxa"/>
            <w:vAlign w:val="bottom"/>
          </w:tcPr>
          <w:p>
            <w:pPr>
              <w:spacing w:after="0"/>
              <w:rPr>
                <w:sz w:val="23"/>
                <w:szCs w:val="23"/>
                <w:color w:val="auto"/>
              </w:rPr>
            </w:pPr>
          </w:p>
        </w:tc>
        <w:tc>
          <w:tcPr>
            <w:tcW w:w="26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80" w:type="dxa"/>
            <w:vAlign w:val="bottom"/>
          </w:tcPr>
          <w:p>
            <w:pPr>
              <w:spacing w:after="0"/>
              <w:rPr>
                <w:sz w:val="23"/>
                <w:szCs w:val="23"/>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87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7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of $– and $0.3</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of $0.1 and $0.1</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7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1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$51.3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87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78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2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19"/>
                <w:szCs w:val="19"/>
                <w:color w:val="auto"/>
              </w:rPr>
            </w:pPr>
          </w:p>
        </w:tc>
        <w:tc>
          <w:tcPr>
            <w:tcW w:w="26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8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800" w:type="dxa"/>
            <w:vAlign w:val="bottom"/>
          </w:tcPr>
          <w:p>
            <w:pPr>
              <w:spacing w:after="0"/>
              <w:rPr>
                <w:sz w:val="23"/>
                <w:szCs w:val="23"/>
                <w:color w:val="auto"/>
              </w:rPr>
            </w:pP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2018</w:t>
            </w:r>
          </w:p>
        </w:tc>
        <w:tc>
          <w:tcPr>
            <w:tcW w:w="68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2017</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$51.0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$49.0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(0.5)</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Loss (Gain) on Sales of Investments and Property, Plant and Equipment</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(0.1)</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44.5</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Amortization of PSAs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(6.0)</w:t>
            </w:r>
          </w:p>
        </w:tc>
        <w:tc>
          <w:tcPr>
            <w:tcW w:w="6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(4.4)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13.0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1.7</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2.2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Provision for Interim Rate Refund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4.4</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Provision for Tax Reform Refund</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7.5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 (Recoveries)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6.3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(0.3)</w:t>
            </w:r>
          </w:p>
        </w:tc>
        <w:tc>
          <w:tcPr>
            <w:tcW w:w="6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(0.1)</w:t>
            </w:r>
          </w:p>
        </w:tc>
        <w:tc>
          <w:tcPr>
            <w:tcW w:w="6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17.3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(15.0)</w:t>
            </w: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7.4</w:t>
            </w:r>
          </w:p>
        </w:tc>
        <w:tc>
          <w:tcPr>
            <w:tcW w:w="6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121.3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98.7</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(5.3)</w:t>
            </w:r>
          </w:p>
        </w:tc>
        <w:tc>
          <w:tcPr>
            <w:tcW w:w="6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Investment in ATC</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to Other Investments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2.5</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(88.1)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Other Investing Activities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(89.0)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(28.7)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(for) Financing Activities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(26.5)</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9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5.8</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110.1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9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$115.9</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$99.5</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4"/>
        </w:trPr>
        <w:tc>
          <w:tcPr>
            <w:tcW w:w="880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36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Accumulated</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3"/>
              </w:rPr>
              <w:t>Total Shareholders’</w:t>
            </w:r>
          </w:p>
        </w:tc>
        <w:tc>
          <w:tcPr>
            <w:tcW w:w="1400" w:type="dxa"/>
            <w:vAlign w:val="bottom"/>
          </w:tcPr>
          <w:p>
            <w:pPr>
              <w:jc w:val="right"/>
              <w:ind w:right="332"/>
              <w:spacing w:after="0"/>
              <w:rPr>
                <w:sz w:val="20"/>
                <w:szCs w:val="20"/>
                <w:color w:val="auto"/>
              </w:rPr>
            </w:pPr>
            <w:r>
              <w:rPr>
                <w:rFonts w:ascii="Arial" w:cs="Arial" w:eastAsia="Arial" w:hAnsi="Arial"/>
                <w:sz w:val="16"/>
                <w:szCs w:val="16"/>
                <w:b w:val="1"/>
                <w:bCs w:val="1"/>
                <w:color w:val="auto"/>
              </w:rPr>
              <w:t>Retained</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5800" w:type="dxa"/>
            <w:vAlign w:val="bottom"/>
          </w:tcPr>
          <w:p>
            <w:pPr>
              <w:spacing w:after="0"/>
              <w:rPr>
                <w:sz w:val="18"/>
                <w:szCs w:val="18"/>
                <w:color w:val="auto"/>
              </w:rPr>
            </w:pPr>
          </w:p>
        </w:tc>
        <w:tc>
          <w:tcPr>
            <w:tcW w:w="1460" w:type="dxa"/>
            <w:vAlign w:val="bottom"/>
          </w:tcPr>
          <w:p>
            <w:pPr>
              <w:jc w:val="right"/>
              <w:ind w:right="411"/>
              <w:spacing w:after="0"/>
              <w:rPr>
                <w:sz w:val="20"/>
                <w:szCs w:val="20"/>
                <w:color w:val="auto"/>
              </w:rPr>
            </w:pPr>
            <w:r>
              <w:rPr>
                <w:rFonts w:ascii="Arial" w:cs="Arial" w:eastAsia="Arial" w:hAnsi="Arial"/>
                <w:sz w:val="16"/>
                <w:szCs w:val="16"/>
                <w:b w:val="1"/>
                <w:bCs w:val="1"/>
                <w:color w:val="auto"/>
              </w:rPr>
              <w:t>Equity</w:t>
            </w:r>
          </w:p>
        </w:tc>
        <w:tc>
          <w:tcPr>
            <w:tcW w:w="1400" w:type="dxa"/>
            <w:vAlign w:val="bottom"/>
          </w:tcPr>
          <w:p>
            <w:pPr>
              <w:jc w:val="right"/>
              <w:ind w:right="312"/>
              <w:spacing w:after="0"/>
              <w:rPr>
                <w:sz w:val="20"/>
                <w:szCs w:val="20"/>
                <w:color w:val="auto"/>
              </w:rPr>
            </w:pPr>
            <w:r>
              <w:rPr>
                <w:rFonts w:ascii="Arial" w:cs="Arial" w:eastAsia="Arial" w:hAnsi="Arial"/>
                <w:sz w:val="16"/>
                <w:szCs w:val="16"/>
                <w:b w:val="1"/>
                <w:bCs w:val="1"/>
                <w:color w:val="auto"/>
              </w:rPr>
              <w:t>Earnings</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5"/>
              </w:rPr>
              <w:t>Loss</w:t>
            </w: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$2,068.2</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$689.4</w:t>
            </w:r>
          </w:p>
        </w:tc>
        <w:tc>
          <w:tcPr>
            <w:tcW w:w="16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$(22.6)</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2,068.7</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695.5</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(28.2)</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51.0</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51.0</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Debt Securities</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0.4</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51.3</w:t>
            </w:r>
          </w:p>
        </w:tc>
        <w:tc>
          <w:tcPr>
            <w:tcW w:w="1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w:t>
            </w: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(28.7)</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March 31, 2018</w:t>
            </w:r>
          </w:p>
        </w:tc>
        <w:tc>
          <w:tcPr>
            <w:tcW w:w="14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$2,097.3</w:t>
            </w:r>
          </w:p>
        </w:tc>
        <w:tc>
          <w:tcPr>
            <w:tcW w:w="1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$717.8</w:t>
            </w:r>
          </w:p>
        </w:tc>
        <w:tc>
          <w:tcPr>
            <w:tcW w:w="160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$(27.9)</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310" w:lineRule="auto"/>
        <w:tabs>
          <w:tab w:leader="none" w:pos="34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Reflects the impacts associated with the recently adopted accounting standards concerning Financial Instruments, Revenue from Contracts with Customers and the Reclassification of Certain Tax Effects from Accumulated Other Comprehensive Income. (See Note 1. Operations and Significant Accounting Policies.)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2017,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2018, are not necessarily indicative of results that may be expected for any other interim period or for the year ending December 31, 2018. For further information, refer to the Consolidated Financial Statements and notes included in our 2017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cash amounts included in Prepayments and Other on the Consolidated Balance Sheet include collateral deposits required under an ALLETE Clean Energy loan agreement and U.S. Water Service’s standby letters of credit. The restricted cash amounts included in Other Non-Current Assets represents collateral deposits required under an ALLETE Clean Energy loan agreement and PSAs, and deposits from a SWL&amp;P customer in aid of future capital expenditures. The following table provides a reconciliation of cash, cash equivalents and restricted cash reported within the Consolidated Balance Sheet that aggregate to the amount presented in the Consolidated Statement of Cash Flows. During the first quarter of 2018, the Company updated the presentation of its Consolidated Statement of Cash Flows to include restricted cash with cash and cash equivalents when reconciling the beginning-of-period and end-of-period total amounts shown on the Consolidated Statement of Cash Flows. (See </w:t>
      </w:r>
      <w:r>
        <w:rPr>
          <w:rFonts w:ascii="Arial" w:cs="Arial" w:eastAsia="Arial" w:hAnsi="Arial"/>
          <w:sz w:val="16"/>
          <w:szCs w:val="16"/>
          <w:i w:val="1"/>
          <w:iCs w:val="1"/>
          <w:color w:val="auto"/>
        </w:rPr>
        <w:t>Recently Adopted Pronouncements - Statement of Cash Flows: Restricted Cash</w:t>
      </w:r>
      <w:r>
        <w:rPr>
          <w:rFonts w:ascii="Arial" w:cs="Arial" w:eastAsia="Arial" w:hAnsi="Arial"/>
          <w:sz w:val="16"/>
          <w:szCs w:val="16"/>
          <w:color w:val="auto"/>
        </w:rPr>
        <w:t>.)</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$98.5</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$98.9</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in the Consolidated</w:t>
            </w:r>
          </w:p>
        </w:tc>
        <w:tc>
          <w:tcPr>
            <w:tcW w:w="16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$115.9</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$110.1</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$99.5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U.S. Water Services and ALLETE Clean Energy segments, and Corporate and Other operations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406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4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9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$33.8</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46.9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5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of Wind Energy Facility </w:t>
            </w:r>
            <w:r>
              <w:rPr>
                <w:rFonts w:ascii="Arial" w:cs="Arial" w:eastAsia="Arial" w:hAnsi="Arial"/>
                <w:sz w:val="16"/>
                <w:szCs w:val="16"/>
                <w:i w:val="1"/>
                <w:iCs w:val="1"/>
                <w:color w:val="auto"/>
              </w:rPr>
              <w:t>(b)</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Progress</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9.3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Obsolescence</w:t>
            </w:r>
          </w:p>
        </w:tc>
        <w:tc>
          <w:tcPr>
            <w:tcW w:w="4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 – Net</w:t>
            </w:r>
          </w:p>
        </w:tc>
        <w:tc>
          <w:tcPr>
            <w:tcW w:w="4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$143.1</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On February 28, 2018, Montana-Dakota Utilities exercised its option to purchase the Thunder Spirit II wind energy facility upon completion, resulting in a reclassification of the project value from Property, Plant and Equipment – Net to Inventory – Net as ALLETE Clean Energy will no longer own and operate the facility upon completion.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7840" w:type="dxa"/>
            <w:vAlign w:val="bottom"/>
          </w:tcPr>
          <w:p>
            <w:pPr>
              <w:spacing w:after="0"/>
              <w:rPr>
                <w:sz w:val="24"/>
                <w:szCs w:val="24"/>
                <w:color w:val="auto"/>
              </w:rPr>
            </w:pP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7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$109.0</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PSAs</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47.6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is expected to be refunded to Minnesota Power’s regulated retail customers in the first quarter of 2019. (See Note 6. Regulatory Matters.)</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include deposits received as a result of entering into contracts with our customers prior to completing our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is deferred as a regulatory liability pending the outcome of regulatory proceedings with the MPUC and PSCW. (See Note 6. Regulatory Matters.)</w:t>
      </w: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PSAs</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86.3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48.6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$257.8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0"/>
        </w:trPr>
        <w:tc>
          <w:tcPr>
            <w:tcW w:w="5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52" w:lineRule="exact"/>
        <w:rPr>
          <w:rFonts w:ascii="Arial" w:cs="Arial" w:eastAsia="Arial" w:hAnsi="Arial"/>
          <w:sz w:val="14"/>
          <w:szCs w:val="14"/>
          <w:i w:val="1"/>
          <w:iCs w:val="1"/>
          <w:color w:val="auto"/>
        </w:rPr>
      </w:pPr>
    </w:p>
    <w:p>
      <w:pPr>
        <w:ind w:left="4400"/>
        <w:spacing w:after="0"/>
        <w:rPr>
          <w:rFonts w:ascii="Arial" w:cs="Arial" w:eastAsia="Arial" w:hAnsi="Arial"/>
          <w:sz w:val="14"/>
          <w:szCs w:val="14"/>
          <w:i w:val="1"/>
          <w:iCs w:val="1"/>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3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0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3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$(48.1)</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$46.9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Plans</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80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On February 28, 2018, Montana-Dakota Utilities exercised its option to purchase the Thunder Spirit II wind energy facility upon completion, resulting in a reclassification of the project value from Property, Plant and Equipment – Net to Inventory – Net as ALLETE Clean Energy will no longer own and operate the facility upon completion.</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during production of paper and pulp.</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revenue recognized by ALLETE Clean Energy for the amortization of differences between contract prices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PSAs that were assumed during the acquisition of various wind energy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16 non-affiliated municipal customers in Minnesota under long-term wholesale electric contracts. All wholesale electric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termination clause requiring a three-year notice to terminate. These contracts have termination dates ranging from 2019 through at least 2032, with a majority of contracts effective through at least 2024. Performance obligations with these customers are satisfied at the time energy is delivered to an agreed upon municipal substation or meter.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includes sales recognized from contracts with customers in the taconite mining, iron concentrate, paper, pulp and secondary wood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and other industries. Industrial sales accounted for approximately 49 percent of total regulated utility kWh sales for the three months ended March 31, 2018. Within industrial revenue, Minnesota Power has 9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2022 through 2026.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$70 million per annum through 2019, $50 million in 2020 and 2021, $30 million in 2022 and $30 million for aggregate years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Other Power Suppliers </w:t>
      </w:r>
      <w:r>
        <w:rPr>
          <w:rFonts w:ascii="Arial" w:cs="Arial" w:eastAsia="Arial" w:hAnsi="Arial"/>
          <w:sz w:val="17"/>
          <w:szCs w:val="17"/>
          <w:color w:val="auto"/>
        </w:rPr>
        <w:t>includes the sale of energy under long-term PSAs with two customers as well as MISO market and liquidation sales. Expiration dates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PSAs range from 2020 through 2026. Performance obligations with these customers are satisfied at the time energy is delivered to an agreed upon delivery point defined in the contract (generally the MISO pricing node). Based on current contracts with customers, we expect to recognize minimum revenue for fixed contract components of approximately $10 million per annum through 2019. Other power supplier contracts that extend beyond 2020 contain variable pricing components that prevent us from estimating future minimum revenue, and therefore are not included.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includes all remaining individually immaterial revenue streams for Minnesota Power and SWL&amp;P, and is comprised of steam sales to paper</w:t>
      </w:r>
      <w:r>
        <w:rPr>
          <w:rFonts w:ascii="Arial" w:cs="Arial" w:eastAsia="Arial" w:hAnsi="Arial"/>
          <w:sz w:val="17"/>
          <w:szCs w:val="17"/>
          <w:i w:val="1"/>
          <w:iCs w:val="1"/>
          <w:color w:val="auto"/>
        </w:rPr>
        <w:t xml:space="preserve"> </w:t>
      </w:r>
      <w:r>
        <w:rPr>
          <w:rFonts w:ascii="Arial" w:cs="Arial" w:eastAsia="Arial" w:hAnsi="Arial"/>
          <w:sz w:val="17"/>
          <w:szCs w:val="17"/>
          <w:color w:val="auto"/>
        </w:rPr>
        <w:t>and pulp mills, wheeling revenue and other sources. Revenue for steam sales to customers is recognized at the time steam is delivered and simultaneously consumed, and includes standard payment terms. Revenue is recognized at the time each performance obligation is satisfied.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Alternative Programs </w:t>
      </w:r>
      <w:r>
        <w:rPr>
          <w:rFonts w:ascii="Arial" w:cs="Arial" w:eastAsia="Arial" w:hAnsi="Arial"/>
          <w:sz w:val="18"/>
          <w:szCs w:val="18"/>
          <w:color w:val="auto"/>
        </w:rPr>
        <w:t>includes revenue that is driven by factors outside of our regulated entities’ control or as a result of the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such as CIP financial incentives. This revenue is 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Long-term PSA </w:t>
      </w:r>
      <w:r>
        <w:rPr>
          <w:rFonts w:ascii="Arial" w:cs="Arial" w:eastAsia="Arial" w:hAnsi="Arial"/>
          <w:sz w:val="16"/>
          <w:szCs w:val="16"/>
          <w:color w:val="auto"/>
        </w:rPr>
        <w:t>revenue includes all sales recognized under long-term contracts for production, curtailment, capacity and associated renewable energy credits</w:t>
      </w:r>
      <w:r>
        <w:rPr>
          <w:rFonts w:ascii="Arial" w:cs="Arial" w:eastAsia="Arial" w:hAnsi="Arial"/>
          <w:sz w:val="16"/>
          <w:szCs w:val="16"/>
          <w:i w:val="1"/>
          <w:iCs w:val="1"/>
          <w:color w:val="auto"/>
        </w:rPr>
        <w:t xml:space="preserve"> </w:t>
      </w:r>
      <w:r>
        <w:rPr>
          <w:rFonts w:ascii="Arial" w:cs="Arial" w:eastAsia="Arial" w:hAnsi="Arial"/>
          <w:sz w:val="16"/>
          <w:szCs w:val="16"/>
          <w:color w:val="auto"/>
        </w:rPr>
        <w:t>for ALLETE Clean Energy generation facilities. Expiration dates of these PSAs range from 2018 through 2032.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revenue recognized by ALLETE Clean Energy for the amortization of differences between contract prices and estimated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Point-in-time </w:t>
      </w:r>
      <w:r>
        <w:rPr>
          <w:rFonts w:ascii="Arial" w:cs="Arial" w:eastAsia="Arial" w:hAnsi="Arial"/>
          <w:sz w:val="17"/>
          <w:szCs w:val="17"/>
          <w:color w:val="auto"/>
        </w:rPr>
        <w:t>revenue is recognized for purchases by customers for chemicals, consumable equipment (e.g. filters, pumps and valves) or related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repair services as the customer’s usage and needs change over time. These goods and services are purchased on an as-needed basis by the customers and therefore revenue can be variable. Products are shipped to the customer in accordance with the terms of the purchase order, and performance obligations are satisfied at the time of shipment of goods or when services have been rendered to the customer.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Contract </w:t>
      </w:r>
      <w:r>
        <w:rPr>
          <w:rFonts w:ascii="Arial" w:cs="Arial" w:eastAsia="Arial" w:hAnsi="Arial"/>
          <w:sz w:val="18"/>
          <w:szCs w:val="18"/>
          <w:color w:val="auto"/>
        </w:rPr>
        <w:t>includes monthly revenue from contracts with customers to provide chemicals, consumable equipment and services to meet customer needs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 period. As agreed with the customer, a fixed amount is invoiced based on the goods and services to be provided under the contract. The duration of these contracts generally range in length from three months to five years and automatically renew. A 30-day notice is required to terminate such contracts without penalty after contract execution. Performance obligations are satisfied during the period as goods and service are delivered in accordance with the terms of the contract.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Project </w:t>
      </w:r>
      <w:r>
        <w:rPr>
          <w:rFonts w:ascii="Arial" w:cs="Arial" w:eastAsia="Arial" w:hAnsi="Arial"/>
          <w:sz w:val="18"/>
          <w:szCs w:val="18"/>
          <w:color w:val="auto"/>
        </w:rPr>
        <w:t>includes the sale of equipment and other components assembled to create a water treatment system for the customer. These projects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contracts at an agreed upon price to meet a customer's specifications and typically take less than one year to complete. In general, progress payments are received throughout the project period and are recorded as contract liabilities until performance obligations are satisfied at the time the equipment and other components are delivered to the customer’s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which is unrelated to coal, the sale of real estate from ALLETE Properties, and non-rate base steam</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generation that 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our taconite-producing Large Power Customers, payment terms generally require payment to be made within 15 to 30 days from the end of the period that the service has been rendered or goods provided.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customer receives credit for the time value of money; however, we have determined that our contracts do not include a significant financing component as the period in which we transfer the service to the customer and when they pay for such service is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March 31, 2018, we have $31.0 million of assets recognized for costs incurred to obtain contracts with our customers ($31.6 million as of December 31, 2017).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For the three months ended March 31, 2018, and 2017, we recognized $0.6 million of non-cash amortization.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Reclassification of Certain Tax Effects from Accumulated Other Comprehensive Income. </w:t>
      </w:r>
      <w:r>
        <w:rPr>
          <w:rFonts w:ascii="Arial" w:cs="Arial" w:eastAsia="Arial" w:hAnsi="Arial"/>
          <w:sz w:val="17"/>
          <w:szCs w:val="17"/>
          <w:color w:val="auto"/>
        </w:rPr>
        <w:t>In February 2018, the FASB issued an update allowing for a one-time reclassification from accumulated other comprehensive income to retained earnings for stranded tax effects resulting from the enactment of the TCJA. With the enactment of the new federal tax rates in 2017, entities were required to adjust deferred tax assets and liabilities to reflect the lower federal rate with the effect of this reduction impacting income from continuing operations in the period of enactment, even in instances where the related income tax effects of items were originally recognized in other comprehensive income. As such, companies were left with stranded tax effects in accumulated other comprehensive income that did not reflect the appropriate tax rate. This guidance is effective in the first quarter of 2019 with early adoption permitted. The Company elected to early adopt this guidance in the first quarter of 2018 which resulted in a reduction of $5.7 million to Accumulated Other Comprehensive Loss and a corresponding increase to Retained Earnings for the reclassification of the stranded income tax effects.</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Improving the Presentation of Net Periodic Pension Cost and Net Periodic Postretirement Benefit Cost. </w:t>
      </w:r>
      <w:r>
        <w:rPr>
          <w:rFonts w:ascii="Arial" w:cs="Arial" w:eastAsia="Arial" w:hAnsi="Arial"/>
          <w:sz w:val="16"/>
          <w:szCs w:val="16"/>
          <w:color w:val="auto"/>
        </w:rPr>
        <w:t>In March 2017, the FASB issued an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update to improve the presentation of net periodic pension and postretirement benefit costs. Under the guidance, an entity is required to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on a prospective basis. The other components of net periodic expense must be presented separately from the line item that includes the service cost and must be excluded from the operating income subtotal. The Company adopted the guidance in the first quarter of 2018 and retrospectively adjusted the presentation of the service cost component and the other components of net periodic costs in the Consolidated Statement of Income. The retrospective adjustment for the three months ended March 31, 2017, from Operating and Maintenance and Cost of Sales – Non-utility was an increase of $1.1 million and a decrease of $0.1 million, respectively, resulting in an increase of $1.0 million to Other Income (Expense) – Other. There was no impact to net income as a result of adoption.</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In 2016, the FASB issued an accounting standard update which requires entities to measure equity investments at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any changes in fair value in net income unless the investments qualify for the practicability exception. The practicability exception will be available for equity investments that do not have readily determinable fair values. The amendments of this update were adopted by the Company in the first quarter of 2018 which resulted in a cumulative-effect transition adjustment reducing Retained Earnings by $0.1 million, including the tax effect, for the previously unrealized loss on available-for-sale equity securities in Accumulated Other Comprehensive Loss as of December 31, 2017.</w:t>
      </w:r>
    </w:p>
    <w:p>
      <w:pPr>
        <w:spacing w:after="0" w:line="17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Classification of Certain Cash Receipts and Cash Payments. </w:t>
      </w:r>
      <w:r>
        <w:rPr>
          <w:rFonts w:ascii="Arial" w:cs="Arial" w:eastAsia="Arial" w:hAnsi="Arial"/>
          <w:sz w:val="17"/>
          <w:szCs w:val="17"/>
          <w:color w:val="auto"/>
        </w:rPr>
        <w:t>In 2016, the FASB issued an accounting standard update which addresses the following eight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cash flow issues: debt prepayment or debt extinguishment costs; settlement of zero</w:t>
      </w:r>
      <w:r>
        <w:rPr>
          <w:rFonts w:ascii="MS PGothic" w:cs="MS PGothic" w:eastAsia="MS PGothic" w:hAnsi="MS PGothic"/>
          <w:sz w:val="17"/>
          <w:szCs w:val="17"/>
          <w:color w:val="auto"/>
        </w:rPr>
        <w:t>‑</w:t>
      </w:r>
      <w:r>
        <w:rPr>
          <w:rFonts w:ascii="Arial" w:cs="Arial" w:eastAsia="Arial" w:hAnsi="Arial"/>
          <w:sz w:val="17"/>
          <w:szCs w:val="17"/>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of this update were adopted by the Company in the first quarter of 2018. There was no impact to the Consolidated Statement of Cash Flows as a result of adoption.</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Statement of Cash Flows: Restricted Cash. </w:t>
      </w:r>
      <w:r>
        <w:rPr>
          <w:rFonts w:ascii="Arial" w:cs="Arial" w:eastAsia="Arial" w:hAnsi="Arial"/>
          <w:sz w:val="16"/>
          <w:szCs w:val="16"/>
          <w:color w:val="auto"/>
        </w:rPr>
        <w:t>In 2016, the FASB issued an accounting standard update related to the presentation of restricted cash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guidance update was adopted by the Company in the first quarter of 2018 and was applied retrospectively to the periods presented in the Consolidated Statement of Cash Flows which resulted in a net increase in cash from financing activities of $6.9 million for the three months ended March 31, 2017. Additional disclosure, including a reconciliation of the beginning-of-period and end-of-period cash on hand to the statement of cash flows is included in this note. (See </w:t>
      </w:r>
      <w:r>
        <w:rPr>
          <w:rFonts w:ascii="Arial" w:cs="Arial" w:eastAsia="Arial" w:hAnsi="Arial"/>
          <w:sz w:val="16"/>
          <w:szCs w:val="16"/>
          <w:i w:val="1"/>
          <w:iCs w:val="1"/>
          <w:color w:val="auto"/>
        </w:rPr>
        <w:t>Cash, Cash Equivalents and Restricted Cash</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to in exchange for those goods or services. The guidance requires expanded disclosures relating to the nature, amount, timing, and uncertainty of revenue and cash flows arising from contracts with customers. Additionally, qualitative and quantitative disclosures regarding customer contracts, significant judgments and changes in those judgments, and the assets recognized from the costs to obtain or fulfill a contract are required. The Company adopted this accounting guidance in the first quarter of 2018 and elected to apply the modified retrospective method of adoption to all contracts as of the date of initial application. The overall financial impact to the consolidated financial statements as a result of adoption of the new standard is immaterial. Based on the nature of the contracts with our customers and our related performance obligations which transfer control, a $0.5 million after-tax cumulative</w:t>
      </w:r>
      <w:r>
        <w:rPr>
          <w:rFonts w:ascii="MS PGothic" w:cs="MS PGothic" w:eastAsia="MS PGothic" w:hAnsi="MS PGothic"/>
          <w:sz w:val="17"/>
          <w:szCs w:val="17"/>
          <w:color w:val="auto"/>
        </w:rPr>
        <w:t>‑</w:t>
      </w:r>
      <w:r>
        <w:rPr>
          <w:rFonts w:ascii="Arial" w:cs="Arial" w:eastAsia="Arial" w:hAnsi="Arial"/>
          <w:sz w:val="17"/>
          <w:szCs w:val="17"/>
          <w:color w:val="auto"/>
        </w:rPr>
        <w:t xml:space="preserve">effect transition adjustment was made to increase opening Retained Earnings. We have included additional disclosures in the notes to the consolidated financial statements including additional information on the Company’s revenue streams and related performance obligations required to be satisfied in order to recognize revenue. (See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practical expedients were used by the Company as part of the adoption of the new revenue recognition guidance:</w:t>
      </w:r>
    </w:p>
    <w:p>
      <w:pPr>
        <w:spacing w:after="0" w:line="23"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have a right to consideration from our customers in an amount that corresponds directly with the value to such customer for performance completed to date; therefore, we may recognize revenue in the amount to which we have a right to invoice.</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as at contract inception we expect that the period between when we transfer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applicable, we adopted this guidance using the portfolio approach in which contracts that have similar characteristics were reviewed as a portfolio. The effects on the financial statements of applying this guidance to the portfolio would not differ materially from applying the guidance to each individual contract.</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 the incremental costs of obtaining a contract as an expense when incurred if the amortization period of the asset that would otherwise have been recognized is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revises the existing guidance for leases. Under the revised guidance, lessees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new guidance. We expect to make approximately $80 million in minimum lease payments due in future years (undiscounted). The revised guidance is effective for the Company beginning in the first quarter of 2019 with early adoption permitted. We are currently evaluating the impact of the revised lease guidance on our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Under SEC Staff Accounting Bulletin 118 (SAB 118), which was issued in December 2017, companies were allowed up to one year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the required analyses and accounting for the TCJA. SAB 118 requires companies to disclose which tax positions are considered complete, which tax positions are considered provisional and which tax provisions reflect prior law. At December 31, 2017, we were reasonably able to estimate the effects of the TCJA, and therefore recorded provisional amounts associated with the changes under the TCJA. The provisional amounts incorporate assumptions made based upon the Company’s current interpretation of the TCJA, and may change as the Company receives additional clarification and implementation guidance. We have not made any adjustments to our accounting to date, although the accounting is still considered provisional while we complete our analysis. Any adjustments recorded to the provisional amounts in 2018 will be included in income from operations as an adjustment to income tax expense.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Reclassification of Prior Income Statement. </w:t>
      </w:r>
      <w:r>
        <w:rPr>
          <w:rFonts w:ascii="Arial" w:cs="Arial" w:eastAsia="Arial" w:hAnsi="Arial"/>
          <w:sz w:val="18"/>
          <w:szCs w:val="18"/>
          <w:color w:val="auto"/>
        </w:rPr>
        <w:t>Beginning with the second quarter of 2017, the Company enhanced its presentation of Operating Revenue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Operating Expenses on the Consolidated Statement of Income by presenting the caption Operating Revenue separately as Operating Revenue – Utility and Operating Revenue – Non-utility. In conformity with the current presentation, we now present $281.6 million of Operating Revenue as Operating Revenue – Utility for the three months ended March 31, 2017, as it is generated from our regulated utility operations. Non-utility revenue of $84.0 million for the three months ended March 31, 2017, is now presented as Operating Revenue – Non-utility. In addition, the captions Fuel and Purchased Power and Cost of Sales have been updated to Fuel, Purchased Power and Gas – Utility and Cost of Sales – Non-utility. As a result, we have reclassified $3.6 million relating to the cost of gas sales at SWL&amp;P from the historic caption Cost of Sales to Fuel, Purchased Power and Gas – Utility for the three months ended March 31,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March 31, 2018,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43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554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2018, the aggregate amount of available-for-sale corporate and governmental debt securities maturing in one year or less was $0.9 million, in one year to less than three years was $3.4 million, in three years to less than five years was $3.3 million and in five or more years was $1.1 million.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Land Inventory. </w:t>
      </w:r>
      <w:r>
        <w:rPr>
          <w:rFonts w:ascii="Arial" w:cs="Arial" w:eastAsia="Arial" w:hAnsi="Arial"/>
          <w:sz w:val="16"/>
          <w:szCs w:val="16"/>
          <w:color w:val="auto"/>
        </w:rPr>
        <w:t>Land inventory is accounted for as held for use and is recorded at cost, unless the carrying value is determined not to be recoverable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accounting standards for property, plant and equipment, in which case the land inventory is written down to estimated fair value. Land values are reviewed for indicators of impairment on a quarterly basis and no impairment was recorded for the three months ended March 31, 2018, and 2017.</w:t>
      </w:r>
    </w:p>
    <w:p>
      <w:pPr>
        <w:spacing w:after="0" w:line="14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We account for our available-for-sale securities portfolio in accordance with the guidance for certain investments in debt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equity securities. Our available-for-sale securities portfolio consisted primarily of securities held in other postretirement plans to fund employee benefits. Gross realized and unrealized gains and losses on our available-for-sale securities were immaterial for the three months ended March 31, 2018, and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three months ended March 31, 2018, and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In September 2017, U.S. Water Services acquired 100 percent of Tonka Water. Total consideration for the transaction was $19.2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working capital adjustment. Consideration of $19.0 million was paid in cash on the acquisition date and a working capital adjustment of $0.2 million was paid in the fourth quarter of 2017. Tonka Water is a supplier of municipal and industrial water treatment systems and will expand U.S. Water Services’ geographic and customer markets.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2018, is reflected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6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Liabilities Assumed</w:t>
            </w:r>
          </w:p>
        </w:tc>
        <w:tc>
          <w:tcPr>
            <w:tcW w:w="4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Identifiable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0"/>
        </w:trPr>
        <w:tc>
          <w:tcPr>
            <w:tcW w:w="684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carrying amount of goodwill was $148.3 million as of March 31, 2018, and December 31, 2017. There have been no changes to goodwill by reportable segment for the three months ended March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w w:val="93"/>
              </w:rPr>
              <w:t>Balances of intangible assets, net, excluding goodwill as of March 31, 2018, are as follows:</w:t>
            </w: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7"/>
        </w:trPr>
        <w:tc>
          <w:tcPr>
            <w:tcW w:w="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174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Amortization</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5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1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$54.7</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r>
      <w:tr>
        <w:trPr>
          <w:trHeight w:val="243"/>
        </w:trPr>
        <w:tc>
          <w:tcPr>
            <w:tcW w:w="40" w:type="dxa"/>
            <w:vAlign w:val="bottom"/>
          </w:tcPr>
          <w:p>
            <w:pPr>
              <w:spacing w:after="0"/>
              <w:rPr>
                <w:sz w:val="21"/>
                <w:szCs w:val="21"/>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61.0</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r>
      <w:tr>
        <w:trPr>
          <w:trHeight w:val="243"/>
        </w:trPr>
        <w:tc>
          <w:tcPr>
            <w:tcW w:w="4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37"/>
        </w:trPr>
        <w:tc>
          <w:tcPr>
            <w:tcW w:w="40" w:type="dxa"/>
            <w:vAlign w:val="bottom"/>
          </w:tcPr>
          <w:p>
            <w:pPr>
              <w:spacing w:after="0"/>
              <w:rPr>
                <w:sz w:val="20"/>
                <w:szCs w:val="20"/>
                <w:color w:val="auto"/>
              </w:rPr>
            </w:pPr>
          </w:p>
        </w:tc>
        <w:tc>
          <w:tcPr>
            <w:tcW w:w="6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5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$77.6</w:t>
            </w:r>
          </w:p>
        </w:tc>
        <w:tc>
          <w:tcPr>
            <w:tcW w:w="17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$(1.4)</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land easements and trade names with finite lives.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20 years, and developed technology and other have remaining useful lives ranging from approximately 1 year to approximately 11 years (weighted average of approximately 7 years). The weighted average remaining useful life of all definite-lived intangible assets as of March 31, 2018, is approximately 18 years.</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Amortization expense for intangible assets was $1.4 million for the three months ended March 31, 2018, and 2017. Accumulated amortization was $16.2 million as of March 31, 2018 ($14.8 million as of December 31, 2017). The estimated amortization expense for definite-lived intangible assets for the remainder of 2018 is $4.0 million. Estimated annual amortization expense for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is $4.9 million in 2019, $4.7 million in 2020, $4.6 million in 2021, $4.3 million in 2022 and $37.1 million thereafter.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2017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2018, and December 31, 2017.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1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6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Fair Value as of March 31, 2018</w:t>
            </w:r>
          </w:p>
        </w:tc>
        <w:tc>
          <w:tcPr>
            <w:tcW w:w="86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$8.7</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6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$8.7</w:t>
            </w:r>
          </w:p>
        </w:tc>
        <w:tc>
          <w:tcPr>
            <w:tcW w:w="12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6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(b)</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(c)</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$(11.5)</w:t>
            </w: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$(5.5)</w:t>
            </w: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2017</w:t>
            </w:r>
          </w:p>
        </w:tc>
        <w:tc>
          <w:tcPr>
            <w:tcW w:w="80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$(9.3)</w:t>
            </w:r>
          </w:p>
        </w:tc>
        <w:tc>
          <w:tcPr>
            <w:tcW w:w="13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7"/>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modifications to the shareholder agreement, changes in discount rates, timing of milestones that trigger payment, or the timing and amount of earnings estimates. The following table provides a reconciliation of the beginning and ending balances of the U.S. Water Services Contingent Consideration measured at fair value using Level 3 measurements as of March 31, 2018. Management analyzes the fair value of the contingent liability on a quarterly basis and makes adjustments as appropriate.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6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7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0"/>
        </w:trPr>
        <w:tc>
          <w:tcPr>
            <w:tcW w:w="670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36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and the year ended December 31, 2017,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March 31, 2018</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$1,512.2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$1,583.1</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2017</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$1,513.3</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$1,627.6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three months ended March 31, 2018, and the year ended December 31, 2017, there were no triggering events or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2017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PSCW or FERC. As authorized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MPUC, Minnesota Power also recognizes revenue under cost recovery riders for transmission, renewable, and environmental investments and expenditures. (See </w:t>
      </w:r>
      <w:r>
        <w:rPr>
          <w:rFonts w:ascii="Arial" w:cs="Arial" w:eastAsia="Arial" w:hAnsi="Arial"/>
          <w:sz w:val="17"/>
          <w:szCs w:val="17"/>
          <w:i w:val="1"/>
          <w:iCs w:val="1"/>
          <w:color w:val="auto"/>
        </w:rPr>
        <w:t>Transmission Cost Recovery Rider, Renewable Cost Recovery Rider</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Revenue from cost recovery riders was $24.1 million for the three months ended March 31, 2018 ($24.2 million for the three months ended March 31, 2017).</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will be partially offset by the recognition of a corresponding reserve. Minnesota Power has recorded a reserve for an interim rate refund of approximately $41 million as of March 31, 2018 ($32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pre-tax on an annual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 2018, Minnesota Power filed a petition for reconsideration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On April 12, 2018, Minnesota Power responded to a Minnesota Department of Commerce (DOC) request for reconsideration requesting that the MPUC generally accept, with modifications and conditions, the DOC’s proposal to reduce the depreciable lives of Boswell Unit 3, Unit 4 and common facilities to 2035 and use the benefits of the TCJA to offset the resulting increase in customer rates. We expect a decision on reconsideration by mid-year in 2018. We are unable to predict the outcome of this regulatory proceeding.</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which established a Minnesota energy policy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receivable. 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$4.3 million of discounts to EITE customers during the three months ended March 31, 2018 ($2.3 million for the three months ended March 31, 2017).</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May 31, 2021, and through June 30, 2019, respectively. Under the agreement with SWL&amp;P, no termination notice has been given. The other municipal customer provided termination notice for its contract in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varying dates ranging from 2024 through 2029 with a majority effective through at least December 31, 2024.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for certain transmission investments and expenditures. In a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order, the MPUC approved Minnesota Power’s updated customer billing rates which allow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bill factor filings.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investments and expenditures related to Bison and the restoration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repair of Thomson. The cost recovery rider allows Minnesota Power to charge retail customers on a current basis for the costs of certain renewable investments plus a return on the capital invested. Updated customer billing rates for the renewable cost recovery rider were approved by the MPUC in a November 2017 order.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of the Boswell Unit 4 mercury emissions reduction plan completed in 2015. Updated customer billing rates for the environmental improvement rider were approved by the MPUC in a 2016 order; however, implementation of the updated rates was delayed pending resolution of Minnesota Power’s 2016 general rate case based on a March 2017 MPUC order. On April 9, 2018, Minnesota Power filed an updated environmental improvement factor filing and requested to implement the updated billing rates to coincide with the implementation of final rates from its 2016 general rate case. (See </w:t>
      </w:r>
      <w:r>
        <w:rPr>
          <w:rFonts w:ascii="Arial" w:cs="Arial" w:eastAsia="Arial" w:hAnsi="Arial"/>
          <w:sz w:val="18"/>
          <w:szCs w:val="18"/>
          <w:i w:val="1"/>
          <w:iCs w:val="1"/>
          <w:color w:val="auto"/>
        </w:rPr>
        <w:t>2016 Minnesota General Rate Case</w:t>
      </w:r>
      <w:r>
        <w:rPr>
          <w:rFonts w:ascii="Arial" w:cs="Arial" w:eastAsia="Arial" w:hAnsi="Arial"/>
          <w:sz w:val="18"/>
          <w:szCs w:val="18"/>
          <w:color w:val="auto"/>
        </w:rPr>
        <w:t>.) Upon approval of the filing and implementation of final rates from its 2016 general rate case, Minnesota Power will be authorized to include updated billing rates on customer bills.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Fuel Adjustment Clause Reform Pilot</w:t>
      </w:r>
      <w:r>
        <w:rPr>
          <w:rFonts w:ascii="Arial" w:cs="Arial" w:eastAsia="Arial" w:hAnsi="Arial"/>
          <w:sz w:val="18"/>
          <w:szCs w:val="18"/>
          <w:color w:val="auto"/>
        </w:rPr>
        <w:t>. In a December 2017 order, the MPUC adopted a three-year pilot program to implement certain procedural reforms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Minnesota utilities’ automatic fuel adjustment clause (FAC) for fuel and purchased power. The order will change the method of accounting for all Minnesota electric utilities to a monthly budgeted, forwarded-looking FAC with an annual prudence review and true-up to actual allowed costs. The MPUC is seeking input from Minnesota electric utilities and other stakeholders on the implementation and transition accounting needed to adopt the change. The three-year pilot program is expected to begin in 2019. In an order dated March 12, 2018, the MPUC affirmed determinations made at a hearing on January 18, 2018, at which the MPUC disallowed Minnesota Power’s regulatory asset for deferred fuel adjustment clause costs due to the anticipated adoption of the forward-looking fuel adjustment clause methodology in this proceeding resulting in a $19.5 million pre-tax charge to Fuel, Purchased Power and Gas – Utility in the fourth quarter of 2017.</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Tax Cuts and Jobs Act of 2017</w:t>
      </w:r>
      <w:r>
        <w:rPr>
          <w:rFonts w:ascii="Arial" w:cs="Arial" w:eastAsia="Arial" w:hAnsi="Arial"/>
          <w:sz w:val="17"/>
          <w:szCs w:val="17"/>
          <w:color w:val="auto"/>
        </w:rPr>
        <w:t>. In December 2017, the MPUC opened a docket to review the effects of the TCJA on electric and natural gas rates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Minnesota, including the legislation’s impact on tax rates and utilities’ deferred income tax assets and liabilities. On March 2, 2018, Minnesota Power submitted an initial filing to the MPUC regarding the impacts of the TCJA on Minnesota Power. In this filing, Minnesota Power proposed to use the net tax benefits as an offset to other regulated costs, to the extent Minnesota Power is able to earn its allowed return on common equity, and flow the remainder of the benefits to customers through a new tax cost recovery rider. On April 20, 2018, Minnesota Power responded to intervenor comments requesting that the MPUC generally accept, with modifications and conditions, the DOC’s proposal to reduce the depreciable lives of Boswell Unit 3, Unit 4 and common facilities to 2035 and use the benefits of the TCJA to offset the resulting increase in customer rates.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10, 2018, the PSCW also opened a docket to review the effects of the TCJA and directed Wisconsin utilities to defer its impacts until further direction is provided by the PSCW. On February 9, 2018, SWL&amp;P filed comments with the PSCW regarding the impacts of the TCJA on SWL&amp;P. In this filing, SWL&amp;P proposed deferring the benefits of the TCJA and incorporating any deferred refunds or credits into its next general rate case.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recorded the impact of the remeasurement of deferred income tax assets and liabilities in 2017 and the federal income tax rate change in 2018 resulting from the TCJA for Minnesota Power and SWL&amp;P as regulatory assets and liabilities as the benefits of the TCJA are deferred pending the outcome of these regulatory proceedings. We are unable to predict the outcome of these regulatory proceedings.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in August 2017 that allows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2015, Minnesota Power filed its 2015 IRP with the MPUC which included an analysis of a variety of existing and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energy resource alternatives and a projection of customer cost impact by class. The 2015 IRP also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w:t>
      </w:r>
    </w:p>
    <w:p>
      <w:pPr>
        <w:spacing w:after="0" w:line="16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a 525 MW to 550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 September 2017 order, the MPUC approved Minnesota Power’s request to extend the next IRP filing deadline until October 1, 2019, and Minnesota Power’s request that approval for the natural gas energy PPA be decided through an administrative law judge process. A public hearing was held February 28, 2018, and public comments were due March 23, 2018.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19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color w:val="auto"/>
        </w:rPr>
        <w:t>Great Northern Transmission Line</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is constructing the GNTL, an approximately 220-mile 500-kV transmission line between Manitoba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Minnesota’s Iron Range that was proposed by Minnesota Power and Manitoba Hydro.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6"/>
          <w:szCs w:val="16"/>
          <w:i w:val="1"/>
          <w:iCs w:val="1"/>
          <w:color w:val="auto"/>
        </w:rPr>
        <w:t>Transmission Cost Recovery Rider</w:t>
      </w:r>
      <w:r>
        <w:rPr>
          <w:rFonts w:ascii="Arial" w:cs="Arial" w:eastAsia="Arial" w:hAnsi="Arial"/>
          <w:sz w:val="16"/>
          <w:szCs w:val="16"/>
          <w:color w:val="auto"/>
        </w:rPr>
        <w:t>.)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U.S.-Canadian border, which was the final major regulatory approval needed before construction in the U.S. could begin. Site clearing and pre</w:t>
      </w:r>
      <w:r>
        <w:rPr>
          <w:rFonts w:ascii="MS PGothic" w:cs="MS PGothic" w:eastAsia="MS PGothic" w:hAnsi="MS PGothic"/>
          <w:sz w:val="16"/>
          <w:szCs w:val="16"/>
          <w:color w:val="auto"/>
        </w:rPr>
        <w:t>‑</w:t>
      </w:r>
      <w:r>
        <w:rPr>
          <w:rFonts w:ascii="Arial" w:cs="Arial" w:eastAsia="Arial" w:hAnsi="Arial"/>
          <w:sz w:val="16"/>
          <w:szCs w:val="16"/>
          <w:color w:val="auto"/>
        </w:rPr>
        <w:t>construction activities commenced in the first quarter of 2017 with construction expected to be completed in 2020. To date, most of the right-of-way has been cleared, foundation installation and transmission tower assembly have commenced and tower construction is expected to begin in 2018.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$211.4 million have been incurred through March 31, 2018, of which $110.0 million has been recovered from a subsidiary of Manitoba Hydro.</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scheduled public hearings for this summer. The NEB is required to make a decision on the MMTP by March 2019 but is not precluded from making a decision prior to that date. Approval of the Canadian federal cabinet is also required. The MMTP is subject to legal and regulatory challenges which Minnesota Power is actively monitoring. Manitoba Hydro has informed Minnesota Power that it continues to work towards completing the MMTP on schedule. In order to meet the transmission in-service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Northern Transmission Line (Continued)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that is to be transmitted on the MMTP and the GNTL, commenced in 2014 and is anticipated to be in service by early 2021.</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2015, a federal administrative law judge ruled on the complaint proposing a reduction in the base return on equity to 10.32 percent, or 10.82 percent including an incentive adder for participation in a regional transmission organization. In 2016, the FERC issued an order affirming the administrative law judge’s recommendation.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an additional complaint was filed with the FERC seeking an order to further reduce the base return on equity to 8.67 percent. In 2016, a federal administrative law judge ruled on the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18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Minnesota law requires at least 1.5 percent of total retail electric sales, excluding sales to certain customers, to be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w:t>
      </w:r>
      <w:r>
        <w:rPr>
          <w:rFonts w:ascii="MS PGothic" w:cs="MS PGothic" w:eastAsia="MS PGothic" w:hAnsi="MS PGothic"/>
          <w:sz w:val="17"/>
          <w:szCs w:val="17"/>
          <w:color w:val="auto"/>
        </w:rPr>
        <w:t>‑</w:t>
      </w:r>
      <w:r>
        <w:rPr>
          <w:rFonts w:ascii="Arial" w:cs="Arial" w:eastAsia="Arial" w:hAnsi="Arial"/>
          <w:sz w:val="17"/>
          <w:szCs w:val="17"/>
          <w:color w:val="auto"/>
        </w:rPr>
        <w:t>third of the overall mandate. Additionally, in a February 2017 order, the MPUC approved Minnesota Power’s proposal to increase the amount of solar rebates available for customer-sited solar installations and recover costs of the program through Minnesota Power’s renewable cost recovery rider. The proposal to incentivize customer</w:t>
      </w:r>
      <w:r>
        <w:rPr>
          <w:rFonts w:ascii="MS PGothic" w:cs="MS PGothic" w:eastAsia="MS PGothic" w:hAnsi="MS PGothic"/>
          <w:sz w:val="17"/>
          <w:szCs w:val="17"/>
          <w:color w:val="auto"/>
        </w:rPr>
        <w:t>‑</w:t>
      </w:r>
      <w:r>
        <w:rPr>
          <w:rFonts w:ascii="Arial" w:cs="Arial" w:eastAsia="Arial" w:hAnsi="Arial"/>
          <w:sz w:val="17"/>
          <w:szCs w:val="17"/>
          <w:color w:val="auto"/>
        </w:rPr>
        <w:t>sited solar installations and community solar garden subscriptions is expected to meet a portion of the required small scale solar mandate.</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Assets and Liabilities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30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$217.7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30.4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Manufactured Gas Plant</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Regulatory Assets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$376.0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64"/>
        </w:trPr>
        <w:tc>
          <w:tcPr>
            <w:tcW w:w="6800" w:type="dxa"/>
            <w:vAlign w:val="bottom"/>
            <w:tcBorders>
              <w:top w:val="single" w:sz="8" w:color="auto"/>
            </w:tcBorders>
          </w:tcPr>
          <w:p>
            <w:pPr>
              <w:spacing w:after="0"/>
              <w:rPr>
                <w:sz w:val="22"/>
                <w:szCs w:val="22"/>
                <w:color w:val="auto"/>
              </w:rPr>
            </w:pPr>
          </w:p>
        </w:tc>
        <w:tc>
          <w:tcPr>
            <w:tcW w:w="30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$28.1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30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7.5</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vMerge w:val="continue"/>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Liabilities</w:t>
            </w:r>
          </w:p>
        </w:tc>
        <w:tc>
          <w:tcPr>
            <w:tcW w:w="30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35.6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406.2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59.1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21.8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Dakota Investment Tax Credits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Cost Recovery Riders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516.0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37"/>
        </w:trPr>
        <w:tc>
          <w:tcPr>
            <w:tcW w:w="6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30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$551.6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189" w:lineRule="exact"/>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the first quarter of 2019 and includes $12.9 million of discounts provided to EITE customers that will be offset against interim rate refunds as of March 31, 2018 ($8.6 million as of December 31, 2017). (See 2016 Minnesota General Rate Case and Energy-Intensive Trade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Exposed Customer Rates.)</w:t>
      </w:r>
    </w:p>
    <w:p>
      <w:pPr>
        <w:spacing w:after="0" w:line="1"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We have recorded the impact of the federal income tax rate change in 2018 due to the TCJA for Minnesota Power and SWL&amp;P as regulatory liabilities and a reduction in revenue as the benefits of the TCJA are deferred pending the outcome of regulatory proceedings with the MPUC and PSCW. (See Tax Cuts and Jobs Act of 2017.)</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March 31, 2018, our equity investment in ATC was $120.1 million ($118.7 million at December 31, 2017). In the first three months of 2018, we invested $1.6 million in ATC, and on April 30, 2018, we invested an additional $2.3 million. We expect to make additional investments of $2.6 million in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2017</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of the Remeasurement of Deferred Income Taxes </w:t>
            </w:r>
            <w:r>
              <w:rPr>
                <w:rFonts w:ascii="Arial" w:cs="Arial" w:eastAsia="Arial" w:hAnsi="Arial"/>
                <w:sz w:val="16"/>
                <w:szCs w:val="16"/>
                <w:i w:val="1"/>
                <w:iCs w:val="1"/>
                <w:color w:val="auto"/>
              </w:rPr>
              <w:t>(a)</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March 31, 2018</w:t>
            </w:r>
          </w:p>
        </w:tc>
        <w:tc>
          <w:tcPr>
            <w:tcW w:w="3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related to the impact of the remeasurement of deferred income tax assets and liabilities resulting from the TCJA.</w:t>
      </w:r>
    </w:p>
    <w:p>
      <w:pPr>
        <w:spacing w:after="0" w:line="200" w:lineRule="exact"/>
        <w:rPr>
          <w:rFonts w:ascii="Arial" w:cs="Arial" w:eastAsia="Arial" w:hAnsi="Arial"/>
          <w:sz w:val="16"/>
          <w:szCs w:val="16"/>
          <w:i w:val="1"/>
          <w:iCs w:val="1"/>
          <w:color w:val="auto"/>
        </w:rPr>
      </w:pPr>
    </w:p>
    <w:p>
      <w:pPr>
        <w:spacing w:after="0" w:line="255" w:lineRule="exact"/>
        <w:rPr>
          <w:rFonts w:ascii="Arial" w:cs="Arial" w:eastAsia="Arial" w:hAnsi="Arial"/>
          <w:sz w:val="16"/>
          <w:szCs w:val="16"/>
          <w:i w:val="1"/>
          <w:iCs w:val="1"/>
          <w:color w:val="auto"/>
        </w:rPr>
      </w:pPr>
    </w:p>
    <w:p>
      <w:pPr>
        <w:ind w:left="4400"/>
        <w:spacing w:after="0"/>
        <w:rPr>
          <w:rFonts w:ascii="Arial" w:cs="Arial" w:eastAsia="Arial" w:hAnsi="Arial"/>
          <w:sz w:val="16"/>
          <w:szCs w:val="16"/>
          <w:i w:val="1"/>
          <w:iCs w:val="1"/>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36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FERC issued an order reducing ATC’s authorized return on equity to 10.32 percent, or 10.82 percent including an incentive adder for participation in a regional transmission organization.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6. Regulatory Matters.)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March 31, 2018, and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$106.6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00" w:type="dxa"/>
            <w:vAlign w:val="bottom"/>
          </w:tcPr>
          <w:p>
            <w:pPr>
              <w:jc w:val="right"/>
              <w:ind w:right="270"/>
              <w:spacing w:after="0"/>
              <w:rPr>
                <w:sz w:val="20"/>
                <w:szCs w:val="20"/>
                <w:color w:val="auto"/>
              </w:rPr>
            </w:pPr>
            <w:r>
              <w:rPr>
                <w:rFonts w:ascii="Arial" w:cs="Arial" w:eastAsia="Arial" w:hAnsi="Arial"/>
                <w:sz w:val="18"/>
                <w:szCs w:val="18"/>
                <w:color w:val="auto"/>
              </w:rPr>
              <w:t>1,405.6</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1,396.5</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$1,512.2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$1,502.7</w:t>
            </w:r>
          </w:p>
        </w:tc>
      </w:tr>
      <w:tr>
        <w:trPr>
          <w:trHeight w:val="20"/>
        </w:trPr>
        <w:tc>
          <w:tcPr>
            <w:tcW w:w="388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1,448.7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1,439.2</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$1,513.3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pay interest semi-annually in April and October of each year, commencing on October 16, 2018.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Our long-term debt arrangements contain customary covenants. In addition, our lines of credit and letters of credit supporting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2018,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2018,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40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6500" w:type="dxa"/>
            <w:vAlign w:val="bottom"/>
          </w:tcPr>
          <w:p>
            <w:pPr>
              <w:spacing w:after="0"/>
              <w:rPr>
                <w:sz w:val="24"/>
                <w:szCs w:val="24"/>
                <w:color w:val="auto"/>
              </w:rPr>
            </w:pPr>
          </w:p>
        </w:tc>
        <w:tc>
          <w:tcPr>
            <w:tcW w:w="49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500" w:type="dxa"/>
            <w:vAlign w:val="bottom"/>
          </w:tcPr>
          <w:p>
            <w:pPr>
              <w:spacing w:after="0"/>
              <w:rPr>
                <w:sz w:val="23"/>
                <w:szCs w:val="23"/>
                <w:color w:val="auto"/>
              </w:rPr>
            </w:pP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3"/>
                <w:szCs w:val="23"/>
                <w:color w:val="auto"/>
              </w:rPr>
            </w:pPr>
          </w:p>
        </w:tc>
      </w:tr>
      <w:tr>
        <w:trPr>
          <w:trHeight w:val="270"/>
        </w:trPr>
        <w:tc>
          <w:tcPr>
            <w:tcW w:w="6500" w:type="dxa"/>
            <w:vAlign w:val="bottom"/>
          </w:tcPr>
          <w:p>
            <w:pPr>
              <w:spacing w:after="0"/>
              <w:rPr>
                <w:sz w:val="23"/>
                <w:szCs w:val="23"/>
                <w:color w:val="auto"/>
              </w:rPr>
            </w:pPr>
          </w:p>
        </w:tc>
        <w:tc>
          <w:tcPr>
            <w:tcW w:w="408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5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4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Federal</w:t>
            </w:r>
          </w:p>
        </w:tc>
        <w:tc>
          <w:tcPr>
            <w:tcW w:w="40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08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408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$0.7</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4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4080" w:type="dxa"/>
            <w:vAlign w:val="bottom"/>
          </w:tcPr>
          <w:p>
            <w:pPr>
              <w:jc w:val="right"/>
              <w:ind w:right="850"/>
              <w:spacing w:after="0"/>
              <w:rPr>
                <w:sz w:val="20"/>
                <w:szCs w:val="20"/>
                <w:color w:val="auto"/>
              </w:rPr>
            </w:pPr>
            <w:r>
              <w:rPr>
                <w:rFonts w:ascii="Arial" w:cs="Arial" w:eastAsia="Arial" w:hAnsi="Arial"/>
                <w:sz w:val="18"/>
                <w:szCs w:val="18"/>
                <w:color w:val="auto"/>
              </w:rPr>
              <w:t>$(6.8)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$7.3</w:t>
            </w:r>
          </w:p>
        </w:tc>
      </w:tr>
      <w:tr>
        <w:trPr>
          <w:trHeight w:val="27"/>
        </w:trPr>
        <w:tc>
          <w:tcPr>
            <w:tcW w:w="6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08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4080" w:type="dxa"/>
            <w:vAlign w:val="bottom"/>
          </w:tcPr>
          <w:p>
            <w:pPr>
              <w:jc w:val="right"/>
              <w:ind w:right="59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40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$(4.4)</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408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$(3.7)</w:t>
            </w: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92"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2018, and 2017, the federal and state current tax expense was minimal due to NOLs which resulted from the bonus depreciation provisions of the Protecting Americans from Tax Hikes Act of 2015, the Tax Increase Prevention Act of 2014 and the American Taxpayer Relief Act of 2012.</w:t>
      </w:r>
    </w:p>
    <w:p>
      <w:pPr>
        <w:ind w:left="340" w:hanging="332"/>
        <w:spacing w:after="0" w:line="257"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2018, the federal tax benefit is primarily due to the reduction of the federal statutory tax rate from 35 percent to 21 percent enacted as part of the TCJA, and production tax credits.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45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23"/>
                <w:szCs w:val="23"/>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7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7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$47.3</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76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37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$9.9</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37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7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2.6</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760" w:type="dxa"/>
            <w:vAlign w:val="bottom"/>
          </w:tcPr>
          <w:p>
            <w:pPr>
              <w:jc w:val="right"/>
              <w:ind w:right="530"/>
              <w:spacing w:after="0"/>
              <w:rPr>
                <w:sz w:val="20"/>
                <w:szCs w:val="20"/>
                <w:color w:val="auto"/>
              </w:rPr>
            </w:pPr>
            <w:r>
              <w:rPr>
                <w:rFonts w:ascii="Arial" w:cs="Arial" w:eastAsia="Arial" w:hAnsi="Arial"/>
                <w:sz w:val="18"/>
                <w:szCs w:val="18"/>
                <w:color w:val="auto"/>
              </w:rPr>
              <w:t>(14.4)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6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7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(2.5)</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Other</w:t>
            </w:r>
          </w:p>
        </w:tc>
        <w:tc>
          <w:tcPr>
            <w:tcW w:w="3760" w:type="dxa"/>
            <w:vAlign w:val="bottom"/>
          </w:tcPr>
          <w:p>
            <w:pPr>
              <w:jc w:val="right"/>
              <w:ind w:right="590"/>
              <w:spacing w:after="0"/>
              <w:rPr>
                <w:sz w:val="20"/>
                <w:szCs w:val="20"/>
                <w:color w:val="auto"/>
              </w:rPr>
            </w:pPr>
            <w:r>
              <w:rPr>
                <w:rFonts w:ascii="Arial" w:cs="Arial" w:eastAsia="Arial" w:hAnsi="Arial"/>
                <w:sz w:val="18"/>
                <w:szCs w:val="18"/>
                <w:color w:val="auto"/>
              </w:rPr>
              <w:t>0.7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6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7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$(3.7)</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r>
      <w:tr>
        <w:trPr>
          <w:trHeight w:val="20"/>
        </w:trPr>
        <w:tc>
          <w:tcPr>
            <w:tcW w:w="68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the effective tax rate was a benefit of 7.8 percent (expense of 21.1 percent for the three months ended March 31, 2017).</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2018, we had gross unrecognized tax benefits of $1.7 million ($1.7 million as of December 31, 2017).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$0.8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2014, or state examination for years before 2013.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2018, and 2017, reclassifications out of accumulated other comprehensive loss for the Company were not material. Changes in accumulated other comprehensive loss for the three months ended March 31, 2018,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three months ended March 31, 2018, and 2017, no options to purchase shares of ALLETE common stock were excluded from the computation of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Dilutive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Securities</w:t>
            </w: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$51.0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1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50.2</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$0.97</w:t>
            </w:r>
          </w:p>
        </w:tc>
        <w:tc>
          <w:tcPr>
            <w:tcW w:w="1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900"/>
              <w:spacing w:after="0"/>
              <w:rPr>
                <w:sz w:val="20"/>
                <w:szCs w:val="20"/>
                <w:color w:val="auto"/>
              </w:rPr>
            </w:pPr>
            <w:r>
              <w:rPr>
                <w:rFonts w:ascii="Arial" w:cs="Arial" w:eastAsia="Arial" w:hAnsi="Arial"/>
                <w:sz w:val="18"/>
                <w:szCs w:val="18"/>
                <w:b w:val="1"/>
                <w:bCs w:val="1"/>
                <w:color w:val="auto"/>
                <w:w w:val="88"/>
              </w:rPr>
              <w:t>Pension</w:t>
            </w:r>
          </w:p>
        </w:tc>
        <w:tc>
          <w:tcPr>
            <w:tcW w:w="900" w:type="dxa"/>
            <w:vAlign w:val="bottom"/>
          </w:tcPr>
          <w:p>
            <w:pPr>
              <w:spacing w:after="0"/>
              <w:rPr>
                <w:sz w:val="20"/>
                <w:szCs w:val="20"/>
                <w:color w:val="auto"/>
              </w:rPr>
            </w:pPr>
          </w:p>
        </w:tc>
        <w:tc>
          <w:tcPr>
            <w:tcW w:w="23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$1.2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15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1.8</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6"/>
                <w:szCs w:val="16"/>
                <w:i w:val="1"/>
                <w:iCs w:val="1"/>
                <w:color w:val="auto"/>
              </w:rPr>
              <w:t>(a)</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of Prior Service Credits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6"/>
                <w:szCs w:val="16"/>
                <w:i w:val="1"/>
                <w:iCs w:val="1"/>
                <w:color w:val="auto"/>
              </w:rPr>
              <w:t>(a)</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0.2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5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are included in the line item “Other” under Other Income (Expense) on the Consolidated Statement of Income.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three months ended March 31, 2018, we contributed $15.0 million in cash to the defined benefit pension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($1.7 million in cash and $13.5 million in ALLETE common stock for the three months ended March 31, 2017); we do not expect to make additional contributions to our defined benefit pension plans in 2018. For the three months ended March 31, 2018, and 2017, we made no contributions to our other postretirement benefit plans; we do not expect to make any contributions to our other postretirement benefit plans in 2018.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2017 Form 10-K, with additional disclosure provided in the following paragraphs.</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 xml:space="preserve">fired generating unit. Minnesota Power’s output entitlement under the Agreement is 50 percent for the remainder of the Agreement, subject to the provisions of the Minnkota Power PSA. (See </w:t>
      </w:r>
      <w:r>
        <w:rPr>
          <w:rFonts w:ascii="Arial" w:cs="Arial" w:eastAsia="Arial" w:hAnsi="Arial"/>
          <w:sz w:val="17"/>
          <w:szCs w:val="17"/>
          <w:i w:val="1"/>
          <w:iCs w:val="1"/>
          <w:color w:val="auto"/>
        </w:rPr>
        <w:t>Minnkota</w:t>
      </w:r>
      <w:r>
        <w:rPr>
          <w:rFonts w:ascii="Arial" w:cs="Arial" w:eastAsia="Arial" w:hAnsi="Arial"/>
          <w:sz w:val="17"/>
          <w:szCs w:val="17"/>
          <w:color w:val="auto"/>
        </w:rPr>
        <w:t xml:space="preserve"> </w:t>
      </w:r>
      <w:r>
        <w:rPr>
          <w:rFonts w:ascii="Arial" w:cs="Arial" w:eastAsia="Arial" w:hAnsi="Arial"/>
          <w:sz w:val="17"/>
          <w:szCs w:val="17"/>
          <w:i w:val="1"/>
          <w:iCs w:val="1"/>
          <w:color w:val="auto"/>
        </w:rPr>
        <w:t>Power PSA</w:t>
      </w:r>
      <w:r>
        <w:rPr>
          <w:rFonts w:ascii="Arial" w:cs="Arial" w:eastAsia="Arial" w:hAnsi="Arial"/>
          <w:sz w:val="17"/>
          <w:szCs w:val="17"/>
          <w:color w:val="auto"/>
        </w:rPr>
        <w:t>.) Square Butte’s costs consist primarily of debt service, operating and maintenance, depreciation and fuel expenses. As of March 31, 2018, Square</w:t>
      </w:r>
      <w:r>
        <w:rPr>
          <w:rFonts w:ascii="Arial" w:cs="Arial" w:eastAsia="Arial" w:hAnsi="Arial"/>
          <w:sz w:val="17"/>
          <w:szCs w:val="17"/>
          <w:i w:val="1"/>
          <w:iCs w:val="1"/>
          <w:color w:val="auto"/>
        </w:rPr>
        <w:t xml:space="preserve"> </w:t>
      </w:r>
      <w:r>
        <w:rPr>
          <w:rFonts w:ascii="Arial" w:cs="Arial" w:eastAsia="Arial" w:hAnsi="Arial"/>
          <w:sz w:val="17"/>
          <w:szCs w:val="17"/>
          <w:color w:val="auto"/>
        </w:rPr>
        <w:t>Butte had total debt outstanding of $314.5 million. Fuel expenses are recoverable through Minnesota Power’s fuel adjustment clause and include the cost of coal purchased from BNI Energy under a long-term contract.</w:t>
      </w:r>
    </w:p>
    <w:p>
      <w:pPr>
        <w:spacing w:after="0" w:line="20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Minnesota Power’s cost of power purchased from Square Butte during the three months ended March 31, 2018, was $17.3 million ($20.3 million for the three months ended March 31, 2017). This reflects Minnesota Power’s pro rata share of total Square Butte costs based on the 50 percent output entitlement. Included in this amount was Minnesota Power’s pro rata share of interest expense of $2.3 million ($2.3 million for the same period in 2017).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2018 and in 2017.</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Oconto Electric Cooperative PSA. </w:t>
      </w:r>
      <w:r>
        <w:rPr>
          <w:rFonts w:ascii="Arial" w:cs="Arial" w:eastAsia="Arial" w:hAnsi="Arial"/>
          <w:sz w:val="16"/>
          <w:szCs w:val="16"/>
          <w:color w:val="auto"/>
        </w:rPr>
        <w:t>On March 6, 2018, Minnesota Power entered into a PSA with Oconto Electric Cooperative. The contract begins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is effective through May 2026. Under the PSA, Minnesota Power expects to provide approximately 25 MW of energy and capacity at fixed prices.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2018 and a portion of its coal requirements through December 2021. Minnesota Power also has coal transportation agreements in place for the delivery of a significant portion of its coal requirements through December 2018. The estimated minimum payments under these supply and transportation agreements is $21.5 million for the remainder of 2018, $1.8 million in 2019, and none thereafter. The costs of fuel and related transportation costs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a majority of terms expiring through 2024. The aggregate amount of minimum lease payments for all operating leases is $3.6 million for the remainder of 2018, $12.8 million in 2019, $9.5 million in 2020, $7.3 million in 2021, $6.1 million in 2022 and $30.0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6"/>
          <w:szCs w:val="16"/>
          <w:color w:val="auto"/>
        </w:rPr>
        <w:t>‑</w:t>
      </w:r>
      <w:r>
        <w:rPr>
          <w:rFonts w:ascii="Arial" w:cs="Arial" w:eastAsia="Arial" w:hAnsi="Arial"/>
          <w:sz w:val="16"/>
          <w:szCs w:val="16"/>
          <w:color w:val="auto"/>
        </w:rPr>
        <w:t>Canadian border, which was the final major regulatory approval needed before construction in the U.S. could begin. Site clearing and pre</w:t>
      </w:r>
      <w:r>
        <w:rPr>
          <w:rFonts w:ascii="MS PGothic" w:cs="MS PGothic" w:eastAsia="MS PGothic" w:hAnsi="MS PGothic"/>
          <w:sz w:val="16"/>
          <w:szCs w:val="16"/>
          <w:color w:val="auto"/>
        </w:rPr>
        <w:t>‑</w:t>
      </w:r>
      <w:r>
        <w:rPr>
          <w:rFonts w:ascii="Arial" w:cs="Arial" w:eastAsia="Arial" w:hAnsi="Arial"/>
          <w:sz w:val="16"/>
          <w:szCs w:val="16"/>
          <w:color w:val="auto"/>
        </w:rPr>
        <w:t>construction activities commenced in the first quarter of 2017 with construction expected to be completed in 2020. To date, most of the right-of-way has been cleared, foundation installation and transmission tower assembly have commenced and tower construction is expected to begin in 2018.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$211.4 million have been incurred through March 31, 2018, of which $110.0 million has been recovered from a subsidiary of Manitoba Hydro.</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scheduled public hearings for this summer. The NEB is required to make a decision on the MMTP by March 2019 but is not precluded from making a decision prior to that date. Approval of the Canadian federal cabinet is also required. The MMTP is subject to legal and regulatory challenges which Minnesota Power is actively monitoring. Manitoba Hydro has informed Minnesota Power that it continues to work towards completing the MMTP on schedule. In order to meet the transmission in-service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that is to be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retrofitting or retiring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Boswell Units 1 and 2 will be eligible for recovery in rates over time, subject to regulatory approval in a rate proceeding.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final MATS rule addressed such emissions from coal-fired utility units greater than 25 MW and established categories of HAPs, including mercury, trace metals other than mercury, and acid gases. The EPA established emission limits for these categories of HAPs and work practice standards for the remaining categories. Construction on the project to implement the Boswell Unit 4 mercury emissions reduction plan to position the unit for MATS compliance was completed in 2015. Investments and compliance work previously completed at Boswell Unit 3, including emission reduction investments completed in 2009, meet the requirements of the MATS rule. The conversion of Laskin Units 1 and 2 to operate on natural gas in 2015 positioned those units for MATS compliance.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Minnesota Power was required to implement a mercury emissions reduction project for Boswell Unit 4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Four NAAQS have either recently been revised or are currently proposed for revision, as described below.</w:t>
      </w:r>
    </w:p>
    <w:p>
      <w:pPr>
        <w:spacing w:after="0" w:line="181" w:lineRule="exact"/>
        <w:rPr>
          <w:sz w:val="20"/>
          <w:szCs w:val="20"/>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All areas of Minnesota currently meet the new standard based on the most recent available ambient monitoring data; however, some</w:t>
      </w:r>
      <w:r>
        <w:rPr>
          <w:rFonts w:ascii="Arial" w:cs="Arial" w:eastAsia="Arial" w:hAnsi="Arial"/>
          <w:sz w:val="17"/>
          <w:szCs w:val="17"/>
          <w:i w:val="1"/>
          <w:iCs w:val="1"/>
          <w:color w:val="auto"/>
        </w:rPr>
        <w:t xml:space="preserve"> </w:t>
      </w:r>
      <w:r>
        <w:rPr>
          <w:rFonts w:ascii="Arial" w:cs="Arial" w:eastAsia="Arial" w:hAnsi="Arial"/>
          <w:sz w:val="17"/>
          <w:szCs w:val="17"/>
          <w:color w:val="auto"/>
        </w:rPr>
        <w:t>areas in the metropolitan Twin Cities and southwest portion of the state are close to exceeding the standard. As a result, voluntary efforts to reduce ground-level ozone continue in the state. No additional costs for compliance are anticipated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has designated the entire state of Minnesota as unclassifiable/attainment; however, Minnesota sources may</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be required to reduce their emissions to assist with attainment in neighboring states. In 2016, environmental groups filed a lawsuit against the EPA in the U.S.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certain states, including Minnesota, by not enforcing states’ submittals of required infrastructure implementation plans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Ambient monitoring data indicates that Minnesota is likely in compliance with the one-hour NAAQS standard for NO</w:t>
      </w:r>
      <w:r>
        <w:rPr>
          <w:rFonts w:ascii="Arial" w:cs="Arial" w:eastAsia="Arial" w:hAnsi="Arial"/>
          <w:sz w:val="12"/>
          <w:szCs w:val="12"/>
          <w:color w:val="auto"/>
        </w:rPr>
        <w:t>2</w:t>
      </w:r>
      <w:r>
        <w:rPr>
          <w:rFonts w:ascii="Arial" w:cs="Arial" w:eastAsia="Arial" w:hAnsi="Arial"/>
          <w:sz w:val="18"/>
          <w:szCs w:val="18"/>
          <w:color w:val="auto"/>
        </w:rPr>
        <w:t>. In July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EPA proposed retaining the current one-hour and annual NO</w:t>
      </w:r>
      <w:r>
        <w:rPr>
          <w:rFonts w:ascii="Arial" w:cs="Arial" w:eastAsia="Arial" w:hAnsi="Arial"/>
          <w:sz w:val="12"/>
          <w:szCs w:val="12"/>
          <w:color w:val="auto"/>
        </w:rPr>
        <w:t>2</w:t>
      </w:r>
      <w:r>
        <w:rPr>
          <w:rFonts w:ascii="Arial" w:cs="Arial" w:eastAsia="Arial" w:hAnsi="Arial"/>
          <w:sz w:val="18"/>
          <w:szCs w:val="18"/>
          <w:color w:val="auto"/>
        </w:rPr>
        <w:t xml:space="preserve"> NAAQS.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8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In 2015, the EPA finalized the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data requirements rule (DRR) for the 2010 one-hour NAAQS to assist the states in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The MPCA initially informed Minnesota Power that compliant SO</w:t>
      </w:r>
      <w:r>
        <w:rPr>
          <w:rFonts w:ascii="Arial" w:cs="Arial" w:eastAsia="Arial" w:hAnsi="Arial"/>
          <w:sz w:val="12"/>
          <w:szCs w:val="12"/>
          <w:color w:val="auto"/>
        </w:rPr>
        <w:t>2</w:t>
      </w:r>
      <w:r>
        <w:rPr>
          <w:rFonts w:ascii="Arial" w:cs="Arial" w:eastAsia="Arial" w:hAnsi="Arial"/>
          <w:sz w:val="18"/>
          <w:szCs w:val="18"/>
          <w:color w:val="auto"/>
        </w:rPr>
        <w:t xml:space="preserve"> modeling completed at Minnesota Power's Boswell and Taconite Harbor facilities would satisfy the DRR obligations and no further modeling would be required; however, the DRR also require facilities have federally-enforceable permit limits at which the one-hour SO</w:t>
      </w:r>
      <w:r>
        <w:rPr>
          <w:rFonts w:ascii="Arial" w:cs="Arial" w:eastAsia="Arial" w:hAnsi="Arial"/>
          <w:sz w:val="12"/>
          <w:szCs w:val="12"/>
          <w:color w:val="auto"/>
        </w:rPr>
        <w:t>2</w:t>
      </w:r>
      <w:r>
        <w:rPr>
          <w:rFonts w:ascii="Arial" w:cs="Arial" w:eastAsia="Arial" w:hAnsi="Arial"/>
          <w:sz w:val="18"/>
          <w:szCs w:val="18"/>
          <w:color w:val="auto"/>
        </w:rPr>
        <w:t xml:space="preserve"> NAAQS compliance was modeled by January 2017. Taconite Harbor was issued an amended air permit in 2016, containing the new modeling limits at that facility. The MPCA did not meet the January 2017, deadline to amend the Boswell permit. The MPCA is in discussions with the EPA on alternate compliance pathways to use existing completed modeling at current limits. In August 2017, the EPA proposed retaining the current primary SO</w:t>
      </w:r>
      <w:r>
        <w:rPr>
          <w:rFonts w:ascii="Arial" w:cs="Arial" w:eastAsia="Arial" w:hAnsi="Arial"/>
          <w:sz w:val="12"/>
          <w:szCs w:val="12"/>
          <w:color w:val="auto"/>
        </w:rPr>
        <w:t>2</w:t>
      </w:r>
      <w:r>
        <w:rPr>
          <w:rFonts w:ascii="Arial" w:cs="Arial" w:eastAsia="Arial" w:hAnsi="Arial"/>
          <w:sz w:val="18"/>
          <w:szCs w:val="18"/>
          <w:color w:val="auto"/>
        </w:rPr>
        <w:t xml:space="preserve"> one-hour NAAQS. Compliance costs for the one-hour SO</w:t>
      </w:r>
      <w:r>
        <w:rPr>
          <w:rFonts w:ascii="Arial" w:cs="Arial" w:eastAsia="Arial" w:hAnsi="Arial"/>
          <w:sz w:val="12"/>
          <w:szCs w:val="12"/>
          <w:color w:val="auto"/>
        </w:rPr>
        <w:t>2</w:t>
      </w:r>
      <w:r>
        <w:rPr>
          <w:rFonts w:ascii="Arial" w:cs="Arial" w:eastAsia="Arial" w:hAnsi="Arial"/>
          <w:sz w:val="18"/>
          <w:szCs w:val="18"/>
          <w:color w:val="auto"/>
        </w:rPr>
        <w:t xml:space="preserve"> NAAQS are not expected to be material.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renewable power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U.S. Supreme Court invalidated the aspect of the Tailoring Rule that established higher permitting thresholds for GHG than for other pollutants subject to PSD; however, the court also upheld the EPA’s ability to require best available control technology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In 2016, the U.S. Supreme Court issued an order staying the effectiveness of the rule until after the appellate court process is complete. In 2016, the U.S. Court of Appeals for the District of Columbia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upheld, the CPP would establish uniform CO</w:t>
      </w:r>
      <w:r>
        <w:rPr>
          <w:rFonts w:ascii="Arial" w:cs="Arial" w:eastAsia="Arial" w:hAnsi="Arial"/>
          <w:sz w:val="11"/>
          <w:szCs w:val="11"/>
          <w:color w:val="auto"/>
        </w:rPr>
        <w:t>2</w:t>
      </w:r>
      <w:r>
        <w:rPr>
          <w:rFonts w:ascii="Arial" w:cs="Arial" w:eastAsia="Arial" w:hAnsi="Arial"/>
          <w:sz w:val="16"/>
          <w:szCs w:val="16"/>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State goals were determined based on CPP source-specific performance emission rates and each state’s mix of power plants. The EPA filed a motion with the U.S. Court of Appeals for the District of Columbia Circuit to hold CPP-related litigation in suspension while the EPA is reviewing the rule. In October 2017, the EPA issued a notice of proposed rulemaking, proposing to repeal the CPP. In December 2017, an Advanced Notice of Proposed Rulemaking (ANPRM) for a CPP replacement rule was published in the Federal Register.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Minnesota Power is currently evaluating the CPP rescission and recently proposed ANPRM for a CPP replacement rule as it relates to the State of Minnesota as well as its potential impact on the Company. Minnesota has already initiated several measures consistent with those called for under the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National Pollutant Discharge Elimination System (NPDES) permits be obtained from the EPA (or, when delegated,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state pollution control agencies) for any 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2014, EPA regulations under Section 316(b) of the Clean Water Act setting standards applicable to cooling water</w:t>
      </w:r>
      <w:r>
        <w:rPr>
          <w:rFonts w:ascii="Arial" w:cs="Arial" w:eastAsia="Arial" w:hAnsi="Arial"/>
          <w:sz w:val="17"/>
          <w:szCs w:val="17"/>
          <w:i w:val="1"/>
          <w:iCs w:val="1"/>
          <w:color w:val="auto"/>
        </w:rPr>
        <w:t xml:space="preserve"> </w:t>
      </w:r>
      <w:r>
        <w:rPr>
          <w:rFonts w:ascii="Arial" w:cs="Arial" w:eastAsia="Arial" w:hAnsi="Arial"/>
          <w:sz w:val="17"/>
          <w:szCs w:val="17"/>
          <w:color w:val="auto"/>
        </w:rPr>
        <w:t>intake structures for the protection of aquatic organisms became effective. The regulations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will be implemented through NPDES permits issued to covered facilities. No NPDES permits for Minnesota Power facilities have been re-issued containing Section 316(b) requirements since the final rule became effective. Should the MPCA require significant modifications to Minnesota Power’s intake structures, a preliminary assessment indicates that Minnesota Power could incur costs of compliance up to $15 million over the next five years. Minnesota Power would seek recovery of additional costs through a rate proceeding.</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2015, the EPA issued revised federal effluent limit guidelines (ELG) for steam electric power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stations under the Clean Water Act. It set effluent limits and prescribed BACT for several wastewater streams, including flue gas desulphurization (FGD) water, bottom ash transport water and coal combustion landfill leachate. In September 2017, the EPA announced a two-year postponement of the ELG compliance date of November 1, 2018, to November 1, 2020, while the agency reconsiders bottom ash transport water and FGD wastewater provisions.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but may do so in the future. Under the existing ELG rule, bottom ash transport water discharge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for several years to reduce the amount of water discharged and evaluate potential re-use options in its plant processes.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which has been idled and has a temporary landfill cover in place, applying ash to land as an approved beneficial use and trucking ash to state permitted landfills.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Coal Combustion Residuals from Electric Utilities (CCR). </w:t>
      </w:r>
      <w:r>
        <w:rPr>
          <w:rFonts w:ascii="Arial" w:cs="Arial" w:eastAsia="Arial" w:hAnsi="Arial"/>
          <w:sz w:val="18"/>
          <w:szCs w:val="18"/>
          <w:color w:val="auto"/>
        </w:rPr>
        <w:t>In 2015, the EPA published the final rule regulating CCR as nonhazardous waste under Subtitle 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The EPA has indicated to Minnesota Power that the Taconite Harbor landfill is a CCR unit, based on the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In September 2017, the EPA announced its intention to formally reconsider the CCR rule under Subtitle D of the RCRA and on March 15, 2018, published the first phase of the proposed rule revisions in the federal register. Compliance costs, if any, for CCR at Taconite Harbor cannot be estimated at this time. Minnesota Power would seek recovery of additional costs through a rate proceeding.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March 31, 2018, we have recorded a liability of approximately $7 million for remediation costs at this site (approximately $8 million as of December 31, 2017), and a corresponding regulatory asset as we expect recovery of these remediation costs to be allowed by the PSCW. We expect to incur these costs over the next four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March 31, 2018, ALLETE Clean Energy has $16.2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March 31, 2018, U.S. Water Services has $0.8 million outstanding in standby letters of credit.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BNI Energy. </w:t>
      </w:r>
      <w:r>
        <w:rPr>
          <w:rFonts w:ascii="Arial" w:cs="Arial" w:eastAsia="Arial" w:hAnsi="Arial"/>
          <w:sz w:val="17"/>
          <w:szCs w:val="17"/>
          <w:color w:val="auto"/>
        </w:rPr>
        <w:t>As of March 31, 2018, BNI Energy had surety bonds outstanding of $49.9 million and a letter of credit for an additional $0.6 million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March 31, 2018,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March 31, 2018, we owned 70 percent of the assessable land in the Town Center District (70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and 27 percent of the assessable land in the Palm Coast Park District (33 percent at December 31, 2017). At March 31, 2018,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6600" w:type="dxa"/>
            <w:vAlign w:val="bottom"/>
          </w:tcPr>
          <w:p>
            <w:pPr>
              <w:spacing w:after="0"/>
              <w:rPr>
                <w:sz w:val="24"/>
                <w:szCs w:val="24"/>
                <w:color w:val="auto"/>
              </w:rPr>
            </w:pPr>
          </w:p>
        </w:tc>
        <w:tc>
          <w:tcPr>
            <w:tcW w:w="48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600" w:type="dxa"/>
            <w:vAlign w:val="bottom"/>
          </w:tcPr>
          <w:p>
            <w:pPr>
              <w:spacing w:after="0"/>
              <w:rPr>
                <w:sz w:val="23"/>
                <w:szCs w:val="23"/>
                <w:color w:val="auto"/>
              </w:rPr>
            </w:pPr>
          </w:p>
        </w:tc>
        <w:tc>
          <w:tcPr>
            <w:tcW w:w="48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600" w:type="dxa"/>
            <w:vAlign w:val="bottom"/>
          </w:tcPr>
          <w:p>
            <w:pPr>
              <w:spacing w:after="0"/>
              <w:rPr>
                <w:sz w:val="23"/>
                <w:szCs w:val="23"/>
                <w:color w:val="auto"/>
              </w:rPr>
            </w:pPr>
          </w:p>
        </w:tc>
        <w:tc>
          <w:tcPr>
            <w:tcW w:w="38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6"/>
                <w:szCs w:val="16"/>
                <w:i w:val="1"/>
                <w:iCs w:val="1"/>
                <w:color w:val="auto"/>
              </w:rPr>
              <w:t>(a)</w:t>
            </w:r>
          </w:p>
        </w:tc>
        <w:tc>
          <w:tcPr>
            <w:tcW w:w="3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36.6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114.9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20.3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Operations</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r>
      <w:tr>
        <w:trPr>
          <w:trHeight w:val="264"/>
        </w:trPr>
        <w:tc>
          <w:tcPr>
            <w:tcW w:w="6600" w:type="dxa"/>
            <w:vAlign w:val="bottom"/>
            <w:tcBorders>
              <w:top w:val="single" w:sz="8" w:color="auto"/>
            </w:tcBorders>
          </w:tcPr>
          <w:p>
            <w:pPr>
              <w:spacing w:after="0"/>
              <w:rPr>
                <w:sz w:val="22"/>
                <w:szCs w:val="22"/>
                <w:color w:val="auto"/>
              </w:rPr>
            </w:pPr>
          </w:p>
        </w:tc>
        <w:tc>
          <w:tcPr>
            <w:tcW w:w="38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Infrastructure and Related Services</w:t>
            </w:r>
          </w:p>
        </w:tc>
        <w:tc>
          <w:tcPr>
            <w:tcW w:w="3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3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Long-term PSA</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18.6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6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ALLETE Clean Energy</w:t>
            </w:r>
          </w:p>
        </w:tc>
        <w:tc>
          <w:tcPr>
            <w:tcW w:w="3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24.6</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60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U.S. Water Services</w:t>
            </w:r>
          </w:p>
        </w:tc>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Point-in-Time</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Contract</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Project</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6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U.S. Water Services</w:t>
            </w:r>
          </w:p>
        </w:tc>
        <w:tc>
          <w:tcPr>
            <w:tcW w:w="3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38.2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60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Other</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66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3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$358.2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$365.6</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$43.9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86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Net Income</w:t>
            </w:r>
          </w:p>
        </w:tc>
        <w:tc>
          <w:tcPr>
            <w:tcW w:w="3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0"/>
        </w:trPr>
        <w:tc>
          <w:tcPr>
            <w:tcW w:w="660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With the adoption of new revenue recognition guidance, the Company has enhanced the presentation of business segment Operating Revenue. (See Note 1. Operations and Significant Accounting Policies.)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9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40" w:type="dxa"/>
            <w:vAlign w:val="bottom"/>
          </w:tcPr>
          <w:p>
            <w:pPr>
              <w:spacing w:after="0"/>
              <w:rPr>
                <w:sz w:val="20"/>
                <w:szCs w:val="20"/>
                <w:color w:val="auto"/>
              </w:rPr>
            </w:pPr>
          </w:p>
        </w:tc>
        <w:tc>
          <w:tcPr>
            <w:tcW w:w="3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1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$3,877.0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$3,886.6</w:t>
            </w:r>
          </w:p>
        </w:tc>
      </w:tr>
      <w:tr>
        <w:trPr>
          <w:trHeight w:val="27"/>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14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620.4</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287.4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27"/>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14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287.3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300.5</w:t>
            </w:r>
          </w:p>
        </w:tc>
      </w:tr>
      <w:tr>
        <w:trPr>
          <w:trHeight w:val="27"/>
        </w:trPr>
        <w:tc>
          <w:tcPr>
            <w:tcW w:w="61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$5,072.1</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$5,080.0</w:t>
            </w:r>
          </w:p>
        </w:tc>
      </w:tr>
      <w:tr>
        <w:trPr>
          <w:trHeight w:val="20"/>
        </w:trPr>
        <w:tc>
          <w:tcPr>
            <w:tcW w:w="614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364" w:right="2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2017 Form 10-K under the headings: “Forward-Looking Statements” located on page 6 and “Risk Factors” located in Part I, Item 1A, beginning on page 25 of our 2017 Form 10-K. The risks and uncertainties described in this Form 10-Q and our 2017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2018,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three months ended March 31, 2018, to the three months ended March 31, 2017.</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income for the three months ended March 31, 2018, was $51.0 million, or $0.99 per diluted share, compared to $49.0 million, or $0.97 per diluted share, for the same period in 2017. Earnings per share dilution was $0.02 due to additional shares of common stock outstanding as of March 31, 2018.</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$43.9 million for the three months ended March 31, 2018, compared to $43.5 million for the same period in 2017.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at Minnesota Power was slightly lower than 2017 primarily due to reserves for an interim rate refund, discounts provided to EITE customers, lower transmission revenue, and higher property taxes. These decreases were mostly offset by lower depreciation expense due to the timing of the MPUC’s decision to modify the depreciable lives at Boswell, lower operating and maintenance expense, higher sales to industrial customers due to the start-up of Keetac in March 2017, and higher sales to residential customers due to colder weather. Net income at SWL&amp;P was higher than 2017 due to the implementation of updated rates in August 2017 and colder weather in 2018. Our after-tax equity earnings in ATC for the three months ended March 31, 2018, were consistent with the same period in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22" w:lineRule="exact"/>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net income was $8.1 million for the three months ended March 31, 2018, compared to $6.7 million for the same period in 2017.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in 2018 included a lower federal income tax rate due to the TCJA and $0.6 million after</w:t>
      </w:r>
      <w:r>
        <w:rPr>
          <w:rFonts w:ascii="MS PGothic" w:cs="MS PGothic" w:eastAsia="MS PGothic" w:hAnsi="MS PGothic"/>
          <w:sz w:val="16"/>
          <w:szCs w:val="16"/>
          <w:color w:val="auto"/>
        </w:rPr>
        <w:t>‑</w:t>
      </w:r>
      <w:r>
        <w:rPr>
          <w:rFonts w:ascii="Arial" w:cs="Arial" w:eastAsia="Arial" w:hAnsi="Arial"/>
          <w:sz w:val="16"/>
          <w:szCs w:val="16"/>
          <w:color w:val="auto"/>
        </w:rPr>
        <w:t>tax of additional production tax credits generated as ALLETE Clean Energy continues to execute its refurbishment strategy. These increases were partially offset by higher operating and maintenance expenses.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net loss was $1.4 million for the three months ended March 31, 2018, compared to $0.3 million for the same period in 2017.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loss in 2018 includes higher operating expenses, partially offset by increased revenue primarily resulting from the September 2017 acquisition of Tonka Water. The first quarter of 2018 was also negatively impacted by the timing of equipment sales and colder weather reducing chemical sales. The net loss in 2018 included $0.3 million of after-tax expense recognized as cost of sales related to purchase accounting for sales backlog.</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was $0.4 million for the three months ended March 31, 2018, compared to a net loss of $0.9 million for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Results in 2018 increased primarily due to higher revenue at ALLETE Properties and lower interest expense.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2018 AND 2017</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$270.2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100.9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55.5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15.1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420" w:type="dxa"/>
            <w:vAlign w:val="bottom"/>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$11.4 million, or 4 percent, from 2017 reflecting reserves related to the federal income tax rate change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TCJA, interim retail rate refund reserves, discounts provided to EITE customers, lower transmission revenue and lower FERC formula-based rates, partially offset by higher revenue from kWh sales and conservation improvement program recoveries.</w:t>
      </w:r>
    </w:p>
    <w:p>
      <w:pPr>
        <w:spacing w:after="0" w:line="18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Reserves related to the federal income tax rate change due to the TCJA of $7.5 million were recognized during 2018. We have recorded the impact of the federal income tax rate change due to the TCJA for Minnesota Power and SWL&amp;P as regulatory liabilities pending the outcome of regulatory proceedings with the MPUC and PSCW. (See Note 6. Regulatory Matters.)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rates, net of reserves, decreased $4.5 million from 2017 as interim rate refund reserves were recognized during 2018 due to the regulatory outcome of the MPUC’s decisions in Minnesota Power’s 2016 general rate case. (See Note 6. Regulatory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decreased $2.5 million primarily due to lower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THREE MONTHS ENDED MARCH 31,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$1.2 million from 2017 primarily due to lower rates.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kWh sales increased $3.4 million from 2017 primarily due to higher sales to Industrial, Residential and Municipal customers, partially offset by discounts provided to EITE customers in 2018. Sales to Industrial customers increased 4.6 percent primarily due to increased taconite production. USS Corporation restarted production at its Keetac plant in March 2017. Sales to Residential and Municipal customers increased in 2018, primarily due to colder temperatures in 2018. Heating degree days in Duluth, Minnesota were approximately 13 percent higher in 2018 compared to 2017. Sales to Other Power Suppliers decreased 3.7 percent from 2017 as a result of increased sales to Industrial customers, which was more than offset by higher pricing on PSAs with these customers. Sales to Other Power Suppliers are sold at market-based prices into the MISO market on a daily basis or through bilateral agreements of various durations.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1,843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2,771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1,003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1,041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3,774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21 percent of consolidated operating revenue in 2018 (21 percent in 2017). Revenue from electric sales to paper, pulp and secondary wood product customers accounted for 4 percent of consolidated operating revenue in 2018 (5 percent in 2017). Revenue from electric sales to pipelines and other industrial customers accounted for 7 percent of consolidated operating revenue in 2018 (7 percent in 2017).</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$2.3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$2.0 million from 2017.</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$4.3 million, or 4 percent, from 2017 primarily due to increased kWh sales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prices, partially offset by lower fuel costs. Fuel and purchased power expense related to our retail and municipal customers is recovered through the fuel adjustment clause.</w:t>
      </w:r>
    </w:p>
    <w:p>
      <w:pPr>
        <w:spacing w:after="0" w:line="181"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$1.8 million, or 11 percent, from 2017 primarily due to higher MISO</w:t>
      </w:r>
      <w:r>
        <w:rPr>
          <w:rFonts w:ascii="MS PGothic" w:cs="MS PGothic" w:eastAsia="MS PGothic" w:hAnsi="MS PGothic"/>
          <w:sz w:val="18"/>
          <w:szCs w:val="18"/>
          <w:color w:val="auto"/>
        </w:rPr>
        <w:t>‑</w:t>
      </w:r>
      <w:r>
        <w:rPr>
          <w:rFonts w:ascii="Arial" w:cs="Arial" w:eastAsia="Arial" w:hAnsi="Arial"/>
          <w:sz w:val="18"/>
          <w:szCs w:val="18"/>
          <w:color w:val="auto"/>
        </w:rPr>
        <w:t>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20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$0.6 million, or 1 percent, from 2017 primarily due to lower salary and benefit expenses,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 $2.3 million increase in conservation improvement program expenses in 2018. Conservation improvement program expenses are recovered from certain retail customers.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decreased $5.4 million, or 14 percent, from 2017 primarily due to modifications of the depreciable lives for</w:t>
      </w:r>
      <w:r>
        <w:rPr>
          <w:rFonts w:ascii="Arial" w:cs="Arial" w:eastAsia="Arial" w:hAnsi="Arial"/>
          <w:sz w:val="18"/>
          <w:szCs w:val="18"/>
          <w:i w:val="1"/>
          <w:iCs w:val="1"/>
          <w:color w:val="auto"/>
        </w:rPr>
        <w:t xml:space="preserve"> </w:t>
      </w:r>
      <w:r>
        <w:rPr>
          <w:rFonts w:ascii="Arial" w:cs="Arial" w:eastAsia="Arial" w:hAnsi="Arial"/>
          <w:sz w:val="18"/>
          <w:szCs w:val="18"/>
          <w:color w:val="auto"/>
        </w:rPr>
        <w:t>Boswell, partially offset by additional property, plant and equipment in service. As part of its order dated March 12, 2018, affirming determinations made at a hearing on January 18, 2018, the MPUC extended the depreciable lives of Boswell Unit 3, Unit 4 and common facilities to 2050, and shortened the depreciable lives of Boswell Unit 1 and Unit 2 to 2022, resulting in a net decrease to depreciation expense of approximately $25 million in the fourth quarter of 2017.</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$1.9 million, or 14 percent, from 2017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36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THREE MONTHS ENDED MARCH 31,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$0.9 million, or 6 percent, from 2017 primarily due to higher average long-term debt balances and interest rates. We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for Regulated Operations primarily based on rate base and authorized capital structure, and allocate the balance to Corporate and Other.</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$1.4 million, or 23 percent, from 2017 primarily due to the federal income tax rate change due to the TCJA,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additional investments in ATC. (See Note 7. Investment in ATC.)</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$15.8 million from 2017 primarily due to the reduction of the federal income tax rate from 35 percent to 21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as part of the TCJA, and lower pre-tax income. (See Note 6. Regulatory Matters.)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from 35 percent to 21 percent enacted as part of the TCJA, and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4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$8.1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$0.9 million, or 4 percent, from 2017 primarily due to higher kWh sales at ALLETE Clean Energy’s Condon and Armenia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Mountain wind energy facilities resulting from higher wind resources, partially offset by lower kWh sales at the remaining wind energy facilities.</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5"/>
              </w:rPr>
              <w:t>Three Months Ended 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4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kWh</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75.8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24.2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80.9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87.7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385.3</w:t>
            </w:r>
          </w:p>
        </w:tc>
        <w:tc>
          <w:tcPr>
            <w:tcW w:w="1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$24.6</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386.5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$1.4 million, or 21 percent, from 2017. Net income in 2018 included a lower federal income tax rate due to the TCJA and $0.6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after-tax of additional production tax credits generated as ALLETE Clean Energy continues to execute its refurbishment strategy. These increases were partially offset by higher operating and maintenance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4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72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Net Loss</w:t>
            </w: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$6.1 million, or 19 percent, from 2017 primarily due to the acquisition of Tonka Water in September 2017.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sales and related services was $31.8 million in 2018 compared to $30.7 million in 2017. Revenue from capital projects was $6.4 million for 2018 compared to $1.4 million in 2017; capital project sales can significantly fluctuate from period to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THREE MONTHS ENDED MARCH 31,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increased $1.1 million from 2017.The net loss in 2018 includes higher operating expenses, partially offset by increased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the September 2017 acquisition of Tonka Water. The first quarter of 2018 was also negatively impacted by the timing of equipment sales and colder weather reducing chemical sales. The net loss in 2018 included $0.3 million of after-tax expense recognized as cost of sales related to purchase accounting for sales backlog.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$3.0 million, or 11 percent, from 2017 primarily due to a decrease in revenue at BNI Energy, which operates under cost-plus fixed fee contracts, as a result of lower expenses in 2018 compared to 2017, partially offset by higher revenue at ALLETE Properties resulting from an increase in land sales.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was $0.4 million in 2017 compared to a net loss of $0.9 million in 2017. Results in 2018 increased primarily due to higher revenue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ALLETE Properties and lower interest expense. Net income at BNI Energy was $1.8 million in 2018 and in 2017. The net loss at ALLETE Properties was $0.5 million in 2018 compared to a net loss of $1.2 million in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 xml:space="preserve">For the three months ended March 31, 2018, the effective tax rate was a benefit of 7.8 percent (expense of 21.1 percent for the three months ended March 31, 2017). The decrease from 2017 was primarily due to the reduction of the federal income tax rate from 35 percent to 21 percent enacted as part of the TCJA, and lower pre-tax income. (See </w:t>
      </w:r>
      <w:r>
        <w:rPr>
          <w:rFonts w:ascii="Arial" w:cs="Arial" w:eastAsia="Arial" w:hAnsi="Arial"/>
          <w:sz w:val="16"/>
          <w:szCs w:val="16"/>
          <w:i w:val="1"/>
          <w:iCs w:val="1"/>
          <w:color w:val="auto"/>
        </w:rPr>
        <w:t>Regulated Operations - Income Tax Expense</w:t>
      </w:r>
      <w:r>
        <w:rPr>
          <w:rFonts w:ascii="Arial" w:cs="Arial" w:eastAsia="Arial" w:hAnsi="Arial"/>
          <w:sz w:val="16"/>
          <w:szCs w:val="16"/>
          <w:color w:val="auto"/>
        </w:rPr>
        <w:t>.) We expect our annual effective tax rate in 2018 to be lower than 2017 due to the reduction of the federal income tax rate as part of the TCJA, and lower pre-tax income. The effective rate deviated from the combined statutory rate of approximately 28 percent primarily due to production tax credits. (See Note 9. Income Tax Expense.)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2017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Our 2017 annual testing of U.S. Water Services’ goodwill for impairment indicated the calculated fair value of equity for the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exceeded carrying value. Significant assumptions utilized in the fair value calculation included a discount rate of 10.75 percent, cash flow forecasts through 2022, annual revenue growth rates ranging from 7 percent to 9 percent, excluding 13 percent of revenue growth in 2018 related to the year over year impact of the acquisition of Tonka Water, and a terminal growth rate of 4.0 percent. If U.S. Water Services fails to meet expected cash flow forecasts by a nominal margin or there is an increase in interest rates that has a negative impact on the discount rate used in the Company’s valuation under the income approach, the results of our future tests could result in an impairment of goodwill; our next annual impairment test will occur in the fourth quarter of 2018. Subsequent to our 2017 annual impairment test, there have been no triggering events or indicators of impairment of goodwill.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2017 Form 10-K.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3 percent to 4 percent and our Energy Infrastructure and Related Services businesses are projected to have average annual earnings growth of 15 percent.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80 percent of total consolidated net income in 2018.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will be partially offset by the recognition of a corresponding reserve. Minnesota Power has recorded a reserve for an interim rate refund of approximately $41 million as of March 31, 2018 ($32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pre-tax on an annual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 2018, Minnesota Power filed a petition for reconsideration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On April 12, 2018, Minnesota Power responded to a Minnesota Department of Commerce (DOC) request for reconsideration requesting that the MPUC generally accept, with modifications and conditions, the DOC’s proposal to reduce the depreciable lives of Boswell Unit 3, Unit 4 and common facilities to 2035 and use the benefits of the TCJA to offset the resulting increase in customer rates. We expect a decision on reconsideration by mid-year in 2018. We are unable to predict the outcome of this regulatory proceeding.</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which established a Minnesota energy policy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receivable. 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$4.3 million of discounts to EITE customers during the three months ended March 31, 2018 ($2.3 million for the three months ended March 31, 2017).</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in August 2017 that allows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49 percent of our regulated utility kWh sales in the three months ended March 31, 2018, were made to our industrial customers (47 percent in the three months ended March 31, 2017).</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has been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currently idled.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75 percent of capacity during the first three months of 2018 compared to 73 percent in the first three months of 2017. The World Steel Association, an association of over 160 steel producers, national and regional steel industry associations, and steel research institutes representing approximately 85 percent of world steel production, projected U.S. steel consumption in 2018 will increase by approximately 3 percent compared to 2017.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2015, USS Corporation temporarily idled its Minnesota Ore Operations - Keetac plant in Keewatin, Minnesota, and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2017, Cliffs announced that production of a fully fluxed taconite pellet had started at its United Taconite facility.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a flux pellet previously made at Cliffs’ indefinitely idled Empire operation in Michigan. United Taconite has the capability to produce approximately 5 million tons of taconite annually.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has announced that it is investing further in Minnesota ore operations, specifically it plans to invest approximately $80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Minnesota Power has a long-term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long-term PSA through 2031. Silver Bay Power supplies approximately 90</w:t>
      </w:r>
      <w:r>
        <w:rPr>
          <w:rFonts w:ascii="Arial" w:cs="Arial" w:eastAsia="Arial" w:hAnsi="Arial"/>
          <w:sz w:val="18"/>
          <w:szCs w:val="18"/>
          <w:i w:val="1"/>
          <w:iCs w:val="1"/>
          <w:color w:val="auto"/>
        </w:rPr>
        <w:t xml:space="preserve"> </w:t>
      </w:r>
      <w:r>
        <w:rPr>
          <w:rFonts w:ascii="Arial" w:cs="Arial" w:eastAsia="Arial" w:hAnsi="Arial"/>
          <w:sz w:val="18"/>
          <w:szCs w:val="18"/>
          <w:color w:val="auto"/>
        </w:rPr>
        <w:t>MW of 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On December 31, 2019, Silver Bay Power will cease self-generation and Minnesota Power will supply the energy requirements for Silver Bay Power.</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ERP Iron Ore / Magnetation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2015, Magnetation announced that it had filed voluntary petitions for reorganization under Chapter 11 of the Bankruptcy</w:t>
      </w:r>
      <w:r>
        <w:rPr>
          <w:rFonts w:ascii="Arial" w:cs="Arial" w:eastAsia="Arial" w:hAnsi="Arial"/>
          <w:sz w:val="16"/>
          <w:szCs w:val="16"/>
          <w:i w:val="1"/>
          <w:iCs w:val="1"/>
          <w:color w:val="auto"/>
        </w:rPr>
        <w:t xml:space="preserve"> </w:t>
      </w:r>
      <w:r>
        <w:rPr>
          <w:rFonts w:ascii="Arial" w:cs="Arial" w:eastAsia="Arial" w:hAnsi="Arial"/>
          <w:sz w:val="16"/>
          <w:szCs w:val="16"/>
          <w:color w:val="auto"/>
        </w:rPr>
        <w:t>Code in the U.S. Bankruptcy Court for the District of Minnesota, citing the significant decrease in global iron ore prices and its existing capital structure. In 2016, Magnetation idled its Plant 2 facility in Bovey, Minnesota. In 2016, the bankruptcy court approved plans to idle Magnetation’s Plant 4 facility near Grand Rapids, Minnesota, and its pellet plant in Reynolds, Indiana, as well as terminate Magnetation’s pellet purchase agreement with AK Steel Corporation.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Magnetation subsequently idled the facilities and stated it was preserving the plants and their value for a potential buyer. In January 2017, ERP Iron Ore purchased substantially all of Magnetation’s assets pursuant to an asset purchase agreement approved by the bankruptcy court. Although we cannot predict whether the facilities will be restarted, Minnesota Power would serve the Plant 2 and Plant 4 facilities through ERP Iron Ore’s assumption of the existing electric service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xml:space="preserve">. Minnesota Power serves a number of customers in the paper, pulp and secondary wood products industry. The four major paper and pulp mills we serve reported operating at, or near, full capacity in 2017. Lower levels of production are expected in 2018 as a result of the closure of the smaller of the two paper machines located at UPM Blandin in the fourth quarter of 2017. (See </w:t>
      </w:r>
      <w:r>
        <w:rPr>
          <w:rFonts w:ascii="Arial" w:cs="Arial" w:eastAsia="Arial" w:hAnsi="Arial"/>
          <w:sz w:val="17"/>
          <w:szCs w:val="17"/>
          <w:i w:val="1"/>
          <w:iCs w:val="1"/>
          <w:color w:val="auto"/>
        </w:rPr>
        <w:t>UPM Blandin</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2017, UPM-Kymmene Corporation announced that in light of the global market situation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planned to permanently close the smaller of UPM Blandin’s two paper machines located in Grand Rapids, Minnesota; the closure was completed in the fourth quarter of 2017. Paper production related to the other paper machine is planned to continue at UPM Blandin. Minnesota Power provides electric and steam service to UPM Blandin.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is a retail customer of the Nashwauk Public Utilities Commission, and Minnesota Power has a</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electric contract with the Nashwauk Public Utilities Commission for electric service through at least December 2032. Mesabi Metallics filed for bankruptcy protection in 2016, under Chapter 11 of the Bankruptcy Code in the U.S. Bankruptcy Court for the District of Delaware. In June 2017, the bankruptcy court approved a settlement plan for a consortium led by Chippewa Capital Partners LLC to take control of the project, subject to certain stipulations. In December 2017, Mesabi Metallics emerged from bankruptcy under the ownership of Chippewa Capital Partners LLC.</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2016, finding the final EIS adequate. The final EIS also requires Records of Decision by the federal agencies, which are expected in 2018, before final action can be taken on the required federal permits to construct and operate the mining operation.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PolyMet submitted applications for water-related permits with the DNR and MPCA, an air quality permit with the MPCA, and a state permit to mine application with the DNR detailing its operational plans for the mine. On January 5, 2018, the DNR released PolyMet’s draft permit to mine and opened a public comment period through March 6, 2018. Public hearings were held in February 2018 to review the draft permit to mine, as well as the MPCA’s recently released draft water quality permit, draft air quality permit and draft water quality certification. In January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10-year power supply contract with PolyMet that would begin upon start-up of operations.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a 525 MW to 550 MW combined-cycle natural gas</w:t>
      </w:r>
      <w:r>
        <w:rPr>
          <w:rFonts w:ascii="MS PGothic" w:cs="MS PGothic" w:eastAsia="MS PGothic" w:hAnsi="MS PGothic"/>
          <w:sz w:val="18"/>
          <w:szCs w:val="18"/>
          <w:color w:val="auto"/>
        </w:rPr>
        <w:t>‑</w:t>
      </w:r>
      <w:r>
        <w:rPr>
          <w:rFonts w:ascii="Arial" w:cs="Arial" w:eastAsia="Arial" w:hAnsi="Arial"/>
          <w:sz w:val="18"/>
          <w:szCs w:val="18"/>
          <w:color w:val="auto"/>
        </w:rPr>
        <w:t>fired generating facility which will be jointly owned by Dairyland Power Cooperative and a subsidiary of ALLETE. Minnesota Power would purchase approximately 50 percent of the facility's output starting in 2025. In a September 2017 order, the MPUC approved both Minnesota Power’s request to extend the next IRP filing deadline until October 1, 2019, and Minnesota Power’s request that approval for the natural gas energy PPA be decided through an administrative law judge process. A public hearing was held February 28, 2018, and public comments were due March 23, 2018.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2015, Minnesota Power filed its 2015 IRP with the MPUC, which included an analysis of a variety of existing and future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resource alternatives and a projection of customer cost impact by class. The 2015 IRP also contained steps in Minnesota Power’s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 (See Note 6. Regulatory Matters.)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Minnesota Power continues to execute its renewable energy strategy through renewable projects that will ensure it meets the identified state mandate at the lowest cost for customers. Minnesota Power has exceeded the interim milestone requirements to date and expects 28 percent of its applicable retail and municipal energy sales will be supplied by renewable energy sources in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Minnesota Solar Energy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by the end of 2020. At least 10 percent of the 1.5 percent mandate must be met by solar energy generated by or procured from solar photovoltaic devices with a nameplate capacity of 40kW or less and community solar garden subscriptions.</w:t>
      </w:r>
    </w:p>
    <w:p>
      <w:pPr>
        <w:spacing w:after="0" w:line="181"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Minnesota Power’s solar energy supply consists of Camp Ripley, a 10 MW utility scale solar project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w:t>
      </w:r>
      <w:r>
        <w:rPr>
          <w:rFonts w:ascii="MS PGothic" w:cs="MS PGothic" w:eastAsia="MS PGothic" w:hAnsi="MS PGothic"/>
          <w:sz w:val="16"/>
          <w:szCs w:val="16"/>
          <w:color w:val="auto"/>
        </w:rPr>
        <w:t>‑</w:t>
      </w:r>
      <w:r>
        <w:rPr>
          <w:rFonts w:ascii="Arial" w:cs="Arial" w:eastAsia="Arial" w:hAnsi="Arial"/>
          <w:sz w:val="16"/>
          <w:szCs w:val="16"/>
          <w:color w:val="auto"/>
        </w:rPr>
        <w:t>third of the overall mandate with an increase in solar rebates and community solar garden subscriptions expected to meet a portion of the required small scale solar mandate.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Bison, were approved by the MPUC in a November 2017 order, which allows Minnesota Power to charge retail customers on a current basis for the costs of certain renewable investments plus a return on the capital invested.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Tenaska PPA. </w:t>
      </w:r>
      <w:r>
        <w:rPr>
          <w:rFonts w:ascii="Arial" w:cs="Arial" w:eastAsia="Arial" w:hAnsi="Arial"/>
          <w:sz w:val="17"/>
          <w:szCs w:val="17"/>
          <w:color w:val="auto"/>
        </w:rPr>
        <w:t>In May 2017, Minnesota Power and an affiliate of Tenaska signed a long-term PPA that provides for Minnesota Power to purchase the energy</w:t>
      </w:r>
      <w:r>
        <w:rPr>
          <w:rFonts w:ascii="Arial" w:cs="Arial" w:eastAsia="Arial" w:hAnsi="Arial"/>
          <w:sz w:val="17"/>
          <w:szCs w:val="17"/>
          <w:i w:val="1"/>
          <w:iCs w:val="1"/>
          <w:color w:val="auto"/>
        </w:rPr>
        <w:t xml:space="preserve"> </w:t>
      </w:r>
      <w:r>
        <w:rPr>
          <w:rFonts w:ascii="Arial" w:cs="Arial" w:eastAsia="Arial" w:hAnsi="Arial"/>
          <w:sz w:val="17"/>
          <w:szCs w:val="17"/>
          <w:color w:val="auto"/>
        </w:rPr>
        <w:t>and associated capacity from a 250 MW wind energy facility in southwest Minnesota for a 20-year period beginning in 2020. The agreement provides for the purchase of output from the facility at fixed energy prices. There are no fixed capacity charges, and Minnesota Power will only pay for energy as it is delivered. This agreement is subject to MPUC approval and construction of the wind energy facility.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fourth PPA provides for Minnesota Power to purchase up to 133 MW of energy from Manitoba Hydro for 20 years beginning in 2020. The pricing under this PPA is based on forward market prices. The PPA is subject to the construction of the GNTL.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6"/>
          <w:szCs w:val="16"/>
          <w:color w:val="auto"/>
        </w:rPr>
        <w:t>‑</w:t>
      </w:r>
      <w:r>
        <w:rPr>
          <w:rFonts w:ascii="Arial" w:cs="Arial" w:eastAsia="Arial" w:hAnsi="Arial"/>
          <w:sz w:val="16"/>
          <w:szCs w:val="16"/>
          <w:color w:val="auto"/>
        </w:rPr>
        <w:t>Canadian border, which was the final major regulatory approval needed before construction in the U.S. could begin. Site clearing and pre</w:t>
      </w:r>
      <w:r>
        <w:rPr>
          <w:rFonts w:ascii="MS PGothic" w:cs="MS PGothic" w:eastAsia="MS PGothic" w:hAnsi="MS PGothic"/>
          <w:sz w:val="16"/>
          <w:szCs w:val="16"/>
          <w:color w:val="auto"/>
        </w:rPr>
        <w:t>‑</w:t>
      </w:r>
      <w:r>
        <w:rPr>
          <w:rFonts w:ascii="Arial" w:cs="Arial" w:eastAsia="Arial" w:hAnsi="Arial"/>
          <w:sz w:val="16"/>
          <w:szCs w:val="16"/>
          <w:color w:val="auto"/>
        </w:rPr>
        <w:t>construction activities commenced in the first quarter of 2017 with construction expected to be completed in 2020. To date, most of the right-of-way has been cleared, foundation installation and transmission tower assembly have commenced and tower construction is expected to begin in 2018.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$211.4 million have been incurred through March 31, 2018, of which $110.0 million has been recovered from a subsidiary of Manitoba Hydro.</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scheduled public hearings for this summer. The NEB is required to make a decision on the MMTP by March 2019 but is not precluded from making a decision prior to that date. Approval of the Canadian federal cabinet is also required. The MMTP is subject to legal and regulatory challenges which Minnesota Power is actively monitoring. Manitoba Hydro has informed Minnesota Power that it continues to work towards completing the MMTP on schedule. In order to meet the transmission in-service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that is to be transmitted on the MMTP and the GNTL, commenced in 2014 and is anticipated to be in service by early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As of March 31, 2018, our equity investment in ATC was $120.1 million ($118.7 million as of December 31, 2017). In the first three months of 2018, we invested $1.6 million in ATC, and on April 30, 2018, we invested an additional $2.3 million. We expect to make additional investments of approximately $2.6 million in 2018. (See Note 7. Investment in ATC.)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FERC issued an order reducing ATC’s authorized return on equity to 10.32 percent, or 10.82 percent including an incentive adder for participation in a regional transmission organization.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2017 through 2026, identifies a need for between $2.8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long-term PSAs in place for the output or may be sold upon completion.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late 2016 and late 2017, ALLETE Clean Energy invested in equipment to meet production tax credit safe harbor provisions which provides an opportunity to seek development of up to approximately 1,500 MW of production tax credit qualified wind projects through 2021. ALLETE Clean Energy will also invest approximately $80 million through 2020 for production tax credit requalification of up to 385 WTGs at its Storm Lake I, Storm Lake II and Lake Benton wind energy facilities. We anticipate annual production tax credits relating to these projects of approximately $5 million in 2018, $10 million in 2019, $15 million to $20 million annually in 2020 through 2027 and decreasing thereafter through 2030.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ALLETE Clean Energy announced that it will develop a wind energy facility of up to 50 MW which will be sold to Montana-Dakota Utilities; construction and sale is expected to be completed in the second half of 2018. Revenue is expected to be recognized upon completion; if the wind energy facility is not completed and sold in 2018, revenue and related margins would be recognized in 2019. ALLETE Clean Energy constructed and sold a 107 MW wind energy facility to Montana-Dakota Utilities in 2015.</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2017, ALLETE Clean Energy announced it will build, own and operate a 100 MW wind energy facility pursuant to a 20-year PSA with Northern States Power; construction is expected to begin in late 2018. On March 15, 2018, ALLETE Clean Energy announced that it will build, own and operate an 80 MW wind energy facility pursuant to a 15-year PSA with NorthWestern Corporation; construction is expected to be completed in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535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has a presence in 49 states and Canada, and has an established base of approximately 4,900 customers. U.S. Water Services differentiates itself from the competition by developing synergies between solutions in engineering, equipment and chemical water treatment, which helps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purchase prices between $10 million and $50 million.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2017, U.S. Water Services acquired Tonka Water for total consideration of $19.2 million. Tonka Water is a supplier of municipal and industrial water treatment systems that will expand U.S. Water Services’ geographic and customer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Water Services expects cash flow from operations of approximately $15 million in 2018 ($12 million in 2017).</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4.4 million tons of lignite coal in 2018 (4.7 million tons were sold in 2017) and has sold 1.2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(1.2 million tons were sold for the three months ended March 31, 2017). BNI Energy operates under cost-plus fixed fee agreements extending through December 31, 2037.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legacy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and operating expenses including fixed carrying costs such as community development district assessments and property taxes. ALLETE Properties’ major projects in Florida are Town Center at Palm Coast and Palm Coast Park, with approximately 1,900 acres combined of land available for sale. In addition to these two projects, ALLETE Properties has approximately 800 acres of other land available for sale.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ALLETE Clean Energy and U.S. Water Services, collectively our Energy Infrastructure and Related Services businesses. ALLETE Properties continues to pursue sales of individual parcels over time and will continue to maintain key entitlements and infrastructure without making additional investments or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ALLETE’s aggregate federal and multi-state statutory tax rate is approximately 28 percent for 2018.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6"/>
          <w:szCs w:val="16"/>
          <w:color w:val="auto"/>
        </w:rPr>
        <w:t>‑</w:t>
      </w:r>
      <w:r>
        <w:rPr>
          <w:rFonts w:ascii="Arial" w:cs="Arial" w:eastAsia="Arial" w:hAnsi="Arial"/>
          <w:sz w:val="16"/>
          <w:szCs w:val="16"/>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8 percent for 2018 primarily due to a lower statutory tax rate resulting from the TCJA, and federal production tax credits as a result of wind energy generation. We also expect that our effective tax rate will be lower than the combined statutory rate over the next 12 years due to production tax credits attributable to our wind energy generation.</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the federal income tax rate change of the TCJA to result in lower income tax expense on an ongoing basis for our Regulated Operations, ALLETE Clean Energy and U.S. Water Services segments as well as our Corporate and Other businesses. The lower income tax expense for our Regulated Operations segment is expected to be mostly offset by lower revenue as most of the benefit is deferred pending the outcome of regulatory proceedings with the MPUC and PSCW. We do not expect a material impact on the Company’s ability to utilize its federal and state NOL and tax credit carryforwards due to the TCJA.</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2018,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$98.5 million, $393.4 million in available consolidated lines of credit and a debt-to-capital ratio of 42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960" w:type="dxa"/>
            <w:vAlign w:val="bottom"/>
          </w:tcPr>
          <w:p>
            <w:pPr>
              <w:spacing w:after="0"/>
              <w:rPr>
                <w:sz w:val="24"/>
                <w:szCs w:val="24"/>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960" w:type="dxa"/>
            <w:vAlign w:val="bottom"/>
          </w:tcPr>
          <w:p>
            <w:pPr>
              <w:spacing w:after="0"/>
              <w:rPr>
                <w:sz w:val="20"/>
                <w:szCs w:val="20"/>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$2,097.3</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$2,068.2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1,512.2</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1,513.3</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$3,609.5</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36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$110.1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121.3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40" w:type="dxa"/>
            <w:vAlign w:val="bottom"/>
          </w:tcPr>
          <w:p>
            <w:pPr>
              <w:jc w:val="right"/>
              <w:ind w:right="410"/>
              <w:spacing w:after="0"/>
              <w:rPr>
                <w:sz w:val="20"/>
                <w:szCs w:val="20"/>
                <w:color w:val="auto"/>
              </w:rPr>
            </w:pPr>
            <w:r>
              <w:rPr>
                <w:rFonts w:ascii="Arial" w:cs="Arial" w:eastAsia="Arial" w:hAnsi="Arial"/>
                <w:sz w:val="18"/>
                <w:szCs w:val="18"/>
                <w:color w:val="auto"/>
              </w:rPr>
              <w:t>(89.0)</w:t>
            </w: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5.8</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w:t>
            </w:r>
          </w:p>
        </w:tc>
      </w:tr>
      <w:tr>
        <w:trPr>
          <w:trHeight w:val="27"/>
        </w:trPr>
        <w:tc>
          <w:tcPr>
            <w:tcW w:w="8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$115.9</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0"/>
        </w:trPr>
        <w:tc>
          <w:tcPr>
            <w:tcW w:w="81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higher in 2018 compared to 2017 primarily due to higher net income, higher contributions in aid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received relating to the construction of the GNTL and amounts collected from customers which are anticipated to be refunded in future periods. These increases were partially offset by higher contributions to the defined benefit pension plans.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2018 compared to 2017 primarily due to higher capital expenditures and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available-for-sale securities.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higher in 2018 due to lower proceeds from the issuance of common stock of $4.3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$70.6 million in 2017 and higher dividends on common stock, partially offset by lower repayments of long-term debt and lower contingent consideration payments.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March 31, 2018, we had consolidated bank lines of credit aggregating $407.0 million ($407.0 million as of December 31, 2017), the majority of which expire in October 2020. We had $13.6 million outstanding in standby letters of credit and no outstanding draws under our lines of credit as of March 31, 2018 ($11.9 million in standby letters of credit and no outstanding draws as of December 31, 2017). In addition, as of March 31, 2018, we had 3.1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2.9 million shares remain available for issuance. For the three months ended March 31, 2018, no shares of common stock were issued under this agreement (1.0 million shares were issued for the three months ended March 31, 2017, resulting in net proceeds of $65.7 million). The shares issued in 2017 were offered and sold pursuant to Registration Statement No. 333-212794, pursuant to which the remaining shares will continue to be offered for sale, from time to time.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2018, we issued 0.2 million shares of common stock through Invest Direct, the Employee Stock Purchase Plan, and the Retirement Savings and Stock Ownership Plan, resulting in net proceeds of $4.3 million (0.1 million shares were issued for the three months ended March 31, 2017, resulting in net proceeds of $4.9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were sold in reliance on an exemption from registration under Section 4(a)(2) of the Securities Act of 1933, as amended, to institutional accredited investors. (See Note 8.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During the three months ended March 31, 2018, we contributed $15.0 million in cash to the defined benefit pension plans. We do not expect to make additional contributions to our defined benefit pension plans in 2018, and we do not expect to make any contributions to our other postretirement benefit plans in 2018. (See Note 12. Pension and Other Postretirement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2017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00" w:type="dxa"/>
            <w:vAlign w:val="bottom"/>
          </w:tcPr>
          <w:p>
            <w:pPr>
              <w:jc w:val="center"/>
              <w:ind w:left="2512"/>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00" w:type="dxa"/>
            <w:vAlign w:val="bottom"/>
          </w:tcPr>
          <w:p>
            <w:pPr>
              <w:jc w:val="center"/>
              <w:ind w:left="2492"/>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6"/>
                <w:szCs w:val="16"/>
                <w:i w:val="1"/>
                <w:iCs w:val="1"/>
                <w:color w:val="auto"/>
                <w:w w:val="91"/>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Standard &amp; Poor’s.</w:t>
            </w:r>
          </w:p>
        </w:tc>
        <w:tc>
          <w:tcPr>
            <w:tcW w:w="4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2018, Standard &amp; Poor’s revised its credit rating outlook on ALLETE to negative from stable, while affirming its issuer and commercial paper ratings on ALLETE. Standard &amp; Poor’s cited the potential effect of the TCJA on the Company’s cash flows and Standard &amp; Poor’s assessment of the Company’s regulatory risk following Minnesota Power’s recent general rate case as its rationale for issuing the negative outlook.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2018, Moody’s issued a report on ALLETE noting that Minnesota Power’s general rate case was credit negative. With respect to Minnesota Power’s general rate case outcome, Moody’s noted a lower return on equity, disallowance of various expenses, including a decision to disallow recovery of the prepaid pension asset, and a ruling against Minnesota Power’s request to adopt an annual rate review mechanism. In addition, Moody’s noted the potential negative impact of the TCJA on certain financial metrics used by Moody’s.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March 31, 2018, we had cash and cash equivalents of $98.5 million, $393.4 million in available consolidated lines of credit and a debt-to-equity ratio of 42 percent. Our cash from operating activities for the year ended December 31, 2017, was $402.9 million. In addition, as of March 31, 2018, we had 3.1 million original issue shares of our common stock available for issuance through Invest Direct and 2.9 million original issue shares of common stock available for issuance through a distribution agreement with Lampert Capital Markets, Inc.</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2018 and 2019 are expected to be approximately $350 million and $470 million,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from the 2018 and 2019 capital expenditures projected in our 2017 Form 10-K is primarily due to the recently announced 80 MW wind energy facility ALLETE Clean Energy will build, own and operate pursuant to a 15</w:t>
      </w:r>
      <w:r>
        <w:rPr>
          <w:rFonts w:ascii="MS PGothic" w:cs="MS PGothic" w:eastAsia="MS PGothic" w:hAnsi="MS PGothic"/>
          <w:sz w:val="18"/>
          <w:szCs w:val="18"/>
          <w:color w:val="auto"/>
        </w:rPr>
        <w:t>‑</w:t>
      </w:r>
      <w:r>
        <w:rPr>
          <w:rFonts w:ascii="Arial" w:cs="Arial" w:eastAsia="Arial" w:hAnsi="Arial"/>
          <w:sz w:val="18"/>
          <w:szCs w:val="18"/>
          <w:color w:val="auto"/>
        </w:rPr>
        <w:t>year PSA with NorthWestern Corporation. (See Item 7. Management’s Discussion and Analysis – Outlook – Energy Infrastructure and Related Services – ALLETE Clean Energy.) For the three months ended March 31, 2018, capital expenditures totaled $52.6 million ($32.7 million for the three months ended March 31, 2017).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ALLETE had 2,024 employees, of which 1,979 were full-time.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and SWL&amp;P have an aggregate of 504 employees who are members of International Brotherhood of Electrical Workers (IBEW) Local 31. The labor agreements with IBEW Local 31 expired on January 31, 2018, and on February 1, 2018, Minnesota Power, SWL&amp;P and IBEW Local 31 agreed to amend the current contracts and extend the expiration to April 30, 2020, and February 1, 2021,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183 employees, of which 148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2018,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2018, an increase of 100 basis points in interest rates would impact the amount of pre-tax interest expense by $0.8 million. This amount was determined by considering the impact of a hypothetical 100 basis point increase to the average variable interest rate on the variable rate debt outstanding as of March 31,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2018,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2017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2017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1300" w:right="40" w:hanging="1265"/>
        <w:spacing w:after="0" w:line="277" w:lineRule="auto"/>
        <w:tabs>
          <w:tab w:leader="none" w:pos="1300" w:val="left"/>
        </w:tabs>
        <w:numPr>
          <w:ilvl w:val="0"/>
          <w:numId w:val="22"/>
        </w:numPr>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Thirty-ninth Supplemental Indenture, dated as of April 1, 2018, between ALLETE, Inc. and The Bank of New York Mellon, as corporate</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trustee, and Andres Serrano, as co-trustee.</w:t>
        </w:r>
      </w:hyperlink>
    </w:p>
    <w:tbl>
      <w:tblPr>
        <w:tblLayout w:type="fixed"/>
        <w:tblInd w:w="0" w:type="dxa"/>
        <w:tblCellMar>
          <w:top w:w="0" w:type="dxa"/>
          <w:left w:w="0" w:type="dxa"/>
          <w:bottom w:w="0" w:type="dxa"/>
          <w:right w:w="0" w:type="dxa"/>
        </w:tblCellMar>
      </w:tblPr>
      <w:tr>
        <w:trPr>
          <w:trHeight w:val="198"/>
        </w:trPr>
        <w:tc>
          <w:tcPr>
            <w:tcW w:w="900" w:type="dxa"/>
            <w:vAlign w:val="bottom"/>
            <w:gridSpan w:val="4"/>
          </w:tcPr>
          <w:p>
            <w:pPr>
              <w:ind w:left="40"/>
              <w:spacing w:after="0" w:line="198" w:lineRule="exact"/>
              <w:rPr>
                <w:rFonts w:ascii="Arial" w:cs="Arial" w:eastAsia="Arial" w:hAnsi="Arial"/>
                <w:sz w:val="18"/>
                <w:szCs w:val="18"/>
                <w:color w:val="0000FF"/>
              </w:rPr>
            </w:pPr>
            <w:hyperlink w:anchor="page82">
              <w:r>
                <w:rPr>
                  <w:rFonts w:ascii="Arial" w:cs="Arial" w:eastAsia="Arial" w:hAnsi="Arial"/>
                  <w:sz w:val="18"/>
                  <w:szCs w:val="18"/>
                  <w:color w:val="0000FF"/>
                </w:rPr>
                <w:t>10(a)1</w:t>
              </w:r>
            </w:hyperlink>
          </w:p>
        </w:tc>
        <w:tc>
          <w:tcPr>
            <w:tcW w:w="10520" w:type="dxa"/>
            <w:vAlign w:val="bottom"/>
            <w:gridSpan w:val="8"/>
          </w:tcPr>
          <w:p>
            <w:pPr>
              <w:ind w:left="400"/>
              <w:spacing w:after="0" w:line="198" w:lineRule="exact"/>
              <w:rPr>
                <w:rFonts w:ascii="Arial" w:cs="Arial" w:eastAsia="Arial" w:hAnsi="Arial"/>
                <w:sz w:val="18"/>
                <w:szCs w:val="18"/>
                <w:color w:val="0000FF"/>
              </w:rPr>
            </w:pPr>
            <w:hyperlink w:anchor="page82">
              <w:r>
                <w:rPr>
                  <w:rFonts w:ascii="Arial" w:cs="Arial" w:eastAsia="Arial" w:hAnsi="Arial"/>
                  <w:sz w:val="18"/>
                  <w:szCs w:val="18"/>
                  <w:color w:val="0000FF"/>
                </w:rPr>
                <w:t>ALLETE Executive Annual Incentive Plan Form of Award Effective 2018.</w:t>
              </w:r>
            </w:hyperlink>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38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10(a)2</w:t>
              </w:r>
            </w:hyperlink>
          </w:p>
        </w:tc>
        <w:tc>
          <w:tcPr>
            <w:tcW w:w="10520" w:type="dxa"/>
            <w:vAlign w:val="bottom"/>
            <w:gridSpan w:val="8"/>
            <w:shd w:val="clear" w:color="auto" w:fill="CCEEFF"/>
          </w:tcPr>
          <w:p>
            <w:pPr>
              <w:ind w:left="40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ALLETE Executive Annual Incentive Plan Form of Award Superior Water, Light and Power Effective 2018.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gridSpan w:val="4"/>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10(b)</w:t>
              </w:r>
            </w:hyperlink>
          </w:p>
        </w:tc>
        <w:tc>
          <w:tcPr>
            <w:tcW w:w="10520" w:type="dxa"/>
            <w:vAlign w:val="bottom"/>
            <w:gridSpan w:val="8"/>
          </w:tcPr>
          <w:p>
            <w:pPr>
              <w:ind w:left="40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Form of ALLETE Executive Long-Term Incentive Compensation Plan Cash Award Effective 2018.</w:t>
              </w:r>
            </w:hyperlink>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3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10(c)</w:t>
              </w:r>
            </w:hyperlink>
          </w:p>
        </w:tc>
        <w:tc>
          <w:tcPr>
            <w:tcW w:w="10520" w:type="dxa"/>
            <w:vAlign w:val="bottom"/>
            <w:gridSpan w:val="8"/>
            <w:shd w:val="clear" w:color="auto" w:fill="CCEEFF"/>
          </w:tcPr>
          <w:p>
            <w:pPr>
              <w:ind w:left="40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ALLETE and Affiliated Companies Change in Control Severance Plan, as amended and restated, effective April 23, 2018.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gridSpan w:val="4"/>
          </w:tcPr>
          <w:p>
            <w:pPr>
              <w:ind w:left="4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31(a)</w:t>
              </w:r>
            </w:hyperlink>
          </w:p>
        </w:tc>
        <w:tc>
          <w:tcPr>
            <w:tcW w:w="10520" w:type="dxa"/>
            <w:vAlign w:val="bottom"/>
            <w:gridSpan w:val="8"/>
          </w:tcPr>
          <w:p>
            <w:pPr>
              <w:ind w:left="400"/>
              <w:spacing w:after="0" w:line="202" w:lineRule="exact"/>
              <w:rPr>
                <w:rFonts w:ascii="Arial" w:cs="Arial" w:eastAsia="Arial" w:hAnsi="Arial"/>
                <w:sz w:val="18"/>
                <w:szCs w:val="18"/>
                <w:color w:val="0000FF"/>
                <w:w w:val="98"/>
              </w:rPr>
            </w:pPr>
            <w:hyperlink w:anchor="page99">
              <w:r>
                <w:rPr>
                  <w:rFonts w:ascii="Arial" w:cs="Arial" w:eastAsia="Arial" w:hAnsi="Arial"/>
                  <w:sz w:val="18"/>
                  <w:szCs w:val="18"/>
                  <w:color w:val="0000FF"/>
                  <w:w w:val="98"/>
                </w:rPr>
                <w:t>Rule 13a-14(a)/15d-14(a) Certification by the Chief Executive Officer Pursuant to Section 302 of the Sarbanes-Oxley Act of 2002.</w:t>
              </w:r>
            </w:hyperlink>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3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100">
              <w:r>
                <w:rPr>
                  <w:rFonts w:ascii="Arial" w:cs="Arial" w:eastAsia="Arial" w:hAnsi="Arial"/>
                  <w:sz w:val="18"/>
                  <w:szCs w:val="18"/>
                  <w:color w:val="0000FF"/>
                </w:rPr>
                <w:t>31(b)</w:t>
              </w:r>
            </w:hyperlink>
          </w:p>
        </w:tc>
        <w:tc>
          <w:tcPr>
            <w:tcW w:w="10520" w:type="dxa"/>
            <w:vAlign w:val="bottom"/>
            <w:gridSpan w:val="8"/>
            <w:shd w:val="clear" w:color="auto" w:fill="CCEEFF"/>
          </w:tcPr>
          <w:p>
            <w:pPr>
              <w:ind w:left="400"/>
              <w:spacing w:after="0" w:line="202" w:lineRule="exact"/>
              <w:rPr>
                <w:rFonts w:ascii="Arial" w:cs="Arial" w:eastAsia="Arial" w:hAnsi="Arial"/>
                <w:sz w:val="18"/>
                <w:szCs w:val="18"/>
                <w:color w:val="0000FF"/>
                <w:w w:val="98"/>
              </w:rPr>
            </w:pPr>
            <w:hyperlink w:anchor="page100">
              <w:r>
                <w:rPr>
                  <w:rFonts w:ascii="Arial" w:cs="Arial" w:eastAsia="Arial" w:hAnsi="Arial"/>
                  <w:sz w:val="18"/>
                  <w:szCs w:val="18"/>
                  <w:color w:val="0000FF"/>
                  <w:w w:val="98"/>
                </w:rPr>
                <w:t>Rule 13a-14(a)/15d-14(a) Certification by the Chief Financial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1300" w:right="20" w:hanging="1265"/>
        <w:spacing w:after="0" w:line="277" w:lineRule="auto"/>
        <w:tabs>
          <w:tab w:leader="none" w:pos="1300" w:val="left"/>
        </w:tabs>
        <w:numPr>
          <w:ilvl w:val="0"/>
          <w:numId w:val="23"/>
        </w:numPr>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Section 1350 Certification of Periodic Report by the Chief Executive Officer and the Chief Financial Officer Pursuant to Section 906 of the</w:t>
        </w:r>
      </w:hyperlink>
      <w:r>
        <w:rPr>
          <w:rFonts w:ascii="Arial" w:cs="Arial" w:eastAsia="Arial" w:hAnsi="Arial"/>
          <w:sz w:val="18"/>
          <w:szCs w:val="18"/>
          <w:u w:val="single" w:color="auto"/>
          <w:color w:val="0000FF"/>
        </w:rPr>
        <w:t xml:space="preserve"> </w:t>
      </w:r>
      <w:hyperlink w:anchor="page101">
        <w:r>
          <w:rPr>
            <w:rFonts w:ascii="Arial" w:cs="Arial" w:eastAsia="Arial" w:hAnsi="Arial"/>
            <w:sz w:val="18"/>
            <w:szCs w:val="18"/>
            <w:u w:val="single" w:color="auto"/>
            <w:color w:val="0000FF"/>
          </w:rPr>
          <w:t>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02">
        <w:r>
          <w:rPr>
            <w:rFonts w:ascii="Arial" w:cs="Arial" w:eastAsia="Arial" w:hAnsi="Arial"/>
            <w:sz w:val="18"/>
            <w:szCs w:val="18"/>
            <w:u w:val="single" w:color="auto"/>
            <w:color w:val="0000FF"/>
          </w:rPr>
          <w:t>Mine Safety.</w:t>
        </w:r>
      </w:hyperlink>
    </w:p>
    <w:p>
      <w:pPr>
        <w:spacing w:after="0" w:line="59" w:lineRule="exact"/>
        <w:rPr>
          <w:rFonts w:ascii="Arial" w:cs="Arial" w:eastAsia="Arial" w:hAnsi="Arial"/>
          <w:sz w:val="18"/>
          <w:szCs w:val="18"/>
          <w:u w:val="single" w:color="auto"/>
          <w:color w:val="0000FF"/>
        </w:rPr>
      </w:pPr>
    </w:p>
    <w:p>
      <w:pPr>
        <w:jc w:val="both"/>
        <w:ind w:left="1300" w:right="40" w:hanging="1265"/>
        <w:spacing w:after="0" w:line="301" w:lineRule="auto"/>
        <w:tabs>
          <w:tab w:leader="none" w:pos="1300" w:val="left"/>
        </w:tabs>
        <w:numPr>
          <w:ilvl w:val="0"/>
          <w:numId w:val="24"/>
        </w:numPr>
        <w:rPr>
          <w:rFonts w:ascii="Arial" w:cs="Arial" w:eastAsia="Arial" w:hAnsi="Arial"/>
          <w:sz w:val="16"/>
          <w:szCs w:val="16"/>
          <w:b w:val="1"/>
          <w:bCs w:val="1"/>
          <w:u w:val="single" w:color="auto"/>
          <w:color w:val="0000FF"/>
        </w:rPr>
      </w:pPr>
      <w:hyperlink w:anchor="page103">
        <w:r>
          <w:rPr>
            <w:rFonts w:ascii="Arial" w:cs="Arial" w:eastAsia="Arial" w:hAnsi="Arial"/>
            <w:sz w:val="16"/>
            <w:szCs w:val="16"/>
            <w:b w:val="1"/>
            <w:bCs w:val="1"/>
            <w:u w:val="single" w:color="auto"/>
            <w:color w:val="0000FF"/>
          </w:rPr>
          <w:t>ALLETE News Release dated May 2, 2018, announcing 2018 first quarter earnings. (This exhibit has been furnished and shall not</w:t>
        </w:r>
      </w:hyperlink>
      <w:r>
        <w:rPr>
          <w:rFonts w:ascii="Arial" w:cs="Arial" w:eastAsia="Arial" w:hAnsi="Arial"/>
          <w:sz w:val="16"/>
          <w:szCs w:val="16"/>
          <w:b w:val="1"/>
          <w:bCs w:val="1"/>
          <w:u w:val="single" w:color="auto"/>
          <w:color w:val="0000FF"/>
        </w:rPr>
        <w:t xml:space="preserve"> </w:t>
      </w:r>
      <w:hyperlink w:anchor="page103">
        <w:r>
          <w:rPr>
            <w:rFonts w:ascii="Arial" w:cs="Arial" w:eastAsia="Arial" w:hAnsi="Arial"/>
            <w:sz w:val="16"/>
            <w:szCs w:val="16"/>
            <w:b w:val="1"/>
            <w:bCs w:val="1"/>
            <w:u w:val="single" w:color="auto"/>
            <w:color w:val="0000FF"/>
          </w:rPr>
          <w:t>be deemed “filed” for purposes of Section 18 of the Securities Exchange Act of 1934, nor shall it be deemed incorporated by</w:t>
        </w:r>
      </w:hyperlink>
      <w:r>
        <w:rPr>
          <w:rFonts w:ascii="Arial" w:cs="Arial" w:eastAsia="Arial" w:hAnsi="Arial"/>
          <w:sz w:val="16"/>
          <w:szCs w:val="16"/>
          <w:b w:val="1"/>
          <w:bCs w:val="1"/>
          <w:u w:val="single" w:color="auto"/>
          <w:color w:val="0000FF"/>
        </w:rPr>
        <w:t xml:space="preserve"> </w:t>
      </w:r>
      <w:hyperlink w:anchor="page103">
        <w:r>
          <w:rPr>
            <w:rFonts w:ascii="Arial" w:cs="Arial" w:eastAsia="Arial" w:hAnsi="Arial"/>
            <w:sz w:val="16"/>
            <w:szCs w:val="16"/>
            <w:b w:val="1"/>
            <w:bCs w:val="1"/>
            <w:u w:val="single" w:color="auto"/>
            <w:color w:val="0000FF"/>
          </w:rPr>
          <w:t>reference in any filing under the Securities Act of 1933, except as shall be expressly set forth by specific reference in such filing.)</w:t>
        </w:r>
      </w:hyperlink>
    </w:p>
    <w:p>
      <w:pPr>
        <w:spacing w:after="0" w:line="1"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70"/>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rFonts w:ascii="Arial" w:cs="Arial" w:eastAsia="Arial" w:hAnsi="Arial"/>
          <w:sz w:val="16"/>
          <w:szCs w:val="16"/>
          <w:b w:val="1"/>
          <w:bCs w:val="1"/>
          <w:u w:val="single" w:color="auto"/>
          <w:color w:val="0000FF"/>
        </w:rPr>
      </w:pPr>
    </w:p>
    <w:p>
      <w:pPr>
        <w:spacing w:after="0" w:line="267"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99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Vice President, Controller and Chief Accounting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ind w:left="712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and formerly Minnesota Power, Inc.)</w:t>
      </w:r>
    </w:p>
    <w:p>
      <w:pPr>
        <w:spacing w:after="0" w:line="108"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(formerly The Bank of New York</w:t>
      </w:r>
    </w:p>
    <w:p>
      <w:pPr>
        <w:ind w:left="360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Andres Serrano</w:t>
      </w:r>
    </w:p>
    <w:p>
      <w:pPr>
        <w:spacing w:after="0" w:line="22" w:lineRule="exact"/>
        <w:rPr>
          <w:sz w:val="20"/>
          <w:szCs w:val="20"/>
          <w:color w:val="auto"/>
        </w:rPr>
      </w:pPr>
    </w:p>
    <w:p>
      <w:pPr>
        <w:jc w:val="center"/>
        <w:ind w:left="2160"/>
        <w:spacing w:after="0" w:line="244" w:lineRule="auto"/>
        <w:rPr>
          <w:sz w:val="20"/>
          <w:szCs w:val="20"/>
          <w:color w:val="auto"/>
        </w:rPr>
      </w:pPr>
      <w:r>
        <w:rPr>
          <w:rFonts w:ascii="Arial" w:cs="Arial" w:eastAsia="Arial" w:hAnsi="Arial"/>
          <w:sz w:val="20"/>
          <w:szCs w:val="20"/>
          <w:b w:val="1"/>
          <w:bCs w:val="1"/>
          <w:color w:val="auto"/>
        </w:rPr>
        <w:t>(successor to Richard H. West, J. A. Austin, E. J. McCabe, D. W. May, J. A. Vaughan, W. T. Cunningham, Douglas J. MacInnes, Ming Ryan, and Philip L. Watson)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Thirty-ninth Supplemental Indenture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Providing, among other things, for</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First Mortgage Bonds, 4.07% Series due April 16, 2048</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(Fifty-seventh Series),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Dated as of April 1, 2018</w:t>
      </w:r>
    </w:p>
    <w:p>
      <w:pPr>
        <w:sectPr>
          <w:pgSz w:w="11900" w:h="16838" w:orient="portrait"/>
          <w:cols w:equalWidth="0" w:num="1">
            <w:col w:w="10140"/>
          </w:cols>
          <w:pgMar w:left="900" w:top="121" w:right="859" w:bottom="1440" w:gutter="0" w:footer="0" w:header="0"/>
        </w:sectPr>
      </w:pPr>
    </w:p>
    <w:bookmarkStart w:id="60" w:name="page61"/>
    <w:bookmarkEnd w:id="60"/>
    <w:p>
      <w:pPr>
        <w:ind w:left="778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THIRTY-NINTH SUPPLEMENTAL INDENTURE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April 1, 2018, by and between ALLETE, Inc. (formerly Minnesota Power &amp; Light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Andres Serrano (successor to Richard H. West, J. A. Austin, E. J. McCabe, D. W. May, J. A. Vaughan, W. T. Cunningham, Douglas J. MacInnes, Ming Ryan and Philip L. Watson), whose post office address is c/o The Bank of New York Mellon, 101 Barclay Street, New York, New York 10286 (said Andres Serrano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“Thirty-ninth Supplemental Indenture”) being supplemental thereto: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ectPr>
          <w:pgSz w:w="11900" w:h="16838" w:orient="portrait"/>
          <w:cols w:equalWidth="0" w:num="1">
            <w:col w:w="11420"/>
          </w:cols>
          <w:pgMar w:left="240" w:top="121" w:right="239" w:bottom="1440" w:gutter="0" w:footer="0" w:header="0"/>
        </w:sectPr>
      </w:pPr>
    </w:p>
    <w:bookmarkStart w:id="61" w:name="page62"/>
    <w:bookmarkEnd w:id="61"/>
    <w:p>
      <w:pPr>
        <w:ind w:left="778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ectPr>
          <w:pgSz w:w="11900" w:h="16838" w:orient="portrait"/>
          <w:cols w:equalWidth="0" w:num="1">
            <w:col w:w="11420"/>
          </w:cols>
          <w:pgMar w:left="240" w:top="121" w:right="239" w:bottom="1440" w:gutter="0" w:footer="0" w:header="0"/>
        </w:sectPr>
      </w:pPr>
    </w:p>
    <w:bookmarkStart w:id="62" w:name="page63"/>
    <w:bookmarkEnd w:id="62"/>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for said purposes, among others, the Company executed and delivered the following indentures supplemental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33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2015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4</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9"/>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560" w:type="dxa"/>
            <w:vAlign w:val="bottom"/>
            <w:gridSpan w:val="3"/>
          </w:tcPr>
          <w:p>
            <w:pPr>
              <w:jc w:val="center"/>
              <w:ind w:left="1641"/>
              <w:spacing w:after="0"/>
              <w:rPr>
                <w:sz w:val="20"/>
                <w:szCs w:val="20"/>
                <w:color w:val="auto"/>
              </w:rPr>
            </w:pPr>
            <w:r>
              <w:rPr>
                <w:rFonts w:ascii="Arial" w:cs="Arial" w:eastAsia="Arial" w:hAnsi="Arial"/>
                <w:sz w:val="20"/>
                <w:szCs w:val="20"/>
                <w:b w:val="1"/>
                <w:bCs w:val="1"/>
                <w:color w:val="auto"/>
                <w:w w:val="92"/>
              </w:rPr>
              <w:t>Principal</w:t>
            </w: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Amount</w:t>
            </w: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401"/>
        </w:trPr>
        <w:tc>
          <w:tcPr>
            <w:tcW w:w="520" w:type="dxa"/>
            <w:vAlign w:val="bottom"/>
            <w:vMerge w:val="restart"/>
          </w:tcPr>
          <w:p>
            <w:pPr>
              <w:spacing w:after="0"/>
              <w:rPr>
                <w:sz w:val="20"/>
                <w:szCs w:val="20"/>
                <w:color w:val="auto"/>
              </w:rPr>
            </w:pPr>
            <w:r>
              <w:rPr>
                <w:rFonts w:ascii="Arial" w:cs="Arial" w:eastAsia="Arial" w:hAnsi="Arial"/>
                <w:sz w:val="20"/>
                <w:szCs w:val="20"/>
                <w:b w:val="1"/>
                <w:bCs w:val="1"/>
                <w:color w:val="auto"/>
                <w:w w:val="83"/>
              </w:rPr>
              <w:t>Series</w:t>
            </w:r>
          </w:p>
        </w:tc>
        <w:tc>
          <w:tcPr>
            <w:tcW w:w="20" w:type="dxa"/>
            <w:vAlign w:val="bottom"/>
            <w:vMerge w:val="restart"/>
          </w:tcPr>
          <w:p>
            <w:pPr>
              <w:spacing w:after="0"/>
              <w:rPr>
                <w:sz w:val="24"/>
                <w:szCs w:val="24"/>
                <w:color w:val="auto"/>
              </w:rPr>
            </w:pPr>
          </w:p>
        </w:tc>
        <w:tc>
          <w:tcPr>
            <w:tcW w:w="4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85"/>
              </w:rPr>
              <w:t>Issued</w:t>
            </w:r>
          </w:p>
        </w:tc>
        <w:tc>
          <w:tcPr>
            <w:tcW w:w="1580" w:type="dxa"/>
            <w:vAlign w:val="bottom"/>
            <w:gridSpan w:val="2"/>
          </w:tcPr>
          <w:p>
            <w:pPr>
              <w:jc w:val="center"/>
              <w:ind w:left="421"/>
              <w:spacing w:after="0"/>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201"/>
        </w:trPr>
        <w:tc>
          <w:tcPr>
            <w:tcW w:w="52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04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$26,000,000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4,000,000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12,000,000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23,000,000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1,150,000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13,500,000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3,600,000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35,000,000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50,000,000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60,000,000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75,000,000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75,000,000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42,000,000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42,000,000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15,000,000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30,000,000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30,000,000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35,000,000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30,000,000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30,000,000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45,000,000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45,000,000</w:t>
            </w:r>
          </w:p>
        </w:tc>
        <w:tc>
          <w:tcPr>
            <w:tcW w:w="0" w:type="dxa"/>
            <w:vAlign w:val="bottom"/>
          </w:tcPr>
          <w:p>
            <w:pPr>
              <w:spacing w:after="0"/>
              <w:rPr>
                <w:sz w:val="1"/>
                <w:szCs w:val="1"/>
                <w:color w:val="auto"/>
              </w:rPr>
            </w:pPr>
          </w:p>
        </w:tc>
      </w:tr>
    </w:tbl>
    <w:p>
      <w:pPr>
        <w:sectPr>
          <w:pgSz w:w="11900" w:h="16838" w:orient="portrait"/>
          <w:cols w:equalWidth="0" w:num="1">
            <w:col w:w="10180"/>
          </w:cols>
          <w:pgMar w:left="660" w:top="121" w:right="1059" w:bottom="1440" w:gutter="0" w:footer="0" w:header="0"/>
        </w:sectPr>
      </w:pPr>
    </w:p>
    <w:bookmarkStart w:id="64" w:name="page65"/>
    <w:bookmarkEnd w:id="64"/>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780" w:type="dxa"/>
            <w:vAlign w:val="bottom"/>
          </w:tcPr>
          <w:p>
            <w:pPr>
              <w:jc w:val="right"/>
              <w:ind w:right="462"/>
              <w:spacing w:after="0"/>
              <w:rPr>
                <w:sz w:val="20"/>
                <w:szCs w:val="20"/>
                <w:color w:val="auto"/>
              </w:rPr>
            </w:pPr>
            <w:r>
              <w:rPr>
                <w:rFonts w:ascii="Arial" w:cs="Arial" w:eastAsia="Arial" w:hAnsi="Arial"/>
                <w:sz w:val="18"/>
                <w:szCs w:val="18"/>
                <w:b w:val="1"/>
                <w:bCs w:val="1"/>
                <w:color w:val="auto"/>
              </w:rPr>
              <w:t>Exhibit 4</w:t>
            </w:r>
          </w:p>
        </w:tc>
        <w:tc>
          <w:tcPr>
            <w:tcW w:w="1460" w:type="dxa"/>
            <w:vAlign w:val="bottom"/>
          </w:tcPr>
          <w:p>
            <w:pPr>
              <w:spacing w:after="0"/>
              <w:rPr>
                <w:sz w:val="20"/>
                <w:szCs w:val="20"/>
                <w:color w:val="auto"/>
              </w:rPr>
            </w:pPr>
          </w:p>
        </w:tc>
      </w:tr>
      <w:tr>
        <w:trPr>
          <w:trHeight w:val="639"/>
        </w:trPr>
        <w:tc>
          <w:tcPr>
            <w:tcW w:w="540" w:type="dxa"/>
            <w:vAlign w:val="bottom"/>
          </w:tcPr>
          <w:p>
            <w:pPr>
              <w:jc w:val="right"/>
              <w:spacing w:after="0"/>
              <w:rPr>
                <w:sz w:val="20"/>
                <w:szCs w:val="20"/>
                <w:color w:val="auto"/>
              </w:rPr>
            </w:pPr>
            <w:r>
              <w:rPr>
                <w:rFonts w:ascii="Arial" w:cs="Arial" w:eastAsia="Arial" w:hAnsi="Arial"/>
                <w:sz w:val="20"/>
                <w:szCs w:val="20"/>
                <w:color w:val="auto"/>
                <w:w w:val="88"/>
              </w:rPr>
              <w:t>3.20%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75,000,000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75,000,000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4.08%</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85,000,000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85,000,000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1.83%</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50,000,000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50,000,000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3.30%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40,000,000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4.21%</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60,000,000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3.69%</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60,000,000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4.95%</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40,000,000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3.40%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75,000,000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75,000,000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5.05%</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40,000,000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3.02%</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60,000,000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3.74%</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50,000,000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50,000,000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4.39%</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50,000,000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50,000,000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2.80%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2020</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40,000,000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3.86%</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16, 2030</w:t>
            </w:r>
          </w:p>
        </w:tc>
        <w:tc>
          <w:tcPr>
            <w:tcW w:w="3780" w:type="dxa"/>
            <w:vAlign w:val="bottom"/>
          </w:tcPr>
          <w:p>
            <w:pPr>
              <w:jc w:val="right"/>
              <w:ind w:right="942"/>
              <w:spacing w:after="0"/>
              <w:rPr>
                <w:sz w:val="20"/>
                <w:szCs w:val="20"/>
                <w:color w:val="auto"/>
              </w:rPr>
            </w:pPr>
            <w:r>
              <w:rPr>
                <w:rFonts w:ascii="Arial" w:cs="Arial" w:eastAsia="Arial" w:hAnsi="Arial"/>
                <w:sz w:val="20"/>
                <w:szCs w:val="20"/>
                <w:color w:val="auto"/>
              </w:rPr>
              <w:t>60,000,000</w:t>
            </w:r>
          </w:p>
        </w:tc>
        <w:tc>
          <w:tcPr>
            <w:tcW w:w="1460" w:type="dxa"/>
            <w:vAlign w:val="bottom"/>
          </w:tcPr>
          <w:p>
            <w:pPr>
              <w:jc w:val="right"/>
              <w:spacing w:after="0"/>
              <w:rPr>
                <w:sz w:val="20"/>
                <w:szCs w:val="20"/>
                <w:color w:val="auto"/>
              </w:rPr>
            </w:pPr>
            <w:r>
              <w:rPr>
                <w:rFonts w:ascii="Arial" w:cs="Arial" w:eastAsia="Arial" w:hAnsi="Arial"/>
                <w:sz w:val="20"/>
                <w:szCs w:val="20"/>
                <w:color w:val="auto"/>
              </w:rPr>
              <w:t>60,000,000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Fifty-sixth Series, respectively; and</w:t>
      </w: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69"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one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Section 120 of the Mortgage also provides, among other things, that the Company may cure any ambiguity contained in the Mortgage, or in any supplemental indenture,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ectPr>
          <w:pgSz w:w="11900" w:h="16838" w:orient="portrait"/>
          <w:cols w:equalWidth="0" w:num="1">
            <w:col w:w="11420"/>
          </w:cols>
          <w:pgMar w:left="240" w:top="121" w:right="239" w:bottom="1440" w:gutter="0" w:footer="0" w:header="0"/>
        </w:sectPr>
      </w:pPr>
    </w:p>
    <w:bookmarkStart w:id="65" w:name="page66"/>
    <w:bookmarkEnd w:id="65"/>
    <w:p>
      <w:pPr>
        <w:ind w:left="778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Section 116 of the Mortgage, as amended by the Twenty-first Supplemental Indenture, dated as of October 1, 2000, provides, among other things, that any action by bondholders with respect to any modification or alteration of the Mortgage may be expressed by the written consent of the holders of sixty-six and two-thirds per centum (66 2/3%) or more in principal amount of the bonds Outstanding under the Mortgage, provided that the rights of all series of bonds then Outstanding are to be affected by action taken pursuant to such consent; and</w:t>
      </w:r>
    </w:p>
    <w:p>
      <w:pPr>
        <w:spacing w:after="0" w:line="195"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8"/>
          <w:szCs w:val="18"/>
          <w:color w:val="auto"/>
        </w:rPr>
        <w:t>WHEREAS, (1) the Company has reserved the right to amend the Mortgage, as heretofore supplemented, as set forth in Article IV of the Thirty-first Supplemental Indenture, dated as of February 1, 2010; (2) the initial and future holders of the bonds of the Thirty-eighth Series through the Fifty-sixth Series have irrevocably consented to the amendments set forth in Article IV of such Thirty-first Supplemental Indenture;</w:t>
      </w:r>
    </w:p>
    <w:p>
      <w:pPr>
        <w:spacing w:after="0" w:line="1" w:lineRule="exact"/>
        <w:rPr>
          <w:sz w:val="20"/>
          <w:szCs w:val="20"/>
          <w:color w:val="auto"/>
        </w:rPr>
      </w:pPr>
    </w:p>
    <w:p>
      <w:pPr>
        <w:jc w:val="both"/>
        <w:ind w:firstLine="8"/>
        <w:spacing w:after="0" w:line="241" w:lineRule="auto"/>
        <w:tabs>
          <w:tab w:leader="none" w:pos="292"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Outstanding bonds of the Thirty-eighth Series through the Fifty-sixth Series now constitute more than 66 2/3% in principal amount of all bonds Outstanding; (4) the Company now desires to exercise its right to make the amendments set forth in Sections 2, 6, 8, 9, 10, 14 and 15 of Article IV of such Thirty-first Supplemental Indenture; and (5) the rights of all series of bonds now Outstanding are to be affected by such amendments; and</w:t>
      </w:r>
    </w:p>
    <w:p>
      <w:pPr>
        <w:spacing w:after="0" w:line="195" w:lineRule="exact"/>
        <w:rPr>
          <w:sz w:val="20"/>
          <w:szCs w:val="20"/>
          <w:color w:val="auto"/>
        </w:rPr>
      </w:pPr>
    </w:p>
    <w:p>
      <w:pPr>
        <w:jc w:val="both"/>
        <w:ind w:right="20" w:firstLine="608"/>
        <w:spacing w:after="0" w:line="250" w:lineRule="auto"/>
        <w:rPr>
          <w:sz w:val="20"/>
          <w:szCs w:val="20"/>
          <w:color w:val="auto"/>
        </w:rPr>
      </w:pPr>
      <w:r>
        <w:rPr>
          <w:rFonts w:ascii="Arial" w:cs="Arial" w:eastAsia="Arial" w:hAnsi="Arial"/>
          <w:sz w:val="20"/>
          <w:szCs w:val="20"/>
          <w:color w:val="auto"/>
        </w:rPr>
        <w:t>Whereas, the execution and delivery by the Company of this Thirty-ninth Supplemental Indenture, and the terms of the bonds of the Fifty-seventh Series, hereinafter referred to, have been duly authorized by the Board of Directors of the Company by appropriate resolutions of said Board of Directors;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16"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Andres Serrano,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Thirty-ninth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w:t>
      </w:r>
    </w:p>
    <w:p>
      <w:pPr>
        <w:sectPr>
          <w:pgSz w:w="11900" w:h="16838" w:orient="portrait"/>
          <w:cols w:equalWidth="0" w:num="1">
            <w:col w:w="11420"/>
          </w:cols>
          <w:pgMar w:left="240" w:top="121" w:right="239" w:bottom="1440" w:gutter="0" w:footer="0" w:header="0"/>
        </w:sectPr>
      </w:pPr>
    </w:p>
    <w:bookmarkStart w:id="66" w:name="page67"/>
    <w:bookmarkEnd w:id="66"/>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interest of the Company in and to all other property of any kind or nature appertaining to and/or used and/or occupied and/or enjoyed in connection with any property hereinbefore or in the Mortgage, as heretofore supplemented, described.</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5"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65"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Thirty-ninth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Thirty-ninth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5"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firstLine="608"/>
        <w:spacing w:after="0" w:line="316" w:lineRule="auto"/>
        <w:rPr>
          <w:sz w:val="20"/>
          <w:szCs w:val="20"/>
          <w:color w:val="auto"/>
        </w:rPr>
      </w:pPr>
      <w:r>
        <w:rPr>
          <w:rFonts w:ascii="Arial" w:cs="Arial" w:eastAsia="Arial" w:hAnsi="Arial"/>
          <w:sz w:val="18"/>
          <w:szCs w:val="18"/>
          <w:color w:val="auto"/>
        </w:rPr>
        <w:t>In trust nevertheless, for the same purposes and upon the same terms, trusts and conditions and subject to and with the same provisos and covenants as are set forth in the Mortgage, as supplemented, this Thirty-ninth Supplemental Indenture being supplemental thereto.</w:t>
      </w:r>
    </w:p>
    <w:p>
      <w:pPr>
        <w:spacing w:after="0" w:line="13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w:t>
      </w:r>
    </w:p>
    <w:p>
      <w:pPr>
        <w:sectPr>
          <w:pgSz w:w="11900" w:h="16838" w:orient="portrait"/>
          <w:cols w:equalWidth="0" w:num="1">
            <w:col w:w="11420"/>
          </w:cols>
          <w:pgMar w:left="240" w:top="121" w:right="239" w:bottom="1440" w:gutter="0" w:footer="0" w:header="0"/>
        </w:sectPr>
      </w:pPr>
    </w:p>
    <w:bookmarkStart w:id="67" w:name="page68"/>
    <w:bookmarkEnd w:id="67"/>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had been specifically and at length described in and conveyed to said Trustees by the Mortgage as a part of the property therein stated to be conveyed.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Fifty-seventh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“4.07% Series due April 16, 2048” (herein sometimes referred to as the “Fifty-seventh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Fifty-seventh Series shall be dated as in Section 10 of the Mortgage provided, mature on April 16, 2048 (the “Fifty-seventh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16, 2018 (computed on the basis of a 360-day year of twelve thirty-day months) at the rate of 4.07% per annum, payable semi-annually on April 16 and October 16 of each year, commencing October 16, 2018,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Fifty-seventh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Fifty-seventh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02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October 16, 2047 (six months prior to the Fifty-seventh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Fifty-seventh Series at 100% of the principal amount so prepaid, and the Make-Whole Amount determined for the Settlement Date specified by the Company in such notice with respect to such principal amount. The Company will give each registered owner of bonds of the Fifty-seventh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Fifty-seventh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Fifty-seventh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ectPr>
          <w:pgSz w:w="11900" w:h="16838" w:orient="portrait"/>
          <w:cols w:equalWidth="0" w:num="1">
            <w:col w:w="11420"/>
          </w:cols>
          <w:pgMar w:left="240" w:top="121" w:right="239" w:bottom="1440" w:gutter="0" w:footer="0" w:header="0"/>
        </w:sectPr>
      </w:pPr>
    </w:p>
    <w:bookmarkStart w:id="68" w:name="page69"/>
    <w:bookmarkEnd w:id="68"/>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ind w:firstLine="608"/>
        <w:spacing w:after="0" w:line="291" w:lineRule="auto"/>
        <w:rPr>
          <w:sz w:val="20"/>
          <w:szCs w:val="20"/>
          <w:color w:val="auto"/>
        </w:rPr>
      </w:pPr>
      <w:r>
        <w:rPr>
          <w:rFonts w:ascii="Arial" w:cs="Arial" w:eastAsia="Arial" w:hAnsi="Arial"/>
          <w:sz w:val="18"/>
          <w:szCs w:val="18"/>
          <w:color w:val="auto"/>
        </w:rPr>
        <w:t>At any time on or after October 16, 2047, the bonds of the Fifty-seventh Series will be redeemable at the option of the Company, in whole or in part, on not less than 30 nor more than 60 days’ notice prior to the Settlement Date, at a redemption price equal to 100% of the principal amount of the bonds of the Fifty-seventh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Fifty-seventh Series are not otherwise subject to voluntary or optional prepayment.</w:t>
      </w:r>
    </w:p>
    <w:p>
      <w:pPr>
        <w:spacing w:after="0" w:line="210" w:lineRule="exact"/>
        <w:rPr>
          <w:sz w:val="20"/>
          <w:szCs w:val="20"/>
          <w:color w:val="auto"/>
        </w:rPr>
      </w:pPr>
    </w:p>
    <w:p>
      <w:pPr>
        <w:jc w:val="both"/>
        <w:ind w:firstLine="656"/>
        <w:spacing w:after="0" w:line="248" w:lineRule="auto"/>
        <w:tabs>
          <w:tab w:leader="none" w:pos="1092"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Fifty-seventh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Fifty-seventh Series to be prepaid shall be allocated by the Company among all of the bonds of the Fifty-seventh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Fifty-seventh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Fifty-seventh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The term “Make-Whole Amount” means, with respect to any bond of the Fifty-seventh Series, an amount equal to the excess, if any, of the Discounted Value of the Remaining Scheduled Payments with respect to the Called Principal of such bond of the Fifty-seventh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Fifty-seventh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Fifty-seventh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Fifty-seventh Series is payable) equal to the Reinvestment Yield with respect to such Called Principal.</w:t>
      </w:r>
    </w:p>
    <w:p>
      <w:pPr>
        <w:sectPr>
          <w:pgSz w:w="11900" w:h="16838" w:orient="portrait"/>
          <w:cols w:equalWidth="0" w:num="1">
            <w:col w:w="11420"/>
          </w:cols>
          <w:pgMar w:left="240" w:top="121" w:right="239" w:bottom="1440" w:gutter="0" w:footer="0" w:header="0"/>
        </w:sectPr>
      </w:pPr>
    </w:p>
    <w:bookmarkStart w:id="69" w:name="page70"/>
    <w:bookmarkEnd w:id="69"/>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Fifty-seventh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w:t>
      </w:r>
    </w:p>
    <w:p>
      <w:pPr>
        <w:spacing w:after="0" w:line="2" w:lineRule="exact"/>
        <w:rPr>
          <w:sz w:val="20"/>
          <w:szCs w:val="20"/>
          <w:color w:val="auto"/>
        </w:rPr>
      </w:pPr>
    </w:p>
    <w:p>
      <w:pPr>
        <w:jc w:val="both"/>
        <w:ind w:firstLine="8"/>
        <w:spacing w:after="0"/>
        <w:tabs>
          <w:tab w:leader="none" w:pos="267"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Fifty-seventh Series.</w:t>
      </w:r>
    </w:p>
    <w:p>
      <w:pPr>
        <w:spacing w:after="0" w:line="198"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If such yields are not Reported or the yields Reported as of such time are not ascertainable (including by way of interpolation), then “Reinvestment Yield” means, with respect to the Called Principal of any bond of the Fifty-seventh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Fifty-seventh Series.</w:t>
      </w:r>
    </w:p>
    <w:p>
      <w:pPr>
        <w:spacing w:after="0" w:line="175"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Fifty-seventh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Fifty-seventh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Fifty-seventh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44" w:lineRule="auto"/>
        <w:tabs>
          <w:tab w:leader="none" w:pos="109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At the option of the registered owner, any bonds of the Fifty-seventh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ectPr>
          <w:pgSz w:w="11900" w:h="16838" w:orient="portrait"/>
          <w:cols w:equalWidth="0" w:num="1">
            <w:col w:w="11420"/>
          </w:cols>
          <w:pgMar w:left="240" w:top="121" w:right="239" w:bottom="1440" w:gutter="0" w:footer="0" w:header="0"/>
        </w:sectPr>
      </w:pPr>
    </w:p>
    <w:bookmarkStart w:id="70" w:name="page71"/>
    <w:bookmarkEnd w:id="70"/>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Fifty-seventh Series shall be transferable (subject to the provisions of Section 12 of the Mortgage) at the office or agency of the Company in the Borough of Manhattan, The City of New York. The Company shall not be required to make transfers or exchanges of bonds of the Fifty-seventh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Fifty-seventh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Fifty-seventh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Thirty-ninth Supplemental Indenture and upon compliance with the applicable provisions of the Mortgage and receipt of consideration therefor by the Company, there shall be an initial issue of bonds of the Fifty-seventh Series for the aggregate principal amount of $60,000,000.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Amendments to Mortgage</w:t>
      </w:r>
    </w:p>
    <w:p>
      <w:pPr>
        <w:spacing w:after="0" w:line="200" w:lineRule="exact"/>
        <w:rPr>
          <w:sz w:val="20"/>
          <w:szCs w:val="20"/>
          <w:color w:val="auto"/>
        </w:rPr>
      </w:pPr>
    </w:p>
    <w:p>
      <w:pPr>
        <w:spacing w:after="0" w:line="21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Consent to Amendments</w:t>
      </w:r>
      <w:r>
        <w:rPr>
          <w:rFonts w:ascii="Arial" w:cs="Arial" w:eastAsia="Arial" w:hAnsi="Arial"/>
          <w:sz w:val="19"/>
          <w:szCs w:val="19"/>
          <w:color w:val="auto"/>
        </w:rPr>
        <w:t xml:space="preserve"> Each initial and future holder of bonds of the Fifty-seventh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181"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Elimination of Obligation to Dispose of Released Property.</w:t>
      </w:r>
      <w:r>
        <w:rPr>
          <w:rFonts w:ascii="Arial" w:cs="Arial" w:eastAsia="Arial" w:hAnsi="Arial"/>
          <w:sz w:val="19"/>
          <w:szCs w:val="19"/>
          <w:color w:val="auto"/>
        </w:rPr>
        <w:t xml:space="preserve"> The holders of more than 66 2/3% in principal amount of the bonds Outstanding under the Mortgage, as heretofore supplemented, having consented to the amendments set forth in Section 2 of Article IV of the Thirty-first Supplemental Indenture, dated as of February 1, 2010, the Company hereby exercises its right to amend clause (a) of subdivision (3) of Section 59 of the Mortgage, as heretofore supplemented, to read as follows: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“(a) that the Company has decided to release from the Lien hereof the property to be released;”</w:t>
      </w:r>
    </w:p>
    <w:p>
      <w:pPr>
        <w:spacing w:after="0" w:line="216"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Recalibration of Funded Property.</w:t>
      </w:r>
      <w:r>
        <w:rPr>
          <w:rFonts w:ascii="Arial" w:cs="Arial" w:eastAsia="Arial" w:hAnsi="Arial"/>
          <w:sz w:val="19"/>
          <w:szCs w:val="19"/>
          <w:color w:val="auto"/>
        </w:rPr>
        <w:t xml:space="preserve"> The holders of more than 66 2/3% in principal amount of the bonds Outstanding under the Mortgage, as heretofore supplemented, having consented to the amendments set forth in Section 6 of Article IV of the Thirty-first Supplemental Indenture, dated as of February 1, 2010, the Company hereby exercises its right to amend Section 5 of the Mortgage, as heretofore supplemented, to replace the first two paragraphs thereof with three paragraphs reading as follows:</w:t>
      </w:r>
    </w:p>
    <w:p>
      <w:pPr>
        <w:spacing w:after="0" w:line="177" w:lineRule="exact"/>
        <w:rPr>
          <w:sz w:val="20"/>
          <w:szCs w:val="20"/>
          <w:color w:val="auto"/>
        </w:rPr>
      </w:pPr>
    </w:p>
    <w:p>
      <w:pPr>
        <w:ind w:left="620" w:firstLine="608"/>
        <w:spacing w:after="0" w:line="260" w:lineRule="auto"/>
        <w:rPr>
          <w:sz w:val="20"/>
          <w:szCs w:val="20"/>
          <w:color w:val="auto"/>
        </w:rPr>
      </w:pPr>
      <w:r>
        <w:rPr>
          <w:rFonts w:ascii="Arial" w:cs="Arial" w:eastAsia="Arial" w:hAnsi="Arial"/>
          <w:sz w:val="20"/>
          <w:szCs w:val="20"/>
          <w:color w:val="auto"/>
        </w:rPr>
        <w:t>“The term “Funded Property Certificate” shall mean an Independent Engineer’s Certificate delivered to the Corporate Trustee, within ninety days after the date thereof,</w:t>
      </w:r>
    </w:p>
    <w:p>
      <w:pPr>
        <w:spacing w:after="0" w:line="177" w:lineRule="exact"/>
        <w:rPr>
          <w:sz w:val="20"/>
          <w:szCs w:val="20"/>
          <w:color w:val="auto"/>
        </w:rPr>
      </w:pPr>
    </w:p>
    <w:p>
      <w:pPr>
        <w:ind w:left="1540" w:hanging="316"/>
        <w:spacing w:after="0"/>
        <w:tabs>
          <w:tab w:leader="none" w:pos="15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stating the aggregate principal amount of bonds then Outstanding under this Indenture;</w:t>
      </w:r>
    </w:p>
    <w:p>
      <w:pPr>
        <w:spacing w:after="0" w:line="215" w:lineRule="exact"/>
        <w:rPr>
          <w:rFonts w:ascii="Arial" w:cs="Arial" w:eastAsia="Arial" w:hAnsi="Arial"/>
          <w:sz w:val="20"/>
          <w:szCs w:val="20"/>
          <w:color w:val="auto"/>
        </w:rPr>
      </w:pPr>
    </w:p>
    <w:p>
      <w:pPr>
        <w:ind w:left="620" w:firstLine="604"/>
        <w:spacing w:after="0" w:line="260" w:lineRule="auto"/>
        <w:tabs>
          <w:tab w:leader="none" w:pos="1549" w:val="left"/>
        </w:tabs>
        <w:numPr>
          <w:ilvl w:val="0"/>
          <w:numId w:val="31"/>
        </w:numPr>
        <w:rPr>
          <w:rFonts w:ascii="Arial" w:cs="Arial" w:eastAsia="Arial" w:hAnsi="Arial"/>
          <w:sz w:val="20"/>
          <w:szCs w:val="20"/>
          <w:color w:val="auto"/>
        </w:rPr>
      </w:pPr>
      <w:r>
        <w:rPr>
          <w:rFonts w:ascii="Arial" w:cs="Arial" w:eastAsia="Arial" w:hAnsi="Arial"/>
          <w:sz w:val="20"/>
          <w:szCs w:val="20"/>
          <w:color w:val="auto"/>
        </w:rPr>
        <w:t>stating the aggregate principal amount of bonds which the Company is then entitled to have authenticated and delivered by compliance with the provisions of Section 29 hereof;</w:t>
      </w:r>
    </w:p>
    <w:p>
      <w:pPr>
        <w:spacing w:after="0" w:line="176" w:lineRule="exact"/>
        <w:rPr>
          <w:rFonts w:ascii="Arial" w:cs="Arial" w:eastAsia="Arial" w:hAnsi="Arial"/>
          <w:sz w:val="20"/>
          <w:szCs w:val="20"/>
          <w:color w:val="auto"/>
        </w:rPr>
      </w:pPr>
    </w:p>
    <w:p>
      <w:pPr>
        <w:ind w:left="1540" w:hanging="316"/>
        <w:spacing w:after="0"/>
        <w:tabs>
          <w:tab w:leader="none" w:pos="15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stating an amount equal to 10/6ths of the sum of the amounts stated in clauses (A) and (B) above; and</w:t>
      </w:r>
    </w:p>
    <w:p>
      <w:pPr>
        <w:sectPr>
          <w:pgSz w:w="11900" w:h="16838" w:orient="portrait"/>
          <w:cols w:equalWidth="0" w:num="1">
            <w:col w:w="11420"/>
          </w:cols>
          <w:pgMar w:left="240" w:top="121" w:right="239" w:bottom="1440" w:gutter="0" w:footer="0" w:header="0"/>
        </w:sectPr>
      </w:pPr>
    </w:p>
    <w:bookmarkStart w:id="71" w:name="page72"/>
    <w:bookmarkEnd w:id="71"/>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20" w:right="20" w:firstLine="604"/>
        <w:spacing w:after="0" w:line="260" w:lineRule="auto"/>
        <w:tabs>
          <w:tab w:leader="none" w:pos="15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describing all or any portion of the Mortgaged and Pledged Property which, in the opinion of the signers, has an aggregate fair value not less than the amount stated in clause (C) above.</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The term “Funded Property” shall mean:</w:t>
      </w:r>
    </w:p>
    <w:p>
      <w:pPr>
        <w:spacing w:after="0" w:line="216" w:lineRule="exact"/>
        <w:rPr>
          <w:sz w:val="20"/>
          <w:szCs w:val="20"/>
          <w:color w:val="auto"/>
        </w:rPr>
      </w:pPr>
    </w:p>
    <w:p>
      <w:pPr>
        <w:ind w:left="1520" w:hanging="296"/>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Mortgaged and Pledged Property described in the most recent Funded Property Certificate delivered to the Corporate</w:t>
      </w:r>
    </w:p>
    <w:p>
      <w:pPr>
        <w:spacing w:after="0" w:line="3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0"/>
          <w:szCs w:val="20"/>
          <w:color w:val="auto"/>
        </w:rPr>
        <w:t>Trustee;</w:t>
      </w:r>
    </w:p>
    <w:p>
      <w:pPr>
        <w:spacing w:after="0" w:line="199" w:lineRule="exact"/>
        <w:rPr>
          <w:rFonts w:ascii="Arial" w:cs="Arial" w:eastAsia="Arial" w:hAnsi="Arial"/>
          <w:sz w:val="18"/>
          <w:szCs w:val="18"/>
          <w:color w:val="auto"/>
        </w:rPr>
      </w:pPr>
    </w:p>
    <w:p>
      <w:pPr>
        <w:ind w:left="620" w:firstLine="604"/>
        <w:spacing w:after="0" w:line="287" w:lineRule="auto"/>
        <w:tabs>
          <w:tab w:leader="none" w:pos="15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Property Additions to the extent that the same shall have been made the basis of the authentication and delivery of bonds under this Indenture after the date of the most recent Funded Property Certificate delivered to the Corporate Trustee;</w:t>
      </w:r>
    </w:p>
    <w:p>
      <w:pPr>
        <w:spacing w:after="0" w:line="152" w:lineRule="exact"/>
        <w:rPr>
          <w:rFonts w:ascii="Arial" w:cs="Arial" w:eastAsia="Arial" w:hAnsi="Arial"/>
          <w:sz w:val="19"/>
          <w:szCs w:val="19"/>
          <w:color w:val="auto"/>
        </w:rPr>
      </w:pPr>
    </w:p>
    <w:p>
      <w:pPr>
        <w:jc w:val="both"/>
        <w:ind w:left="620" w:right="20" w:firstLine="604"/>
        <w:spacing w:after="0" w:line="250" w:lineRule="auto"/>
        <w:tabs>
          <w:tab w:leader="none" w:pos="15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Property Additions to the extent that the same shall have been made the basis of the release of property from the Lien of this Indenture after the date of the most recent Funded Property Certificate delivered to the Corporate Trustee, subject, however, to the provisions of Section 59 hereof;</w:t>
      </w:r>
    </w:p>
    <w:p>
      <w:pPr>
        <w:spacing w:after="0" w:line="186" w:lineRule="exact"/>
        <w:rPr>
          <w:rFonts w:ascii="Arial" w:cs="Arial" w:eastAsia="Arial" w:hAnsi="Arial"/>
          <w:sz w:val="20"/>
          <w:szCs w:val="20"/>
          <w:color w:val="auto"/>
        </w:rPr>
      </w:pPr>
    </w:p>
    <w:p>
      <w:pPr>
        <w:jc w:val="both"/>
        <w:ind w:left="620" w:firstLine="604"/>
        <w:spacing w:after="0" w:line="250" w:lineRule="auto"/>
        <w:tabs>
          <w:tab w:leader="none" w:pos="153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Property Additions to the extent that the same shall have been substituted (otherwise than under the release or cash withdrawal provisions hereof) for Funded Property retired after the date of the most recent Funded Property Certificate delivered to the Corporate Trustee; and</w:t>
      </w:r>
    </w:p>
    <w:p>
      <w:pPr>
        <w:spacing w:after="0" w:line="186" w:lineRule="exact"/>
        <w:rPr>
          <w:rFonts w:ascii="Arial" w:cs="Arial" w:eastAsia="Arial" w:hAnsi="Arial"/>
          <w:sz w:val="20"/>
          <w:szCs w:val="20"/>
          <w:color w:val="auto"/>
        </w:rPr>
      </w:pPr>
    </w:p>
    <w:p>
      <w:pPr>
        <w:jc w:val="both"/>
        <w:ind w:left="620" w:firstLine="604"/>
        <w:spacing w:after="0" w:line="246" w:lineRule="auto"/>
        <w:tabs>
          <w:tab w:leader="none" w:pos="15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Property Additions to the extent that the same shall have been made the basis of the withdrawal of any Funded Cash (as hereinafter defined) after the date of the most recent Funded Property Certificate delivered to the Corporate Trustee, except to the extent that any such Property Additions shall no longer be deemed to be Funded Property in accordance with the provisions of other Sections of this Indenture.</w:t>
      </w:r>
    </w:p>
    <w:p>
      <w:pPr>
        <w:spacing w:after="0" w:line="192" w:lineRule="exact"/>
        <w:rPr>
          <w:sz w:val="20"/>
          <w:szCs w:val="20"/>
          <w:color w:val="auto"/>
        </w:rPr>
      </w:pPr>
    </w:p>
    <w:p>
      <w:pPr>
        <w:jc w:val="both"/>
        <w:ind w:left="620" w:firstLine="608"/>
        <w:spacing w:after="0" w:line="246" w:lineRule="auto"/>
        <w:rPr>
          <w:sz w:val="20"/>
          <w:szCs w:val="20"/>
          <w:color w:val="auto"/>
        </w:rPr>
      </w:pPr>
      <w:r>
        <w:rPr>
          <w:rFonts w:ascii="Arial" w:cs="Arial" w:eastAsia="Arial" w:hAnsi="Arial"/>
          <w:sz w:val="20"/>
          <w:szCs w:val="20"/>
          <w:color w:val="auto"/>
        </w:rPr>
        <w:t>In the event that in any certificate filed with the Corporate Trustee in connection with any of the transactions referred to in clauses (2), (3) and (5) of this Section only a part of the Cost or fair value of the Property Additions described in such certificate shall be required for the purposes of such certificate, then such Property Additions shall be deemed to be Funded Property only to the extent so required for the purpose of such certificate.”</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The foregoing amendment shall not become effective until the Company shall have delivered a Funded Property Certificate to the Corporate Trustee.</w:t>
      </w:r>
    </w:p>
    <w:p>
      <w:pPr>
        <w:spacing w:after="0" w:line="177"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The holders of more than 66 2/3% in principal amount of the bonds Outstanding under the Mortgage, as heretofore supplemented, having consented to the amendments set forth in Section 8 of Article IV of the Thirty-first Supplemental Indenture, dated as of February 1, 2010, the Company hereby exercises its right to amend Section 37 of the Mortgage, as heretofore supplemented, to read as follows:</w:t>
      </w:r>
    </w:p>
    <w:p>
      <w:pPr>
        <w:spacing w:after="0" w:line="192"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8"/>
          <w:szCs w:val="18"/>
          <w:color w:val="auto"/>
        </w:rPr>
        <w:t>Section 37. (a) The Company shall (i) keep or cause to be kept all the Mortgaged and Pledged Property insured against loss by fire, to the extent that property of similar character is usually so insured by companies similarly situated and operating like properties, to a reasonable amount, by reputable insurance companies, the proceeds of such insurance (except as to any loss of Excepted Property and except as to any particular loss less than the greater of (A) Twenty Million Dollars ($20,000,000) and (B) three percent (3%) of the principal amount of bonds Outstanding on the date of such particular loss) to be made payable, subject to applicable law, to the Corporate Trustee as the interest of the Corporate Trustee may appear, or to the trustee or other holder of any Lien prior hereto upon property subject to the Lien hereof, if the terms thereof require such payment, or to the agent or representative of the owners of jointly-owned property if the terms of such joint ownership require such payment or (ii) in lieu of or supplementing such insurance in whole or in part, adopt some other method or plan of protection against loss by fire at least equal in protection to the method or plan of protection against loss by fire of companies similarly situated and operating properties subject to similar fire hazards or properties on which an equal primary fire insurance rate has been set by reputable insurance companies; and if the Company shall adopt such other method or plan of protection, it shall, subject to applicable law (and except as to any loss of Excepted Property and except as to any particular loss less than the greater</w:t>
      </w:r>
    </w:p>
    <w:p>
      <w:pPr>
        <w:sectPr>
          <w:pgSz w:w="11900" w:h="16838" w:orient="portrait"/>
          <w:cols w:equalWidth="0" w:num="1">
            <w:col w:w="11420"/>
          </w:cols>
          <w:pgMar w:left="240" w:top="121" w:right="239" w:bottom="1440" w:gutter="0" w:footer="0" w:header="0"/>
        </w:sectPr>
      </w:pPr>
    </w:p>
    <w:bookmarkStart w:id="72" w:name="page73"/>
    <w:bookmarkEnd w:id="72"/>
    <w:p>
      <w:pPr>
        <w:ind w:left="712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of (X) Twenty Million Dollars ($20,000,000) and (Y) three percent (3%) of the principal amount of bonds Outstanding on the date of such particular loss) pay to the Corporate Trustee on account of any loss covered by such method or plan an amount in cash equal to the amount of such loss less any amounts otherwise paid to the Corporate Trustee in respect of such loss or paid to the trustee or other holder of any Lien prior hereto upon property subject to the Lien hereof in respect of such loss if the terms thereof require such payment or paid to the agent or representative of the owners of jointly-owned property if the terms of such joint ownership require such payment. Any cash so required to be paid by the Company pursuant to any such method or plan shall for the purposes of this Indenture be deemed to be proceeds of insurance. In case of the adoption of such other method or plan of protection, the Company shall furnish to the Corporate Trustee a certificate of an actuary or other qualified person appointed by the Company with respect to the adequacy of such method or plan.</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Anything herein to the contrary notwithstanding, the Company may have fire insurance policies with (i) a deductible provision in a dollar amount per occurrence not exceeding the greater of (A) Twenty Million Dollars ($20,000,000) and (B) three percent (3%) of the principal amount of the bonds Outstanding on the date such policy goes into effect, and/or (ii) co-insurance or self insurance provisions with a dollar amount per occurrence not exceeding thirty percent (30%) of the loss proceeds otherwise payable; provided, however, that the dollar amount described in clause (i) above may be exceeded to the extent such dollar amount per occurrence is below the deductible amount in effect as to fire insurance (X) on property of similar character insured by companies similarly situated and operating like property or (Y) on property as to which an equal primary fire insurance rate has been set by reputable insurance companies.</w:t>
      </w:r>
    </w:p>
    <w:p>
      <w:pPr>
        <w:spacing w:after="0" w:line="198" w:lineRule="exact"/>
        <w:rPr>
          <w:sz w:val="20"/>
          <w:szCs w:val="20"/>
          <w:color w:val="auto"/>
        </w:rPr>
      </w:pPr>
    </w:p>
    <w:p>
      <w:pPr>
        <w:jc w:val="both"/>
        <w:ind w:firstLine="645"/>
        <w:spacing w:after="0" w:line="278" w:lineRule="auto"/>
        <w:tabs>
          <w:tab w:leader="none" w:pos="9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moneys paid to the Corporate Trustee by the Company in accordance with this Section or received by the Corporate Trustee as proceeds of any insurance, in either case on account of a loss on or with respect to Funded Property, shall, subject to any Lien prior hereto upon property subject to the Lien hereof, be held by the Corporate Trustee and, subject as aforesaid, shall be paid by it to the Company to reimburse the Company for an equal amount expended or committed for expenditure in the rebuilding, renewal and/or replacement of or substitution for the property destroyed or damaged, upon receipt by the Corporate Trustee of:</w:t>
      </w:r>
    </w:p>
    <w:p>
      <w:pPr>
        <w:spacing w:after="0" w:line="165" w:lineRule="exact"/>
        <w:rPr>
          <w:rFonts w:ascii="Arial" w:cs="Arial" w:eastAsia="Arial" w:hAnsi="Arial"/>
          <w:sz w:val="18"/>
          <w:szCs w:val="18"/>
          <w:color w:val="auto"/>
        </w:rPr>
      </w:pPr>
    </w:p>
    <w:p>
      <w:pPr>
        <w:ind w:left="1660" w:hanging="367"/>
        <w:spacing w:after="0"/>
        <w:tabs>
          <w:tab w:leader="none" w:pos="1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letter signed by an officer of the Company requesting such payment,</w:t>
      </w:r>
    </w:p>
    <w:p>
      <w:pPr>
        <w:spacing w:after="0" w:line="215" w:lineRule="exact"/>
        <w:rPr>
          <w:rFonts w:ascii="Arial" w:cs="Arial" w:eastAsia="Arial" w:hAnsi="Arial"/>
          <w:sz w:val="20"/>
          <w:szCs w:val="20"/>
          <w:color w:val="auto"/>
        </w:rPr>
      </w:pPr>
    </w:p>
    <w:p>
      <w:pPr>
        <w:ind w:left="1720" w:hanging="427"/>
        <w:spacing w:after="0"/>
        <w:tabs>
          <w:tab w:leader="none" w:pos="17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 Engineer’s Certificate:</w:t>
      </w:r>
    </w:p>
    <w:p>
      <w:pPr>
        <w:spacing w:after="0" w:line="215" w:lineRule="exact"/>
        <w:rPr>
          <w:rFonts w:ascii="Arial" w:cs="Arial" w:eastAsia="Arial" w:hAnsi="Arial"/>
          <w:sz w:val="20"/>
          <w:szCs w:val="20"/>
          <w:color w:val="auto"/>
        </w:rPr>
      </w:pPr>
    </w:p>
    <w:p>
      <w:pPr>
        <w:ind w:left="2400" w:hanging="459"/>
        <w:spacing w:after="0"/>
        <w:tabs>
          <w:tab w:leader="none" w:pos="2400" w:val="left"/>
        </w:tabs>
        <w:numPr>
          <w:ilvl w:val="2"/>
          <w:numId w:val="34"/>
        </w:numPr>
        <w:rPr>
          <w:rFonts w:ascii="Arial" w:cs="Arial" w:eastAsia="Arial" w:hAnsi="Arial"/>
          <w:sz w:val="20"/>
          <w:szCs w:val="20"/>
          <w:color w:val="auto"/>
        </w:rPr>
      </w:pPr>
      <w:r>
        <w:rPr>
          <w:rFonts w:ascii="Arial" w:cs="Arial" w:eastAsia="Arial" w:hAnsi="Arial"/>
          <w:sz w:val="20"/>
          <w:szCs w:val="20"/>
          <w:color w:val="auto"/>
        </w:rPr>
        <w:t>describing the property so damaged or destroyed;</w:t>
      </w:r>
    </w:p>
    <w:p>
      <w:pPr>
        <w:spacing w:after="0" w:line="215" w:lineRule="exact"/>
        <w:rPr>
          <w:rFonts w:ascii="Arial" w:cs="Arial" w:eastAsia="Arial" w:hAnsi="Arial"/>
          <w:sz w:val="20"/>
          <w:szCs w:val="20"/>
          <w:color w:val="auto"/>
        </w:rPr>
      </w:pPr>
    </w:p>
    <w:p>
      <w:pPr>
        <w:jc w:val="both"/>
        <w:ind w:left="1300" w:firstLine="641"/>
        <w:spacing w:after="0" w:line="246" w:lineRule="auto"/>
        <w:tabs>
          <w:tab w:leader="none" w:pos="2446" w:val="left"/>
        </w:tabs>
        <w:numPr>
          <w:ilvl w:val="2"/>
          <w:numId w:val="34"/>
        </w:numPr>
        <w:rPr>
          <w:rFonts w:ascii="Arial" w:cs="Arial" w:eastAsia="Arial" w:hAnsi="Arial"/>
          <w:sz w:val="20"/>
          <w:szCs w:val="20"/>
          <w:color w:val="auto"/>
        </w:rPr>
      </w:pPr>
      <w:r>
        <w:rPr>
          <w:rFonts w:ascii="Arial" w:cs="Arial" w:eastAsia="Arial" w:hAnsi="Arial"/>
          <w:sz w:val="20"/>
          <w:szCs w:val="20"/>
          <w:color w:val="auto"/>
        </w:rPr>
        <w:t>stating the Cost of such property (or, if the fair value to the Company of such property at the time the same became Funded Property was certified to be an amount less than the Cost thereof, then such fair value, as so certified, in lieu of Cost) or, if such damage or destruction shall have affected only a portion of such property, stating the allocable portion of such Cost or fair value;</w:t>
      </w:r>
    </w:p>
    <w:p>
      <w:pPr>
        <w:spacing w:after="0" w:line="191" w:lineRule="exact"/>
        <w:rPr>
          <w:rFonts w:ascii="Arial" w:cs="Arial" w:eastAsia="Arial" w:hAnsi="Arial"/>
          <w:sz w:val="20"/>
          <w:szCs w:val="20"/>
          <w:color w:val="auto"/>
        </w:rPr>
      </w:pPr>
    </w:p>
    <w:p>
      <w:pPr>
        <w:ind w:left="1300" w:right="20" w:firstLine="641"/>
        <w:spacing w:after="0" w:line="260" w:lineRule="auto"/>
        <w:tabs>
          <w:tab w:leader="none" w:pos="2406" w:val="left"/>
        </w:tabs>
        <w:numPr>
          <w:ilvl w:val="2"/>
          <w:numId w:val="34"/>
        </w:numPr>
        <w:rPr>
          <w:rFonts w:ascii="Arial" w:cs="Arial" w:eastAsia="Arial" w:hAnsi="Arial"/>
          <w:sz w:val="20"/>
          <w:szCs w:val="20"/>
          <w:color w:val="auto"/>
        </w:rPr>
      </w:pPr>
      <w:r>
        <w:rPr>
          <w:rFonts w:ascii="Arial" w:cs="Arial" w:eastAsia="Arial" w:hAnsi="Arial"/>
          <w:sz w:val="20"/>
          <w:szCs w:val="20"/>
          <w:color w:val="auto"/>
        </w:rPr>
        <w:t>stating the amounts so expended or committed for expenditure in the rebuilding, renewal, replacement of and/or substitution for such property; and</w:t>
      </w:r>
    </w:p>
    <w:p>
      <w:pPr>
        <w:spacing w:after="0" w:line="176" w:lineRule="exact"/>
        <w:rPr>
          <w:rFonts w:ascii="Arial" w:cs="Arial" w:eastAsia="Arial" w:hAnsi="Arial"/>
          <w:sz w:val="20"/>
          <w:szCs w:val="20"/>
          <w:color w:val="auto"/>
        </w:rPr>
      </w:pPr>
    </w:p>
    <w:p>
      <w:pPr>
        <w:ind w:left="1300" w:firstLine="641"/>
        <w:spacing w:after="0" w:line="260" w:lineRule="auto"/>
        <w:tabs>
          <w:tab w:leader="none" w:pos="2525" w:val="left"/>
        </w:tabs>
        <w:numPr>
          <w:ilvl w:val="2"/>
          <w:numId w:val="34"/>
        </w:numPr>
        <w:rPr>
          <w:rFonts w:ascii="Arial" w:cs="Arial" w:eastAsia="Arial" w:hAnsi="Arial"/>
          <w:sz w:val="20"/>
          <w:szCs w:val="20"/>
          <w:color w:val="auto"/>
        </w:rPr>
      </w:pPr>
      <w:r>
        <w:rPr>
          <w:rFonts w:ascii="Arial" w:cs="Arial" w:eastAsia="Arial" w:hAnsi="Arial"/>
          <w:sz w:val="20"/>
          <w:szCs w:val="20"/>
          <w:color w:val="auto"/>
        </w:rPr>
        <w:t>stating the fair value to the Company of such property as rebuilt or renewed or as to be rebuilt or renewed and/or of the replacement or substituted property, and if</w:t>
      </w:r>
    </w:p>
    <w:p>
      <w:pPr>
        <w:spacing w:after="0" w:line="176" w:lineRule="exact"/>
        <w:rPr>
          <w:rFonts w:ascii="Arial" w:cs="Arial" w:eastAsia="Arial" w:hAnsi="Arial"/>
          <w:sz w:val="20"/>
          <w:szCs w:val="20"/>
          <w:color w:val="auto"/>
        </w:rPr>
      </w:pPr>
    </w:p>
    <w:p>
      <w:pPr>
        <w:jc w:val="both"/>
        <w:ind w:left="1940" w:firstLine="649"/>
        <w:spacing w:after="0" w:line="250" w:lineRule="auto"/>
        <w:tabs>
          <w:tab w:leader="none" w:pos="2988" w:val="left"/>
        </w:tabs>
        <w:numPr>
          <w:ilvl w:val="3"/>
          <w:numId w:val="34"/>
        </w:numPr>
        <w:rPr>
          <w:rFonts w:ascii="Arial" w:cs="Arial" w:eastAsia="Arial" w:hAnsi="Arial"/>
          <w:sz w:val="20"/>
          <w:szCs w:val="20"/>
          <w:color w:val="auto"/>
        </w:rPr>
      </w:pPr>
      <w:r>
        <w:rPr>
          <w:rFonts w:ascii="Arial" w:cs="Arial" w:eastAsia="Arial" w:hAnsi="Arial"/>
          <w:sz w:val="20"/>
          <w:szCs w:val="20"/>
          <w:color w:val="auto"/>
        </w:rPr>
        <w:t>within six months prior to the date of acquisition thereof by the Company, such property has been used or operated, by a person or persons other than the Company, in a business similar to that in which it has been or is to be used or operated by the Company, and</w:t>
      </w:r>
    </w:p>
    <w:p>
      <w:pPr>
        <w:sectPr>
          <w:pgSz w:w="11900" w:h="16838" w:orient="portrait"/>
          <w:cols w:equalWidth="0" w:num="1">
            <w:col w:w="10760"/>
          </w:cols>
          <w:pgMar w:left="900" w:top="121" w:right="239" w:bottom="1440" w:gutter="0" w:footer="0" w:header="0"/>
        </w:sectPr>
      </w:pPr>
    </w:p>
    <w:bookmarkStart w:id="73" w:name="page74"/>
    <w:bookmarkEnd w:id="73"/>
    <w:p>
      <w:pPr>
        <w:ind w:left="65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ind w:left="1400" w:firstLine="649"/>
        <w:spacing w:after="0" w:line="250" w:lineRule="auto"/>
        <w:tabs>
          <w:tab w:leader="none" w:pos="2499"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fair value to the Company of such property as set forth in such Engineer’s Certificate is not less than Twenty-five Thousand Dollars ($25,000) and not less than one percent (1%) of the aggregate principal amount of the bonds at the time Outstanding,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Engineer making the statement required by this clause (D) shall be an Independent Engineer, and</w:t>
      </w:r>
    </w:p>
    <w:p>
      <w:pPr>
        <w:spacing w:after="0" w:line="216" w:lineRule="exact"/>
        <w:rPr>
          <w:sz w:val="20"/>
          <w:szCs w:val="20"/>
          <w:color w:val="auto"/>
        </w:rPr>
      </w:pPr>
    </w:p>
    <w:p>
      <w:pPr>
        <w:ind w:left="100" w:firstLine="653"/>
        <w:spacing w:after="0" w:line="260" w:lineRule="auto"/>
        <w:tabs>
          <w:tab w:leader="none" w:pos="12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 Opinion of Counsel stating that, in the opinion of the signer, the property so rebuilt or renewed or to be rebuilt or renewed, and/or the replacement property, is or will be subject to the Lien hereof.</w:t>
      </w:r>
    </w:p>
    <w:p>
      <w:pPr>
        <w:spacing w:after="0" w:line="177" w:lineRule="exact"/>
        <w:rPr>
          <w:sz w:val="20"/>
          <w:szCs w:val="20"/>
          <w:color w:val="auto"/>
        </w:rPr>
      </w:pPr>
    </w:p>
    <w:p>
      <w:pPr>
        <w:jc w:val="both"/>
        <w:ind w:left="100" w:firstLine="648"/>
        <w:spacing w:after="0" w:line="256" w:lineRule="auto"/>
        <w:rPr>
          <w:sz w:val="20"/>
          <w:szCs w:val="20"/>
          <w:color w:val="auto"/>
        </w:rPr>
      </w:pPr>
      <w:r>
        <w:rPr>
          <w:rFonts w:ascii="Arial" w:cs="Arial" w:eastAsia="Arial" w:hAnsi="Arial"/>
          <w:sz w:val="19"/>
          <w:szCs w:val="19"/>
          <w:color w:val="auto"/>
        </w:rPr>
        <w:t>Any such moneys not so applied within thirty-six (36) months after its receipt by the Corporate Trustee, or in respect of which notice in writing of intention to apply the same to the work of rebuilding, renewal, replacement or substitution then in progress and uncompleted shall not have been given to the Corporate Trustee by the Company within such thirty-six (36) months, or which the Company shall at any time notify the Corporate Trustee is not to be so applied, shall thereafter be withdrawn, used or applied in the manner, to the extent and for the purposes, and subject to the conditions, provided in Section 61; provided, however, that if the amount of such moneys shall exceed the amount stated pursuant to clause (B) in the Engineer’s Certificate referred to above, the amount of such excess shall not be deemed to be Funded Cash, shall not be subject to Section 61 and shall be remitted to or upon the order of the Company upon the withdrawal, use or application of the balance of such moneys pursuant to Section 61.</w:t>
      </w:r>
    </w:p>
    <w:p>
      <w:pPr>
        <w:spacing w:after="0" w:line="185" w:lineRule="exact"/>
        <w:rPr>
          <w:sz w:val="20"/>
          <w:szCs w:val="20"/>
          <w:color w:val="auto"/>
        </w:rPr>
      </w:pPr>
    </w:p>
    <w:p>
      <w:pPr>
        <w:jc w:val="both"/>
        <w:ind w:left="100" w:firstLine="648"/>
        <w:spacing w:after="0" w:line="244" w:lineRule="auto"/>
        <w:rPr>
          <w:sz w:val="20"/>
          <w:szCs w:val="20"/>
          <w:color w:val="auto"/>
        </w:rPr>
      </w:pPr>
      <w:r>
        <w:rPr>
          <w:rFonts w:ascii="Arial" w:cs="Arial" w:eastAsia="Arial" w:hAnsi="Arial"/>
          <w:sz w:val="20"/>
          <w:szCs w:val="20"/>
          <w:color w:val="auto"/>
        </w:rPr>
        <w:t>Anything in this Indenture to the contrary notwithstanding, if property on or with respect to which a loss occurs constitutes Funded Property in part only, the Company may, at its election, obtain the reimbursement of insurance proceeds attributable to the part of such property which constitutes Funded Property under this subsection (b) and obtain the reimbursement of insurance proceeds attributable to the part of such property which does not constitute Funded Property under subsection (c) of this Section.</w:t>
      </w:r>
    </w:p>
    <w:p>
      <w:pPr>
        <w:spacing w:after="0" w:line="195" w:lineRule="exact"/>
        <w:rPr>
          <w:sz w:val="20"/>
          <w:szCs w:val="20"/>
          <w:color w:val="auto"/>
        </w:rPr>
      </w:pPr>
    </w:p>
    <w:p>
      <w:pPr>
        <w:jc w:val="both"/>
        <w:ind w:left="100" w:firstLine="653"/>
        <w:spacing w:after="0" w:line="244" w:lineRule="auto"/>
        <w:tabs>
          <w:tab w:leader="none" w:pos="1047"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moneys paid to the Corporate Trustee by the Company in accordance with this Section or received by the Corporate Trustee as proceeds of any insurance, in either case on account of a loss on or with respect to property which does not constitute Funded Property, shall, subject to the requirements of any Lien prior hereto upon property subject to the Lien hereof, be held by the Corporate Trustee and, subject as aforesaid, shall be paid by it to the Company upon receipt by the Corporate Trustee of:</w:t>
      </w:r>
    </w:p>
    <w:p>
      <w:pPr>
        <w:spacing w:after="0" w:line="195" w:lineRule="exact"/>
        <w:rPr>
          <w:sz w:val="20"/>
          <w:szCs w:val="20"/>
          <w:color w:val="auto"/>
        </w:rPr>
      </w:pPr>
    </w:p>
    <w:p>
      <w:pPr>
        <w:ind w:left="1120" w:hanging="367"/>
        <w:spacing w:after="0"/>
        <w:tabs>
          <w:tab w:leader="none" w:pos="11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letter from an officer of the Company requesting such payment;</w:t>
      </w:r>
    </w:p>
    <w:p>
      <w:pPr>
        <w:spacing w:after="0" w:line="215" w:lineRule="exact"/>
        <w:rPr>
          <w:rFonts w:ascii="Arial" w:cs="Arial" w:eastAsia="Arial" w:hAnsi="Arial"/>
          <w:sz w:val="20"/>
          <w:szCs w:val="20"/>
          <w:color w:val="auto"/>
        </w:rPr>
      </w:pPr>
    </w:p>
    <w:p>
      <w:pPr>
        <w:ind w:left="1180" w:hanging="427"/>
        <w:spacing w:after="0"/>
        <w:tabs>
          <w:tab w:leader="none" w:pos="11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Engineer’s Certificate stating:</w:t>
      </w:r>
    </w:p>
    <w:p>
      <w:pPr>
        <w:spacing w:after="0" w:line="215" w:lineRule="exact"/>
        <w:rPr>
          <w:rFonts w:ascii="Arial" w:cs="Arial" w:eastAsia="Arial" w:hAnsi="Arial"/>
          <w:sz w:val="20"/>
          <w:szCs w:val="20"/>
          <w:color w:val="auto"/>
        </w:rPr>
      </w:pPr>
    </w:p>
    <w:p>
      <w:pPr>
        <w:ind w:left="760" w:firstLine="641"/>
        <w:spacing w:after="0" w:line="26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that such moneys were paid to or received by the Corporate Trustee on account of a loss on or with respect to property which does not constitute Funded Property; and</w:t>
      </w:r>
    </w:p>
    <w:p>
      <w:pPr>
        <w:spacing w:after="0" w:line="176" w:lineRule="exact"/>
        <w:rPr>
          <w:rFonts w:ascii="Arial" w:cs="Arial" w:eastAsia="Arial" w:hAnsi="Arial"/>
          <w:sz w:val="20"/>
          <w:szCs w:val="20"/>
          <w:color w:val="auto"/>
        </w:rPr>
      </w:pPr>
    </w:p>
    <w:p>
      <w:pPr>
        <w:jc w:val="both"/>
        <w:ind w:left="760" w:firstLine="641"/>
        <w:spacing w:after="0" w:line="276" w:lineRule="auto"/>
        <w:tabs>
          <w:tab w:leader="none" w:pos="18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true, either (I) that the aggregate amount of the Cost or fair value to the Company (whichever is less) of all Property Additions which do not constitute Funded Property (excluding, to the extent of such loss, the property on or with respect to which such loss was incurred), after making deductions therefrom and additions thereto of the character contemplated by Section 4, is not less than zero (0) or (II) that the amount of such loss does not exceed the aggregate Cost or fair value to the Company (whichever is less) of Property Additions acquired, made or constructed on or after the ninetieth (90th) day prior to the date of the request for such payment; or</w:t>
      </w:r>
    </w:p>
    <w:p>
      <w:pPr>
        <w:sectPr>
          <w:pgSz w:w="11900" w:h="16838" w:orient="portrait"/>
          <w:cols w:equalWidth="0" w:num="1">
            <w:col w:w="10220"/>
          </w:cols>
          <w:pgMar w:left="1440" w:top="121" w:right="239" w:bottom="1440" w:gutter="0" w:footer="0" w:header="0"/>
        </w:sectPr>
      </w:pPr>
    </w:p>
    <w:bookmarkStart w:id="74" w:name="page75"/>
    <w:bookmarkEnd w:id="74"/>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3060" w:hanging="459"/>
        <w:spacing w:after="0"/>
        <w:tabs>
          <w:tab w:leader="none" w:pos="30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neither of the statements contemplated in subclause (B) above can be made, the amount by which zero</w:t>
      </w:r>
    </w:p>
    <w:p>
      <w:pPr>
        <w:spacing w:after="0" w:line="61" w:lineRule="exact"/>
        <w:rPr>
          <w:rFonts w:ascii="Arial" w:cs="Arial" w:eastAsia="Arial" w:hAnsi="Arial"/>
          <w:sz w:val="16"/>
          <w:szCs w:val="16"/>
          <w:color w:val="auto"/>
        </w:rPr>
      </w:pPr>
    </w:p>
    <w:p>
      <w:pPr>
        <w:ind w:left="2240" w:hanging="287"/>
        <w:spacing w:after="0"/>
        <w:tabs>
          <w:tab w:leader="none" w:pos="2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exceeds the amount referred to in subclause (B)(I) above (showing in reasonable detail the calculation thereof); and</w:t>
      </w:r>
    </w:p>
    <w:p>
      <w:pPr>
        <w:spacing w:after="0" w:line="246" w:lineRule="exact"/>
        <w:rPr>
          <w:sz w:val="20"/>
          <w:szCs w:val="20"/>
          <w:color w:val="auto"/>
        </w:rPr>
      </w:pPr>
    </w:p>
    <w:p>
      <w:pPr>
        <w:jc w:val="both"/>
        <w:ind w:left="1300" w:firstLine="653"/>
        <w:spacing w:after="0" w:line="250" w:lineRule="auto"/>
        <w:tabs>
          <w:tab w:leader="none" w:pos="2519"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Engineer’s Certificate required by clause (ii) above contains neither of the statements contemplated in clause (ii)(B) above, an amount in cash, to be held by the Corporate Trustee as part of the Mortgaged and Pledged Property, equal to the amount shown in clause (ii)(C) above.</w:t>
      </w:r>
    </w:p>
    <w:p>
      <w:pPr>
        <w:spacing w:after="0" w:line="186"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To the extent that the Company shall be entitled to withdraw proceeds of insurance pursuant to this subsection (c), such proceeds shall be deemed not to constitute Funded Cash.</w:t>
      </w:r>
    </w:p>
    <w:p>
      <w:pPr>
        <w:spacing w:after="0" w:line="177" w:lineRule="exact"/>
        <w:rPr>
          <w:sz w:val="20"/>
          <w:szCs w:val="20"/>
          <w:color w:val="auto"/>
        </w:rPr>
      </w:pPr>
    </w:p>
    <w:p>
      <w:pPr>
        <w:jc w:val="both"/>
        <w:ind w:left="1300" w:firstLine="653"/>
        <w:spacing w:after="0" w:line="246" w:lineRule="auto"/>
        <w:tabs>
          <w:tab w:leader="none" w:pos="2232" w:val="left"/>
        </w:tabs>
        <w:numPr>
          <w:ilvl w:val="0"/>
          <w:numId w:val="42"/>
        </w:numPr>
        <w:rPr>
          <w:rFonts w:ascii="Arial" w:cs="Arial" w:eastAsia="Arial" w:hAnsi="Arial"/>
          <w:sz w:val="20"/>
          <w:szCs w:val="20"/>
          <w:color w:val="auto"/>
        </w:rPr>
      </w:pPr>
      <w:r>
        <w:rPr>
          <w:rFonts w:ascii="Arial" w:cs="Arial" w:eastAsia="Arial" w:hAnsi="Arial"/>
          <w:sz w:val="20"/>
          <w:szCs w:val="20"/>
          <w:color w:val="auto"/>
        </w:rPr>
        <w:t>Whenever under the provisions of this Section the Company is required to deliver moneys to the Corporate Trustee and at the same time shall have satisfied the conditions set forth herein for payment of moneys by the Corporate Trustee to the Company, there shall be paid to or retained by the Corporate Trustee or paid to the Company, as the case may be, only the net amount.</w:t>
      </w:r>
    </w:p>
    <w:p>
      <w:pPr>
        <w:spacing w:after="0" w:line="192"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Property Additions.</w:t>
      </w:r>
      <w:r>
        <w:rPr>
          <w:rFonts w:ascii="Arial" w:cs="Arial" w:eastAsia="Arial" w:hAnsi="Arial"/>
          <w:sz w:val="20"/>
          <w:szCs w:val="20"/>
          <w:color w:val="auto"/>
        </w:rPr>
        <w:t xml:space="preserve"> The holders of more than 66 2/3% in principal amount of the bonds Outstanding under the Mortgage, as heretofore supplemented, having consented to the amendments set forth in Section 9 of Article IV of the Thirty-first Supplemental Indenture, dated as of February 1, 2010, and the Company having the right to add additional restrictions pursuant to Section 120 of the Mortgage, as heretofore supplemented, the Company hereby exercises its right to amend subdivision (I) of Section 4 of the Mortgage, as heretofore supplemented, to read as follows:</w:t>
      </w:r>
    </w:p>
    <w:p>
      <w:pPr>
        <w:spacing w:after="0" w:line="195" w:lineRule="exact"/>
        <w:rPr>
          <w:sz w:val="20"/>
          <w:szCs w:val="20"/>
          <w:color w:val="auto"/>
        </w:rPr>
      </w:pPr>
    </w:p>
    <w:p>
      <w:pPr>
        <w:jc w:val="both"/>
        <w:ind w:left="660" w:firstLine="645"/>
        <w:spacing w:after="0" w:line="263" w:lineRule="auto"/>
        <w:tabs>
          <w:tab w:leader="none" w:pos="159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term “Property Additions” shall mean Mortgaged and Pledged Property acquired by the Company by purchase, consolidation, merger, donation, construction, erection or in any way whatsoever, subsequent to June 30, 1945, or in the process of construction or erection in so far as actually constructed or erected subsequent to June 30, 1945; provided however, that “Property Additions” shall not include any shares of stock or other equity interests in any subsidiary of the Company.</w:t>
      </w:r>
    </w:p>
    <w:p>
      <w:pPr>
        <w:spacing w:after="0" w:line="177"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The holders of more than 66 2/3% in principal amount of the bonds Outstanding under the Mortgage, as heretofore supplemented, having consented to the amendments set forth in Section 10 of Article IV of the Thirty-first Supplemental Indenture, dated as of February 1, 2010, the Company hereby exercises its right to amend the Mortgage, as heretofore supplemented, to add the following definitions:</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“Business Day”, when used with respect to a place of payment for the bonds or any other particular location specified in the bonds or this Indenture, means any day, other than a Saturday or Sunday, which is not a day on which banking institutions or trust companies in such place of payment or other location are required by law, regulation or executive order to remain closed, or a day on which the corporate trust office of the Corporate Trustee is closed for business.</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“corporation” means a corporation, association, company, limited liability company, partnership, limited partnership, joint stock company or business trust, and references to “corporate” and other derivations of “corporation” herein shall be deemed to include appropriate derivations of such entities.</w:t>
      </w:r>
    </w:p>
    <w:p>
      <w:pPr>
        <w:spacing w:after="0" w:line="186" w:lineRule="exact"/>
        <w:rPr>
          <w:sz w:val="20"/>
          <w:szCs w:val="20"/>
          <w:color w:val="auto"/>
        </w:rPr>
      </w:pPr>
    </w:p>
    <w:p>
      <w:pPr>
        <w:jc w:val="both"/>
        <w:ind w:left="660" w:right="20" w:firstLine="648"/>
        <w:spacing w:after="0" w:line="269" w:lineRule="auto"/>
        <w:rPr>
          <w:sz w:val="20"/>
          <w:szCs w:val="20"/>
          <w:color w:val="auto"/>
        </w:rPr>
      </w:pPr>
      <w:r>
        <w:rPr>
          <w:rFonts w:ascii="Arial" w:cs="Arial" w:eastAsia="Arial" w:hAnsi="Arial"/>
          <w:sz w:val="19"/>
          <w:szCs w:val="19"/>
          <w:color w:val="auto"/>
        </w:rPr>
        <w:t>“Lien” means any mortgage, deed of trust, pledge, security interest, encumbrance, easement, lease, reservation, restriction, servitude, charge or similar right and any other lien of any kind, including, without limitation, any conditional sale or other title retention agreement, any lease in the nature thereof, and any defect, irregularity, exception or limitation in record title.</w:t>
      </w:r>
    </w:p>
    <w:p>
      <w:pPr>
        <w:spacing w:after="0" w:line="17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“Governmental Authority” means the government of the United States or of any State or Territory thereof or of the District of Columbia or of any county, municipality or other political subdivision of any thereof, or any department, agency, authority or other instrumentality of any of the foregoing.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“Person” means any individual, corporation, joint venture, trust or unincorporated organization or any Governmental Authority.</w:t>
      </w:r>
    </w:p>
    <w:p>
      <w:pPr>
        <w:sectPr>
          <w:pgSz w:w="11900" w:h="16838" w:orient="portrait"/>
          <w:cols w:equalWidth="0" w:num="1">
            <w:col w:w="11420"/>
          </w:cols>
          <w:pgMar w:left="240" w:top="121" w:right="239" w:bottom="1440" w:gutter="0" w:footer="0" w:header="0"/>
        </w:sectPr>
      </w:pPr>
    </w:p>
    <w:bookmarkStart w:id="75" w:name="page76"/>
    <w:bookmarkEnd w:id="75"/>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Priority Opinions.</w:t>
      </w:r>
      <w:r>
        <w:rPr>
          <w:rFonts w:ascii="Arial" w:cs="Arial" w:eastAsia="Arial" w:hAnsi="Arial"/>
          <w:sz w:val="20"/>
          <w:szCs w:val="20"/>
          <w:color w:val="auto"/>
        </w:rPr>
        <w:t xml:space="preserve"> The holders of more than 66 2/3% in principal amount of the bonds Outstanding under the Mortgage, as heretofore supplemented, having consented to the amendments set forth in Section 14 of Article IV of the Thirty-first Supplemental Indenture, dated as of February 1, 2010, the Company hereby exercises its right to amend Section 28 of the Mortgage, as heretofore supplemented, to restate subdivisions (7) and (9) thereof to read as follows:</w:t>
      </w:r>
    </w:p>
    <w:p>
      <w:pPr>
        <w:spacing w:after="0" w:line="192" w:lineRule="exact"/>
        <w:rPr>
          <w:sz w:val="20"/>
          <w:szCs w:val="20"/>
          <w:color w:val="auto"/>
        </w:rPr>
      </w:pPr>
    </w:p>
    <w:p>
      <w:pPr>
        <w:ind w:left="1580" w:hanging="275"/>
        <w:spacing w:after="0"/>
        <w:tabs>
          <w:tab w:leader="none" w:pos="1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either an Opinion of Counsel or an Officers’ Certificate to the effect that:</w:t>
      </w:r>
    </w:p>
    <w:p>
      <w:pPr>
        <w:spacing w:after="0" w:line="215" w:lineRule="exact"/>
        <w:rPr>
          <w:rFonts w:ascii="Arial" w:cs="Arial" w:eastAsia="Arial" w:hAnsi="Arial"/>
          <w:sz w:val="20"/>
          <w:szCs w:val="20"/>
          <w:color w:val="auto"/>
        </w:rPr>
      </w:pPr>
    </w:p>
    <w:p>
      <w:pPr>
        <w:jc w:val="both"/>
        <w:ind w:left="1300" w:firstLine="653"/>
        <w:spacing w:after="0" w:line="259" w:lineRule="auto"/>
        <w:tabs>
          <w:tab w:leader="none" w:pos="2249"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this Indenture constitutes, or, upon the delivery of, and/or the filing and/or recording in the proper places and manner of, the instruments of conveyance, assignment or transfer, if any, specified in said opinion or certificate, will constitute, a Lien on all the Property Additions to be made the basis of the authentication and delivery of such bonds, subject to no Lien thereon prior to the Lien of this Indenture except Excepted Encumbrances and any other Liens of which the signer of said opinion or certificate has no actual knowledge and which do not appear on a specified lien search report received by said signer not more than five (5) Business Days prior to the date of said opinion or certificate;</w:t>
      </w:r>
    </w:p>
    <w:p>
      <w:pPr>
        <w:spacing w:after="0" w:line="178" w:lineRule="exact"/>
        <w:rPr>
          <w:rFonts w:ascii="Arial" w:cs="Arial" w:eastAsia="Arial" w:hAnsi="Arial"/>
          <w:sz w:val="19"/>
          <w:szCs w:val="19"/>
          <w:color w:val="auto"/>
        </w:rPr>
      </w:pPr>
    </w:p>
    <w:p>
      <w:pPr>
        <w:ind w:left="2240" w:hanging="287"/>
        <w:spacing w:after="0"/>
        <w:tabs>
          <w:tab w:leader="none" w:pos="22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Company has corporate authority to operate such Property Additions; and</w:t>
      </w:r>
    </w:p>
    <w:p>
      <w:pPr>
        <w:spacing w:after="0" w:line="215" w:lineRule="exact"/>
        <w:rPr>
          <w:rFonts w:ascii="Arial" w:cs="Arial" w:eastAsia="Arial" w:hAnsi="Arial"/>
          <w:sz w:val="20"/>
          <w:szCs w:val="20"/>
          <w:color w:val="auto"/>
        </w:rPr>
      </w:pPr>
    </w:p>
    <w:p>
      <w:pPr>
        <w:ind w:left="1300" w:right="20" w:firstLine="653"/>
        <w:spacing w:after="0" w:line="316" w:lineRule="auto"/>
        <w:tabs>
          <w:tab w:leader="none" w:pos="22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the general nature and extent of Qualified Liens, and the principal amount of the then Outstanding Qualified Lien Bonds secured thereby, if any, mentioned in the accompanying Engineer’s Certificate, are correctly stated;</w:t>
      </w:r>
    </w:p>
    <w:p>
      <w:pPr>
        <w:spacing w:after="0" w:line="130" w:lineRule="exact"/>
        <w:rPr>
          <w:sz w:val="20"/>
          <w:szCs w:val="20"/>
          <w:color w:val="auto"/>
        </w:rPr>
      </w:pPr>
    </w:p>
    <w:p>
      <w:pPr>
        <w:ind w:left="660" w:firstLine="645"/>
        <w:spacing w:after="0" w:line="260" w:lineRule="auto"/>
        <w:tabs>
          <w:tab w:leader="none" w:pos="1598"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copies of the instruments of conveyance, assignment and transfer, if any, and the lien search report, if any, specified in the opinion or certificate provided for in clause (7) above.</w:t>
      </w:r>
    </w:p>
    <w:p>
      <w:pPr>
        <w:spacing w:after="0" w:line="177"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Maintenance of Mortgaged Property.</w:t>
      </w:r>
      <w:r>
        <w:rPr>
          <w:rFonts w:ascii="Arial" w:cs="Arial" w:eastAsia="Arial" w:hAnsi="Arial"/>
          <w:sz w:val="20"/>
          <w:szCs w:val="20"/>
          <w:color w:val="auto"/>
        </w:rPr>
        <w:t xml:space="preserve"> The holders of more than 66 2/3% in principal amount of the bonds Outstanding under the Mortgage, as heretofore supplemented, having consented to the amendments set forth in Section 15 of Article IV of the Thirty-first Supplemental Indenture, dated as of February 1, 2010, the Company hereby exercises its right to amend Section 38 of the Mortgage, as heretofore supplemented, to read as follows:</w:t>
      </w:r>
    </w:p>
    <w:p>
      <w:pPr>
        <w:spacing w:after="0" w:line="192"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Section 38. The Company shall cause (or, with respect to property owned in common with others, make reasonable effort to cause) the Mortgaged and Pledged Property, considered as a whole, to be maintained and kept in good condition, repair and working order and shall cause (or, with respect to property owned in common with others, make reasonable effort to cause) to be made such repairs, renewals, replacements, betterments and improvements thereof, as, in the judgment of the Company, may be necessary in order that the operation of the Mortgaged and Pledged Property, considered as a whole, may be conducted in accordance with common industry practice; provided, however, that nothing in this Section shall prevent the Company from discontinuing, or causing the discontinuance of, the operation and maintenance of any portion of the Mortgaged and Pledged Property if such discontinuance is in the judgment of the Company desirable in the conduct of its business; and provided, further, that nothing in this Section shall prevent the Company from selling, transferring or otherwise disposing of, or causing the sale, transfer or other disposition of, any portion of the Mortgaged and Pledged Property in compliance with the other provisions of this Indenture.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Section 1. The Company reserves the right, without any vote, consent or other action by the holders of bonds of the Fifty-seventh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Series, or any subsequent series, to amend the Mortgage, as herein or heretofore supplemented as follows:</w:t>
      </w:r>
    </w:p>
    <w:p>
      <w:pPr>
        <w:sectPr>
          <w:pgSz w:w="11900" w:h="16838" w:orient="portrait"/>
          <w:cols w:equalWidth="0" w:num="1">
            <w:col w:w="11420"/>
          </w:cols>
          <w:pgMar w:left="240" w:top="121" w:right="239" w:bottom="1440" w:gutter="0" w:footer="0" w:header="0"/>
        </w:sectPr>
      </w:pPr>
    </w:p>
    <w:bookmarkStart w:id="76" w:name="page77"/>
    <w:bookmarkEnd w:id="76"/>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firstLine="1305"/>
        <w:spacing w:after="0" w:line="260" w:lineRule="auto"/>
        <w:tabs>
          <w:tab w:leader="none" w:pos="1629" w:val="left"/>
        </w:tabs>
        <w:numPr>
          <w:ilvl w:val="0"/>
          <w:numId w:val="46"/>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93" w:lineRule="exact"/>
        <w:rPr>
          <w:rFonts w:ascii="Arial" w:cs="Arial" w:eastAsia="Arial" w:hAnsi="Arial"/>
          <w:sz w:val="20"/>
          <w:szCs w:val="20"/>
          <w:color w:val="auto"/>
        </w:rPr>
      </w:pPr>
    </w:p>
    <w:p>
      <w:pPr>
        <w:ind w:left="1620" w:hanging="315"/>
        <w:spacing w:after="0"/>
        <w:tabs>
          <w:tab w:leader="none" w:pos="16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By adding the following at the end of the first sentence of Section 101:</w:t>
      </w:r>
    </w:p>
    <w:p>
      <w:pPr>
        <w:spacing w:after="0" w:line="200" w:lineRule="exact"/>
        <w:rPr>
          <w:sz w:val="20"/>
          <w:szCs w:val="20"/>
          <w:color w:val="auto"/>
        </w:rPr>
      </w:pPr>
    </w:p>
    <w:p>
      <w:pPr>
        <w:spacing w:after="0" w:line="232"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16"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April 16, 2048” after the words “and September 15, 2020 and September 16, 2030.”</w:t>
      </w:r>
    </w:p>
    <w:p>
      <w:pPr>
        <w:spacing w:after="0" w:line="177"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Thirty-ninth Supplemental Indenture, the terms defined in the Mortgage, as heretofore supplemented, shall, for all purposes of this Thirty-ninth Supplemental Indenture, have the meanings specified in the Mortgage, as heretofore supplemented.</w:t>
      </w:r>
    </w:p>
    <w:p>
      <w:pPr>
        <w:spacing w:after="0" w:line="186"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Section 3. The holders of bonds of the Fifty-seventh Series consent that the Company may, but shall not be obligated to, fix a record date for the purpose of determining the holders of bonds of the Fifty-seventh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65"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Thirty-ninth Supplemental Indenture or for or in respect of the recitals contained herein, all of which recitals are made by the Company solely. In general, each and every term and condition contained in Article XVII of the Mortgage shall apply to and form part of this Thirty-ninth Supplemental Indenture with the same force and effect as if the same were herein set forth in full with such omissions, variations and insertions, if any, as may be appropriate to make the same conform to the provisions of this Thirty-ninth Supplemental Indenture.</w:t>
      </w:r>
    </w:p>
    <w:p>
      <w:pPr>
        <w:spacing w:after="0" w:line="181"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Thirty-ninth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Thirty-ninth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5"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6. Nothing in this Thirty-ninth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Thirty-ninth Supplemental Indenture or any covenant, condition, stipulation, promise or agreement hereof, and all the covenants, conditions, stipulations, promises and agreements in this Thirty-ninth Supplemental Indenture contained</w:t>
      </w:r>
    </w:p>
    <w:p>
      <w:pPr>
        <w:sectPr>
          <w:pgSz w:w="11900" w:h="16838" w:orient="portrait"/>
          <w:cols w:equalWidth="0" w:num="1">
            <w:col w:w="11420"/>
          </w:cols>
          <w:pgMar w:left="240" w:top="121" w:right="239" w:bottom="1440" w:gutter="0" w:footer="0" w:header="0"/>
        </w:sectPr>
      </w:pPr>
    </w:p>
    <w:bookmarkStart w:id="77" w:name="page78"/>
    <w:bookmarkEnd w:id="77"/>
    <w:p>
      <w:pPr>
        <w:ind w:left="7780"/>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and on behalf of the Company shall be for the sole and exclusive benefit of the parties hereto, and of the holders of the bonds and of the coupons Outstanding under the Mortgage.</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7. This Thirty-ninth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jc w:val="both"/>
        <w:ind w:firstLine="608"/>
        <w:spacing w:after="0" w:line="247"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Thirty-ninth Supplemental Indenture.</w:t>
      </w:r>
    </w:p>
    <w:p>
      <w:pPr>
        <w:spacing w:after="0" w:line="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Andres Serrano has hereunto set his hand and affixed his seal, all in The City of New York, as of the day and year first above written.</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Robert J. Adams</w:t>
      </w:r>
    </w:p>
    <w:p>
      <w:pPr>
        <w:ind w:left="5200"/>
        <w:spacing w:after="0"/>
        <w:rPr>
          <w:sz w:val="20"/>
          <w:szCs w:val="20"/>
          <w:color w:val="auto"/>
        </w:rPr>
      </w:pPr>
      <w:r>
        <w:rPr>
          <w:rFonts w:ascii="Arial" w:cs="Arial" w:eastAsia="Arial" w:hAnsi="Arial"/>
          <w:sz w:val="20"/>
          <w:szCs w:val="20"/>
          <w:color w:val="auto"/>
        </w:rPr>
        <w:t>Senior Vice President and</w:t>
      </w:r>
    </w:p>
    <w:p>
      <w:pPr>
        <w:ind w:left="52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Bethany M. Owen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Chief Legal</w:t>
      </w:r>
    </w:p>
    <w:p>
      <w:pPr>
        <w:spacing w:after="0"/>
        <w:rPr>
          <w:sz w:val="20"/>
          <w:szCs w:val="20"/>
          <w:color w:val="auto"/>
        </w:rPr>
      </w:pPr>
      <w:r>
        <w:rPr>
          <w:rFonts w:ascii="Arial" w:cs="Arial" w:eastAsia="Arial" w:hAnsi="Arial"/>
          <w:sz w:val="20"/>
          <w:szCs w:val="20"/>
          <w:color w:val="auto"/>
        </w:rPr>
        <w:t>and Administrative Officer and</w:t>
      </w:r>
    </w:p>
    <w:p>
      <w:pPr>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ectPr>
          <w:pgSz w:w="11900" w:h="16838" w:orient="portrait"/>
          <w:cols w:equalWidth="0" w:num="1">
            <w:col w:w="11420"/>
          </w:cols>
          <w:pgMar w:left="240" w:top="121" w:right="239" w:bottom="1440" w:gutter="0" w:footer="0" w:header="0"/>
        </w:sectPr>
      </w:pPr>
    </w:p>
    <w:bookmarkStart w:id="78" w:name="page79"/>
    <w:bookmarkEnd w:id="78"/>
    <w:p>
      <w:pPr>
        <w:jc w:val="right"/>
        <w:ind w:right="1719"/>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L.S.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Andres Serrano in the presence of:</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Thirty-ninth Supplemental Indenture dated as of April 1, 2018</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Trustees’ Signature Page</w:t>
      </w:r>
    </w:p>
    <w:p>
      <w:pPr>
        <w:sectPr>
          <w:pgSz w:w="11900" w:h="16838" w:orient="portrait"/>
          <w:cols w:equalWidth="0" w:num="1">
            <w:col w:w="10219"/>
          </w:cols>
          <w:pgMar w:left="240" w:top="121" w:right="1440" w:bottom="1440" w:gutter="0" w:footer="0" w:header="0"/>
        </w:sectPr>
      </w:pPr>
    </w:p>
    <w:bookmarkStart w:id="79" w:name="page80"/>
    <w:bookmarkEnd w:id="79"/>
    <w:p>
      <w:pPr>
        <w:ind w:left="778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On this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March, 2018, the foregoing instrument was acknowledged before me by Robert J. Adams, Senior Vice President and Chief Financial Officer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color w:val="auto"/>
        </w:rPr>
        <w:t>On this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2018, the foregoing instrument was acknowledged before me by Bethany M. Owen, Senior Vice President, Chief Legal and Administrative Officer and Corporate Secretary of ALLETE, Inc., a Minnesota corporation, on behalf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________________________________________</w:t>
      </w:r>
    </w:p>
    <w:p>
      <w:pPr>
        <w:sectPr>
          <w:pgSz w:w="11900" w:h="16838" w:orient="portrait"/>
          <w:cols w:equalWidth="0" w:num="1">
            <w:col w:w="11420"/>
          </w:cols>
          <w:pgMar w:left="240" w:top="121" w:right="239" w:bottom="1440" w:gutter="0" w:footer="0" w:header="0"/>
        </w:sectPr>
      </w:pPr>
    </w:p>
    <w:bookmarkStart w:id="80" w:name="page81"/>
    <w:bookmarkEnd w:id="80"/>
    <w:p>
      <w:pPr>
        <w:ind w:left="7780"/>
        <w:spacing w:after="0"/>
        <w:rPr>
          <w:sz w:val="20"/>
          <w:szCs w:val="20"/>
          <w:color w:val="auto"/>
        </w:rPr>
      </w:pPr>
      <w:r>
        <w:rPr>
          <w:rFonts w:ascii="Arial" w:cs="Arial" w:eastAsia="Arial" w:hAnsi="Arial"/>
          <w:sz w:val="17"/>
          <w:szCs w:val="17"/>
          <w:b w:val="1"/>
          <w:bCs w:val="1"/>
          <w:color w:val="auto"/>
        </w:rPr>
        <w:t>Exhibit 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121" w:right="239" w:bottom="1440" w:gutter="0" w:footer="0" w:header="0"/>
          <w:type w:val="continuous"/>
        </w:sectPr>
      </w:pPr>
    </w:p>
    <w:p>
      <w:pPr>
        <w:ind w:left="2560"/>
        <w:spacing w:after="0"/>
        <w:rPr>
          <w:sz w:val="20"/>
          <w:szCs w:val="20"/>
          <w:color w:val="auto"/>
        </w:rPr>
      </w:pPr>
      <w:r>
        <w:rPr>
          <w:rFonts w:ascii="Arial" w:cs="Arial" w:eastAsia="Arial" w:hAnsi="Arial"/>
          <w:sz w:val="20"/>
          <w:szCs w:val="20"/>
          <w:color w:val="auto"/>
        </w:rPr>
        <w:t>) ss:</w:t>
      </w:r>
    </w:p>
    <w:p>
      <w:pPr>
        <w:sectPr>
          <w:pgSz w:w="11900" w:h="16838" w:orient="portrait"/>
          <w:cols w:equalWidth="0" w:num="1">
            <w:col w:w="1142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121" w:right="239" w:bottom="1440" w:gutter="0" w:footer="0" w:header="0"/>
          <w:type w:val="continuous"/>
        </w:sect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this  ______  day  of  __________________________,  2018,  the  foregoing  instrument  was  acknowledged  before  me  by</w:t>
      </w:r>
    </w:p>
    <w:p>
      <w:pPr>
        <w:spacing w:after="0" w:line="38" w:lineRule="exact"/>
        <w:rPr>
          <w:sz w:val="20"/>
          <w:szCs w:val="20"/>
          <w:color w:val="auto"/>
        </w:rPr>
      </w:pPr>
    </w:p>
    <w:p>
      <w:pPr>
        <w:spacing w:after="0"/>
        <w:tabs>
          <w:tab w:leader="none" w:pos="3140" w:val="left"/>
          <w:tab w:leader="none" w:pos="3720" w:val="left"/>
          <w:tab w:leader="none" w:pos="6820" w:val="left"/>
          <w:tab w:leader="none" w:pos="7360" w:val="left"/>
          <w:tab w:leader="none" w:pos="11100" w:val="left"/>
        </w:tabs>
        <w:rPr>
          <w:sz w:val="20"/>
          <w:szCs w:val="20"/>
          <w:color w:val="auto"/>
        </w:rPr>
      </w:pPr>
      <w:r>
        <w:rPr>
          <w:rFonts w:ascii="Arial" w:cs="Arial" w:eastAsia="Arial" w:hAnsi="Arial"/>
          <w:sz w:val="19"/>
          <w:szCs w:val="19"/>
          <w:color w:val="auto"/>
        </w:rPr>
        <w:t>_____________________________</w:t>
        <w:tab/>
        <w:t>and</w:t>
      </w:r>
      <w:r>
        <w:rPr>
          <w:sz w:val="20"/>
          <w:szCs w:val="20"/>
          <w:color w:val="auto"/>
        </w:rPr>
        <w:tab/>
      </w:r>
      <w:r>
        <w:rPr>
          <w:rFonts w:ascii="Arial" w:cs="Arial" w:eastAsia="Arial" w:hAnsi="Arial"/>
          <w:sz w:val="20"/>
          <w:szCs w:val="20"/>
          <w:color w:val="auto"/>
        </w:rPr>
        <w:t>____________________________,</w:t>
        <w:tab/>
        <w:t>the</w:t>
        <w:tab/>
        <w:t>___________________________________</w:t>
      </w:r>
      <w:r>
        <w:rPr>
          <w:sz w:val="20"/>
          <w:szCs w:val="20"/>
          <w:color w:val="auto"/>
        </w:rPr>
        <w:tab/>
      </w:r>
      <w:r>
        <w:rPr>
          <w:rFonts w:ascii="Arial" w:cs="Arial" w:eastAsia="Arial" w:hAnsi="Arial"/>
          <w:sz w:val="16"/>
          <w:szCs w:val="16"/>
          <w:color w:val="auto"/>
        </w:rPr>
        <w:t>and</w:t>
      </w:r>
    </w:p>
    <w:p>
      <w:pPr>
        <w:spacing w:after="0"/>
        <w:rPr>
          <w:sz w:val="20"/>
          <w:szCs w:val="20"/>
          <w:color w:val="auto"/>
        </w:rPr>
      </w:pPr>
      <w:r>
        <w:rPr>
          <w:rFonts w:ascii="Arial" w:cs="Arial" w:eastAsia="Arial" w:hAnsi="Arial"/>
          <w:sz w:val="19"/>
          <w:szCs w:val="19"/>
          <w:color w:val="auto"/>
        </w:rPr>
        <w:t>______________________________________, respectively, of The Bank of New York Mellon, the corporation named in the foregoing</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instrument.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____ day of _____________________,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Notary Public,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60" w:type="dxa"/>
            <w:vAlign w:val="bottom"/>
          </w:tcPr>
          <w:p>
            <w:pPr>
              <w:spacing w:after="0"/>
              <w:rPr>
                <w:sz w:val="20"/>
                <w:szCs w:val="20"/>
                <w:color w:val="auto"/>
              </w:rPr>
            </w:pPr>
            <w:r>
              <w:rPr>
                <w:rFonts w:ascii="Arial" w:cs="Arial" w:eastAsia="Arial" w:hAnsi="Arial"/>
                <w:sz w:val="20"/>
                <w:szCs w:val="20"/>
                <w:color w:val="auto"/>
              </w:rPr>
              <w:t>State of New York</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700" w:type="dxa"/>
            <w:vAlign w:val="bottom"/>
            <w:vMerge w:val="restart"/>
          </w:tcPr>
          <w:p>
            <w:pPr>
              <w:ind w:left="40"/>
              <w:spacing w:after="0"/>
              <w:rPr>
                <w:sz w:val="20"/>
                <w:szCs w:val="20"/>
                <w:color w:val="auto"/>
              </w:rPr>
            </w:pPr>
            <w:r>
              <w:rPr>
                <w:rFonts w:ascii="Arial" w:cs="Arial" w:eastAsia="Arial" w:hAnsi="Arial"/>
                <w:sz w:val="20"/>
                <w:szCs w:val="20"/>
                <w:color w:val="auto"/>
              </w:rPr>
              <w:t>ss:</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Arial" w:cs="Arial" w:eastAsia="Arial" w:hAnsi="Arial"/>
                <w:sz w:val="20"/>
                <w:szCs w:val="20"/>
                <w:color w:val="auto"/>
                <w:w w:val="97"/>
              </w:rPr>
              <w:t>County of New York</w:t>
            </w:r>
          </w:p>
        </w:tc>
        <w:tc>
          <w:tcPr>
            <w:tcW w:w="240" w:type="dxa"/>
            <w:vAlign w:val="bottom"/>
          </w:tcPr>
          <w:p>
            <w:pPr>
              <w:spacing w:after="0"/>
              <w:rPr>
                <w:sz w:val="21"/>
                <w:szCs w:val="21"/>
                <w:color w:val="auto"/>
              </w:rPr>
            </w:pPr>
          </w:p>
        </w:tc>
        <w:tc>
          <w:tcPr>
            <w:tcW w:w="72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8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7"/>
        </w:trPr>
        <w:tc>
          <w:tcPr>
            <w:tcW w:w="2000" w:type="dxa"/>
            <w:vAlign w:val="bottom"/>
            <w:gridSpan w:val="2"/>
          </w:tcPr>
          <w:p>
            <w:pPr>
              <w:ind w:left="620"/>
              <w:spacing w:after="0"/>
              <w:rPr>
                <w:sz w:val="20"/>
                <w:szCs w:val="20"/>
                <w:color w:val="auto"/>
              </w:rPr>
            </w:pPr>
            <w:r>
              <w:rPr>
                <w:rFonts w:ascii="Arial" w:cs="Arial" w:eastAsia="Arial" w:hAnsi="Arial"/>
                <w:sz w:val="20"/>
                <w:szCs w:val="20"/>
                <w:color w:val="auto"/>
              </w:rPr>
              <w:t>On this ______</w:t>
            </w:r>
          </w:p>
        </w:tc>
        <w:tc>
          <w:tcPr>
            <w:tcW w:w="720" w:type="dxa"/>
            <w:vAlign w:val="bottom"/>
          </w:tcPr>
          <w:p>
            <w:pPr>
              <w:jc w:val="right"/>
              <w:spacing w:after="0"/>
              <w:rPr>
                <w:sz w:val="20"/>
                <w:szCs w:val="20"/>
                <w:color w:val="auto"/>
              </w:rPr>
            </w:pPr>
            <w:r>
              <w:rPr>
                <w:rFonts w:ascii="Arial" w:cs="Arial" w:eastAsia="Arial" w:hAnsi="Arial"/>
                <w:sz w:val="20"/>
                <w:szCs w:val="20"/>
                <w:color w:val="auto"/>
              </w:rPr>
              <w:t>day of</w:t>
            </w:r>
          </w:p>
        </w:tc>
        <w:tc>
          <w:tcPr>
            <w:tcW w:w="8700" w:type="dxa"/>
            <w:vAlign w:val="bottom"/>
          </w:tcPr>
          <w:p>
            <w:pPr>
              <w:ind w:left="40"/>
              <w:spacing w:after="0"/>
              <w:rPr>
                <w:sz w:val="20"/>
                <w:szCs w:val="20"/>
                <w:color w:val="auto"/>
              </w:rPr>
            </w:pPr>
            <w:r>
              <w:rPr>
                <w:rFonts w:ascii="Arial" w:cs="Arial" w:eastAsia="Arial" w:hAnsi="Arial"/>
                <w:sz w:val="20"/>
                <w:szCs w:val="20"/>
                <w:color w:val="auto"/>
                <w:w w:val="95"/>
              </w:rPr>
              <w:t>_____________________________, 2018, the foregoing instrument was acknowledged before me by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[__________________________], the person described in and who executed the foregoing instrument.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____ day of _____________________________,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Notary Public, State of New York</w:t>
      </w:r>
    </w:p>
    <w:p>
      <w:pPr>
        <w:sectPr>
          <w:pgSz w:w="11900" w:h="16838" w:orient="portrait"/>
          <w:cols w:equalWidth="0" w:num="1">
            <w:col w:w="11420"/>
          </w:cols>
          <w:pgMar w:left="240" w:top="121" w:right="239" w:bottom="1440" w:gutter="0" w:footer="0" w:header="0"/>
          <w:type w:val="continuous"/>
        </w:sectPr>
      </w:pPr>
    </w:p>
    <w:bookmarkStart w:id="81" w:name="page82"/>
    <w:bookmarkEnd w:id="81"/>
    <w:p>
      <w:pPr>
        <w:ind w:left="7780"/>
        <w:spacing w:after="0"/>
        <w:rPr>
          <w:sz w:val="20"/>
          <w:szCs w:val="20"/>
          <w:color w:val="auto"/>
        </w:rPr>
      </w:pPr>
      <w:r>
        <w:rPr>
          <w:rFonts w:ascii="Arial" w:cs="Arial" w:eastAsia="Arial" w:hAnsi="Arial"/>
          <w:sz w:val="18"/>
          <w:szCs w:val="18"/>
          <w:b w:val="1"/>
          <w:bCs w:val="1"/>
          <w:color w:val="auto"/>
        </w:rPr>
        <w:t>Exhibit 10(a)1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Effective 2018</w:t>
      </w:r>
    </w:p>
    <w:p>
      <w:pPr>
        <w:spacing w:after="0" w:line="34"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[Eligible Executive Employees, except CEO and CFO]</w:t>
      </w: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381"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5"/>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96"/>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4"/>
              </w:rPr>
              <w:t>45%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426"/>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4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Annual Incentive Plan Compensation is subject to recoupment as defined in the Compensation Recovery policy.</w:t>
      </w:r>
    </w:p>
    <w:p>
      <w:pPr>
        <w:sectPr>
          <w:pgSz w:w="11900" w:h="16838" w:orient="portrait"/>
          <w:cols w:equalWidth="0" w:num="1">
            <w:col w:w="10440"/>
          </w:cols>
          <w:pgMar w:left="240" w:top="121" w:right="1219" w:bottom="1440" w:gutter="0" w:footer="0" w:header="0"/>
        </w:sectPr>
      </w:pPr>
    </w:p>
    <w:bookmarkStart w:id="82" w:name="page83"/>
    <w:bookmarkEnd w:id="82"/>
    <w:p>
      <w:pPr>
        <w:ind w:left="7780"/>
        <w:spacing w:after="0"/>
        <w:rPr>
          <w:sz w:val="20"/>
          <w:szCs w:val="20"/>
          <w:color w:val="auto"/>
        </w:rPr>
      </w:pPr>
      <w:r>
        <w:rPr>
          <w:rFonts w:ascii="Arial" w:cs="Arial" w:eastAsia="Arial" w:hAnsi="Arial"/>
          <w:sz w:val="18"/>
          <w:szCs w:val="18"/>
          <w:b w:val="1"/>
          <w:bCs w:val="1"/>
          <w:color w:val="auto"/>
        </w:rPr>
        <w:t>Exhibit 10(a)2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Effective 2018</w:t>
      </w:r>
    </w:p>
    <w:p>
      <w:pPr>
        <w:spacing w:after="0" w:line="34"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[Eligible Superior Water, Light and Power Executive Employees]</w:t>
      </w: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3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5"/>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96"/>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ALLETE 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15%</w:t>
            </w: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Superior Water Light &amp; Power Net Income</w:t>
            </w: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55%</w:t>
            </w:r>
          </w:p>
        </w:tc>
        <w:tc>
          <w:tcPr>
            <w:tcW w:w="24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30%</w:t>
            </w:r>
          </w:p>
        </w:tc>
        <w:tc>
          <w:tcPr>
            <w:tcW w:w="24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Annual Incentive Plan Compensation is subject to recoupment as defined in the Compensation Recovery policy.</w:t>
      </w:r>
    </w:p>
    <w:p>
      <w:pPr>
        <w:sectPr>
          <w:pgSz w:w="11900" w:h="16838" w:orient="portrait"/>
          <w:cols w:equalWidth="0" w:num="1">
            <w:col w:w="10440"/>
          </w:cols>
          <w:pgMar w:left="240" w:top="121" w:right="1219" w:bottom="1440" w:gutter="0" w:footer="0" w:header="0"/>
        </w:sectPr>
      </w:pPr>
    </w:p>
    <w:bookmarkStart w:id="83" w:name="page84"/>
    <w:bookmarkEnd w:id="83"/>
    <w:p>
      <w:pPr>
        <w:ind w:left="7780"/>
        <w:spacing w:after="0"/>
        <w:rPr>
          <w:sz w:val="20"/>
          <w:szCs w:val="20"/>
          <w:color w:val="auto"/>
        </w:rPr>
      </w:pPr>
      <w:r>
        <w:rPr>
          <w:rFonts w:ascii="Arial" w:cs="Arial" w:eastAsia="Arial" w:hAnsi="Arial"/>
          <w:sz w:val="18"/>
          <w:szCs w:val="18"/>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79"/>
        <w:spacing w:after="0"/>
        <w:rPr>
          <w:sz w:val="20"/>
          <w:szCs w:val="20"/>
          <w:color w:val="auto"/>
        </w:rPr>
      </w:pPr>
      <w:r>
        <w:rPr>
          <w:rFonts w:ascii="Arial" w:cs="Arial" w:eastAsia="Arial" w:hAnsi="Arial"/>
          <w:sz w:val="20"/>
          <w:szCs w:val="20"/>
          <w:b w:val="1"/>
          <w:bCs w:val="1"/>
          <w:color w:val="auto"/>
        </w:rPr>
        <w:t>ALLETE Executive Long-Term Incentive Plan</w:t>
      </w:r>
    </w:p>
    <w:p>
      <w:pPr>
        <w:spacing w:after="0" w:line="23" w:lineRule="exact"/>
        <w:rPr>
          <w:sz w:val="20"/>
          <w:szCs w:val="20"/>
          <w:color w:val="auto"/>
        </w:rPr>
      </w:pPr>
    </w:p>
    <w:p>
      <w:pPr>
        <w:jc w:val="center"/>
        <w:ind w:right="-979"/>
        <w:spacing w:after="0"/>
        <w:rPr>
          <w:sz w:val="20"/>
          <w:szCs w:val="20"/>
          <w:color w:val="auto"/>
        </w:rPr>
      </w:pPr>
      <w:r>
        <w:rPr>
          <w:rFonts w:ascii="Arial" w:cs="Arial" w:eastAsia="Arial" w:hAnsi="Arial"/>
          <w:sz w:val="20"/>
          <w:szCs w:val="20"/>
          <w:b w:val="1"/>
          <w:bCs w:val="1"/>
          <w:color w:val="auto"/>
        </w:rPr>
        <w:t>Form of Cash Award</w:t>
      </w:r>
    </w:p>
    <w:p>
      <w:pPr>
        <w:jc w:val="center"/>
        <w:ind w:right="-979"/>
        <w:spacing w:after="0"/>
        <w:rPr>
          <w:sz w:val="20"/>
          <w:szCs w:val="20"/>
          <w:color w:val="auto"/>
        </w:rPr>
      </w:pPr>
      <w:r>
        <w:rPr>
          <w:rFonts w:ascii="Arial" w:cs="Arial" w:eastAsia="Arial" w:hAnsi="Arial"/>
          <w:sz w:val="20"/>
          <w:szCs w:val="20"/>
          <w:b w:val="1"/>
          <w:bCs w:val="1"/>
          <w:color w:val="auto"/>
        </w:rPr>
        <w:t>Effective 2018</w:t>
      </w:r>
    </w:p>
    <w:p>
      <w:pPr>
        <w:spacing w:after="0" w:line="30" w:lineRule="exact"/>
        <w:rPr>
          <w:sz w:val="20"/>
          <w:szCs w:val="20"/>
          <w:color w:val="auto"/>
        </w:rPr>
      </w:pPr>
    </w:p>
    <w:p>
      <w:pPr>
        <w:jc w:val="center"/>
        <w:ind w:right="-979"/>
        <w:spacing w:after="0"/>
        <w:rPr>
          <w:sz w:val="20"/>
          <w:szCs w:val="20"/>
          <w:color w:val="auto"/>
        </w:rPr>
      </w:pPr>
      <w:r>
        <w:rPr>
          <w:rFonts w:ascii="Arial" w:cs="Arial" w:eastAsia="Arial" w:hAnsi="Arial"/>
          <w:sz w:val="20"/>
          <w:szCs w:val="20"/>
          <w:b w:val="1"/>
          <w:bCs w:val="1"/>
          <w:color w:val="auto"/>
        </w:rPr>
        <w:t>[CEO and CFO]</w:t>
      </w:r>
    </w:p>
    <w:p>
      <w:pPr>
        <w:spacing w:after="0" w:line="270" w:lineRule="exact"/>
        <w:rPr>
          <w:sz w:val="20"/>
          <w:szCs w:val="20"/>
          <w:color w:val="auto"/>
        </w:rPr>
      </w:pPr>
    </w:p>
    <w:p>
      <w:pPr>
        <w:ind w:left="4500"/>
        <w:spacing w:after="0"/>
        <w:rPr>
          <w:sz w:val="20"/>
          <w:szCs w:val="20"/>
          <w:color w:val="auto"/>
        </w:rPr>
      </w:pPr>
      <w:r>
        <w:rPr>
          <w:rFonts w:ascii="Arial" w:cs="Arial" w:eastAsia="Arial" w:hAnsi="Arial"/>
          <w:sz w:val="20"/>
          <w:szCs w:val="20"/>
          <w:b w:val="1"/>
          <w:bCs w:val="1"/>
          <w:u w:val="single" w:color="auto"/>
          <w:color w:val="auto"/>
        </w:rPr>
        <w:t>Target Award Opportunity</w:t>
      </w:r>
    </w:p>
    <w:p>
      <w:pPr>
        <w:spacing w:after="0" w:line="389"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3820" w:type="dxa"/>
            <w:vAlign w:val="bottom"/>
            <w:gridSpan w:val="4"/>
          </w:tcPr>
          <w:p>
            <w:pPr>
              <w:spacing w:after="0"/>
              <w:rPr>
                <w:sz w:val="20"/>
                <w:szCs w:val="20"/>
                <w:color w:val="auto"/>
              </w:rPr>
            </w:pPr>
            <w:r>
              <w:rPr>
                <w:rFonts w:ascii="Arial" w:cs="Arial" w:eastAsia="Arial" w:hAnsi="Arial"/>
                <w:sz w:val="20"/>
                <w:szCs w:val="20"/>
                <w:color w:val="auto"/>
              </w:rPr>
              <w:t>Base Salary</w:t>
            </w: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9"/>
        </w:trPr>
        <w:tc>
          <w:tcPr>
            <w:tcW w:w="3820" w:type="dxa"/>
            <w:vAlign w:val="bottom"/>
            <w:gridSpan w:val="4"/>
          </w:tcPr>
          <w:p>
            <w:pPr>
              <w:spacing w:after="0"/>
              <w:rPr>
                <w:sz w:val="20"/>
                <w:szCs w:val="20"/>
                <w:color w:val="auto"/>
              </w:rPr>
            </w:pPr>
            <w:r>
              <w:rPr>
                <w:rFonts w:ascii="Arial" w:cs="Arial" w:eastAsia="Arial" w:hAnsi="Arial"/>
                <w:sz w:val="20"/>
                <w:szCs w:val="20"/>
                <w:b w:val="1"/>
                <w:bCs w:val="1"/>
                <w:color w:val="auto"/>
              </w:rPr>
              <w:t>Times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3820" w:type="dxa"/>
            <w:vAlign w:val="bottom"/>
            <w:gridSpan w:val="4"/>
          </w:tcPr>
          <w:p>
            <w:pPr>
              <w:spacing w:after="0"/>
              <w:rPr>
                <w:sz w:val="20"/>
                <w:szCs w:val="20"/>
                <w:color w:val="auto"/>
              </w:rPr>
            </w:pPr>
            <w:r>
              <w:rPr>
                <w:rFonts w:ascii="Arial" w:cs="Arial" w:eastAsia="Arial" w:hAnsi="Arial"/>
                <w:sz w:val="20"/>
                <w:szCs w:val="20"/>
                <w:color w:val="auto"/>
                <w:w w:val="99"/>
              </w:rPr>
              <w:t>Award Opportunity (percent of base salary)</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3"/>
        </w:trPr>
        <w:tc>
          <w:tcPr>
            <w:tcW w:w="3820" w:type="dxa"/>
            <w:vAlign w:val="bottom"/>
            <w:gridSpan w:val="4"/>
          </w:tcPr>
          <w:p>
            <w:pPr>
              <w:spacing w:after="0"/>
              <w:rPr>
                <w:sz w:val="20"/>
                <w:szCs w:val="20"/>
                <w:color w:val="auto"/>
              </w:rPr>
            </w:pPr>
            <w:r>
              <w:rPr>
                <w:rFonts w:ascii="Arial" w:cs="Arial" w:eastAsia="Arial" w:hAnsi="Arial"/>
                <w:sz w:val="20"/>
                <w:szCs w:val="20"/>
                <w:b w:val="1"/>
                <w:bCs w:val="1"/>
                <w:color w:val="auto"/>
              </w:rPr>
              <w:t>Equals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3820" w:type="dxa"/>
            <w:vAlign w:val="bottom"/>
            <w:gridSpan w:val="4"/>
          </w:tcPr>
          <w:p>
            <w:pPr>
              <w:spacing w:after="0"/>
              <w:rPr>
                <w:sz w:val="20"/>
                <w:szCs w:val="20"/>
                <w:color w:val="auto"/>
              </w:rPr>
            </w:pPr>
            <w:r>
              <w:rPr>
                <w:rFonts w:ascii="Arial" w:cs="Arial" w:eastAsia="Arial" w:hAnsi="Arial"/>
                <w:sz w:val="20"/>
                <w:szCs w:val="20"/>
                <w:color w:val="auto"/>
              </w:rPr>
              <w:t>Target Award</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0"/>
                <w:szCs w:val="20"/>
                <w:b w:val="1"/>
                <w:bCs w:val="1"/>
                <w:color w:val="auto"/>
                <w:w w:val="98"/>
              </w:rPr>
              <w:t>Performance Levels and Award Amounts</w:t>
            </w:r>
          </w:p>
        </w:tc>
        <w:tc>
          <w:tcPr>
            <w:tcW w:w="0" w:type="dxa"/>
            <w:vAlign w:val="bottom"/>
          </w:tcPr>
          <w:p>
            <w:pPr>
              <w:spacing w:after="0"/>
              <w:rPr>
                <w:sz w:val="1"/>
                <w:szCs w:val="1"/>
                <w:color w:val="auto"/>
              </w:rPr>
            </w:pPr>
          </w:p>
        </w:tc>
      </w:tr>
      <w:tr>
        <w:trPr>
          <w:trHeight w:val="588"/>
        </w:trPr>
        <w:tc>
          <w:tcPr>
            <w:tcW w:w="20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20"/>
                <w:szCs w:val="20"/>
                <w:b w:val="1"/>
                <w:bCs w:val="1"/>
                <w:color w:val="auto"/>
              </w:rPr>
              <w:t>Goal Performance Level</w:t>
            </w:r>
          </w:p>
        </w:tc>
        <w:tc>
          <w:tcPr>
            <w:tcW w:w="500" w:type="dxa"/>
            <w:vAlign w:val="bottom"/>
          </w:tcPr>
          <w:p>
            <w:pPr>
              <w:spacing w:after="0"/>
              <w:rPr>
                <w:sz w:val="18"/>
                <w:szCs w:val="18"/>
                <w:color w:val="auto"/>
              </w:rPr>
            </w:pPr>
          </w:p>
        </w:tc>
        <w:tc>
          <w:tcPr>
            <w:tcW w:w="2280" w:type="dxa"/>
            <w:vAlign w:val="bottom"/>
            <w:gridSpan w:val="3"/>
          </w:tcPr>
          <w:p>
            <w:pPr>
              <w:jc w:val="center"/>
              <w:ind w:right="120"/>
              <w:spacing w:after="0" w:line="209" w:lineRule="exact"/>
              <w:rPr>
                <w:sz w:val="20"/>
                <w:szCs w:val="20"/>
                <w:color w:val="auto"/>
              </w:rPr>
            </w:pPr>
            <w:r>
              <w:rPr>
                <w:rFonts w:ascii="Arial" w:cs="Arial" w:eastAsia="Arial" w:hAnsi="Arial"/>
                <w:sz w:val="20"/>
                <w:szCs w:val="20"/>
                <w:b w:val="1"/>
                <w:bCs w:val="1"/>
                <w:color w:val="auto"/>
                <w:w w:val="99"/>
              </w:rPr>
              <w:t>Payout as Percent of</w:t>
            </w:r>
          </w:p>
        </w:tc>
        <w:tc>
          <w:tcPr>
            <w:tcW w:w="1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Borders>
              <w:right w:val="single" w:sz="8" w:color="auto"/>
            </w:tcBorders>
            <w:gridSpan w:val="3"/>
            <w:vMerge w:val="restart"/>
          </w:tcPr>
          <w:p>
            <w:pPr>
              <w:jc w:val="center"/>
              <w:ind w:right="320"/>
              <w:spacing w:after="0"/>
              <w:rPr>
                <w:sz w:val="20"/>
                <w:szCs w:val="20"/>
                <w:color w:val="auto"/>
              </w:rPr>
            </w:pPr>
            <w:r>
              <w:rPr>
                <w:rFonts w:ascii="Arial" w:cs="Arial" w:eastAsia="Arial" w:hAnsi="Arial"/>
                <w:sz w:val="20"/>
                <w:szCs w:val="20"/>
                <w:b w:val="1"/>
                <w:bCs w:val="1"/>
                <w:color w:val="auto"/>
                <w:w w:val="91"/>
              </w:rPr>
              <w:t>Award Amount</w:t>
            </w:r>
          </w:p>
        </w:tc>
        <w:tc>
          <w:tcPr>
            <w:tcW w:w="0" w:type="dxa"/>
            <w:vAlign w:val="bottom"/>
          </w:tcPr>
          <w:p>
            <w:pPr>
              <w:spacing w:after="0"/>
              <w:rPr>
                <w:sz w:val="1"/>
                <w:szCs w:val="1"/>
                <w:color w:val="auto"/>
              </w:rPr>
            </w:pPr>
          </w:p>
        </w:tc>
      </w:tr>
      <w:tr>
        <w:trPr>
          <w:trHeight w:val="266"/>
        </w:trPr>
        <w:tc>
          <w:tcPr>
            <w:tcW w:w="200" w:type="dxa"/>
            <w:vAlign w:val="bottom"/>
            <w:tcBorders>
              <w:right w:val="single" w:sz="8" w:color="auto"/>
            </w:tcBorders>
          </w:tcPr>
          <w:p>
            <w:pPr>
              <w:spacing w:after="0"/>
              <w:rPr>
                <w:sz w:val="23"/>
                <w:szCs w:val="23"/>
                <w:color w:val="auto"/>
              </w:rPr>
            </w:pPr>
          </w:p>
        </w:tc>
        <w:tc>
          <w:tcPr>
            <w:tcW w:w="3120" w:type="dxa"/>
            <w:vAlign w:val="bottom"/>
            <w:tcBorders>
              <w:bottom w:val="single" w:sz="8" w:color="auto"/>
              <w:right w:val="single" w:sz="8" w:color="auto"/>
            </w:tcBorders>
            <w:gridSpan w:val="2"/>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20"/>
                <w:szCs w:val="20"/>
                <w:b w:val="1"/>
                <w:bCs w:val="1"/>
                <w:color w:val="auto"/>
                <w:w w:val="98"/>
              </w:rPr>
              <w:t>Target Award</w:t>
            </w: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20" w:type="dxa"/>
            <w:vAlign w:val="bottom"/>
            <w:tcBorders>
              <w:bottom w:val="single" w:sz="8" w:color="auto"/>
              <w:right w:val="single" w:sz="8" w:color="auto"/>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Superior</w:t>
            </w:r>
          </w:p>
        </w:tc>
        <w:tc>
          <w:tcPr>
            <w:tcW w:w="500" w:type="dxa"/>
            <w:vAlign w:val="bottom"/>
          </w:tcPr>
          <w:p>
            <w:pPr>
              <w:spacing w:after="0"/>
              <w:rPr>
                <w:sz w:val="22"/>
                <w:szCs w:val="22"/>
                <w:color w:val="auto"/>
              </w:rPr>
            </w:pPr>
          </w:p>
        </w:tc>
        <w:tc>
          <w:tcPr>
            <w:tcW w:w="13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200%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2340" w:type="dxa"/>
            <w:vAlign w:val="bottom"/>
            <w:gridSpan w:val="2"/>
          </w:tcPr>
          <w:p>
            <w:pPr>
              <w:jc w:val="center"/>
              <w:ind w:left="661"/>
              <w:spacing w:after="0"/>
              <w:rPr>
                <w:sz w:val="20"/>
                <w:szCs w:val="20"/>
                <w:color w:val="auto"/>
              </w:rPr>
            </w:pPr>
            <w:r>
              <w:rPr>
                <w:rFonts w:ascii="Arial" w:cs="Arial" w:eastAsia="Arial" w:hAnsi="Arial"/>
                <w:sz w:val="20"/>
                <w:szCs w:val="20"/>
                <w:color w:val="auto"/>
                <w:w w:val="89"/>
              </w:rPr>
              <w:t>$</w:t>
            </w:r>
          </w:p>
        </w:tc>
        <w:tc>
          <w:tcPr>
            <w:tcW w:w="5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 w:type="dxa"/>
            <w:vAlign w:val="bottom"/>
            <w:tcBorders>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Target</w:t>
            </w:r>
          </w:p>
        </w:tc>
        <w:tc>
          <w:tcPr>
            <w:tcW w:w="500" w:type="dxa"/>
            <w:vAlign w:val="bottom"/>
          </w:tcPr>
          <w:p>
            <w:pPr>
              <w:spacing w:after="0"/>
              <w:rPr>
                <w:sz w:val="22"/>
                <w:szCs w:val="22"/>
                <w:color w:val="auto"/>
              </w:rPr>
            </w:pPr>
          </w:p>
        </w:tc>
        <w:tc>
          <w:tcPr>
            <w:tcW w:w="13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100%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2340" w:type="dxa"/>
            <w:vAlign w:val="bottom"/>
            <w:gridSpan w:val="2"/>
          </w:tcPr>
          <w:p>
            <w:pPr>
              <w:jc w:val="center"/>
              <w:ind w:left="661"/>
              <w:spacing w:after="0"/>
              <w:rPr>
                <w:sz w:val="20"/>
                <w:szCs w:val="20"/>
                <w:color w:val="auto"/>
              </w:rPr>
            </w:pPr>
            <w:r>
              <w:rPr>
                <w:rFonts w:ascii="Arial" w:cs="Arial" w:eastAsia="Arial" w:hAnsi="Arial"/>
                <w:sz w:val="20"/>
                <w:szCs w:val="20"/>
                <w:color w:val="auto"/>
                <w:w w:val="89"/>
              </w:rPr>
              <w:t>$</w:t>
            </w:r>
          </w:p>
        </w:tc>
        <w:tc>
          <w:tcPr>
            <w:tcW w:w="5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 w:type="dxa"/>
            <w:vAlign w:val="bottom"/>
            <w:tcBorders>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Threshold</w:t>
            </w:r>
          </w:p>
        </w:tc>
        <w:tc>
          <w:tcPr>
            <w:tcW w:w="500" w:type="dxa"/>
            <w:vAlign w:val="bottom"/>
          </w:tcPr>
          <w:p>
            <w:pPr>
              <w:spacing w:after="0"/>
              <w:rPr>
                <w:sz w:val="22"/>
                <w:szCs w:val="22"/>
                <w:color w:val="auto"/>
              </w:rPr>
            </w:pPr>
          </w:p>
        </w:tc>
        <w:tc>
          <w:tcPr>
            <w:tcW w:w="1340" w:type="dxa"/>
            <w:vAlign w:val="bottom"/>
            <w:gridSpan w:val="2"/>
          </w:tcPr>
          <w:p>
            <w:pPr>
              <w:jc w:val="center"/>
              <w:ind w:left="721"/>
              <w:spacing w:after="0"/>
              <w:rPr>
                <w:sz w:val="20"/>
                <w:szCs w:val="20"/>
                <w:color w:val="auto"/>
              </w:rPr>
            </w:pPr>
            <w:r>
              <w:rPr>
                <w:rFonts w:ascii="Arial" w:cs="Arial" w:eastAsia="Arial" w:hAnsi="Arial"/>
                <w:sz w:val="20"/>
                <w:szCs w:val="20"/>
                <w:color w:val="auto"/>
                <w:w w:val="89"/>
              </w:rPr>
              <w:t>45%</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2340" w:type="dxa"/>
            <w:vAlign w:val="bottom"/>
            <w:gridSpan w:val="2"/>
          </w:tcPr>
          <w:p>
            <w:pPr>
              <w:jc w:val="center"/>
              <w:ind w:left="661"/>
              <w:spacing w:after="0"/>
              <w:rPr>
                <w:sz w:val="20"/>
                <w:szCs w:val="20"/>
                <w:color w:val="auto"/>
              </w:rPr>
            </w:pPr>
            <w:r>
              <w:rPr>
                <w:rFonts w:ascii="Arial" w:cs="Arial" w:eastAsia="Arial" w:hAnsi="Arial"/>
                <w:sz w:val="20"/>
                <w:szCs w:val="20"/>
                <w:color w:val="auto"/>
                <w:w w:val="89"/>
              </w:rPr>
              <w:t>$</w:t>
            </w:r>
          </w:p>
        </w:tc>
        <w:tc>
          <w:tcPr>
            <w:tcW w:w="5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 w:type="dxa"/>
            <w:vAlign w:val="bottom"/>
            <w:tcBorders>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Below Threshold</w:t>
            </w:r>
          </w:p>
        </w:tc>
        <w:tc>
          <w:tcPr>
            <w:tcW w:w="500" w:type="dxa"/>
            <w:vAlign w:val="bottom"/>
          </w:tcPr>
          <w:p>
            <w:pPr>
              <w:spacing w:after="0"/>
              <w:rPr>
                <w:sz w:val="22"/>
                <w:szCs w:val="22"/>
                <w:color w:val="auto"/>
              </w:rPr>
            </w:pPr>
          </w:p>
        </w:tc>
        <w:tc>
          <w:tcPr>
            <w:tcW w:w="13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2340" w:type="dxa"/>
            <w:vAlign w:val="bottom"/>
            <w:gridSpan w:val="2"/>
          </w:tcPr>
          <w:p>
            <w:pPr>
              <w:jc w:val="center"/>
              <w:ind w:left="661"/>
              <w:spacing w:after="0"/>
              <w:rPr>
                <w:sz w:val="20"/>
                <w:szCs w:val="20"/>
                <w:color w:val="auto"/>
              </w:rPr>
            </w:pPr>
            <w:r>
              <w:rPr>
                <w:rFonts w:ascii="Arial" w:cs="Arial" w:eastAsia="Arial" w:hAnsi="Arial"/>
                <w:sz w:val="20"/>
                <w:szCs w:val="20"/>
                <w:color w:val="auto"/>
                <w:w w:val="89"/>
              </w:rPr>
              <w:t>$</w:t>
            </w:r>
          </w:p>
        </w:tc>
        <w:tc>
          <w:tcPr>
            <w:tcW w:w="5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 w:type="dxa"/>
            <w:vAlign w:val="bottom"/>
            <w:tcBorders>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7"/>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84"/>
        </w:trPr>
        <w:tc>
          <w:tcPr>
            <w:tcW w:w="382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362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1"/>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300" w:type="dxa"/>
            <w:vAlign w:val="bottom"/>
            <w:gridSpan w:val="5"/>
          </w:tcPr>
          <w:p>
            <w:pPr>
              <w:jc w:val="center"/>
              <w:ind w:left="2661"/>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820" w:type="dxa"/>
            <w:vAlign w:val="bottom"/>
            <w:gridSpan w:val="4"/>
          </w:tcPr>
          <w:p>
            <w:pPr>
              <w:ind w:left="140"/>
              <w:spacing w:after="0"/>
              <w:rPr>
                <w:sz w:val="20"/>
                <w:szCs w:val="20"/>
                <w:color w:val="auto"/>
              </w:rPr>
            </w:pPr>
            <w:r>
              <w:rPr>
                <w:rFonts w:ascii="Arial" w:cs="Arial" w:eastAsia="Arial" w:hAnsi="Arial"/>
                <w:sz w:val="20"/>
                <w:szCs w:val="20"/>
                <w:b w:val="1"/>
                <w:bCs w:val="1"/>
                <w:color w:val="auto"/>
                <w:w w:val="91"/>
              </w:rPr>
              <w:t>Strategic &amp; Operational Positioning Goals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1"/>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020"/>
        <w:spacing w:after="0"/>
        <w:rPr>
          <w:sz w:val="20"/>
          <w:szCs w:val="20"/>
          <w:color w:val="auto"/>
        </w:rPr>
      </w:pPr>
      <w:r>
        <w:rPr>
          <w:rFonts w:ascii="Arial" w:cs="Arial" w:eastAsia="Arial" w:hAnsi="Arial"/>
          <w:sz w:val="20"/>
          <w:szCs w:val="20"/>
          <w:b w:val="1"/>
          <w:bCs w:val="1"/>
          <w:u w:val="single" w:color="auto"/>
          <w:color w:val="auto"/>
        </w:rPr>
        <w:t>Compensation Subject to Compensation Recovery Policy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Long-Term Incentive Plan compensation is subject to recoupment as defined in the Compensation Recovery policy.</w:t>
      </w:r>
    </w:p>
    <w:p>
      <w:pPr>
        <w:sectPr>
          <w:pgSz w:w="11900" w:h="16838" w:orient="portrait"/>
          <w:cols w:equalWidth="0" w:num="1">
            <w:col w:w="10440"/>
          </w:cols>
          <w:pgMar w:left="240" w:top="121" w:right="1219" w:bottom="1440" w:gutter="0" w:footer="0" w:header="0"/>
        </w:sectPr>
      </w:pPr>
    </w:p>
    <w:bookmarkStart w:id="84" w:name="page85"/>
    <w:bookmarkEnd w:id="84"/>
    <w:p>
      <w:pPr>
        <w:ind w:left="7780"/>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PLAN</w:t>
      </w:r>
    </w:p>
    <w:p>
      <w:pPr>
        <w:spacing w:after="0" w:line="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ALLETE’s Board of Directors has determined that it is in the best interest of ALLETE and its shareholders to foster the continued dedication and objectivity of certain key members of the Company's management notwithstanding the possibility or occurrence of an acquisition by another company or other change in control of the Company. Accordingly, ALLETE adopted the Change in Control Severance Plan effective as of February 13, 2008.</w:t>
      </w:r>
    </w:p>
    <w:p>
      <w:pPr>
        <w:spacing w:after="0" w:line="53" w:lineRule="exact"/>
        <w:rPr>
          <w:sz w:val="20"/>
          <w:szCs w:val="20"/>
          <w:color w:val="auto"/>
        </w:rPr>
      </w:pPr>
    </w:p>
    <w:p>
      <w:pPr>
        <w:jc w:val="both"/>
        <w:ind w:right="20" w:firstLine="648"/>
        <w:spacing w:after="0" w:line="326" w:lineRule="auto"/>
        <w:rPr>
          <w:sz w:val="20"/>
          <w:szCs w:val="20"/>
          <w:color w:val="auto"/>
        </w:rPr>
      </w:pPr>
      <w:r>
        <w:rPr>
          <w:rFonts w:ascii="Arial" w:cs="Arial" w:eastAsia="Arial" w:hAnsi="Arial"/>
          <w:sz w:val="19"/>
          <w:szCs w:val="19"/>
          <w:color w:val="auto"/>
        </w:rPr>
        <w:t>Effective January 19, 2011, the Board amended and restated the Change in Control Severance Pay Plan to eliminate the excise tax gross-up feature, to eliminate certain benefit continuation payments and to establish a modified severance payment cap.</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Effective as of the “Effective Date,” the Board has adopted this Amended and Restated Change in Control Severance Pay Plan designed, among other changes, to establish additional participation levels, as provided herein.</w:t>
      </w:r>
    </w:p>
    <w:p>
      <w:pPr>
        <w:spacing w:after="0" w:line="3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For purposes of the Plan, the following terms shall have the meanings indicated below:</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“Act” </w:t>
      </w:r>
      <w:r>
        <w:rPr>
          <w:rFonts w:ascii="Arial" w:cs="Arial" w:eastAsia="Arial" w:hAnsi="Arial"/>
          <w:sz w:val="22"/>
          <w:szCs w:val="22"/>
          <w:color w:val="auto"/>
        </w:rPr>
        <w:t>means the Securities Exchange Act of 1934, as amended from time to time.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“Affiliate” </w:t>
      </w:r>
      <w:r>
        <w:rPr>
          <w:rFonts w:ascii="Arial" w:cs="Arial" w:eastAsia="Arial" w:hAnsi="Arial"/>
          <w:sz w:val="21"/>
          <w:szCs w:val="21"/>
          <w:color w:val="auto"/>
        </w:rPr>
        <w:t>means any entity directly or indirectly controlled by, controlling or under common control with, ALLETE.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“ALLETE” </w:t>
      </w:r>
      <w:r>
        <w:rPr>
          <w:rFonts w:ascii="Arial" w:cs="Arial" w:eastAsia="Arial" w:hAnsi="Arial"/>
          <w:sz w:val="22"/>
          <w:szCs w:val="22"/>
          <w:color w:val="auto"/>
        </w:rPr>
        <w:t>means ALLETE, Inc., a Minnesota Corporation.</w:t>
      </w:r>
    </w:p>
    <w:p>
      <w:pPr>
        <w:spacing w:after="0" w:line="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“Base Salary” </w:t>
      </w:r>
      <w:r>
        <w:rPr>
          <w:rFonts w:ascii="Arial" w:cs="Arial" w:eastAsia="Arial" w:hAnsi="Arial"/>
          <w:sz w:val="21"/>
          <w:szCs w:val="21"/>
          <w:color w:val="auto"/>
        </w:rPr>
        <w:t>shall mean, as to any Participant, the highest amount a Participant is entitled to receive annually as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at any time during the Protection Period, without reduction for any pre-tax contributions to benefit plans.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“Benefit Continuation Payment” </w:t>
      </w:r>
      <w:r>
        <w:rPr>
          <w:rFonts w:ascii="Arial" w:cs="Arial" w:eastAsia="Arial" w:hAnsi="Arial"/>
          <w:sz w:val="22"/>
          <w:szCs w:val="22"/>
          <w:color w:val="auto"/>
        </w:rPr>
        <w:t>means the payment described in Section 2.1.2.</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ALLETE.</w:t>
      </w:r>
    </w:p>
    <w:p>
      <w:pPr>
        <w:spacing w:after="0" w:line="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“Bonus Amount” </w:t>
      </w:r>
      <w:r>
        <w:rPr>
          <w:rFonts w:ascii="Arial" w:cs="Arial" w:eastAsia="Arial" w:hAnsi="Arial"/>
          <w:sz w:val="22"/>
          <w:szCs w:val="22"/>
          <w:color w:val="auto"/>
        </w:rPr>
        <w:t>shall mean, as to any Participant, an amount equal to the Participant's annual bonus which would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payable under the Bonus Plan in which he or she participates (x) as of immediately prior to the Change in Control had he or she continued in employment until the end of the fiscal year of the Employer in which the Change in Control occurs and had bonuses been payable at "target" levels for such year or (y) if greater, as of the Termination Date had he or she continued in employment until the end of the fiscal year of the Employer in which the Termination Date occurs and had bonuses been payable at "target" levels for such year.</w:t>
      </w:r>
    </w:p>
    <w:p>
      <w:pPr>
        <w:spacing w:after="0" w:line="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“Bonus Plan” </w:t>
      </w:r>
      <w:r>
        <w:rPr>
          <w:rFonts w:ascii="Arial" w:cs="Arial" w:eastAsia="Arial" w:hAnsi="Arial"/>
          <w:sz w:val="22"/>
          <w:szCs w:val="22"/>
          <w:color w:val="auto"/>
        </w:rPr>
        <w:t>shall mean an annual bonus plan, including, but not limited to, the ALLETE Executive Annual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U.S. Water Management Incentive Plan, and any similar or successor annual bonus plan, excluding plans intended to qualify under Section 401(a) of the Code.</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w:t>
      </w:r>
    </w:p>
    <w:p>
      <w:pPr>
        <w:spacing w:after="0" w:line="91" w:lineRule="exact"/>
        <w:rPr>
          <w:sz w:val="20"/>
          <w:szCs w:val="20"/>
          <w:color w:val="auto"/>
        </w:rPr>
      </w:pPr>
    </w:p>
    <w:p>
      <w:pPr>
        <w:jc w:val="both"/>
        <w:ind w:left="660" w:firstLine="645"/>
        <w:spacing w:after="0" w:line="254" w:lineRule="auto"/>
        <w:tabs>
          <w:tab w:leader="none" w:pos="178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Participant’s willful and continued failure to perform the duties and responsibilities of his or her position (other than as a result of the Participant’s disability or anticipated failure after the Participant gives notice of Termination for Good Reason by the Participant) after there has been delivered to the Participant a written demand for performance which describes the basis for the belief</w:t>
      </w:r>
    </w:p>
    <w:p>
      <w:pPr>
        <w:sectPr>
          <w:pgSz w:w="11900" w:h="16838" w:orient="portrait"/>
          <w:cols w:equalWidth="0" w:num="1">
            <w:col w:w="11420"/>
          </w:cols>
          <w:pgMar w:left="240" w:top="121" w:right="239" w:bottom="1440" w:gutter="0" w:footer="0" w:header="0"/>
        </w:sectPr>
      </w:pPr>
    </w:p>
    <w:bookmarkStart w:id="85" w:name="page86"/>
    <w:bookmarkEnd w:id="85"/>
    <w:p>
      <w:pPr>
        <w:ind w:left="7780"/>
        <w:spacing w:after="0"/>
        <w:rPr>
          <w:sz w:val="20"/>
          <w:szCs w:val="20"/>
          <w:color w:val="auto"/>
        </w:rPr>
      </w:pPr>
      <w:r>
        <w:rPr>
          <w:rFonts w:ascii="Arial" w:cs="Arial" w:eastAsia="Arial" w:hAnsi="Arial"/>
          <w:sz w:val="18"/>
          <w:szCs w:val="18"/>
          <w:b w:val="1"/>
          <w:bCs w:val="1"/>
          <w:color w:val="auto"/>
        </w:rPr>
        <w:t>Exhibit 10(c)</w:t>
      </w:r>
    </w:p>
    <w:p>
      <w:pPr>
        <w:spacing w:after="0" w:line="34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that the Participant has not substantially performed his or her duties and after the Participant fails to take full corrective action within twenty (20) days of receipt of such notice; or</w:t>
      </w:r>
    </w:p>
    <w:p>
      <w:pPr>
        <w:spacing w:after="0" w:line="40" w:lineRule="exact"/>
        <w:rPr>
          <w:sz w:val="20"/>
          <w:szCs w:val="20"/>
          <w:color w:val="auto"/>
        </w:rPr>
      </w:pPr>
    </w:p>
    <w:p>
      <w:pPr>
        <w:ind w:left="660" w:firstLine="645"/>
        <w:spacing w:after="0" w:line="301" w:lineRule="auto"/>
        <w:tabs>
          <w:tab w:leader="none" w:pos="1754"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any material act of personal dishonesty taken by the Participant in connection with his or her responsibilities as an employee of the Company which is demonstrably and materially injurious to the Company; or</w:t>
      </w:r>
    </w:p>
    <w:p>
      <w:pPr>
        <w:spacing w:after="0" w:line="2" w:lineRule="exact"/>
        <w:rPr>
          <w:rFonts w:ascii="Arial" w:cs="Arial" w:eastAsia="Arial" w:hAnsi="Arial"/>
          <w:sz w:val="21"/>
          <w:szCs w:val="21"/>
          <w:color w:val="auto"/>
        </w:rPr>
      </w:pPr>
    </w:p>
    <w:p>
      <w:pPr>
        <w:jc w:val="both"/>
        <w:ind w:left="660" w:firstLine="645"/>
        <w:spacing w:after="0" w:line="260" w:lineRule="auto"/>
        <w:tabs>
          <w:tab w:leader="none" w:pos="17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Participant’s conviction of, or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 that the Company (or in the case of the Chief Executive Officer, the Board) reasonably believes has had or will have a material detrimental effect on the Company’s business or reputation.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earliest of:</w:t>
      </w:r>
    </w:p>
    <w:p>
      <w:pPr>
        <w:spacing w:after="0" w:line="91" w:lineRule="exact"/>
        <w:rPr>
          <w:sz w:val="20"/>
          <w:szCs w:val="20"/>
          <w:color w:val="auto"/>
        </w:rPr>
      </w:pPr>
    </w:p>
    <w:p>
      <w:pPr>
        <w:jc w:val="both"/>
        <w:ind w:left="660" w:firstLine="645"/>
        <w:spacing w:after="0" w:line="259" w:lineRule="auto"/>
        <w:tabs>
          <w:tab w:leader="none" w:pos="1626"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 section 1.409A-3(i)(5)(v)(B)), acquires ownership of stock of ALLETE that, together with stock previously held by the acquiror, constitutes more than fifty (50%) percent of the total fair market value or total voting power of ALLETE stock. If any one Person, or more than one Person acting as a group, is considered to own more than fifty (50%) percent of the total fair market value or total voting power of ALLETE stock, the acquisition of additional stock by the same Person or Persons acting as a group does not cause a Change in Control. An increase in the percentage of stock owned by any one Person, or Persons acting as a group, as a result of a transaction in which ALLETE acquires its stock in exchange for property, is treated as an acquisition of stock;</w:t>
      </w:r>
    </w:p>
    <w:p>
      <w:pPr>
        <w:spacing w:after="0" w:line="49" w:lineRule="exact"/>
        <w:rPr>
          <w:rFonts w:ascii="Arial" w:cs="Arial" w:eastAsia="Arial" w:hAnsi="Arial"/>
          <w:sz w:val="21"/>
          <w:szCs w:val="21"/>
          <w:color w:val="auto"/>
        </w:rPr>
      </w:pPr>
    </w:p>
    <w:p>
      <w:pPr>
        <w:jc w:val="both"/>
        <w:ind w:left="660" w:firstLine="645"/>
        <w:spacing w:after="0" w:line="250" w:lineRule="auto"/>
        <w:tabs>
          <w:tab w:leader="none" w:pos="16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date any one Person, or more than one Person acting as a group (as the term “group” is used in Treasury Regulation section 1.409A-3(i)(5)(v)(B)), acquires (or has acquired during the twelve (12) month period ending on the date of the most recent acquisition by that Person or Persons) ownership of a ALLETE stock possessing at least thirty (30%) percent of the total voting power of ALLETE stock;</w:t>
      </w:r>
    </w:p>
    <w:p>
      <w:pPr>
        <w:spacing w:after="0" w:line="53" w:lineRule="exact"/>
        <w:rPr>
          <w:rFonts w:ascii="Arial" w:cs="Arial" w:eastAsia="Arial" w:hAnsi="Arial"/>
          <w:sz w:val="22"/>
          <w:szCs w:val="22"/>
          <w:color w:val="auto"/>
        </w:rPr>
      </w:pPr>
    </w:p>
    <w:p>
      <w:pPr>
        <w:jc w:val="both"/>
        <w:ind w:left="660" w:firstLine="645"/>
        <w:spacing w:after="0" w:line="253" w:lineRule="auto"/>
        <w:tabs>
          <w:tab w:leader="none" w:pos="16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date a majority of the members of the ALLETE board of directors is replaced during any twelve (12) month period by directors whose appointment or election is not endorsed by a majority of the members of the board of directors prior to the date of appointment or election; or</w:t>
      </w:r>
    </w:p>
    <w:p>
      <w:pPr>
        <w:spacing w:after="0" w:line="50" w:lineRule="exact"/>
        <w:rPr>
          <w:rFonts w:ascii="Arial" w:cs="Arial" w:eastAsia="Arial" w:hAnsi="Arial"/>
          <w:sz w:val="22"/>
          <w:szCs w:val="22"/>
          <w:color w:val="auto"/>
        </w:rPr>
      </w:pPr>
    </w:p>
    <w:p>
      <w:pPr>
        <w:jc w:val="both"/>
        <w:ind w:left="660" w:firstLine="645"/>
        <w:spacing w:after="0" w:line="294" w:lineRule="auto"/>
        <w:tabs>
          <w:tab w:leader="none" w:pos="1637"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 section 1.409A-3(i)(5)(v)(B)), acquires (or has acquired during the twelve (12) month period ending on the date of the most recent acquisition by that Person or Persons) assets from ALLETE that have a total gross fair market value equal to at least forty (40%) percent of the total gross fair market value of all ALLETE’s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“Change in Control Severance Payment” </w:t>
      </w:r>
      <w:r>
        <w:rPr>
          <w:rFonts w:ascii="Arial" w:cs="Arial" w:eastAsia="Arial" w:hAnsi="Arial"/>
          <w:sz w:val="21"/>
          <w:szCs w:val="21"/>
          <w:color w:val="auto"/>
        </w:rPr>
        <w:t>means the Severance Payment and Benefit Continuation Payment.</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committee responsible for administering the Plan, as described in Section 5.</w:t>
      </w:r>
    </w:p>
    <w:p>
      <w:pPr>
        <w:spacing w:after="0" w:line="8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ALLETE and its Affiliates and except for purposes of determining whether a Change in Control has</w:t>
      </w:r>
      <w:r>
        <w:rPr>
          <w:rFonts w:ascii="Arial" w:cs="Arial" w:eastAsia="Arial" w:hAnsi="Arial"/>
          <w:sz w:val="22"/>
          <w:szCs w:val="22"/>
          <w:b w:val="1"/>
          <w:bCs w:val="1"/>
          <w:color w:val="auto"/>
        </w:rPr>
        <w:t xml:space="preserve"> </w:t>
      </w:r>
      <w:r>
        <w:rPr>
          <w:rFonts w:ascii="Arial" w:cs="Arial" w:eastAsia="Arial" w:hAnsi="Arial"/>
          <w:sz w:val="22"/>
          <w:szCs w:val="22"/>
          <w:color w:val="auto"/>
        </w:rPr>
        <w:t>occurred, shall include any successor in interest to its business or assets which assumes</w:t>
      </w:r>
    </w:p>
    <w:p>
      <w:pPr>
        <w:sectPr>
          <w:pgSz w:w="11900" w:h="16838" w:orient="portrait"/>
          <w:cols w:equalWidth="0" w:num="1">
            <w:col w:w="11420"/>
          </w:cols>
          <w:pgMar w:left="240" w:top="121" w:right="239" w:bottom="1440" w:gutter="0" w:footer="0" w:header="0"/>
        </w:sectPr>
      </w:pPr>
    </w:p>
    <w:bookmarkStart w:id="86" w:name="page87"/>
    <w:bookmarkEnd w:id="86"/>
    <w:p>
      <w:pPr>
        <w:ind w:left="7780"/>
        <w:spacing w:after="0"/>
        <w:rPr>
          <w:sz w:val="20"/>
          <w:szCs w:val="20"/>
          <w:color w:val="auto"/>
        </w:rPr>
      </w:pPr>
      <w:r>
        <w:rPr>
          <w:rFonts w:ascii="Arial" w:cs="Arial" w:eastAsia="Arial" w:hAnsi="Arial"/>
          <w:sz w:val="18"/>
          <w:szCs w:val="18"/>
          <w:b w:val="1"/>
          <w:bCs w:val="1"/>
          <w:color w:val="auto"/>
        </w:rPr>
        <w:t>Exhibit 10(c)</w:t>
      </w: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color w:val="auto"/>
        </w:rPr>
        <w:t>the obligations of the Plan as required in Section 6.1 or which becomes bound by the terms of the Plan by operation of law.</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April 23, 2018.</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the occurrence of any of the following without the Participant’s consent, which will permit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Participant to terminate employment within ninety (90) days after the end of the Cure Period (defined below):</w:t>
      </w:r>
    </w:p>
    <w:p>
      <w:pPr>
        <w:spacing w:after="0" w:line="67" w:lineRule="exact"/>
        <w:rPr>
          <w:sz w:val="20"/>
          <w:szCs w:val="20"/>
          <w:color w:val="auto"/>
        </w:rPr>
      </w:pPr>
    </w:p>
    <w:p>
      <w:pPr>
        <w:ind w:right="20" w:firstLine="656"/>
        <w:spacing w:after="0" w:line="276" w:lineRule="auto"/>
        <w:tabs>
          <w:tab w:leader="none" w:pos="123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material diminution of the Participant’s authority, duties, or responsibilities relative to the authority, duties or responsibilities of the Participant prior to such reduction; or</w:t>
      </w:r>
    </w:p>
    <w:p>
      <w:pPr>
        <w:spacing w:after="0" w:line="25" w:lineRule="exact"/>
        <w:rPr>
          <w:rFonts w:ascii="Arial" w:cs="Arial" w:eastAsia="Arial" w:hAnsi="Arial"/>
          <w:sz w:val="22"/>
          <w:szCs w:val="22"/>
          <w:color w:val="auto"/>
        </w:rPr>
      </w:pPr>
    </w:p>
    <w:p>
      <w:pPr>
        <w:jc w:val="both"/>
        <w:ind w:firstLine="656"/>
        <w:spacing w:after="0" w:line="278" w:lineRule="auto"/>
        <w:tabs>
          <w:tab w:leader="none" w:pos="1094"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material diminution by the Company in the Participant’s total compensation, including base pay, aggregate incentive compensation opportunities (but excluding any reduction in incentive compensation awards as the result of the performance of the Participant or the Company) and aggregate benefits, as in effect immediately prior to such reduction; or</w:t>
      </w:r>
    </w:p>
    <w:p>
      <w:pPr>
        <w:spacing w:after="0" w:line="25" w:lineRule="exact"/>
        <w:rPr>
          <w:rFonts w:ascii="Arial" w:cs="Arial" w:eastAsia="Arial" w:hAnsi="Arial"/>
          <w:sz w:val="21"/>
          <w:szCs w:val="21"/>
          <w:color w:val="auto"/>
        </w:rPr>
      </w:pPr>
    </w:p>
    <w:p>
      <w:pPr>
        <w:ind w:firstLine="656"/>
        <w:spacing w:after="0" w:line="276" w:lineRule="auto"/>
        <w:tabs>
          <w:tab w:leader="none" w:pos="117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relocation of the Participant to a location or facility more than fifty (50) miles from the Participant's location immediately prior to change; or</w:t>
      </w:r>
    </w:p>
    <w:p>
      <w:pPr>
        <w:spacing w:after="0" w:line="25" w:lineRule="exact"/>
        <w:rPr>
          <w:rFonts w:ascii="Arial" w:cs="Arial" w:eastAsia="Arial" w:hAnsi="Arial"/>
          <w:sz w:val="22"/>
          <w:szCs w:val="22"/>
          <w:color w:val="auto"/>
        </w:rPr>
      </w:pPr>
    </w:p>
    <w:p>
      <w:pPr>
        <w:jc w:val="both"/>
        <w:ind w:firstLine="656"/>
        <w:spacing w:after="0" w:line="316" w:lineRule="auto"/>
        <w:tabs>
          <w:tab w:leader="none" w:pos="12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material diminution by the Company of the authority, duties, or responsibilities of the supervisor to whom the Participant is required to report relative to the authority, duties or responsibilities of the supervisor prior to such reduction, including a requirement that the Participant report to a corporate officer or employee instead of reporting directly to the Board; or</w:t>
      </w:r>
    </w:p>
    <w:p>
      <w:pPr>
        <w:spacing w:after="0" w:line="1" w:lineRule="exact"/>
        <w:rPr>
          <w:rFonts w:ascii="Arial" w:cs="Arial" w:eastAsia="Arial" w:hAnsi="Arial"/>
          <w:sz w:val="19"/>
          <w:szCs w:val="19"/>
          <w:color w:val="auto"/>
        </w:rPr>
      </w:pPr>
    </w:p>
    <w:p>
      <w:pPr>
        <w:ind w:left="1160" w:hanging="504"/>
        <w:spacing w:after="0"/>
        <w:tabs>
          <w:tab w:leader="none" w:pos="11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material diminution in the budget over which the Participant retains authority relative to the budget prior to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reduction; or</w:t>
      </w:r>
    </w:p>
    <w:p>
      <w:pPr>
        <w:spacing w:after="0" w:line="80" w:lineRule="exact"/>
        <w:rPr>
          <w:rFonts w:ascii="Arial" w:cs="Arial" w:eastAsia="Arial" w:hAnsi="Arial"/>
          <w:sz w:val="19"/>
          <w:szCs w:val="19"/>
          <w:color w:val="auto"/>
        </w:rPr>
      </w:pPr>
    </w:p>
    <w:p>
      <w:pPr>
        <w:ind w:firstLine="656"/>
        <w:spacing w:after="0" w:line="276" w:lineRule="auto"/>
        <w:tabs>
          <w:tab w:leader="none" w:pos="11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of an agreement under which a Participant provides services.</w:t>
      </w:r>
    </w:p>
    <w:p>
      <w:pPr>
        <w:spacing w:after="0" w:line="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Notwithstanding the foregoing, the Participant may not resign for Good Reason without first providing the Employer with written notice (except in the case of ALLETE’s Chief Executive Officer who shall provide such notice to the Board) of the condition that could constitute a “Good Reason” event within ninety (90) days of the initial existence of the condition and then only if such condition has not been remedied by the Employer within thirty (30) days of such written notice (the “Cure Period”).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shall mean, as applicable to any Participant, ALLETE or an Affiliate that employs the Participant.</w:t>
      </w:r>
    </w:p>
    <w:p>
      <w:pPr>
        <w:spacing w:after="0" w:line="1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“Involuntary Separation” </w:t>
      </w:r>
      <w:r>
        <w:rPr>
          <w:rFonts w:ascii="Arial" w:cs="Arial" w:eastAsia="Arial" w:hAnsi="Arial"/>
          <w:sz w:val="22"/>
          <w:szCs w:val="22"/>
          <w:color w:val="auto"/>
        </w:rPr>
        <w:t>means, with respect to a Participant, an involuntary termination of employment by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without Cause, or a voluntary termination by the Participant with Good Reason.</w:t>
      </w:r>
    </w:p>
    <w:p>
      <w:pPr>
        <w:spacing w:after="0" w:line="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individual who the Committee has selected to participate in the Plan and who has received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of both the eligibility to participate and status as either a “Group A Participant,” a “Group B Participant,” a “Group C Participant,” or a “Group D Participant.”</w:t>
      </w:r>
    </w:p>
    <w:p>
      <w:pPr>
        <w:spacing w:after="0" w:line="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any individual, corporation (including any non-profit corporation), general, limited or limited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limited liability company, joint venture, estate, trust, firm, association, organization or other entity or any governmental or quasi-governmental authority, organization, agency or body.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this Amended and Restated ALLETE and Affiliated Companies Change in Control Severance Plan.</w:t>
      </w:r>
    </w:p>
    <w:p>
      <w:pPr>
        <w:spacing w:after="0" w:line="9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“Protection Period” </w:t>
      </w:r>
      <w:r>
        <w:rPr>
          <w:rFonts w:ascii="Arial" w:cs="Arial" w:eastAsia="Arial" w:hAnsi="Arial"/>
          <w:sz w:val="22"/>
          <w:szCs w:val="22"/>
          <w:color w:val="auto"/>
        </w:rPr>
        <w:t>means the period beginning on the date that is six (6) months prior to a Change in Control and ending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the date that is twenty four (24) months after a Change in Control.</w:t>
      </w:r>
    </w:p>
    <w:p>
      <w:pPr>
        <w:sectPr>
          <w:pgSz w:w="11900" w:h="16838" w:orient="portrait"/>
          <w:cols w:equalWidth="0" w:num="1">
            <w:col w:w="11420"/>
          </w:cols>
          <w:pgMar w:left="240" w:top="121" w:right="239" w:bottom="1440" w:gutter="0" w:footer="0" w:header="0"/>
        </w:sectPr>
      </w:pPr>
    </w:p>
    <w:bookmarkStart w:id="87" w:name="page88"/>
    <w:bookmarkEnd w:id="87"/>
    <w:p>
      <w:pPr>
        <w:ind w:left="7780"/>
        <w:spacing w:after="0"/>
        <w:rPr>
          <w:sz w:val="20"/>
          <w:szCs w:val="20"/>
          <w:color w:val="auto"/>
        </w:rPr>
      </w:pPr>
      <w:r>
        <w:rPr>
          <w:rFonts w:ascii="Arial" w:cs="Arial" w:eastAsia="Arial" w:hAnsi="Arial"/>
          <w:sz w:val="18"/>
          <w:szCs w:val="18"/>
          <w:b w:val="1"/>
          <w:bCs w:val="1"/>
          <w:color w:val="auto"/>
        </w:rPr>
        <w:t>Exhibit 10(c)</w:t>
      </w:r>
    </w:p>
    <w:p>
      <w:pPr>
        <w:spacing w:after="0" w:line="3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“Severance Duration Multiplier” </w:t>
      </w:r>
      <w:r>
        <w:rPr>
          <w:rFonts w:ascii="Arial" w:cs="Arial" w:eastAsia="Arial" w:hAnsi="Arial"/>
          <w:sz w:val="22"/>
          <w:szCs w:val="22"/>
          <w:color w:val="auto"/>
        </w:rPr>
        <w:t>means with respect to any Group A Participant, 2.5; with respect to any Group B</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2; with respect to any Group C Participant, 1.5; and with respect to any Group D Participant, 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“Severance Payment” </w:t>
      </w:r>
      <w:r>
        <w:rPr>
          <w:rFonts w:ascii="Arial" w:cs="Arial" w:eastAsia="Arial" w:hAnsi="Arial"/>
          <w:sz w:val="22"/>
          <w:szCs w:val="22"/>
          <w:color w:val="auto"/>
        </w:rPr>
        <w:t>means the payment described in Section 2.1.1.</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“Termination Date” </w:t>
      </w:r>
      <w:r>
        <w:rPr>
          <w:rFonts w:ascii="Arial" w:cs="Arial" w:eastAsia="Arial" w:hAnsi="Arial"/>
          <w:sz w:val="21"/>
          <w:szCs w:val="21"/>
          <w:color w:val="auto"/>
        </w:rPr>
        <w:t>shall mean, with respect to a Participant, the date of the Participant’s Involuntary Separation.</w:t>
      </w:r>
    </w:p>
    <w:p>
      <w:pPr>
        <w:spacing w:after="0" w:line="9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Change in Control Severance Benefits</w:t>
      </w:r>
      <w:r>
        <w:rPr>
          <w:rFonts w:ascii="Arial" w:cs="Arial" w:eastAsia="Arial" w:hAnsi="Arial"/>
          <w:sz w:val="19"/>
          <w:szCs w:val="19"/>
          <w:color w:val="auto"/>
        </w:rPr>
        <w:t>.</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Involuntary Separation in Connection with Change in Control</w:t>
      </w:r>
      <w:r>
        <w:rPr>
          <w:rFonts w:ascii="Arial" w:cs="Arial" w:eastAsia="Arial" w:hAnsi="Arial"/>
          <w:sz w:val="22"/>
          <w:szCs w:val="22"/>
          <w:color w:val="auto"/>
        </w:rPr>
        <w:t>. If a Participant has an Involuntary Separation on any date during the Protection Period, Participant will receive the following severance benefits from the Employer:</w:t>
      </w:r>
    </w:p>
    <w:p>
      <w:pPr>
        <w:spacing w:after="0" w:line="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Severance Payment</w:t>
      </w:r>
      <w:r>
        <w:rPr>
          <w:rFonts w:ascii="Arial" w:cs="Arial" w:eastAsia="Arial" w:hAnsi="Arial"/>
          <w:sz w:val="22"/>
          <w:szCs w:val="22"/>
          <w:color w:val="auto"/>
        </w:rPr>
        <w:t>. Participant will receive a lump sum cash payment in an amount equal to the product of (a) the applicable Severance Duration Multiplier and (b) the sum of (i) the Participant’s Base Salary and (ii) the Participant’s Bonus Amount.</w:t>
      </w:r>
    </w:p>
    <w:p>
      <w:pPr>
        <w:spacing w:after="0" w:line="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Benefit Continuation Payment</w:t>
      </w:r>
      <w:r>
        <w:rPr>
          <w:rFonts w:ascii="Arial" w:cs="Arial" w:eastAsia="Arial" w:hAnsi="Arial"/>
          <w:sz w:val="19"/>
          <w:szCs w:val="19"/>
          <w:color w:val="auto"/>
        </w:rPr>
        <w:t>. Participant will receive an additional lump sum cash payment in an amount equal to the applicable Severance Duration Multiplier times the sum of: (i) the annual premium for medical and dental benefits in effect on the Termination Date as determined for individuals who are entitled to elect continuation coverage pursuant to the Consolidated Omnibus Budget Reconciliation Act of 1985, as amended (“COBRA”); (ii) the annual premium the Employer would have paid to maintain core life insurance on behalf of the Participant had the Participant remained an employee of the Employer; and (iii) an amount the Employer would have allocated to the Participant annually under the ALLETE and Affiliated Companies Flexible Compensation Plan, determined with reference to the Participant’s Base Salary.</w:t>
      </w:r>
    </w:p>
    <w:p>
      <w:pPr>
        <w:spacing w:after="0" w:line="44" w:lineRule="exact"/>
        <w:rPr>
          <w:sz w:val="20"/>
          <w:szCs w:val="20"/>
          <w:color w:val="auto"/>
        </w:rPr>
      </w:pPr>
    </w:p>
    <w:p>
      <w:pPr>
        <w:jc w:val="both"/>
        <w:ind w:right="20"/>
        <w:spacing w:after="0" w:line="326" w:lineRule="auto"/>
        <w:rPr>
          <w:sz w:val="20"/>
          <w:szCs w:val="20"/>
          <w:color w:val="auto"/>
        </w:rPr>
      </w:pPr>
      <w:r>
        <w:rPr>
          <w:rFonts w:ascii="Arial" w:cs="Arial" w:eastAsia="Arial" w:hAnsi="Arial"/>
          <w:sz w:val="19"/>
          <w:szCs w:val="19"/>
          <w:color w:val="auto"/>
        </w:rPr>
        <w:t>Participants will be responsible for electing benefit continuation coverage, if such coverage is desired, pursuant to COBRA, within the time period prescribed pursuant to COBRA, and for paying all COBRA premiums for any continuation coverage so elected.</w:t>
      </w:r>
    </w:p>
    <w:p>
      <w:pPr>
        <w:spacing w:after="0" w:line="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Outplacement Services</w:t>
      </w:r>
      <w:r>
        <w:rPr>
          <w:rFonts w:ascii="Arial" w:cs="Arial" w:eastAsia="Arial" w:hAnsi="Arial"/>
          <w:sz w:val="19"/>
          <w:szCs w:val="19"/>
          <w:color w:val="auto"/>
        </w:rPr>
        <w:t>. The Company will pay up to an aggregate of $25,000 for outplacement services obtained by Participant on or before the end of the second year following the year including the Termination Date, provided that the services commence not later than three (3) months following the later of the Change in Control or the Termination Date, and all amounts must be paid by the end of the third year following the year including the Termination Date. Outplacement services will be provided only in kind; the Company will pay the outplacement service provider(s) directly for services rendered to the Participant in accordance with this Section. No cash will be paid in lieu of outplacement services, nor will cash compensation to the Participant be increased if the Participant declines or does not use outplacement services.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Sections 2.5 and 3.1, the Company will pay any Change in Control Severance Payment to which a Participant is entitled within 30 days after the later of the Termination Date or the effective date of the Separation Agreement and Release, but in no event more than seventy-four (74) calendar days after the later of the date of the Change of Control or the Termination Date.</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Voluntary Resignation; Termination for Cause</w:t>
      </w:r>
      <w:r>
        <w:rPr>
          <w:rFonts w:ascii="Arial" w:cs="Arial" w:eastAsia="Arial" w:hAnsi="Arial"/>
          <w:sz w:val="22"/>
          <w:szCs w:val="22"/>
          <w:color w:val="auto"/>
        </w:rPr>
        <w:t>. If Participant’s employment with the Company terminates for any reason other than Involuntary Separation, Participant will not receive any payments under this Plan.</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Coordination with other Payments</w:t>
      </w:r>
      <w:r>
        <w:rPr>
          <w:rFonts w:ascii="Arial" w:cs="Arial" w:eastAsia="Arial" w:hAnsi="Arial"/>
          <w:sz w:val="22"/>
          <w:szCs w:val="22"/>
          <w:color w:val="auto"/>
        </w:rPr>
        <w:t>. The payments and benefits under this Plan to a Participant are intended to constitute the exclusive payments in the nature of severance or termination pay that shall be due to a Participant upon termination of his or her employment without Cause or for Good Reason in connection with a Change in Control and shall be in lieu of any such other payments under any agreement, plan, practice or policy of the Company, except as otherwise expressly provided in a written agreement between the</w:t>
      </w:r>
    </w:p>
    <w:p>
      <w:pPr>
        <w:sectPr>
          <w:pgSz w:w="11900" w:h="16838" w:orient="portrait"/>
          <w:cols w:equalWidth="0" w:num="1">
            <w:col w:w="11420"/>
          </w:cols>
          <w:pgMar w:left="240" w:top="121" w:right="239" w:bottom="1440" w:gutter="0" w:footer="0" w:header="0"/>
        </w:sectPr>
      </w:pPr>
    </w:p>
    <w:bookmarkStart w:id="88" w:name="page89"/>
    <w:bookmarkEnd w:id="88"/>
    <w:p>
      <w:pPr>
        <w:ind w:left="7780"/>
        <w:spacing w:after="0"/>
        <w:rPr>
          <w:sz w:val="20"/>
          <w:szCs w:val="20"/>
          <w:color w:val="auto"/>
        </w:rPr>
      </w:pPr>
      <w:r>
        <w:rPr>
          <w:rFonts w:ascii="Arial" w:cs="Arial" w:eastAsia="Arial" w:hAnsi="Arial"/>
          <w:sz w:val="18"/>
          <w:szCs w:val="18"/>
          <w:b w:val="1"/>
          <w:bCs w:val="1"/>
          <w:color w:val="auto"/>
        </w:rPr>
        <w:t>Exhibit 10(c)</w:t>
      </w:r>
    </w:p>
    <w:p>
      <w:pPr>
        <w:spacing w:after="0" w:line="37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Company and the Participant that such severance payments or benefits are to be paid in addition to any payment or benefit described herein. Accordingly, if a Participant is a party to an employment, severance, termination, salary continuation or other similar agreement with the Company or any of its Affiliates, or is a participant in any other severance plan, practice or policy of the Company or any of its Affiliates that does not expressly provide that such severance payments or benefits are to be paid in addition to any payment or benefit described herein, the severance pay to which the Participant is entitled under this Plan shall be reduced (but not below zero) by the amount of severance pay to which he or she is entitled under such other agreement, plan, practice or policy; provided that the reduction set forth in this sentence shall not apply as to any other such agreement, plan, practice or policy that contains a reduction provision substantially similar to this Section 2.4 so long as the reduction provision of such other agreement, plan, practice or policy is applied.</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Code Section 409A</w:t>
      </w:r>
      <w:r>
        <w:rPr>
          <w:rFonts w:ascii="Arial" w:cs="Arial" w:eastAsia="Arial" w:hAnsi="Arial"/>
          <w:sz w:val="21"/>
          <w:szCs w:val="21"/>
          <w:color w:val="auto"/>
        </w:rPr>
        <w:t>. To the extent that any payment under this Plan is deemed to be deferred compensation subject to the requirements of Section 409A of the Code, or any final regulations or guidance promulgated thereunder (“Section 409A”), the plan will be operated in compliance with Section 409A with respect to the subject payment. Notwithstanding anything in this Plan to the contrary, if Participant is a Specified Employee, the payment of any amount under this Plan that is Nonqualified Deferred Compensation, and that becomes payable on account of a Separation from Service, will be delayed and paid in a lump sum, with interest from the date on which it would otherwise have been paid in accordance with Section 2.2 at the short-term applicable federal rate, on the first date on which any such amount may be paid without triggering a tax under Section 409A, but in no event before the date that is six (6) months and one (1) day following the Participant’s Separation from Service. The Plan is intended to comply with the requirements of Section 409A so that none of the severance payments and benefits to be provided hereunder will be subject to the additional tax imposed under Section 409A, and any ambiguities herein will be interpreted to so comply. The Company may amend or modify the plan, at any time, to comply with Section 409A. The terms “Specified Employee,” “Nonqualified Deferred Compensation,” and “Separation from Service” shall have the meaning provided by Section 409A and the applicable Treasury Regulations.</w:t>
      </w:r>
    </w:p>
    <w:p>
      <w:pPr>
        <w:spacing w:after="0" w:line="5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Conditions to Receipt of Benefits; No Mitigation.</w:t>
      </w:r>
    </w:p>
    <w:p>
      <w:pPr>
        <w:spacing w:after="0" w:line="1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Separation Agreement and Release of Claims</w:t>
      </w:r>
      <w:r>
        <w:rPr>
          <w:rFonts w:ascii="Arial" w:cs="Arial" w:eastAsia="Arial" w:hAnsi="Arial"/>
          <w:sz w:val="19"/>
          <w:szCs w:val="19"/>
          <w:color w:val="auto"/>
        </w:rPr>
        <w:t xml:space="preserve">. No Change in Control Severance Payment shall be provided to a Participant unless, within sixty (60) days following the later of the Change in Control or Participant’s Termination Date, the Participant delivers to the Company a Separation Agreement and Release, that has been properly executed on or after the Participant’s Termination Date and has become irrevocable as provided therein. The initial form of the Separation Agreement and Release, including non-solicitation, non-competition and non-disparagement provisions, is attached to this Plan as </w:t>
      </w:r>
      <w:r>
        <w:rPr>
          <w:rFonts w:ascii="Arial" w:cs="Arial" w:eastAsia="Arial" w:hAnsi="Arial"/>
          <w:sz w:val="19"/>
          <w:szCs w:val="19"/>
          <w:u w:val="single" w:color="auto"/>
          <w:color w:val="auto"/>
        </w:rPr>
        <w:t>Appendix A</w:t>
      </w:r>
      <w:r>
        <w:rPr>
          <w:rFonts w:ascii="Arial" w:cs="Arial" w:eastAsia="Arial" w:hAnsi="Arial"/>
          <w:sz w:val="19"/>
          <w:szCs w:val="19"/>
          <w:color w:val="auto"/>
        </w:rPr>
        <w:t>. Prior to the occurrence of a Change in Control, the Company may revise the Separation Agreement and Release. The Company may in any event modify the Separation Agreement and Release to conform it to the laws of the local jurisdiction applicable to a Participant or a change in applicable federal law so long as such modification does not increase the obligations of the Participant thereunder.</w:t>
      </w:r>
    </w:p>
    <w:p>
      <w:pPr>
        <w:spacing w:after="0" w:line="34"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No Duty to Mitigate</w:t>
      </w:r>
      <w:r>
        <w:rPr>
          <w:rFonts w:ascii="Arial" w:cs="Arial" w:eastAsia="Arial" w:hAnsi="Arial"/>
          <w:sz w:val="21"/>
          <w:szCs w:val="21"/>
          <w:color w:val="auto"/>
        </w:rPr>
        <w:t>. Participant will not be required to mitigate the amount of any payment or benefit contemplated by this Plan, nor will any earnings that Participant may receive from any other source reduce any such payment or benefits.</w:t>
      </w:r>
    </w:p>
    <w:p>
      <w:pPr>
        <w:spacing w:after="0"/>
        <w:tabs>
          <w:tab w:leader="none" w:pos="106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Limitation on Payments</w:t>
      </w:r>
      <w:r>
        <w:rPr>
          <w:rFonts w:ascii="Arial" w:cs="Arial" w:eastAsia="Arial" w:hAnsi="Arial"/>
          <w:sz w:val="19"/>
          <w:szCs w:val="19"/>
          <w:color w:val="auto"/>
        </w:rPr>
        <w:t>.</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If it is determined that any payment or distribution in the nature of compensation (within the meaning of Section 280G(b)(2) of the Code) to or for the benefit of the Participant, whether paid or payable pursuant to this Plan or otherwise (a “Payment”) would constitute an “excess parachute payment” within the meaning of Section 280G of the Code, the aggregate present value of the Payments under the Plan shall be reduced (but not below zero) to the Reduced Amount (defined below), provided that the Payments shall be reduced only if the Accounting Firm (described below) determines that the reduction will provide the Executive with a greater net after-tax benefit than would no reduction. The “Reduced Amount” shall be an amount expressed</w:t>
      </w:r>
    </w:p>
    <w:p>
      <w:pPr>
        <w:sectPr>
          <w:pgSz w:w="11900" w:h="16838" w:orient="portrait"/>
          <w:cols w:equalWidth="0" w:num="1">
            <w:col w:w="11420"/>
          </w:cols>
          <w:pgMar w:left="240" w:top="121" w:right="239" w:bottom="1440" w:gutter="0" w:footer="0" w:header="0"/>
        </w:sectPr>
      </w:pPr>
    </w:p>
    <w:bookmarkStart w:id="89" w:name="page90"/>
    <w:bookmarkEnd w:id="89"/>
    <w:p>
      <w:pPr>
        <w:ind w:left="7780"/>
        <w:spacing w:after="0"/>
        <w:rPr>
          <w:sz w:val="20"/>
          <w:szCs w:val="20"/>
          <w:color w:val="auto"/>
        </w:rPr>
      </w:pPr>
      <w:r>
        <w:rPr>
          <w:rFonts w:ascii="Arial" w:cs="Arial" w:eastAsia="Arial" w:hAnsi="Arial"/>
          <w:sz w:val="18"/>
          <w:szCs w:val="18"/>
          <w:b w:val="1"/>
          <w:bCs w:val="1"/>
          <w:color w:val="auto"/>
        </w:rPr>
        <w:t>Exhibit 10(c)</w:t>
      </w:r>
    </w:p>
    <w:p>
      <w:pPr>
        <w:spacing w:after="0" w:line="34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in the present value which maximizes the aggregate present value of Payments under this Plan without causing any Payment under this Plan to be subject to the excise tax imposed under Code Section 4999, determined in accordance with Code Section 280G(d)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(4). Payments under this Plan shall be reduced on a nondiscretionary basis in such a way as to minimize the reduction in the economic value deliverable to the Participant. Any such reduction shall be implemented in a manner consistent with the requirements of Code Section 409A, and if more than one payment has the same value for this purpose and they are payable at different times, they will be reduced on a pro rata basis. The determination of whether any Payments constitute an “excess parachute payment” within the meaning of Code Section 280G and, if so, the amount to be delivered to the Participant pursuant to this Section of the Plan shall be determined by an independent accounting firm (the “Accounting Firm”) selected by the Participant and the Company. The Accounting Firm shall be a nationally recognized United States public accounting firm. If the Participant and the Company cannot agree on the Accounting Firm, the Participant and the Company shall each designate one (1) accounting firm and those two firms shall jointly select the accounting firm to serve as the Accounting Firm. All fees and expenses of the Accounting Firm shall be borne solely by the Company. Any determination by the Accounting Firm shall be binding upon the Company and the Participant.</w:t>
      </w:r>
    </w:p>
    <w:p>
      <w:pPr>
        <w:spacing w:after="0" w:line="200" w:lineRule="exact"/>
        <w:rPr>
          <w:sz w:val="20"/>
          <w:szCs w:val="20"/>
          <w:color w:val="auto"/>
        </w:rPr>
      </w:pP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Plan Administration</w:t>
      </w:r>
      <w:r>
        <w:rPr>
          <w:rFonts w:ascii="Arial" w:cs="Arial" w:eastAsia="Arial" w:hAnsi="Arial"/>
          <w:sz w:val="19"/>
          <w:szCs w:val="19"/>
          <w:color w:val="auto"/>
        </w:rPr>
        <w:t>.</w:t>
      </w:r>
    </w:p>
    <w:p>
      <w:pPr>
        <w:spacing w:after="0" w:line="10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5.1 The Plan shall be interpreted, administered and operated by the Executive Compensation Committee of the Board (“Committee”). Subject to the express terms of the Plan, the Committee shall have complete authority, in its sole discretion, to determine who shall be a Participant, to interpret the Plan, to prescribe, amend and rescind rules relating to the Plan, and to make all other determinations necessary or advisable for the administration of the Plan. Notwithstanding the foregoing, the Committee may delegate any of its duties hereunder to such Person or Persons from time to time as it may designate.</w:t>
      </w:r>
    </w:p>
    <w:p>
      <w:pPr>
        <w:spacing w:after="0" w:line="1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5.2 All expenses and liabilities that members of the Committee incur in connection with the administration of the Plan shall be borne by the Company. The Committee may employ attorneys, consultants, accountants, appraisers, brokers, or other Persons, and the Committee, the Company and the Company's officers and directors shall be entitled to rely upon the advice, opinions or valuations of any such Persons. No member of the Committee or the Board shall be personally liable for any action, determination or interpretation made in good faith with respect to the Plan, and all members of the Committee shall be fully protected by the Company in respect of any such action, determination or interpretation.</w:t>
      </w:r>
    </w:p>
    <w:p>
      <w:pPr>
        <w:spacing w:after="0" w:line="3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The Company’s Successors</w:t>
      </w:r>
      <w:r>
        <w:rPr>
          <w:rFonts w:ascii="Arial" w:cs="Arial" w:eastAsia="Arial" w:hAnsi="Arial"/>
          <w:sz w:val="21"/>
          <w:szCs w:val="21"/>
          <w:color w:val="auto"/>
        </w:rPr>
        <w:t>. This Plan shall bind any successor (whether direct or indirect, by purchase, merger, consolidation or otherwise) to all or substantially all of the business and/or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Participant’s Successors</w:t>
      </w:r>
      <w:r>
        <w:rPr>
          <w:rFonts w:ascii="Arial" w:cs="Arial" w:eastAsia="Arial" w:hAnsi="Arial"/>
          <w:sz w:val="22"/>
          <w:szCs w:val="22"/>
          <w:color w:val="auto"/>
        </w:rPr>
        <w:t>. All rights of the Participant under this Plan will inure to the benefit of, and be enforceable by, the Participant's personal or legal representatives, executors, administrators, successors, heirs, distributees, devisees, legatees or other beneficiaries. If a Participant dies while any amount is payable to such Participant hereunder (other than amounts which, by their terms, terminate upon the death of the Participant) if such Participant had continued to live, all such amounts, unless otherwise provided herein, shall be paid in accordance with the terms of this Plan to the executors, personal representatives or administrators of such Participant's estate.</w:t>
      </w:r>
    </w:p>
    <w:p>
      <w:pPr>
        <w:sectPr>
          <w:pgSz w:w="11900" w:h="16838" w:orient="portrait"/>
          <w:cols w:equalWidth="0" w:num="1">
            <w:col w:w="11420"/>
          </w:cols>
          <w:pgMar w:left="240" w:top="121" w:right="239" w:bottom="1440" w:gutter="0" w:footer="0" w:header="0"/>
        </w:sectPr>
      </w:pPr>
    </w:p>
    <w:bookmarkStart w:id="90" w:name="page91"/>
    <w:bookmarkEnd w:id="90"/>
    <w:p>
      <w:pPr>
        <w:ind w:left="7780"/>
        <w:spacing w:after="0"/>
        <w:rPr>
          <w:sz w:val="20"/>
          <w:szCs w:val="20"/>
          <w:color w:val="auto"/>
        </w:rPr>
      </w:pPr>
      <w:r>
        <w:rPr>
          <w:rFonts w:ascii="Arial" w:cs="Arial" w:eastAsia="Arial" w:hAnsi="Arial"/>
          <w:sz w:val="18"/>
          <w:szCs w:val="18"/>
          <w:b w:val="1"/>
          <w:bCs w:val="1"/>
          <w:color w:val="auto"/>
        </w:rPr>
        <w:t>Exhibit 10(c)</w:t>
      </w:r>
    </w:p>
    <w:p>
      <w:pPr>
        <w:spacing w:after="0" w:line="33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General</w:t>
      </w:r>
      <w:r>
        <w:rPr>
          <w:rFonts w:ascii="Arial" w:cs="Arial" w:eastAsia="Arial" w:hAnsi="Arial"/>
          <w:sz w:val="21"/>
          <w:szCs w:val="21"/>
          <w:color w:val="auto"/>
        </w:rPr>
        <w:t>. Notices and all other communications provided for in the Plan shall be in writing and shall be deemed to have been duly given when personally delivered or when mailed by United States registered or certified mail, return receipt requested and postage prepaid. In the case of a Participant, mailed notices will be sent to his or her home address most recently communicated to the Company in writing. In the case of the Company, mailed notices will be addressed to its corporate headquarters, and all notices will be directed to the attention of its Vice President, Human Resources.</w:t>
      </w:r>
    </w:p>
    <w:p>
      <w:pPr>
        <w:spacing w:after="0" w:line="39"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a Participant’s employment by the Company for Cause or by a Participant for Good Reason will be communicated by a notice of termination to the other party given in accordance with Section 7.1 of the Plan.</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0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No Waiver</w:t>
      </w:r>
      <w:r>
        <w:rPr>
          <w:rFonts w:ascii="Arial" w:cs="Arial" w:eastAsia="Arial" w:hAnsi="Arial"/>
          <w:sz w:val="19"/>
          <w:szCs w:val="19"/>
          <w:color w:val="auto"/>
        </w:rPr>
        <w:t>. No waiver by the Company or any Participant, as the case may be, at any time of any lack of compliance with any condition or provision of this Plan to be performed by such other party shall be deemed a waiver of similar or dissimilar provisions or conditions at the same, or at any prior or subsequent time. All other plans, policies and arrangements of the Company in which the Participant participates during the term of this Plan shall be interpreted so as to avoid the duplication of benefits paid hereunder.</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contained in this Plan or any documents relating to the Plan shall: (a) confer on a Participant any right to continue in the employ of the Company or a subsidiary, (b) constitute any contract or agreement of employment, or (c) interfere in any way with the right of the Company to terminate the Participant's employment at any time, with or without Cause.</w:t>
      </w:r>
    </w:p>
    <w:p>
      <w:pPr>
        <w:spacing w:after="0" w:line="4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Legal Fees and Expenses</w:t>
      </w:r>
      <w:r>
        <w:rPr>
          <w:rFonts w:ascii="Arial" w:cs="Arial" w:eastAsia="Arial" w:hAnsi="Arial"/>
          <w:sz w:val="21"/>
          <w:szCs w:val="21"/>
          <w:color w:val="auto"/>
        </w:rPr>
        <w:t>. If a Participant commences a legal action to enforce any of the obligations of the Company under this Plan and Participant prevails on the merits of the substantive issues in dispute in such proceeding, the Company shall pay the Participant the amount necessary to reimburse the Participant in full for all actual reasonable expenses (including reasonable attorneys' fees and legal expenses) incurred by the Participant with respect to such action.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Plan Termination; Amendment of Plan</w:t>
      </w:r>
      <w:r>
        <w:rPr>
          <w:rFonts w:ascii="Arial" w:cs="Arial" w:eastAsia="Arial" w:hAnsi="Arial"/>
          <w:sz w:val="19"/>
          <w:szCs w:val="19"/>
          <w:color w:val="auto"/>
        </w:rPr>
        <w:t>. Prior to a Change in Control, the Plan may be amended or modified in any respect, and may be terminated, in any such case by resolution adopted by the Executive Compensation Committee of the Board; provided, however, that no such amendment, modification or termination that would adversely affect the benefits or protections hereunder of any individual who is a Participant as of the date such amendment, modification or termination is adopted shall be effective as it relates to such individual unless no Change in Control occurs within one year after such adoption, any such attempted amendment, modification or termination adopted within one year prior to a Change in Control being null and void ab initio as it relates to all such individuals who were Participants prior to such adoption (it being understood, however, that the hiring, termination of employment, promotion or demotion of any employee of the Company prior to a Change in Control shall not be construed to be an amendment, modification or termination of the Plan); provided, further, however, that the Plan may not be amended, modified or terminated, (i) at the request of a third party who has indicated an intention or taken steps to effect a Change in Control and who effectuates a Change in Control or (ii) otherwise in connection with, or in anticipation of, a Change in Control which actually occurs, any such attempted amendment, modification or termination being null and void ab initio. Any action taken to amend, modify or terminate the Plan which is taken after the execution of an agreement providing for a transaction or transactions which, if consummated, would constitute a Change in Control shall conclusively be presumed to have been taken in connection with a Change in Control. From and after the occurrence of a Change in Control, the Plan may not be amended or modified in any manner that would in any way adversely affect the benefits or protections provided hereunder to any individual who is a Participant in the Plan on the date the Change in Control occurs. From and after the occurrence of a Change in Control, except to the extent specifically permitted by the last sentence</w:t>
      </w:r>
    </w:p>
    <w:p>
      <w:pPr>
        <w:sectPr>
          <w:pgSz w:w="11900" w:h="16838" w:orient="portrait"/>
          <w:cols w:equalWidth="0" w:num="1">
            <w:col w:w="11420"/>
          </w:cols>
          <w:pgMar w:left="240" w:top="121" w:right="239" w:bottom="1440" w:gutter="0" w:footer="0" w:header="0"/>
        </w:sectPr>
      </w:pPr>
    </w:p>
    <w:bookmarkStart w:id="91" w:name="page92"/>
    <w:bookmarkEnd w:id="91"/>
    <w:p>
      <w:pPr>
        <w:ind w:left="7780"/>
        <w:spacing w:after="0"/>
        <w:rPr>
          <w:sz w:val="20"/>
          <w:szCs w:val="20"/>
          <w:color w:val="auto"/>
        </w:rPr>
      </w:pPr>
      <w:r>
        <w:rPr>
          <w:rFonts w:ascii="Arial" w:cs="Arial" w:eastAsia="Arial" w:hAnsi="Arial"/>
          <w:sz w:val="18"/>
          <w:szCs w:val="18"/>
          <w:b w:val="1"/>
          <w:bCs w:val="1"/>
          <w:color w:val="auto"/>
        </w:rPr>
        <w:t>Exhibit 10(c)</w:t>
      </w: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of Section 3.1, the revision of the Separation Agreement and Release, attached hereto as </w:t>
      </w:r>
      <w:r>
        <w:rPr>
          <w:rFonts w:ascii="Arial" w:cs="Arial" w:eastAsia="Arial" w:hAnsi="Arial"/>
          <w:sz w:val="22"/>
          <w:szCs w:val="22"/>
          <w:u w:val="single" w:color="auto"/>
          <w:color w:val="auto"/>
        </w:rPr>
        <w:t>Appendix A</w:t>
      </w:r>
      <w:r>
        <w:rPr>
          <w:rFonts w:ascii="Arial" w:cs="Arial" w:eastAsia="Arial" w:hAnsi="Arial"/>
          <w:sz w:val="22"/>
          <w:szCs w:val="22"/>
          <w:color w:val="auto"/>
        </w:rPr>
        <w:t>, shall be deemed to be a modification of the Plan for purposes of this Section 8.4. If a Change in Control occurs, this Plan shall continue in full force and effect and shall not terminate or expire until after all Participants who have become entitled to Change in Control Severance Payments hereunder shall have received such payments in full.</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Benefits not Assignable</w:t>
      </w:r>
      <w:r>
        <w:rPr>
          <w:rFonts w:ascii="Arial" w:cs="Arial" w:eastAsia="Arial" w:hAnsi="Arial"/>
          <w:sz w:val="21"/>
          <w:szCs w:val="21"/>
          <w:color w:val="auto"/>
        </w:rPr>
        <w:t>. Except as otherwise provided herein or by law, no right or interest of a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 Participant under the Plan shall be liable for, or subject to, any obligation or liability of such Participant. When a payment is due pursuant this Plan to a Participant who is unable to care for his or her affairs, payment may be made directly to his or her legal guardian or personal representative.</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Tax Withholding</w:t>
      </w:r>
      <w:r>
        <w:rPr>
          <w:rFonts w:ascii="Arial" w:cs="Arial" w:eastAsia="Arial" w:hAnsi="Arial"/>
          <w:sz w:val="19"/>
          <w:szCs w:val="19"/>
          <w:color w:val="auto"/>
        </w:rPr>
        <w:t>. All amounts payable hereunder shall be subject to withholding of applicable federal, state and local taxes.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Minnesota Law</w:t>
      </w:r>
      <w:r>
        <w:rPr>
          <w:rFonts w:ascii="Arial" w:cs="Arial" w:eastAsia="Arial" w:hAnsi="Arial"/>
          <w:sz w:val="22"/>
          <w:szCs w:val="22"/>
          <w:color w:val="auto"/>
        </w:rPr>
        <w:t>. This Plan will be construed and interpreted, and the rights of the Company and Participants will be determined in accordance with, the laws of the State of Minnesota (without regard to the conflicts of laws principles thereof), to the extent not preempted by federal law, which shall otherwise control.</w:t>
      </w:r>
    </w:p>
    <w:p>
      <w:pPr>
        <w:spacing w:after="0" w:line="42"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of this Plan shall not affect the validity or enforceability of any other provision of this Plan, which shall remain in full force and effect. If this Plan shall for any reason be or become unenforceable by either party, this Plan shall thereupon terminate and become unenforceable by the other party as well.</w:t>
      </w:r>
    </w:p>
    <w:p>
      <w:pPr>
        <w:sectPr>
          <w:pgSz w:w="11900" w:h="16838" w:orient="portrait"/>
          <w:cols w:equalWidth="0" w:num="1">
            <w:col w:w="11420"/>
          </w:cols>
          <w:pgMar w:left="240" w:top="121" w:right="239" w:bottom="1440" w:gutter="0" w:footer="0" w:header="0"/>
        </w:sectPr>
      </w:pPr>
    </w:p>
    <w:bookmarkStart w:id="92" w:name="page93"/>
    <w:bookmarkEnd w:id="92"/>
    <w:p>
      <w:pPr>
        <w:ind w:left="7780"/>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Now, therefore, ALLETE has adopted this Amended and Restated Change in Control Severance Plan effective as of the Effective Date.</w:t>
      </w:r>
    </w:p>
    <w:p>
      <w:pPr>
        <w:spacing w:after="0" w:line="4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ALLETE, Inc.</w:t>
      </w:r>
    </w:p>
    <w:p>
      <w:pPr>
        <w:spacing w:after="0" w:line="8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____________________________________</w:t>
      </w:r>
    </w:p>
    <w:p>
      <w:pPr>
        <w:spacing w:after="0" w:line="8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_____________________________________</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w:t>
      </w:r>
    </w:p>
    <w:p>
      <w:pPr>
        <w:sectPr>
          <w:pgSz w:w="11900" w:h="16838" w:orient="portrait"/>
          <w:cols w:equalWidth="0" w:num="1">
            <w:col w:w="11420"/>
          </w:cols>
          <w:pgMar w:left="240" w:top="121" w:right="239" w:bottom="1440" w:gutter="0" w:footer="0" w:header="0"/>
        </w:sectPr>
      </w:pPr>
    </w:p>
    <w:bookmarkStart w:id="93" w:name="page94"/>
    <w:bookmarkEnd w:id="93"/>
    <w:p>
      <w:pPr>
        <w:ind w:left="7780"/>
        <w:spacing w:after="0"/>
        <w:rPr>
          <w:sz w:val="20"/>
          <w:szCs w:val="20"/>
          <w:color w:val="auto"/>
        </w:rPr>
      </w:pPr>
      <w:r>
        <w:rPr>
          <w:rFonts w:ascii="Arial" w:cs="Arial" w:eastAsia="Arial" w:hAnsi="Arial"/>
          <w:sz w:val="18"/>
          <w:szCs w:val="18"/>
          <w:b w:val="1"/>
          <w:bCs w:val="1"/>
          <w:color w:val="auto"/>
        </w:rPr>
        <w:t>Exhibit 10(c)</w:t>
      </w:r>
    </w:p>
    <w:p>
      <w:pPr>
        <w:spacing w:after="0" w:line="344"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Appendix A</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SEPARATION AGREEMENT AND RELEASE</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color w:val="auto"/>
          <w:highlight w:val="lightGray"/>
        </w:rPr>
        <w:t>&lt;&lt; [Insert:] Full Name &gt;&gt;</w:t>
      </w:r>
      <w:r>
        <w:rPr>
          <w:rFonts w:ascii="Arial" w:cs="Arial" w:eastAsia="Arial" w:hAnsi="Arial"/>
          <w:sz w:val="22"/>
          <w:szCs w:val="22"/>
          <w:color w:val="auto"/>
        </w:rPr>
        <w:t xml:space="preserve"> (“Executive”) is a Participant in the Amended and Restated ALLETE and Affiliated Companies Change in Control Severance Plan (“the Plan”), and whereas Executive’s employment with </w:t>
      </w:r>
      <w:r>
        <w:rPr>
          <w:rFonts w:ascii="Arial" w:cs="Arial" w:eastAsia="Arial" w:hAnsi="Arial"/>
          <w:sz w:val="22"/>
          <w:szCs w:val="22"/>
          <w:color w:val="auto"/>
          <w:highlight w:val="lightGray"/>
        </w:rPr>
        <w:t>&lt;&lt;[Select:] ALLETE, Inc.</w:t>
      </w:r>
      <w:r>
        <w:rPr>
          <w:rFonts w:ascii="Arial" w:cs="Arial" w:eastAsia="Arial" w:hAnsi="Arial"/>
          <w:sz w:val="22"/>
          <w:szCs w:val="22"/>
          <w:color w:val="auto"/>
        </w:rPr>
        <w:t xml:space="preserve"> </w:t>
      </w:r>
      <w:r>
        <w:rPr>
          <w:rFonts w:ascii="Arial" w:cs="Arial" w:eastAsia="Arial" w:hAnsi="Arial"/>
          <w:sz w:val="22"/>
          <w:szCs w:val="22"/>
          <w:color w:val="auto"/>
          <w:highlight w:val="lightGray"/>
        </w:rPr>
        <w:t xml:space="preserve">or applicable Affiliate &gt;&gt; </w:t>
      </w:r>
      <w:r>
        <w:rPr>
          <w:rFonts w:ascii="Arial" w:cs="Arial" w:eastAsia="Arial" w:hAnsi="Arial"/>
          <w:sz w:val="22"/>
          <w:szCs w:val="22"/>
          <w:color w:val="auto"/>
        </w:rPr>
        <w:t>(together with all affiliates of ALLETE, Inc., the “Company”) terminated effective</w:t>
      </w:r>
      <w:r>
        <w:rPr>
          <w:rFonts w:ascii="Arial" w:cs="Arial" w:eastAsia="Arial" w:hAnsi="Arial"/>
          <w:sz w:val="22"/>
          <w:szCs w:val="22"/>
          <w:color w:val="auto"/>
          <w:highlight w:val="lightGray"/>
        </w:rPr>
        <w:t xml:space="preserve"> &lt;&lt;[Insert] Termination Date&gt;&gt; </w:t>
      </w:r>
      <w:r>
        <w:rPr>
          <w:rFonts w:ascii="Arial" w:cs="Arial" w:eastAsia="Arial" w:hAnsi="Arial"/>
          <w:sz w:val="22"/>
          <w:szCs w:val="22"/>
          <w:color w:val="auto"/>
        </w:rPr>
        <w:t>(“&lt;&lt;”[Select]</w:t>
      </w:r>
      <w:r>
        <w:rPr>
          <w:rFonts w:ascii="Arial" w:cs="Arial" w:eastAsia="Arial" w:hAnsi="Arial"/>
          <w:sz w:val="22"/>
          <w:szCs w:val="22"/>
          <w:color w:val="auto"/>
          <w:highlight w:val="lightGray"/>
        </w:rPr>
        <w:t xml:space="preserve"> Termination Date” or “Retirement Date</w:t>
      </w:r>
      <w:r>
        <w:rPr>
          <w:rFonts w:ascii="Arial" w:cs="Arial" w:eastAsia="Arial" w:hAnsi="Arial"/>
          <w:sz w:val="22"/>
          <w:szCs w:val="22"/>
          <w:color w:val="auto"/>
        </w:rPr>
        <w:t>”&gt;&gt;)under circumstances that make Executive eligible to</w:t>
      </w:r>
      <w:r>
        <w:rPr>
          <w:rFonts w:ascii="Arial" w:cs="Arial" w:eastAsia="Arial" w:hAnsi="Arial"/>
          <w:sz w:val="22"/>
          <w:szCs w:val="22"/>
          <w:color w:val="auto"/>
          <w:highlight w:val="lightGray"/>
        </w:rPr>
        <w:t xml:space="preserve"> </w:t>
      </w:r>
      <w:r>
        <w:rPr>
          <w:rFonts w:ascii="Arial" w:cs="Arial" w:eastAsia="Arial" w:hAnsi="Arial"/>
          <w:sz w:val="22"/>
          <w:szCs w:val="22"/>
          <w:color w:val="auto"/>
        </w:rPr>
        <w:t xml:space="preserve">receive certain compensation and other benefits under the Plan, and whereas Executive enters into this Separation Agreement and Release (“Agreement”) of </w:t>
      </w:r>
      <w:r>
        <w:rPr>
          <w:rFonts w:ascii="Arial" w:cs="Arial" w:eastAsia="Arial" w:hAnsi="Arial"/>
          <w:sz w:val="22"/>
          <w:szCs w:val="22"/>
          <w:color w:val="auto"/>
          <w:highlight w:val="lightGray"/>
        </w:rPr>
        <w:t>&lt;&lt; [Select:] his or her&gt;&gt;</w:t>
      </w:r>
      <w:r>
        <w:rPr>
          <w:rFonts w:ascii="Arial" w:cs="Arial" w:eastAsia="Arial" w:hAnsi="Arial"/>
          <w:sz w:val="22"/>
          <w:szCs w:val="22"/>
          <w:color w:val="auto"/>
        </w:rPr>
        <w:t xml:space="preserve"> own free will and deed; therefore, as of the date written below the Company and Executive agree as follows:</w:t>
      </w:r>
    </w:p>
    <w:p>
      <w:pPr>
        <w:spacing w:after="0" w:line="211" w:lineRule="exact"/>
        <w:rPr>
          <w:sz w:val="20"/>
          <w:szCs w:val="20"/>
          <w:color w:val="auto"/>
        </w:rPr>
      </w:pPr>
    </w:p>
    <w:p>
      <w:pPr>
        <w:jc w:val="both"/>
        <w:ind w:firstLine="332"/>
        <w:spacing w:after="0" w:line="253" w:lineRule="auto"/>
        <w:tabs>
          <w:tab w:leader="none" w:pos="567"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Separation Benefit</w:t>
      </w:r>
      <w:r>
        <w:rPr>
          <w:rFonts w:ascii="Arial" w:cs="Arial" w:eastAsia="Arial" w:hAnsi="Arial"/>
          <w:sz w:val="22"/>
          <w:szCs w:val="22"/>
          <w:color w:val="auto"/>
        </w:rPr>
        <w:t>. Executive will receive from the Company the payment and other benefits provided by the Plan and delivered in accordance with the Plan provided that this Agreement becomes effective and Executive has not rescinded the Agreement within the Reconsideration Period (defined below).</w:t>
      </w:r>
    </w:p>
    <w:p>
      <w:pPr>
        <w:spacing w:after="0" w:line="185" w:lineRule="exact"/>
        <w:rPr>
          <w:rFonts w:ascii="Arial" w:cs="Arial" w:eastAsia="Arial" w:hAnsi="Arial"/>
          <w:sz w:val="22"/>
          <w:szCs w:val="22"/>
          <w:color w:val="auto"/>
        </w:rPr>
      </w:pPr>
    </w:p>
    <w:p>
      <w:pPr>
        <w:jc w:val="both"/>
        <w:ind w:firstLine="332"/>
        <w:spacing w:after="0" w:line="266" w:lineRule="auto"/>
        <w:tabs>
          <w:tab w:leader="none" w:pos="72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From the &lt;&lt;[Select:]</w:t>
      </w:r>
      <w:r>
        <w:rPr>
          <w:rFonts w:ascii="Arial" w:cs="Arial" w:eastAsia="Arial" w:hAnsi="Arial"/>
          <w:sz w:val="21"/>
          <w:szCs w:val="21"/>
          <w:color w:val="auto"/>
          <w:highlight w:val="lightGray"/>
        </w:rPr>
        <w:t>Termination Date” or “Retirement Date</w:t>
      </w:r>
      <w:r>
        <w:rPr>
          <w:rFonts w:ascii="Arial" w:cs="Arial" w:eastAsia="Arial" w:hAnsi="Arial"/>
          <w:sz w:val="21"/>
          <w:szCs w:val="21"/>
          <w:color w:val="auto"/>
        </w:rPr>
        <w:t xml:space="preserve">&gt;&gt; and for a period continuing through the date that twenty four (24) months following the later of the &lt;&lt;[Select:] </w:t>
      </w:r>
      <w:r>
        <w:rPr>
          <w:rFonts w:ascii="Arial" w:cs="Arial" w:eastAsia="Arial" w:hAnsi="Arial"/>
          <w:sz w:val="21"/>
          <w:szCs w:val="21"/>
          <w:color w:val="auto"/>
          <w:highlight w:val="lightGray"/>
        </w:rPr>
        <w:t>Termination Date” or “Retirement Date</w:t>
      </w:r>
      <w:r>
        <w:rPr>
          <w:rFonts w:ascii="Arial" w:cs="Arial" w:eastAsia="Arial" w:hAnsi="Arial"/>
          <w:sz w:val="21"/>
          <w:szCs w:val="21"/>
          <w:color w:val="auto"/>
        </w:rPr>
        <w:t>&gt;&gt; or a Change in Control (as defined in the Plan) Executive will not solicit, or assist any Person (as defined in the Plan) in the solicitation of, any director, officer or employee of the Company for employment other than with the Company, or otherwise interfere with or disrupt any employment relationship (contractual or otherwise) of the Company.</w:t>
      </w:r>
    </w:p>
    <w:p>
      <w:pPr>
        <w:spacing w:after="0" w:line="174" w:lineRule="exact"/>
        <w:rPr>
          <w:rFonts w:ascii="Arial" w:cs="Arial" w:eastAsia="Arial" w:hAnsi="Arial"/>
          <w:sz w:val="21"/>
          <w:szCs w:val="21"/>
          <w:color w:val="auto"/>
        </w:rPr>
      </w:pPr>
    </w:p>
    <w:p>
      <w:pPr>
        <w:jc w:val="both"/>
        <w:ind w:firstLine="332"/>
        <w:spacing w:after="0" w:line="292" w:lineRule="auto"/>
        <w:tabs>
          <w:tab w:leader="none" w:pos="8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For a period of twelve (12) months following the later of the &lt;&lt;[Select:] </w:t>
      </w:r>
      <w:r>
        <w:rPr>
          <w:rFonts w:ascii="Arial" w:cs="Arial" w:eastAsia="Arial" w:hAnsi="Arial"/>
          <w:sz w:val="19"/>
          <w:szCs w:val="19"/>
          <w:color w:val="auto"/>
          <w:highlight w:val="lightGray"/>
        </w:rPr>
        <w:t>Termination Date” or</w:t>
      </w:r>
      <w:r>
        <w:rPr>
          <w:rFonts w:ascii="Arial" w:cs="Arial" w:eastAsia="Arial" w:hAnsi="Arial"/>
          <w:sz w:val="19"/>
          <w:szCs w:val="19"/>
          <w:color w:val="auto"/>
        </w:rPr>
        <w:t xml:space="preserve"> </w:t>
      </w:r>
      <w:r>
        <w:rPr>
          <w:rFonts w:ascii="Arial" w:cs="Arial" w:eastAsia="Arial" w:hAnsi="Arial"/>
          <w:sz w:val="19"/>
          <w:szCs w:val="19"/>
          <w:color w:val="auto"/>
          <w:highlight w:val="lightGray"/>
        </w:rPr>
        <w:t>“Retirement Date</w:t>
      </w:r>
      <w:r>
        <w:rPr>
          <w:rFonts w:ascii="Arial" w:cs="Arial" w:eastAsia="Arial" w:hAnsi="Arial"/>
          <w:sz w:val="19"/>
          <w:szCs w:val="19"/>
          <w:color w:val="auto"/>
        </w:rPr>
        <w:t>&gt;&gt; or a Change in Control (as defined in the Plan) Executive will not, without the written express consent of the</w:t>
      </w:r>
      <w:r>
        <w:rPr>
          <w:rFonts w:ascii="Arial" w:cs="Arial" w:eastAsia="Arial" w:hAnsi="Arial"/>
          <w:sz w:val="19"/>
          <w:szCs w:val="19"/>
          <w:color w:val="auto"/>
          <w:highlight w:val="lightGray"/>
        </w:rPr>
        <w:t xml:space="preserve"> </w:t>
      </w:r>
      <w:r>
        <w:rPr>
          <w:rFonts w:ascii="Arial" w:cs="Arial" w:eastAsia="Arial" w:hAnsi="Arial"/>
          <w:sz w:val="19"/>
          <w:szCs w:val="19"/>
          <w:color w:val="auto"/>
        </w:rPr>
        <w:t xml:space="preserve">Company, directly or indirectly, alone or as a partner, owner, officer, director, employee, or consultant of any other firm, business or entity, engage in any activity in competition with the Company. This prohibition will apply only to activities in which the Company is engaged at any time during the Executive’s employment with the Company and only with respect to those geographic regions in which the Company is engaged in such business activities or reasonably anticipates engaging in such business activities. </w:t>
      </w:r>
      <w:r>
        <w:rPr>
          <w:rFonts w:ascii="Arial" w:cs="Arial" w:eastAsia="Arial" w:hAnsi="Arial"/>
          <w:sz w:val="19"/>
          <w:szCs w:val="19"/>
          <w:color w:val="auto"/>
          <w:highlight w:val="lightGray"/>
        </w:rPr>
        <w:t xml:space="preserve">&lt;&lt;[Provide specific areas or examples as appropriate]&gt;&gt;. </w:t>
      </w:r>
      <w:r>
        <w:rPr>
          <w:rFonts w:ascii="Arial" w:cs="Arial" w:eastAsia="Arial" w:hAnsi="Arial"/>
          <w:sz w:val="19"/>
          <w:szCs w:val="19"/>
          <w:color w:val="auto"/>
        </w:rPr>
        <w:t>Notwithstanding the foregoing, nothing herein shall prohibit Executive</w:t>
      </w:r>
      <w:r>
        <w:rPr>
          <w:rFonts w:ascii="Arial" w:cs="Arial" w:eastAsia="Arial" w:hAnsi="Arial"/>
          <w:sz w:val="19"/>
          <w:szCs w:val="19"/>
          <w:color w:val="auto"/>
          <w:highlight w:val="lightGray"/>
        </w:rPr>
        <w:t xml:space="preserve"> </w:t>
      </w:r>
      <w:r>
        <w:rPr>
          <w:rFonts w:ascii="Arial" w:cs="Arial" w:eastAsia="Arial" w:hAnsi="Arial"/>
          <w:sz w:val="19"/>
          <w:szCs w:val="19"/>
          <w:color w:val="auto"/>
        </w:rPr>
        <w:t>from owning stock of any corporation, if such stock is traded on a recognized national securities exchange.</w:t>
      </w:r>
    </w:p>
    <w:p>
      <w:pPr>
        <w:spacing w:after="0" w:line="236" w:lineRule="exact"/>
        <w:rPr>
          <w:rFonts w:ascii="Arial" w:cs="Arial" w:eastAsia="Arial" w:hAnsi="Arial"/>
          <w:sz w:val="19"/>
          <w:szCs w:val="19"/>
          <w:color w:val="auto"/>
        </w:rPr>
      </w:pPr>
    </w:p>
    <w:p>
      <w:pPr>
        <w:jc w:val="both"/>
        <w:ind w:firstLine="656"/>
        <w:spacing w:after="0" w:line="247" w:lineRule="auto"/>
        <w:tabs>
          <w:tab w:leader="none" w:pos="1085"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xml:space="preserve">. For a period of twelve (12) months following the later of the &lt;&lt;[Select:] </w:t>
      </w:r>
      <w:r>
        <w:rPr>
          <w:rFonts w:ascii="Arial" w:cs="Arial" w:eastAsia="Arial" w:hAnsi="Arial"/>
          <w:sz w:val="22"/>
          <w:szCs w:val="22"/>
          <w:color w:val="auto"/>
          <w:highlight w:val="lightGray"/>
        </w:rPr>
        <w:t>Termination Date” or</w:t>
      </w:r>
      <w:r>
        <w:rPr>
          <w:rFonts w:ascii="Arial" w:cs="Arial" w:eastAsia="Arial" w:hAnsi="Arial"/>
          <w:sz w:val="22"/>
          <w:szCs w:val="22"/>
          <w:color w:val="auto"/>
        </w:rPr>
        <w:t xml:space="preserve"> </w:t>
      </w:r>
      <w:r>
        <w:rPr>
          <w:rFonts w:ascii="Arial" w:cs="Arial" w:eastAsia="Arial" w:hAnsi="Arial"/>
          <w:sz w:val="22"/>
          <w:szCs w:val="22"/>
          <w:color w:val="auto"/>
          <w:highlight w:val="lightGray"/>
        </w:rPr>
        <w:t>“Retirement Date</w:t>
      </w:r>
      <w:r>
        <w:rPr>
          <w:rFonts w:ascii="Arial" w:cs="Arial" w:eastAsia="Arial" w:hAnsi="Arial"/>
          <w:sz w:val="22"/>
          <w:szCs w:val="22"/>
          <w:color w:val="auto"/>
        </w:rPr>
        <w:t>&gt;&gt; or a Change in Control (as defined in the Plan) Executive will not, directly or indirectly, knowingly and</w:t>
      </w:r>
      <w:r>
        <w:rPr>
          <w:rFonts w:ascii="Arial" w:cs="Arial" w:eastAsia="Arial" w:hAnsi="Arial"/>
          <w:sz w:val="22"/>
          <w:szCs w:val="22"/>
          <w:color w:val="auto"/>
          <w:highlight w:val="lightGray"/>
        </w:rPr>
        <w:t xml:space="preserve"> </w:t>
      </w:r>
      <w:r>
        <w:rPr>
          <w:rFonts w:ascii="Arial" w:cs="Arial" w:eastAsia="Arial" w:hAnsi="Arial"/>
          <w:sz w:val="22"/>
          <w:szCs w:val="22"/>
          <w:color w:val="auto"/>
        </w:rPr>
        <w:t>materially disparage, criticize, or otherwise make derogatory statements regarding the Company or any aspect of management policies, operations, practices, or personnel of the Company. Notwithstanding the foregoing, nothing contained herein will be deemed to restrict the Participant from providing information to any governmental or regulatory agency (or in any way limit the content of such information) to the extent the Participant is required to provide such information pursuant to applicable law or regulation; nor will the foregoing restrict the Participant from enforcing his or her rights under this Agreement or the Plan. The Company promises that its officers will not disparage Executive, and will do nothing intentionally calculated to harm the Executive’s reputation.</w:t>
      </w:r>
    </w:p>
    <w:p>
      <w:pPr>
        <w:spacing w:after="0" w:line="196" w:lineRule="exact"/>
        <w:rPr>
          <w:sz w:val="20"/>
          <w:szCs w:val="20"/>
          <w:color w:val="auto"/>
        </w:rPr>
      </w:pPr>
    </w:p>
    <w:p>
      <w:pPr>
        <w:jc w:val="both"/>
        <w:ind w:firstLine="332"/>
        <w:spacing w:after="0" w:line="253" w:lineRule="auto"/>
        <w:tabs>
          <w:tab w:leader="none" w:pos="55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 Disclosure.</w:t>
      </w:r>
      <w:r>
        <w:rPr>
          <w:rFonts w:ascii="Arial" w:cs="Arial" w:eastAsia="Arial" w:hAnsi="Arial"/>
          <w:sz w:val="22"/>
          <w:szCs w:val="22"/>
          <w:color w:val="auto"/>
        </w:rPr>
        <w:t xml:space="preserve"> Executive agrees to keep confidential all information and trade secrets to which Executive has had access during and in the course of Executive’s employment by the Company, (whether written, prepared or made by him or others), including but not limited to the terms of this Agreement, the</w:t>
      </w:r>
    </w:p>
    <w:p>
      <w:pPr>
        <w:sectPr>
          <w:pgSz w:w="11900" w:h="16838" w:orient="portrait"/>
          <w:cols w:equalWidth="0" w:num="1">
            <w:col w:w="11420"/>
          </w:cols>
          <w:pgMar w:left="240" w:top="121" w:right="239" w:bottom="1440" w:gutter="0" w:footer="0" w:header="0"/>
        </w:sectPr>
      </w:pPr>
    </w:p>
    <w:bookmarkStart w:id="94" w:name="page95"/>
    <w:bookmarkEnd w:id="94"/>
    <w:p>
      <w:pPr>
        <w:ind w:left="7780"/>
        <w:spacing w:after="0"/>
        <w:rPr>
          <w:sz w:val="20"/>
          <w:szCs w:val="20"/>
          <w:color w:val="auto"/>
        </w:rPr>
      </w:pPr>
      <w:r>
        <w:rPr>
          <w:rFonts w:ascii="Arial" w:cs="Arial" w:eastAsia="Arial" w:hAnsi="Arial"/>
          <w:sz w:val="18"/>
          <w:szCs w:val="18"/>
          <w:b w:val="1"/>
          <w:bCs w:val="1"/>
          <w:color w:val="auto"/>
        </w:rPr>
        <w:t>Exhibit 10(c)</w:t>
      </w: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business practices, strategies, and opportunities of the Company, and any other non-public information relating to the Company’s business. Notwithstanding the foregoing, Executive may reveal the existence of this Agreement, its terms and conditions, and the facts and circumstances leading up to this Agreement with Executive’s spouse, attorneys, accountants, tax consultants, and to state and federal tax authorities or as may be required by law.</w:t>
      </w:r>
    </w:p>
    <w:p>
      <w:pPr>
        <w:spacing w:after="0" w:line="188" w:lineRule="exact"/>
        <w:rPr>
          <w:sz w:val="20"/>
          <w:szCs w:val="20"/>
          <w:color w:val="auto"/>
        </w:rPr>
      </w:pPr>
    </w:p>
    <w:p>
      <w:pPr>
        <w:jc w:val="both"/>
        <w:ind w:firstLine="332"/>
        <w:spacing w:after="0" w:line="285" w:lineRule="auto"/>
        <w:tabs>
          <w:tab w:leader="none" w:pos="707"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Except with respect to Executive’s rights under this Agreement and the Plan, Executive on behalf of himself and his heirs, executors, administrators, representatives, successors and assigns, agrees to release and forever discharge ALLETE, Inc., and its affiliates, subsidiaries, predecessors, successors, related entities, insurers and the current and former officers, directors, shareholders, employees, attorneys, agents and trustees or administrators of any benefit plan of each of the foregoing (any and all of which are referred to as “Released Parties”) of and from any claim for future employment, and of and from any claims, rights, or causes of action or other demands whatsoever, which Executive, or Executive’s heirs, executors, administrators, successors, or assigns may now have or hereafter can, shall or may have for, upon, or by any reason of any matter, cause or thing, whatsoever, which has happened, developed or occurred on or before the date of this Waiver and Release, arising out of Executive’s employment with or termination of employment from the Company, including, but not limited to claims for wrongful termination, discrimination, retaliation, invasion of privacy, defamation, slander, fraud, intentional infliction of emotional distress as well as claims arising out of any federal, state or local discrimination, civil rights or labor laws, rules or regulations, contract, tort, or common law as it relates to the employment relationship between Executive and the Company, including, without limitation, claims arising under: the Age Discrimination and Employment Act of 1967, as amended by the Older Workers Benefit Protection Act of 1990; Title VII of the Civil Rights Act of 1964, as amended; the Civil Rights Act of 1991; the Equal Pay Act of 1963; The Fair Labor Standards Act, the National Labor Relations Act, as amended; the Americans with Disabilities Act, as amended; the Americans with Disabilities Amendment Act; the Family Medical Leave Act; the Employee Retirement Income Security Act (but only as to claims arising thereunder prior to the date hereof); and the Minnesota Human Rights Act. Executive understands that the claims that Executive is releasing include but are not limited to any claim that the Company in any way discriminated against Executive on account of race, color, religious creed, sex, marital status, familial status, sexual orientation, age, national origin, ancestry, alienage, veteran status, and disability, as well as any claim that the Company wrongfully terminated my employment or breached any express or implied employment contract. Executive understands and agrees that, with respect to any individual Released Party, Executive is releasing such Released Party in his or her individual capacity as well as his or her official capacity.</w:t>
      </w:r>
    </w:p>
    <w:p>
      <w:pPr>
        <w:spacing w:after="0" w:line="166" w:lineRule="exact"/>
        <w:rPr>
          <w:rFonts w:ascii="Arial" w:cs="Arial" w:eastAsia="Arial" w:hAnsi="Arial"/>
          <w:sz w:val="19"/>
          <w:szCs w:val="19"/>
          <w:color w:val="auto"/>
        </w:rPr>
      </w:pPr>
    </w:p>
    <w:p>
      <w:pPr>
        <w:ind w:firstLine="332"/>
        <w:spacing w:after="0" w:line="276" w:lineRule="auto"/>
        <w:tabs>
          <w:tab w:leader="none" w:pos="69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Specific Limitations on Waiver and Release</w:t>
      </w:r>
      <w:r>
        <w:rPr>
          <w:rFonts w:ascii="Arial" w:cs="Arial" w:eastAsia="Arial" w:hAnsi="Arial"/>
          <w:sz w:val="22"/>
          <w:szCs w:val="22"/>
          <w:color w:val="auto"/>
        </w:rPr>
        <w:t>. The foregoing Waiver and Release shall not release any claims that cannot be waived or released as a matter of law. Therefore, Executive does not waive or release the right:</w:t>
      </w:r>
    </w:p>
    <w:p>
      <w:pPr>
        <w:spacing w:after="0" w:line="160" w:lineRule="exact"/>
        <w:rPr>
          <w:rFonts w:ascii="Arial" w:cs="Arial" w:eastAsia="Arial" w:hAnsi="Arial"/>
          <w:sz w:val="22"/>
          <w:szCs w:val="22"/>
          <w:color w:val="auto"/>
        </w:rPr>
      </w:pPr>
    </w:p>
    <w:p>
      <w:pPr>
        <w:ind w:left="980" w:right="60" w:hanging="324"/>
        <w:spacing w:after="0" w:line="289" w:lineRule="auto"/>
        <w:tabs>
          <w:tab w:leader="none" w:pos="9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to file an employment-related charge or complaint with any federal, state, or local government agency with authority over employment-related matters (examples of such government agencies include the United States Department of Labor, the federal Equal Employment Opportunity Commission, and the Minnesota Department of Human Rights, etc.); provided, however, if Executive does file a charge or complaint with a government agency, or if someone else files on Executive’s behalf or for Executive’s benefit, and if it would otherwise be covered by the Waiver ad Release, Executive waives and releases all individual rights, remedies, claims, and causes of action, known and unknown, contingent or absolute, Executive might have against the Company to receive any damages, attorneys’ fees, costs, disbursements, and other monetary and personal relief; also, if the charge or complaint is followed by a lawsuit brought by Executive or by someone else on Executive’s behalf, Executive waives and releases</w:t>
      </w:r>
    </w:p>
    <w:p>
      <w:pPr>
        <w:sectPr>
          <w:pgSz w:w="11900" w:h="16838" w:orient="portrait"/>
          <w:cols w:equalWidth="0" w:num="1">
            <w:col w:w="11420"/>
          </w:cols>
          <w:pgMar w:left="240" w:top="121" w:right="239" w:bottom="1440" w:gutter="0" w:footer="0" w:header="0"/>
        </w:sectPr>
      </w:pPr>
    </w:p>
    <w:bookmarkStart w:id="95" w:name="page96"/>
    <w:bookmarkEnd w:id="95"/>
    <w:p>
      <w:pPr>
        <w:ind w:left="7772"/>
        <w:spacing w:after="0"/>
        <w:rPr>
          <w:sz w:val="20"/>
          <w:szCs w:val="20"/>
          <w:color w:val="auto"/>
        </w:rPr>
      </w:pPr>
      <w:r>
        <w:rPr>
          <w:rFonts w:ascii="Arial" w:cs="Arial" w:eastAsia="Arial" w:hAnsi="Arial"/>
          <w:sz w:val="18"/>
          <w:szCs w:val="18"/>
          <w:b w:val="1"/>
          <w:bCs w:val="1"/>
          <w:color w:val="auto"/>
        </w:rPr>
        <w:t>Exhibit 10(c)</w:t>
      </w:r>
    </w:p>
    <w:p>
      <w:pPr>
        <w:spacing w:after="0" w:line="263" w:lineRule="exact"/>
        <w:rPr>
          <w:sz w:val="20"/>
          <w:szCs w:val="20"/>
          <w:color w:val="auto"/>
        </w:rPr>
      </w:pPr>
    </w:p>
    <w:p>
      <w:pPr>
        <w:ind w:left="972" w:right="100"/>
        <w:spacing w:after="0" w:line="253" w:lineRule="auto"/>
        <w:rPr>
          <w:sz w:val="20"/>
          <w:szCs w:val="20"/>
          <w:color w:val="auto"/>
        </w:rPr>
      </w:pPr>
      <w:r>
        <w:rPr>
          <w:rFonts w:ascii="Arial" w:cs="Arial" w:eastAsia="Arial" w:hAnsi="Arial"/>
          <w:sz w:val="22"/>
          <w:szCs w:val="22"/>
          <w:color w:val="auto"/>
        </w:rPr>
        <w:t>all individual rights, remedies, claims, and causes of action, known and unknown, contingent or absolute, Executive might have against the Company to receive any damages, attorneys’ fees, costs, disbursements, and other monetary and personal relief in the lawsuit;</w:t>
      </w:r>
    </w:p>
    <w:p>
      <w:pPr>
        <w:spacing w:after="0" w:line="294" w:lineRule="exact"/>
        <w:rPr>
          <w:sz w:val="20"/>
          <w:szCs w:val="20"/>
          <w:color w:val="auto"/>
        </w:rPr>
      </w:pPr>
    </w:p>
    <w:p>
      <w:pPr>
        <w:ind w:left="972" w:right="1080" w:hanging="324"/>
        <w:spacing w:after="0" w:line="263" w:lineRule="auto"/>
        <w:tabs>
          <w:tab w:leader="none" w:pos="97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to testify, assist, or otherwise participate in any investigation, hearing, or other proceeding conducted by any government agency;</w:t>
      </w:r>
    </w:p>
    <w:p>
      <w:pPr>
        <w:spacing w:after="0" w:line="174" w:lineRule="exact"/>
        <w:rPr>
          <w:rFonts w:ascii="Arial" w:cs="Arial" w:eastAsia="Arial" w:hAnsi="Arial"/>
          <w:sz w:val="22"/>
          <w:szCs w:val="22"/>
          <w:color w:val="auto"/>
        </w:rPr>
      </w:pPr>
    </w:p>
    <w:p>
      <w:pPr>
        <w:ind w:left="972" w:right="380" w:hanging="324"/>
        <w:spacing w:after="0" w:line="343" w:lineRule="auto"/>
        <w:tabs>
          <w:tab w:leader="none" w:pos="972" w:val="left"/>
        </w:tabs>
        <w:numPr>
          <w:ilvl w:val="1"/>
          <w:numId w:val="54"/>
        </w:numPr>
        <w:rPr>
          <w:rFonts w:ascii="Arial" w:cs="Arial" w:eastAsia="Arial" w:hAnsi="Arial"/>
          <w:sz w:val="19"/>
          <w:szCs w:val="19"/>
          <w:color w:val="auto"/>
        </w:rPr>
      </w:pPr>
      <w:r>
        <w:rPr>
          <w:rFonts w:ascii="Arial" w:cs="Arial" w:eastAsia="Arial" w:hAnsi="Arial"/>
          <w:sz w:val="19"/>
          <w:szCs w:val="19"/>
          <w:color w:val="auto"/>
        </w:rPr>
        <w:t>to bring claims under the Minnesota Workers’ Compensation Act, as amended, pertaining to workers’ compensation benefits; except, however, Executive waives the right to bring claims under Minn. Stat. § 176.82; or</w:t>
      </w:r>
    </w:p>
    <w:p>
      <w:pPr>
        <w:spacing w:after="0" w:line="212" w:lineRule="exact"/>
        <w:rPr>
          <w:rFonts w:ascii="Arial" w:cs="Arial" w:eastAsia="Arial" w:hAnsi="Arial"/>
          <w:sz w:val="19"/>
          <w:szCs w:val="19"/>
          <w:color w:val="auto"/>
        </w:rPr>
      </w:pPr>
    </w:p>
    <w:p>
      <w:pPr>
        <w:ind w:left="972" w:hanging="324"/>
        <w:spacing w:after="0" w:line="312" w:lineRule="auto"/>
        <w:tabs>
          <w:tab w:leader="none" w:pos="972" w:val="left"/>
        </w:tabs>
        <w:numPr>
          <w:ilvl w:val="1"/>
          <w:numId w:val="54"/>
        </w:numPr>
        <w:rPr>
          <w:rFonts w:ascii="Arial" w:cs="Arial" w:eastAsia="Arial" w:hAnsi="Arial"/>
          <w:sz w:val="19"/>
          <w:szCs w:val="19"/>
          <w:color w:val="auto"/>
        </w:rPr>
      </w:pPr>
      <w:r>
        <w:rPr>
          <w:rFonts w:ascii="Arial" w:cs="Arial" w:eastAsia="Arial" w:hAnsi="Arial"/>
          <w:sz w:val="19"/>
          <w:szCs w:val="19"/>
          <w:color w:val="auto"/>
        </w:rPr>
        <w:t>to challenge in court the validity of Executive’s waiver and release under the Age Discrimination in Employment Act of 1967, as amended; however, Executive has no reason to believe that the above Waiver and Release under that Act is invalid or unenforceable, it being in the best interests of the parties that such wavier and release is valid and enforceable.</w:t>
      </w:r>
    </w:p>
    <w:p>
      <w:pPr>
        <w:spacing w:after="0" w:line="133" w:lineRule="exact"/>
        <w:rPr>
          <w:rFonts w:ascii="Arial" w:cs="Arial" w:eastAsia="Arial" w:hAnsi="Arial"/>
          <w:sz w:val="19"/>
          <w:szCs w:val="19"/>
          <w:color w:val="auto"/>
        </w:rPr>
      </w:pPr>
    </w:p>
    <w:p>
      <w:pPr>
        <w:ind w:left="352" w:hanging="352"/>
        <w:spacing w:after="0"/>
        <w:tabs>
          <w:tab w:leader="none" w:pos="35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Executive specifically acknowledge, understand and agree as follows:</w:t>
      </w:r>
    </w:p>
    <w:p>
      <w:pPr>
        <w:spacing w:after="0" w:line="233" w:lineRule="exact"/>
        <w:rPr>
          <w:rFonts w:ascii="Arial" w:cs="Arial" w:eastAsia="Arial" w:hAnsi="Arial"/>
          <w:sz w:val="22"/>
          <w:szCs w:val="22"/>
          <w:color w:val="auto"/>
        </w:rPr>
      </w:pPr>
    </w:p>
    <w:p>
      <w:pPr>
        <w:jc w:val="both"/>
        <w:ind w:left="972" w:right="160" w:hanging="324"/>
        <w:spacing w:after="0" w:line="271" w:lineRule="auto"/>
        <w:tabs>
          <w:tab w:leader="none" w:pos="972" w:val="left"/>
        </w:tabs>
        <w:numPr>
          <w:ilvl w:val="1"/>
          <w:numId w:val="55"/>
        </w:numPr>
        <w:rPr>
          <w:rFonts w:ascii="Arial" w:cs="Arial" w:eastAsia="Arial" w:hAnsi="Arial"/>
          <w:sz w:val="21"/>
          <w:szCs w:val="21"/>
          <w:color w:val="auto"/>
        </w:rPr>
      </w:pPr>
      <w:r>
        <w:rPr>
          <w:rFonts w:ascii="Arial" w:cs="Arial" w:eastAsia="Arial" w:hAnsi="Arial"/>
          <w:sz w:val="21"/>
          <w:szCs w:val="21"/>
          <w:color w:val="auto"/>
        </w:rPr>
        <w:t>Executive’s election to sign this Agreement is wholly voluntary, made of Executive’s own free will, free from coercion by the Company or any of its officers or employees and with full knowledge that it is intended, to the maximum extent permitted by law, as a complete and final release and waiver of any and all claims;</w:t>
      </w:r>
    </w:p>
    <w:p>
      <w:pPr>
        <w:spacing w:after="0" w:line="167" w:lineRule="exact"/>
        <w:rPr>
          <w:rFonts w:ascii="Arial" w:cs="Arial" w:eastAsia="Arial" w:hAnsi="Arial"/>
          <w:sz w:val="21"/>
          <w:szCs w:val="21"/>
          <w:color w:val="auto"/>
        </w:rPr>
      </w:pPr>
    </w:p>
    <w:p>
      <w:pPr>
        <w:ind w:left="972" w:right="80" w:hanging="324"/>
        <w:spacing w:after="0" w:line="263" w:lineRule="auto"/>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Executive will receive from the Company consideration, meaning something of value beyond that which Executive was already entitled to receive prior to signing this Agreement;</w:t>
      </w:r>
    </w:p>
    <w:p>
      <w:pPr>
        <w:spacing w:after="0" w:line="174" w:lineRule="exact"/>
        <w:rPr>
          <w:rFonts w:ascii="Arial" w:cs="Arial" w:eastAsia="Arial" w:hAnsi="Arial"/>
          <w:sz w:val="22"/>
          <w:szCs w:val="22"/>
          <w:color w:val="auto"/>
        </w:rPr>
      </w:pPr>
    </w:p>
    <w:p>
      <w:pPr>
        <w:ind w:left="972" w:right="280" w:hanging="324"/>
        <w:spacing w:after="0" w:line="263" w:lineRule="auto"/>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Executive has been advised by the Company in writing (and given the opportunity) to consult with an attorney before signing this Agreement;</w:t>
      </w:r>
    </w:p>
    <w:p>
      <w:pPr>
        <w:spacing w:after="0" w:line="174" w:lineRule="exact"/>
        <w:rPr>
          <w:rFonts w:ascii="Arial" w:cs="Arial" w:eastAsia="Arial" w:hAnsi="Arial"/>
          <w:sz w:val="22"/>
          <w:szCs w:val="22"/>
          <w:color w:val="auto"/>
        </w:rPr>
      </w:pPr>
    </w:p>
    <w:p>
      <w:pPr>
        <w:ind w:left="972" w:right="160" w:hanging="324"/>
        <w:spacing w:after="0" w:line="312" w:lineRule="auto"/>
        <w:tabs>
          <w:tab w:leader="none" w:pos="972" w:val="left"/>
        </w:tabs>
        <w:numPr>
          <w:ilvl w:val="1"/>
          <w:numId w:val="55"/>
        </w:numPr>
        <w:rPr>
          <w:rFonts w:ascii="Arial" w:cs="Arial" w:eastAsia="Arial" w:hAnsi="Arial"/>
          <w:sz w:val="19"/>
          <w:szCs w:val="19"/>
          <w:color w:val="auto"/>
        </w:rPr>
      </w:pPr>
      <w:r>
        <w:rPr>
          <w:rFonts w:ascii="Arial" w:cs="Arial" w:eastAsia="Arial" w:hAnsi="Arial"/>
          <w:sz w:val="19"/>
          <w:szCs w:val="19"/>
          <w:color w:val="auto"/>
        </w:rPr>
        <w:t>Executive has made these decisions only after Executive has had the opportunity to carefully consider the benefits available and the ramifications of the Waiver and Release and Executive has not relied on any explanations, statements or promises made by the Company or its agents or attorneys other than as set forth in this Agreement.</w:t>
      </w:r>
    </w:p>
    <w:p>
      <w:pPr>
        <w:spacing w:after="0" w:line="133" w:lineRule="exact"/>
        <w:rPr>
          <w:rFonts w:ascii="Arial" w:cs="Arial" w:eastAsia="Arial" w:hAnsi="Arial"/>
          <w:sz w:val="19"/>
          <w:szCs w:val="19"/>
          <w:color w:val="auto"/>
        </w:rPr>
      </w:pPr>
    </w:p>
    <w:p>
      <w:pPr>
        <w:ind w:left="972" w:right="340" w:hanging="324"/>
        <w:spacing w:after="0" w:line="263" w:lineRule="auto"/>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Executive has also been advised by the Company (and given the opportunity) to discuss this Release with family and other advisors, as Executive deems appropriate;</w:t>
      </w:r>
    </w:p>
    <w:p>
      <w:pPr>
        <w:spacing w:after="0" w:line="174" w:lineRule="exact"/>
        <w:rPr>
          <w:rFonts w:ascii="Arial" w:cs="Arial" w:eastAsia="Arial" w:hAnsi="Arial"/>
          <w:sz w:val="22"/>
          <w:szCs w:val="22"/>
          <w:color w:val="auto"/>
        </w:rPr>
      </w:pPr>
    </w:p>
    <w:p>
      <w:pPr>
        <w:ind w:left="972" w:right="240" w:hanging="324"/>
        <w:spacing w:after="0" w:line="297" w:lineRule="auto"/>
        <w:tabs>
          <w:tab w:leader="none" w:pos="972" w:val="left"/>
        </w:tabs>
        <w:numPr>
          <w:ilvl w:val="1"/>
          <w:numId w:val="55"/>
        </w:numPr>
        <w:rPr>
          <w:rFonts w:ascii="Arial" w:cs="Arial" w:eastAsia="Arial" w:hAnsi="Arial"/>
          <w:sz w:val="19"/>
          <w:szCs w:val="19"/>
          <w:color w:val="auto"/>
        </w:rPr>
      </w:pPr>
      <w:r>
        <w:rPr>
          <w:rFonts w:ascii="Arial" w:cs="Arial" w:eastAsia="Arial" w:hAnsi="Arial"/>
          <w:sz w:val="19"/>
          <w:szCs w:val="19"/>
          <w:color w:val="auto"/>
        </w:rPr>
        <w:t>Executive has been given a period of at least &lt;&lt;[Select:] twenty-one (21) or forty-five (45)&gt;&gt; calendar days from the day that Executive received this Agreement, not counting the day on which Executive received it, to consider whether Executive wished to participate and to sign this Agreement. If Executive signs this Agreement before the end of the &lt;&lt;[Select:] 21-day or 45-day&gt;&gt; period, it will be Executive’s voluntary decision to do so because Executive decided that additional time was not not to decide whether to sign this Agreement; and</w:t>
      </w:r>
    </w:p>
    <w:p>
      <w:pPr>
        <w:spacing w:after="0" w:line="147" w:lineRule="exact"/>
        <w:rPr>
          <w:rFonts w:ascii="Arial" w:cs="Arial" w:eastAsia="Arial" w:hAnsi="Arial"/>
          <w:sz w:val="19"/>
          <w:szCs w:val="19"/>
          <w:color w:val="auto"/>
        </w:rPr>
      </w:pPr>
    </w:p>
    <w:p>
      <w:pPr>
        <w:ind w:left="972" w:hanging="324"/>
        <w:spacing w:after="0" w:line="250" w:lineRule="auto"/>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Executive may revoke this Agreement and rescind the Waiver and Release of claims within fifteen (15) days of the date of this Agreement, (the “Reconsideration Period”) Executive understands this Agreement does not become effective until the 15-day period lapses without such revocation by Executive, and that no payment under the Plan will be made to Executive unless and until this Agreement is effective.</w:t>
      </w:r>
    </w:p>
    <w:p>
      <w:pPr>
        <w:sectPr>
          <w:pgSz w:w="11900" w:h="16838" w:orient="portrait"/>
          <w:cols w:equalWidth="0" w:num="1">
            <w:col w:w="11412"/>
          </w:cols>
          <w:pgMar w:left="248" w:top="121" w:right="239" w:bottom="1440" w:gutter="0" w:footer="0" w:header="0"/>
        </w:sectPr>
      </w:pPr>
    </w:p>
    <w:bookmarkStart w:id="96" w:name="page97"/>
    <w:bookmarkEnd w:id="96"/>
    <w:p>
      <w:pPr>
        <w:ind w:left="7448"/>
        <w:spacing w:after="0"/>
        <w:rPr>
          <w:sz w:val="20"/>
          <w:szCs w:val="20"/>
          <w:color w:val="auto"/>
        </w:rPr>
      </w:pPr>
      <w:r>
        <w:rPr>
          <w:rFonts w:ascii="Arial" w:cs="Arial" w:eastAsia="Arial" w:hAnsi="Arial"/>
          <w:sz w:val="18"/>
          <w:szCs w:val="18"/>
          <w:b w:val="1"/>
          <w:bCs w:val="1"/>
          <w:color w:val="auto"/>
        </w:rPr>
        <w:t>Exhibit 10(c)</w:t>
      </w:r>
    </w:p>
    <w:p>
      <w:pPr>
        <w:spacing w:after="0" w:line="263" w:lineRule="exact"/>
        <w:rPr>
          <w:sz w:val="20"/>
          <w:szCs w:val="20"/>
          <w:color w:val="auto"/>
        </w:rPr>
      </w:pPr>
    </w:p>
    <w:p>
      <w:pPr>
        <w:jc w:val="both"/>
        <w:ind w:left="-332" w:firstLine="332"/>
        <w:spacing w:after="0" w:line="253" w:lineRule="auto"/>
        <w:tabs>
          <w:tab w:leader="none" w:pos="20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Should any provision of this agreement be held invalid or illegal, such illegality shall not invalidate the whole of this agreement, but, rather, the agreement shall be construed as if it did not contain the illegal part, and the rights and obligations of the parties shall be construed and enforced accordingly.</w:t>
      </w:r>
    </w:p>
    <w:p>
      <w:pPr>
        <w:spacing w:after="0" w:line="185" w:lineRule="exact"/>
        <w:rPr>
          <w:rFonts w:ascii="Arial" w:cs="Arial" w:eastAsia="Arial" w:hAnsi="Arial"/>
          <w:sz w:val="22"/>
          <w:szCs w:val="22"/>
          <w:color w:val="auto"/>
        </w:rPr>
      </w:pPr>
    </w:p>
    <w:p>
      <w:pPr>
        <w:ind w:left="-332" w:firstLine="332"/>
        <w:spacing w:after="0" w:line="287" w:lineRule="auto"/>
        <w:tabs>
          <w:tab w:leader="none" w:pos="33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This Agreement is entered into on a completely voluntary basis by both Executive and Minnesota Power, and represents the complete agreement between the parties, superseding any previous agreements.</w:t>
      </w:r>
    </w:p>
    <w:p>
      <w:pPr>
        <w:sectPr>
          <w:pgSz w:w="11900" w:h="16838" w:orient="portrait"/>
          <w:cols w:equalWidth="0" w:num="1">
            <w:col w:w="11088"/>
          </w:cols>
          <w:pgMar w:left="572" w:top="121" w:right="239" w:bottom="1440" w:gutter="0" w:footer="0" w:header="0"/>
        </w:sectPr>
      </w:pPr>
    </w:p>
    <w:bookmarkStart w:id="97" w:name="page98"/>
    <w:bookmarkEnd w:id="97"/>
    <w:p>
      <w:pPr>
        <w:jc w:val="right"/>
        <w:ind w:right="1439"/>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619"/>
        <w:spacing w:after="0" w:line="358" w:lineRule="auto"/>
        <w:rPr>
          <w:sz w:val="20"/>
          <w:szCs w:val="20"/>
          <w:color w:val="auto"/>
        </w:rPr>
      </w:pPr>
      <w:r>
        <w:rPr>
          <w:rFonts w:ascii="Arial" w:cs="Arial" w:eastAsia="Arial" w:hAnsi="Arial"/>
          <w:sz w:val="19"/>
          <w:szCs w:val="19"/>
          <w:color w:val="auto"/>
        </w:rPr>
        <w:t>_______________________ ____________________________________________ Date Executive’s Signature (Notarized)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Subscribed to before me this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_____day of ___________, 201___.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ALLETE, Inc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lightGray"/>
        </w:rPr>
        <w:t>&lt;&lt; or applicable affiliate employer&gt;&gt;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____________________________________</w:t>
      </w:r>
    </w:p>
    <w:p>
      <w:pPr>
        <w:sectPr>
          <w:pgSz w:w="11900" w:h="16838" w:orient="portrait"/>
          <w:cols w:equalWidth="0" w:num="1">
            <w:col w:w="10219"/>
          </w:cols>
          <w:pgMar w:left="240" w:top="121"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2018,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101" w:name="page102"/>
    <w:bookmarkEnd w:id="10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March 31, 2018, BNI Energy, owner of Center Mine, received one citation under Section 104(a) of the Mine Safety Act; however, it was not a significant and substantial (S&amp;S) citation. The total penalty proposed to be assessed on BNI with respect to the one citation was $208. For the three months ended March 31, 2018,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102" w:name="page103"/>
    <w:bookmarkEnd w:id="102"/>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20"/>
          </w:cols>
          <w:pgMar w:left="240" w:top="845" w:right="23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-95250</wp:posOffset>
            </wp:positionV>
            <wp:extent cx="1758315" cy="823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8315" cy="823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2, 2018</w:t>
      </w:r>
    </w:p>
    <w:p>
      <w:pPr>
        <w:spacing w:after="0" w:line="96" w:lineRule="exact"/>
        <w:rPr>
          <w:sz w:val="20"/>
          <w:szCs w:val="20"/>
          <w:color w:val="auto"/>
        </w:rPr>
      </w:pPr>
    </w:p>
    <w:p>
      <w:pPr>
        <w:sectPr>
          <w:pgSz w:w="11900" w:h="16838" w:orient="portrait"/>
          <w:cols w:equalWidth="0" w:num="2">
            <w:col w:w="7940" w:space="720"/>
            <w:col w:w="2760"/>
          </w:cols>
          <w:pgMar w:left="240" w:top="845" w:right="23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60"/>
          </w:cols>
          <w:pgMar w:left="240" w:top="845" w:right="23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20"/>
          </w:cols>
          <w:pgMar w:left="240" w:top="8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first quarter 2018 earnings of 99 cents per share</w:t>
      </w:r>
    </w:p>
    <w:p>
      <w:pPr>
        <w:spacing w:after="0" w:line="26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DULUTH, Minn. - ALLETE, Inc. (NYSE: ALE) today reported first quarter 2018 earnings of 99 cents per share on net income of $51.0 million and operating revenue of $358.2 million. Last year’s results were 97 cents per share on net income of $49.0 million and operating revenue of $365.6 million.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multifaceted growth strategy is evidenced in our financial results for the quarter, and overall the results are in-line with our expectations; our full-year earnings guidance range and expected contribution ranges from our Regulated Operations segment, and Energy Infrastructure and Related Services businesses and Corporate and Other operations remain unchanged. ALLETE has delivered on growth initiatives this quarter” said ALLETE Chairman, President and CEO Al Hodnik. “And we are well positioned with ALLETE’s family of businesses to answer the call for cleaner energy forms and water conservation, while creating additional value for our shareholders.”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ALLETE’s Regulated Operations segment, which includes Minnesota Power, Superior Water, Light and Power (SWL&amp;P) and the Company’s investment in the American Transmission Co. (ATC), recorded net income of $43.9 million, compared to $43.5 million in the first quarter a year ago. Earnings reflect lower net income at Minnesota Power resulting from reserves for an interim rate refund, discounts provided to Energy-Intensive Trade-Exposed customers, lower transmission revenue and higher property taxes. These declines were offset by lower depreciation expense due to timing of the Minnesota Public Utilities Commission’s decision to modify the Boswell Units 3 and 4 and common facilities depreciable lives, lower operating and maintenance expense, higher sales to industrial customers due to the start-up of Keewatin Taconite in March 2017, and higher sales to residential customers due to colder weather. Minnesota Power and the Minnesota Department of Commerce separately requested reconsideration on rate case decision points that, if granted, will impact 2018 revenue and expense. Net income at SWL&amp;P increased over last year due to the implementation of new rates effective in August 2017 and higher sales attributable to colder weather, while equity earnings from ATC were similar to last year.</w:t>
      </w:r>
    </w:p>
    <w:p>
      <w:pPr>
        <w:spacing w:after="0" w:line="18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ALLETE’s Energy Infrastructure and Related Services businesses, which include ALLETE Clean Energy and U.S. Water Services, recorded net income of $8.1 million and a net loss of $1.4 million in 2018, respectively. Earnings at ALLETE Clean Energy increased $1.4 million, or 21 percent, from 2017 primarily due to a lower federal income tax rate and production tax credits generated by its ongoing wind turbine refurbishment strategy. The net loss at U.S. Water Services increased $1.1 million due to higher operating expenses, which were partially offset by increased equipment revenue. Revenue increased 19 percent primarily due to the September 2017 acquisition of Tonka Water; however, revenue was negatively impacted by lower than expected equipment sales due to timing of shipments, as well as colder weather which reduced chemical sales. Earnings at U.S. Water Services reflect results from selling certain products that are seasonal in nature, with higher demand typically realized in warmer months.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Corporate and Other, which includes BNI Energy and ALLETE Properties, recorded net income of $0.4 million for the quarter, compared to a net loss of $0.9 million in 2017. The increase in 2018 reflects higher land sales at ALLETE Properties and lower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quarter was diluted by 2 cents due to additional shares of common stock outstanding as of March 31, 2018.</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or by accessing the webcast at www.allete.com. A replay of the call will be available through May 6, 2018 by calling (855) 859-2056, pass code 2193327.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ectPr>
          <w:pgSz w:w="11900" w:h="16838" w:orient="portrait"/>
          <w:cols w:equalWidth="0" w:num="1">
            <w:col w:w="11420"/>
          </w:cols>
          <w:pgMar w:left="240" w:top="845" w:right="239" w:bottom="1440" w:gutter="0" w:footer="0" w:header="0"/>
          <w:type w:val="continuous"/>
        </w:sectPr>
      </w:pPr>
    </w:p>
    <w:bookmarkStart w:id="103" w:name="page104"/>
    <w:bookmarkEnd w:id="103"/>
    <w:p>
      <w:pPr>
        <w:ind w:right="8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BNI Energy in Bismarck, N.D., U.S. Water Services headquartered in St. Michael, Minn.,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50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400" w:type="dxa"/>
            <w:vAlign w:val="bottom"/>
          </w:tcPr>
          <w:p>
            <w:pPr>
              <w:spacing w:after="0"/>
              <w:rPr>
                <w:sz w:val="23"/>
                <w:szCs w:val="23"/>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0"/>
        </w:trPr>
        <w:tc>
          <w:tcPr>
            <w:tcW w:w="6400" w:type="dxa"/>
            <w:vAlign w:val="bottom"/>
          </w:tcPr>
          <w:p>
            <w:pPr>
              <w:spacing w:after="0"/>
              <w:rPr>
                <w:sz w:val="23"/>
                <w:szCs w:val="23"/>
                <w:color w:val="auto"/>
              </w:rPr>
            </w:pPr>
          </w:p>
        </w:tc>
        <w:tc>
          <w:tcPr>
            <w:tcW w:w="41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4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Utility</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Contracts with Customers – Non-utility</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82.0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 Non-utility</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6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41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358.2</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365.6</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100.9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32.9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86.5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45.8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37"/>
        </w:trPr>
        <w:tc>
          <w:tcPr>
            <w:tcW w:w="6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41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300.8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57.4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1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(16.9)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4.7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6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4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4120" w:type="dxa"/>
            <w:vAlign w:val="bottom"/>
          </w:tcPr>
          <w:p>
            <w:pPr>
              <w:jc w:val="right"/>
              <w:ind w:right="410"/>
              <w:spacing w:after="0"/>
              <w:rPr>
                <w:sz w:val="20"/>
                <w:szCs w:val="20"/>
                <w:color w:val="auto"/>
              </w:rPr>
            </w:pPr>
            <w:r>
              <w:rPr>
                <w:rFonts w:ascii="Arial" w:cs="Arial" w:eastAsia="Arial" w:hAnsi="Arial"/>
                <w:sz w:val="18"/>
                <w:szCs w:val="18"/>
                <w:color w:val="auto"/>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$51.0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4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51.2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120" w:type="dxa"/>
            <w:vAlign w:val="bottom"/>
          </w:tcPr>
          <w:p>
            <w:pPr>
              <w:jc w:val="right"/>
              <w:ind w:right="470"/>
              <w:spacing w:after="0"/>
              <w:rPr>
                <w:sz w:val="20"/>
                <w:szCs w:val="20"/>
                <w:color w:val="auto"/>
              </w:rPr>
            </w:pPr>
            <w:r>
              <w:rPr>
                <w:rFonts w:ascii="Arial" w:cs="Arial" w:eastAsia="Arial" w:hAnsi="Arial"/>
                <w:sz w:val="18"/>
                <w:szCs w:val="18"/>
                <w:color w:val="auto"/>
              </w:rPr>
              <w:t>51.4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64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4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412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90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7"/>
        </w:trPr>
        <w:tc>
          <w:tcPr>
            <w:tcW w:w="64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4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$0.535</w:t>
            </w:r>
          </w:p>
        </w:tc>
      </w:tr>
      <w:tr>
        <w:trPr>
          <w:trHeight w:val="20"/>
        </w:trPr>
        <w:tc>
          <w:tcPr>
            <w:tcW w:w="640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0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305.1</w:t>
            </w:r>
          </w:p>
        </w:tc>
        <w:tc>
          <w:tcPr>
            <w:tcW w:w="920" w:type="dxa"/>
            <w:vAlign w:val="bottom"/>
          </w:tcPr>
          <w:p>
            <w:pPr>
              <w:jc w:val="right"/>
              <w:spacing w:after="0"/>
              <w:rPr>
                <w:sz w:val="20"/>
                <w:szCs w:val="20"/>
                <w:color w:val="auto"/>
              </w:rPr>
            </w:pPr>
            <w:r>
              <w:rPr>
                <w:rFonts w:ascii="Arial" w:cs="Arial" w:eastAsia="Arial" w:hAnsi="Arial"/>
                <w:sz w:val="18"/>
                <w:szCs w:val="18"/>
                <w:color w:val="auto"/>
              </w:rPr>
              <w:t>268.6</w:t>
            </w:r>
          </w:p>
        </w:tc>
        <w:tc>
          <w:tcPr>
            <w:tcW w:w="40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1,396.5</w:t>
            </w:r>
          </w:p>
        </w:tc>
        <w:tc>
          <w:tcPr>
            <w:tcW w:w="840" w:type="dxa"/>
            <w:vAlign w:val="bottom"/>
          </w:tcPr>
          <w:p>
            <w:pPr>
              <w:jc w:val="right"/>
              <w:spacing w:after="0"/>
              <w:rPr>
                <w:sz w:val="20"/>
                <w:szCs w:val="20"/>
                <w:color w:val="auto"/>
              </w:rPr>
            </w:pPr>
            <w:r>
              <w:rPr>
                <w:rFonts w:ascii="Arial" w:cs="Arial" w:eastAsia="Arial" w:hAnsi="Arial"/>
                <w:sz w:val="18"/>
                <w:szCs w:val="18"/>
                <w:color w:val="auto"/>
              </w:rPr>
              <w:t>1,439.2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376.0</w:t>
            </w:r>
          </w:p>
        </w:tc>
        <w:tc>
          <w:tcPr>
            <w:tcW w:w="920" w:type="dxa"/>
            <w:vAlign w:val="bottom"/>
          </w:tcPr>
          <w:p>
            <w:pPr>
              <w:jc w:val="right"/>
              <w:spacing w:after="0"/>
              <w:rPr>
                <w:sz w:val="20"/>
                <w:szCs w:val="20"/>
                <w:color w:val="auto"/>
              </w:rPr>
            </w:pPr>
            <w:r>
              <w:rPr>
                <w:rFonts w:ascii="Arial" w:cs="Arial" w:eastAsia="Arial" w:hAnsi="Arial"/>
                <w:sz w:val="18"/>
                <w:szCs w:val="18"/>
                <w:color w:val="auto"/>
              </w:rPr>
              <w:t>384.7</w:t>
            </w:r>
          </w:p>
        </w:tc>
        <w:tc>
          <w:tcPr>
            <w:tcW w:w="400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516.0</w:t>
            </w:r>
          </w:p>
        </w:tc>
        <w:tc>
          <w:tcPr>
            <w:tcW w:w="840" w:type="dxa"/>
            <w:vAlign w:val="bottom"/>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Benefit Plans</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52.8</w:t>
            </w: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40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257.8</w:t>
            </w: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109.0</w:t>
            </w:r>
          </w:p>
        </w:tc>
        <w:tc>
          <w:tcPr>
            <w:tcW w:w="920" w:type="dxa"/>
            <w:vAlign w:val="bottom"/>
          </w:tcPr>
          <w:p>
            <w:pPr>
              <w:jc w:val="right"/>
              <w:spacing w:after="0"/>
              <w:rPr>
                <w:sz w:val="20"/>
                <w:szCs w:val="20"/>
                <w:color w:val="auto"/>
              </w:rPr>
            </w:pPr>
            <w:r>
              <w:rPr>
                <w:rFonts w:ascii="Arial" w:cs="Arial" w:eastAsia="Arial" w:hAnsi="Arial"/>
                <w:sz w:val="18"/>
                <w:szCs w:val="18"/>
                <w:color w:val="auto"/>
              </w:rPr>
              <w:t>107.7</w:t>
            </w:r>
          </w:p>
        </w:tc>
        <w:tc>
          <w:tcPr>
            <w:tcW w:w="4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2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0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23"/>
                <w:szCs w:val="23"/>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00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$43.9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$43.5</w:t>
            </w:r>
          </w:p>
        </w:tc>
      </w:tr>
      <w:tr>
        <w:trPr>
          <w:trHeight w:val="216"/>
        </w:trPr>
        <w:tc>
          <w:tcPr>
            <w:tcW w:w="6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4000" w:type="dxa"/>
            <w:vAlign w:val="bottom"/>
          </w:tcPr>
          <w:p>
            <w:pPr>
              <w:jc w:val="right"/>
              <w:ind w:right="810"/>
              <w:spacing w:after="0"/>
              <w:rPr>
                <w:sz w:val="20"/>
                <w:szCs w:val="20"/>
                <w:color w:val="auto"/>
              </w:rPr>
            </w:pPr>
            <w:r>
              <w:rPr>
                <w:rFonts w:ascii="Arial" w:cs="Arial" w:eastAsia="Arial" w:hAnsi="Arial"/>
                <w:sz w:val="18"/>
                <w:szCs w:val="18"/>
                <w:color w:val="auto"/>
              </w:rPr>
              <w:t>8.1</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6.7</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4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r>
      <w:tr>
        <w:trPr>
          <w:trHeight w:val="237"/>
        </w:trPr>
        <w:tc>
          <w:tcPr>
            <w:tcW w:w="62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40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$51.0</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$49.0</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$0.99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$0.97</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High</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$74.42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$68.38</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$66.64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$61.64</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Close</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$72.25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$67.71</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$40.91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$39.34</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40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342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323</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367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369</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1,843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1,762</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219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215</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2,771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2,669</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1,003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1,041</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3,774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3,710</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40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$35.5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$34.7</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34.0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36.0</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113.3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120.5</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14.0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18.2</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196.8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209.4</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43.7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41.2</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31.0</w:t>
            </w:r>
          </w:p>
        </w:tc>
      </w:tr>
      <w:tr>
        <w:trPr>
          <w:trHeight w:val="237"/>
        </w:trPr>
        <w:tc>
          <w:tcPr>
            <w:tcW w:w="6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0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$270.2</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$281.6</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Letter"/>
      <w:start w:val="1"/>
    </w:lvl>
  </w:abstractNum>
  <w:abstractNum w:abstractNumId="8">
    <w:nsid w:val="614FD4A1"/>
    <w:multiLevelType w:val="hybridMultilevel"/>
    <w:lvl w:ilvl="0">
      <w:lvlJc w:val="left"/>
      <w:lvlText w:val="(%1)"/>
      <w:numFmt w:val="lowerLetter"/>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4"/>
      <w:numFmt w:val="bullet"/>
      <w:start w:val="1"/>
    </w:lvl>
  </w:abstractNum>
  <w:abstractNum w:abstractNumId="22">
    <w:nsid w:val="153EA438"/>
    <w:multiLevelType w:val="hybridMultilevel"/>
    <w:lvl w:ilvl="0">
      <w:lvlJc w:val="left"/>
      <w:lvlText w:val="%1"/>
      <w:numFmt w:val="decimal"/>
      <w:start w:val="32"/>
    </w:lvl>
  </w:abstractNum>
  <w:abstractNum w:abstractNumId="23">
    <w:nsid w:val="3855585C"/>
    <w:multiLevelType w:val="hybridMultilevel"/>
    <w:lvl w:ilvl="0">
      <w:lvlJc w:val="left"/>
      <w:lvlText w:val="%1"/>
      <w:numFmt w:val="decimal"/>
      <w:start w:val="99"/>
    </w:lvl>
  </w:abstractNum>
  <w:abstractNum w:abstractNumId="24">
    <w:nsid w:val="70A64E2A"/>
    <w:multiLevelType w:val="hybridMultilevel"/>
    <w:lvl w:ilvl="0">
      <w:lvlJc w:val="left"/>
      <w:lvlText w:val="(%1)"/>
      <w:numFmt w:val="decimal"/>
      <w:start w:val="3"/>
    </w:lvl>
  </w:abstractNum>
  <w:abstractNum w:abstractNumId="25">
    <w:nsid w:val="6A2342EC"/>
    <w:multiLevelType w:val="hybridMultilevel"/>
    <w:lvl w:ilvl="0">
      <w:lvlJc w:val="left"/>
      <w:lvlText w:val="(%1)"/>
      <w:numFmt w:val="upperLetter"/>
      <w:start w:val="9"/>
    </w:lvl>
  </w:abstractNum>
  <w:abstractNum w:abstractNumId="26">
    <w:nsid w:val="2A487CB0"/>
    <w:multiLevelType w:val="hybridMultilevel"/>
    <w:lvl w:ilvl="0">
      <w:lvlJc w:val="left"/>
      <w:lvlText w:val="(%1)"/>
      <w:numFmt w:val="upperLetter"/>
      <w:start w:val="35"/>
    </w:lvl>
  </w:abstractNum>
  <w:abstractNum w:abstractNumId="27">
    <w:nsid w:val="1D4ED43B"/>
    <w:multiLevelType w:val="hybridMultilevel"/>
    <w:lvl w:ilvl="0">
      <w:lvlJc w:val="left"/>
      <w:lvlText w:val="(%1)"/>
      <w:numFmt w:val="upperLetter"/>
      <w:start w:val="61"/>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1)"/>
      <w:numFmt w:val="upperLetter"/>
      <w:start w:val="22"/>
    </w:lvl>
  </w:abstractNum>
  <w:abstractNum w:abstractNumId="30">
    <w:nsid w:val="57E4CCAF"/>
    <w:multiLevelType w:val="hybridMultilevel"/>
    <w:lvl w:ilvl="0">
      <w:lvlJc w:val="left"/>
      <w:lvlText w:val="(%1)"/>
      <w:numFmt w:val="upperLetter"/>
      <w:start w:val="1"/>
    </w:lvl>
  </w:abstractNum>
  <w:abstractNum w:abstractNumId="31">
    <w:nsid w:val="7A6D8D3C"/>
    <w:multiLevelType w:val="hybridMultilevel"/>
    <w:lvl w:ilvl="0">
      <w:lvlJc w:val="left"/>
      <w:lvlText w:val="(%1)"/>
      <w:numFmt w:val="upperLetter"/>
      <w:start w:val="4"/>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34">
    <w:nsid w:val="6DE91B18"/>
    <w:multiLevelType w:val="hybridMultilevel"/>
    <w:lvl w:ilvl="0">
      <w:lvlJc w:val="left"/>
      <w:lvlText w:val="(%1)"/>
      <w:numFmt w:val="lowerLetter"/>
      <w:start w:val="2"/>
    </w:lvl>
  </w:abstractNum>
  <w:abstractNum w:abstractNumId="35">
    <w:nsid w:val="38437FDB"/>
    <w:multiLevelType w:val="hybridMultilevel"/>
    <w:lvl w:ilvl="0">
      <w:lvlJc w:val="left"/>
      <w:lvlText w:val="(%1)"/>
      <w:numFmt w:val="lowerRoman"/>
      <w:start w:val="3"/>
    </w:lvl>
  </w:abstractNum>
  <w:abstractNum w:abstractNumId="36">
    <w:nsid w:val="7644A45C"/>
    <w:multiLevelType w:val="hybridMultilevel"/>
    <w:lvl w:ilvl="0">
      <w:lvlJc w:val="left"/>
      <w:lvlText w:val="(%1)"/>
      <w:numFmt w:val="lowerLetter"/>
      <w:start w:val="3"/>
    </w:lvl>
  </w:abstractNum>
  <w:abstractNum w:abstractNumId="37">
    <w:nsid w:val="32FFF902"/>
    <w:multiLevelType w:val="hybridMultilevel"/>
    <w:lvl w:ilvl="0">
      <w:lvlJc w:val="left"/>
      <w:lvlText w:val="(%1)"/>
      <w:numFmt w:val="lowerRoman"/>
      <w:start w:val="1"/>
    </w:lvl>
    <w:lvl w:ilvl="1">
      <w:lvlJc w:val="left"/>
      <w:lvlText w:val="(%2)"/>
      <w:numFmt w:val="upperLetter"/>
      <w:start w:val="1"/>
    </w:lvl>
  </w:abstractNum>
  <w:abstractNum w:abstractNumId="38">
    <w:nsid w:val="684A481A"/>
    <w:multiLevelType w:val="hybridMultilevel"/>
    <w:lvl w:ilvl="0">
      <w:lvlJc w:val="left"/>
      <w:lvlText w:val="%1"/>
      <w:numFmt w:val="decimal"/>
      <w:start w:val="1"/>
    </w:lvl>
    <w:lvl w:ilvl="1">
      <w:lvlJc w:val="left"/>
      <w:lvlText w:val="(%2)"/>
      <w:numFmt w:val="upperLetter"/>
      <w:start w:val="3"/>
    </w:lvl>
  </w:abstractNum>
  <w:abstractNum w:abstractNumId="39">
    <w:nsid w:val="579478FE"/>
    <w:multiLevelType w:val="hybridMultilevel"/>
    <w:lvl w:ilvl="0">
      <w:lvlJc w:val="left"/>
      <w:lvlText w:val="(%1)"/>
      <w:numFmt w:val="decimal"/>
    </w:lvl>
    <w:lvl w:ilvl="1">
      <w:lvlJc w:val="left"/>
      <w:lvlText w:val="%2"/>
      <w:numFmt w:val="upperLetter"/>
      <w:start w:val="1"/>
    </w:lvl>
  </w:abstractNum>
  <w:abstractNum w:abstractNumId="40">
    <w:nsid w:val="749ABB43"/>
    <w:multiLevelType w:val="hybridMultilevel"/>
    <w:lvl w:ilvl="0">
      <w:lvlJc w:val="left"/>
      <w:lvlText w:val="(%1)"/>
      <w:numFmt w:val="lowerRoman"/>
      <w:start w:val="3"/>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upperLetter"/>
      <w:start w:val="9"/>
    </w:lvl>
  </w:abstractNum>
  <w:abstractNum w:abstractNumId="43">
    <w:nsid w:val="79A1DEAA"/>
    <w:multiLevelType w:val="hybridMultilevel"/>
    <w:lvl w:ilvl="0">
      <w:lvlJc w:val="left"/>
      <w:lvlText w:val="(%1)"/>
      <w:numFmt w:val="decimal"/>
      <w:start w:val="7"/>
    </w:lvl>
    <w:lvl w:ilvl="1">
      <w:lvlJc w:val="left"/>
      <w:lvlText w:val="(%2)"/>
      <w:numFmt w:val="lowerLetter"/>
      <w:start w:val="1"/>
    </w:lvl>
  </w:abstractNum>
  <w:abstractNum w:abstractNumId="44">
    <w:nsid w:val="75C6C33A"/>
    <w:multiLevelType w:val="hybridMultilevel"/>
    <w:lvl w:ilvl="0">
      <w:lvlJc w:val="left"/>
      <w:lvlText w:val="(%1)"/>
      <w:numFmt w:val="decimal"/>
      <w:start w:val="9"/>
    </w:lvl>
  </w:abstractNum>
  <w:abstractNum w:abstractNumId="45">
    <w:nsid w:val="12E685FB"/>
    <w:multiLevelType w:val="hybridMultilevel"/>
    <w:lvl w:ilvl="0">
      <w:lvlJc w:val="left"/>
      <w:lvlText w:val="(%1)"/>
      <w:numFmt w:val="upp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decimal"/>
      <w:start w:val="1"/>
    </w:lvl>
    <w:lvl w:ilvl="1">
      <w:lvlJc w:val="left"/>
      <w:lvlText w:val="%2."/>
      <w:numFmt w:val="decimal"/>
      <w:start w:val="4"/>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decimal"/>
      <w:start w:val="6"/>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2"/>
    </w:lvl>
  </w:abstractNum>
  <w:abstractNum w:abstractNumId="54">
    <w:nsid w:val="1CF10FD8"/>
    <w:multiLevelType w:val="hybridMultilevel"/>
    <w:lvl w:ilvl="0">
      <w:lvlJc w:val="left"/>
      <w:lvlText w:val="%1."/>
      <w:numFmt w:val="decimal"/>
      <w:start w:val="8"/>
    </w:lvl>
    <w:lvl w:ilvl="1">
      <w:lvlJc w:val="left"/>
      <w:lvlText w:val="%2)"/>
      <w:numFmt w:val="lowerLetter"/>
      <w:start w:val="1"/>
    </w:lvl>
  </w:abstractNum>
  <w:abstractNum w:abstractNumId="55">
    <w:nsid w:val="180115BE"/>
    <w:multiLevelType w:val="hybridMultilevel"/>
    <w:lvl w:ilvl="0">
      <w:lvlJc w:val="left"/>
      <w:lvlText w:val="%1."/>
      <w:numFmt w:val="decimal"/>
      <w:start w:val="9"/>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2019-12-28T23:13:37Z</dcterms:created>
  <dcterms:modified xsi:type="dcterms:W3CDTF">2019-12-28T23:13:37Z</dcterms:modified>
</cp:coreProperties>
</file>