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September 30, 2015</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472"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472"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472"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472"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440" w:gutter="0" w:footer="0" w:header="0"/>
          <w:type w:val="continuous"/>
        </w:sectPr>
      </w:pPr>
    </w:p>
    <w:p>
      <w:pPr>
        <w:spacing w:after="0" w:line="309"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472"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240" w:space="720"/>
            <w:col w:w="4460"/>
          </w:cols>
          <w:pgMar w:left="240" w:top="472" w:right="239" w:bottom="1440" w:gutter="0" w:footer="0" w:header="0"/>
          <w:type w:val="continuous"/>
        </w:sectPr>
      </w:pPr>
    </w:p>
    <w:p>
      <w:pPr>
        <w:spacing w:after="0" w:line="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48,965,562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September 30, 2015</w:t>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80" w:type="dxa"/>
            <w:vAlign w:val="bottom"/>
            <w:gridSpan w:val="3"/>
          </w:tcPr>
          <w:p>
            <w:pPr>
              <w:ind w:left="560"/>
              <w:spacing w:after="0"/>
              <w:rPr>
                <w:sz w:val="20"/>
                <w:szCs w:val="20"/>
                <w:color w:val="auto"/>
              </w:rPr>
            </w:pPr>
            <w:r>
              <w:rPr>
                <w:rFonts w:ascii="Arial" w:cs="Arial" w:eastAsia="Arial" w:hAnsi="Arial"/>
                <w:sz w:val="18"/>
                <w:szCs w:val="18"/>
                <w:b w:val="1"/>
                <w:bCs w:val="1"/>
                <w:color w:val="auto"/>
              </w:rPr>
              <w:t>Index</w:t>
            </w: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840" w:type="dxa"/>
            <w:vAlign w:val="bottom"/>
            <w:gridSpan w:val="3"/>
            <w:shd w:val="clear" w:color="auto" w:fill="CCEEFF"/>
          </w:tcPr>
          <w:p>
            <w:pPr>
              <w:ind w:left="40"/>
              <w:spacing w:after="0" w:line="202" w:lineRule="exact"/>
              <w:rPr>
                <w:rFonts w:ascii="Arial" w:cs="Arial" w:eastAsia="Arial" w:hAnsi="Arial"/>
                <w:sz w:val="18"/>
                <w:szCs w:val="18"/>
                <w:color w:val="0000EE"/>
                <w:w w:val="92"/>
              </w:rPr>
            </w:pPr>
            <w:hyperlink w:anchor="page2">
              <w:r>
                <w:rPr>
                  <w:rFonts w:ascii="Arial" w:cs="Arial" w:eastAsia="Arial" w:hAnsi="Arial"/>
                  <w:sz w:val="18"/>
                  <w:szCs w:val="18"/>
                  <w:color w:val="0000EE"/>
                  <w:w w:val="92"/>
                </w:rPr>
                <w:t>Definitions</w:t>
              </w:r>
            </w:hyperlink>
          </w:p>
        </w:tc>
        <w:tc>
          <w:tcPr>
            <w:tcW w:w="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4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gridSpan w:val="2"/>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94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64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780" w:type="dxa"/>
            <w:vAlign w:val="bottom"/>
            <w:tcBorders>
              <w:top w:val="single" w:sz="8" w:color="0000EE"/>
            </w:tcBorders>
            <w:gridSpan w:val="2"/>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3"/>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4100" w:type="dxa"/>
            <w:vAlign w:val="bottom"/>
            <w:gridSpan w:val="6"/>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6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3060" w:type="dxa"/>
            <w:vAlign w:val="bottom"/>
            <w:gridSpan w:val="4"/>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Financial Statements</w:t>
              </w:r>
            </w:hyperlink>
          </w:p>
        </w:tc>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8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Balance Sheet -</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6"/>
          </w:tcPr>
          <w:p>
            <w:pPr>
              <w:spacing w:after="0"/>
              <w:rPr>
                <w:sz w:val="20"/>
                <w:szCs w:val="20"/>
                <w:color w:val="auto"/>
              </w:rPr>
            </w:pPr>
            <w:r>
              <w:rPr>
                <w:rFonts w:ascii="Arial" w:cs="Arial" w:eastAsia="Arial" w:hAnsi="Arial"/>
                <w:sz w:val="18"/>
                <w:szCs w:val="18"/>
                <w:color w:val="auto"/>
              </w:rPr>
              <w:t>September 30, 2015 and December 31, 2014</w:t>
            </w:r>
          </w:p>
        </w:tc>
        <w:tc>
          <w:tcPr>
            <w:tcW w:w="200" w:type="dxa"/>
            <w:vAlign w:val="bottom"/>
            <w:gridSpan w:val="3"/>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19"/>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Income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340" w:type="dxa"/>
            <w:vAlign w:val="bottom"/>
            <w:gridSpan w:val="16"/>
            <w:shd w:val="clear" w:color="auto" w:fill="CCEEFF"/>
          </w:tcPr>
          <w:p>
            <w:pPr>
              <w:spacing w:after="0" w:line="202" w:lineRule="exact"/>
              <w:rPr>
                <w:sz w:val="20"/>
                <w:szCs w:val="20"/>
                <w:color w:val="auto"/>
              </w:rPr>
            </w:pPr>
            <w:r>
              <w:rPr>
                <w:rFonts w:ascii="Arial" w:cs="Arial" w:eastAsia="Arial" w:hAnsi="Arial"/>
                <w:sz w:val="18"/>
                <w:szCs w:val="18"/>
                <w:color w:val="auto"/>
              </w:rPr>
              <w:t>Quarter and Nine Months Ended September 30, 2015 and 2014</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0000EE"/>
            </w:tcBorders>
            <w:gridSpan w:val="15"/>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 of Comprehensive Income -</w:t>
              </w:r>
            </w:hyperlink>
          </w:p>
        </w:tc>
        <w:tc>
          <w:tcPr>
            <w:tcW w:w="6600" w:type="dxa"/>
            <w:vAlign w:val="bottom"/>
            <w:tcBorders>
              <w:bottom w:val="single" w:sz="8" w:color="CCEEFF"/>
            </w:tcBorders>
            <w:gridSpan w:val="4"/>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6"/>
          </w:tcPr>
          <w:p>
            <w:pPr>
              <w:spacing w:after="0" w:line="202" w:lineRule="exact"/>
              <w:rPr>
                <w:sz w:val="20"/>
                <w:szCs w:val="20"/>
                <w:color w:val="auto"/>
              </w:rPr>
            </w:pPr>
            <w:r>
              <w:rPr>
                <w:rFonts w:ascii="Arial" w:cs="Arial" w:eastAsia="Arial" w:hAnsi="Arial"/>
                <w:sz w:val="18"/>
                <w:szCs w:val="18"/>
                <w:color w:val="auto"/>
              </w:rPr>
              <w:t>Quarter and Nine Months Ended September 30, 2015 and 2014</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19"/>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Cash Flows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340" w:type="dxa"/>
            <w:vAlign w:val="bottom"/>
            <w:gridSpan w:val="16"/>
            <w:shd w:val="clear" w:color="auto" w:fill="CCEEFF"/>
          </w:tcPr>
          <w:p>
            <w:pPr>
              <w:spacing w:after="0" w:line="202" w:lineRule="exact"/>
              <w:rPr>
                <w:sz w:val="20"/>
                <w:szCs w:val="20"/>
                <w:color w:val="auto"/>
              </w:rPr>
            </w:pPr>
            <w:r>
              <w:rPr>
                <w:rFonts w:ascii="Arial" w:cs="Arial" w:eastAsia="Arial" w:hAnsi="Arial"/>
                <w:sz w:val="18"/>
                <w:szCs w:val="18"/>
                <w:color w:val="auto"/>
              </w:rPr>
              <w:t>Nine Months Ended September 30, 2015 and 2014</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9</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380" w:type="dxa"/>
            <w:vAlign w:val="bottom"/>
            <w:gridSpan w:val="19"/>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2.</w:t>
              </w:r>
            </w:hyperlink>
          </w:p>
        </w:tc>
        <w:tc>
          <w:tcPr>
            <w:tcW w:w="520" w:type="dxa"/>
            <w:vAlign w:val="bottom"/>
            <w:gridSpan w:val="2"/>
            <w:shd w:val="clear" w:color="auto" w:fill="CCEEFF"/>
          </w:tcPr>
          <w:p>
            <w:pPr>
              <w:spacing w:after="0"/>
              <w:rPr>
                <w:sz w:val="17"/>
                <w:szCs w:val="17"/>
                <w:color w:val="auto"/>
              </w:rPr>
            </w:pPr>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454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and Results of Operations</w:t>
              </w:r>
            </w:hyperlink>
          </w:p>
        </w:tc>
        <w:tc>
          <w:tcPr>
            <w:tcW w:w="48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3.</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Item 4.</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Part II.</w:t>
              </w:r>
            </w:hyperlink>
          </w:p>
        </w:tc>
        <w:tc>
          <w:tcPr>
            <w:tcW w:w="10380" w:type="dxa"/>
            <w:vAlign w:val="bottom"/>
            <w:gridSpan w:val="19"/>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1.</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1A.</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2.</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3.</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4.</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5.</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6.</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Exhibits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65</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4"/>
            <w:shd w:val="clear" w:color="auto" w:fill="CCEEFF"/>
          </w:tcPr>
          <w:p>
            <w:pPr>
              <w:ind w:left="40"/>
              <w:spacing w:after="0" w:line="202"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Signatures</w:t>
              </w:r>
            </w:hyperlink>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66</w:t>
              </w:r>
            </w:hyperlink>
          </w:p>
        </w:tc>
      </w:tr>
      <w:tr>
        <w:trPr>
          <w:trHeight w:val="39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020" w:type="dxa"/>
            <w:vAlign w:val="bottom"/>
            <w:tcBorders>
              <w:top w:val="single" w:sz="8" w:color="CCEEFF"/>
            </w:tcBorders>
            <w:gridSpan w:val="5"/>
          </w:tcPr>
          <w:p>
            <w:pPr>
              <w:ind w:left="180"/>
              <w:spacing w:after="0"/>
              <w:rPr>
                <w:sz w:val="20"/>
                <w:szCs w:val="20"/>
                <w:color w:val="auto"/>
              </w:rPr>
            </w:pPr>
            <w:r>
              <w:rPr>
                <w:rFonts w:ascii="Arial" w:cs="Arial" w:eastAsia="Arial" w:hAnsi="Arial"/>
                <w:sz w:val="14"/>
                <w:szCs w:val="14"/>
                <w:color w:val="auto"/>
              </w:rPr>
              <w:t>ALLETE, Inc. Third Quarter 2015 Form 10-Q</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364" w:right="239" w:bottom="1440" w:gutter="0" w:footer="0" w:header="0"/>
        </w:sect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64"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Allowance for Funds Used During Construction – the cost of both debt and equity funds used to finance utility</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(formerly Rainy River Energy Corporation - Wisconsin)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ATC</w:t>
            </w:r>
          </w:p>
        </w:tc>
        <w:tc>
          <w:tcPr>
            <w:tcW w:w="818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Wind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BNI Coal</w:t>
            </w:r>
          </w:p>
        </w:tc>
        <w:tc>
          <w:tcPr>
            <w:tcW w:w="8180" w:type="dxa"/>
            <w:vAlign w:val="bottom"/>
            <w:gridSpan w:val="2"/>
          </w:tcPr>
          <w:p>
            <w:pPr>
              <w:spacing w:after="0"/>
              <w:rPr>
                <w:sz w:val="20"/>
                <w:szCs w:val="20"/>
                <w:color w:val="auto"/>
              </w:rPr>
            </w:pPr>
            <w:r>
              <w:rPr>
                <w:rFonts w:ascii="Arial" w:cs="Arial" w:eastAsia="Arial" w:hAnsi="Arial"/>
                <w:sz w:val="18"/>
                <w:szCs w:val="18"/>
                <w:color w:val="auto"/>
              </w:rPr>
              <w:t>BNI Coal, Ltd.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Carbon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CSAPR</w:t>
            </w:r>
          </w:p>
        </w:tc>
        <w:tc>
          <w:tcPr>
            <w:tcW w:w="818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EIS</w:t>
            </w:r>
          </w:p>
        </w:tc>
        <w:tc>
          <w:tcPr>
            <w:tcW w:w="8180" w:type="dxa"/>
            <w:vAlign w:val="bottom"/>
            <w:gridSpan w:val="2"/>
          </w:tcPr>
          <w:p>
            <w:pPr>
              <w:spacing w:after="0"/>
              <w:rPr>
                <w:sz w:val="20"/>
                <w:szCs w:val="20"/>
                <w:color w:val="auto"/>
              </w:rPr>
            </w:pPr>
            <w:r>
              <w:rPr>
                <w:rFonts w:ascii="Arial" w:cs="Arial" w:eastAsia="Arial" w:hAnsi="Arial"/>
                <w:sz w:val="18"/>
                <w:szCs w:val="18"/>
                <w:color w:val="auto"/>
              </w:rPr>
              <w:t>Environmental Impact Statement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Enbridge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Enbridge,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EPA</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FASB</w:t>
            </w:r>
          </w:p>
        </w:tc>
        <w:tc>
          <w:tcPr>
            <w:tcW w:w="818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18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GNTL</w:t>
            </w:r>
          </w:p>
        </w:tc>
        <w:tc>
          <w:tcPr>
            <w:tcW w:w="818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IBEW</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 Brotherhood of Electrical Workers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kV</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43"/>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kWh</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Kilowatt-hour(s)</w:t>
            </w:r>
          </w:p>
        </w:tc>
      </w:tr>
      <w:tr>
        <w:trPr>
          <w:trHeight w:val="203"/>
        </w:trPr>
        <w:tc>
          <w:tcPr>
            <w:tcW w:w="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780" w:type="dxa"/>
            <w:vAlign w:val="bottom"/>
            <w:shd w:val="clear" w:color="auto" w:fill="CCEEFF"/>
          </w:tcPr>
          <w:p>
            <w:pPr>
              <w:spacing w:after="0"/>
              <w:rPr>
                <w:sz w:val="17"/>
                <w:szCs w:val="17"/>
                <w:color w:val="auto"/>
              </w:rPr>
            </w:pP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LIBOR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London Interbank Offered Rate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MACT</w:t>
            </w:r>
          </w:p>
        </w:tc>
        <w:tc>
          <w:tcPr>
            <w:tcW w:w="8180" w:type="dxa"/>
            <w:vAlign w:val="bottom"/>
            <w:gridSpan w:val="2"/>
          </w:tcPr>
          <w:p>
            <w:pPr>
              <w:spacing w:after="0"/>
              <w:rPr>
                <w:sz w:val="20"/>
                <w:szCs w:val="20"/>
                <w:color w:val="auto"/>
              </w:rPr>
            </w:pPr>
            <w:r>
              <w:rPr>
                <w:rFonts w:ascii="Arial" w:cs="Arial" w:eastAsia="Arial" w:hAnsi="Arial"/>
                <w:sz w:val="18"/>
                <w:szCs w:val="18"/>
                <w:color w:val="auto"/>
              </w:rPr>
              <w:t>Maximum Achievable Control Technology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Magnetation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Magnetation,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MATS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Mercury and Air Toxics Standards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Mesabi Nugget</w:t>
            </w:r>
          </w:p>
        </w:tc>
        <w:tc>
          <w:tcPr>
            <w:tcW w:w="8180" w:type="dxa"/>
            <w:vAlign w:val="bottom"/>
            <w:gridSpan w:val="2"/>
          </w:tcPr>
          <w:p>
            <w:pPr>
              <w:spacing w:after="0"/>
              <w:rPr>
                <w:sz w:val="20"/>
                <w:szCs w:val="20"/>
                <w:color w:val="auto"/>
              </w:rPr>
            </w:pPr>
            <w:r>
              <w:rPr>
                <w:rFonts w:ascii="Arial" w:cs="Arial" w:eastAsia="Arial" w:hAnsi="Arial"/>
                <w:sz w:val="18"/>
                <w:szCs w:val="18"/>
                <w:color w:val="auto"/>
              </w:rPr>
              <w:t>Mesabi Nugget Delaware,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Mining Resources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Mining Resources,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An operating division of 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Minnkota Power Cooperative,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MISO</w:t>
            </w:r>
          </w:p>
        </w:tc>
        <w:tc>
          <w:tcPr>
            <w:tcW w:w="8180" w:type="dxa"/>
            <w:vAlign w:val="bottom"/>
            <w:gridSpan w:val="2"/>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Montana-Dakota Utilities Co., a division of MDU Resources Group, Inc.</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40"/>
              <w:spacing w:after="0"/>
              <w:rPr>
                <w:sz w:val="20"/>
                <w:szCs w:val="20"/>
                <w:color w:val="auto"/>
              </w:rPr>
            </w:pPr>
            <w:r>
              <w:rPr>
                <w:rFonts w:ascii="Arial" w:cs="Arial" w:eastAsia="Arial" w:hAnsi="Arial"/>
                <w:sz w:val="14"/>
                <w:szCs w:val="14"/>
                <w:color w:val="auto"/>
              </w:rPr>
              <w:t>ALLETE, Inc. Third Quarter 2015 Form 10-Q</w:t>
            </w:r>
          </w:p>
        </w:tc>
      </w:tr>
    </w:tbl>
    <w:p>
      <w:pPr>
        <w:spacing w:after="0" w:line="1" w:lineRule="exact"/>
        <w:rPr>
          <w:sz w:val="20"/>
          <w:szCs w:val="20"/>
          <w:color w:val="auto"/>
        </w:rPr>
      </w:pPr>
    </w:p>
    <w:p>
      <w:pPr>
        <w:sectPr>
          <w:pgSz w:w="11900" w:h="16838" w:orient="portrait"/>
          <w:cols w:equalWidth="0" w:num="1">
            <w:col w:w="11420"/>
          </w:cols>
          <w:pgMar w:left="240" w:top="364"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364"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20"/>
        </w:trPr>
        <w:tc>
          <w:tcPr>
            <w:tcW w:w="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MPCA</w:t>
            </w:r>
          </w:p>
        </w:tc>
        <w:tc>
          <w:tcPr>
            <w:tcW w:w="122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MPUC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MW / MWh</w:t>
            </w:r>
          </w:p>
        </w:tc>
        <w:tc>
          <w:tcPr>
            <w:tcW w:w="818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NAAQS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NDPSC</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Non-residential</w:t>
            </w:r>
          </w:p>
        </w:tc>
        <w:tc>
          <w:tcPr>
            <w:tcW w:w="8180" w:type="dxa"/>
            <w:vAlign w:val="bottom"/>
            <w:gridSpan w:val="2"/>
          </w:tcPr>
          <w:p>
            <w:pPr>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Dioxide</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180" w:type="dxa"/>
            <w:vAlign w:val="bottom"/>
            <w:gridSpan w:val="2"/>
          </w:tcPr>
          <w:p>
            <w:pPr>
              <w:spacing w:after="0"/>
              <w:rPr>
                <w:sz w:val="20"/>
                <w:szCs w:val="20"/>
                <w:color w:val="auto"/>
              </w:rPr>
            </w:pPr>
            <w:r>
              <w:rPr>
                <w:rFonts w:ascii="Arial" w:cs="Arial" w:eastAsia="Arial" w:hAnsi="Arial"/>
                <w:sz w:val="18"/>
                <w:szCs w:val="18"/>
                <w:color w:val="auto"/>
              </w:rPr>
              <w:t>Nitrogen Oxides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NPDES</w:t>
            </w:r>
          </w:p>
        </w:tc>
        <w:tc>
          <w:tcPr>
            <w:tcW w:w="818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Oliver Wind II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development project in Florida</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Palm Coast Park District</w:t>
            </w:r>
          </w:p>
        </w:tc>
        <w:tc>
          <w:tcPr>
            <w:tcW w:w="8180" w:type="dxa"/>
            <w:vAlign w:val="bottom"/>
            <w:gridSpan w:val="2"/>
          </w:tcPr>
          <w:p>
            <w:pPr>
              <w:spacing w:after="0"/>
              <w:rPr>
                <w:sz w:val="20"/>
                <w:szCs w:val="20"/>
                <w:color w:val="auto"/>
              </w:rPr>
            </w:pPr>
            <w:r>
              <w:rPr>
                <w:rFonts w:ascii="Arial" w:cs="Arial" w:eastAsia="Arial" w:hAnsi="Arial"/>
                <w:sz w:val="18"/>
                <w:szCs w:val="18"/>
                <w:color w:val="auto"/>
              </w:rPr>
              <w:t>Palm Coast Park Community Development District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 Mining Corp.</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PPA</w:t>
            </w:r>
          </w:p>
        </w:tc>
        <w:tc>
          <w:tcPr>
            <w:tcW w:w="8180" w:type="dxa"/>
            <w:vAlign w:val="bottom"/>
            <w:gridSpan w:val="2"/>
          </w:tcPr>
          <w:p>
            <w:pPr>
              <w:spacing w:after="0"/>
              <w:rPr>
                <w:sz w:val="20"/>
                <w:szCs w:val="20"/>
                <w:color w:val="auto"/>
              </w:rPr>
            </w:pPr>
            <w:r>
              <w:rPr>
                <w:rFonts w:ascii="Arial" w:cs="Arial" w:eastAsia="Arial" w:hAnsi="Arial"/>
                <w:sz w:val="18"/>
                <w:szCs w:val="18"/>
                <w:color w:val="auto"/>
              </w:rPr>
              <w:t>Power Purchase Agreement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PPACA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PSCW</w:t>
            </w:r>
          </w:p>
        </w:tc>
        <w:tc>
          <w:tcPr>
            <w:tcW w:w="818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SIP</w:t>
            </w:r>
          </w:p>
        </w:tc>
        <w:tc>
          <w:tcPr>
            <w:tcW w:w="8180" w:type="dxa"/>
            <w:vAlign w:val="bottom"/>
            <w:gridSpan w:val="2"/>
          </w:tcPr>
          <w:p>
            <w:pPr>
              <w:spacing w:after="0"/>
              <w:rPr>
                <w:sz w:val="20"/>
                <w:szCs w:val="20"/>
                <w:color w:val="auto"/>
              </w:rPr>
            </w:pPr>
            <w:r>
              <w:rPr>
                <w:rFonts w:ascii="Arial" w:cs="Arial" w:eastAsia="Arial" w:hAnsi="Arial"/>
                <w:sz w:val="18"/>
                <w:szCs w:val="18"/>
                <w:color w:val="auto"/>
              </w:rPr>
              <w:t>State Implementation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Square Butte</w:t>
            </w:r>
          </w:p>
        </w:tc>
        <w:tc>
          <w:tcPr>
            <w:tcW w:w="8180" w:type="dxa"/>
            <w:vAlign w:val="bottom"/>
            <w:gridSpan w:val="2"/>
          </w:tcPr>
          <w:p>
            <w:pPr>
              <w:spacing w:after="0"/>
              <w:rPr>
                <w:sz w:val="20"/>
                <w:szCs w:val="20"/>
                <w:color w:val="auto"/>
              </w:rPr>
            </w:pPr>
            <w:r>
              <w:rPr>
                <w:rFonts w:ascii="Arial" w:cs="Arial" w:eastAsia="Arial" w:hAnsi="Arial"/>
                <w:sz w:val="18"/>
                <w:szCs w:val="18"/>
                <w:color w:val="auto"/>
              </w:rPr>
              <w:t>Square Butte Electric Cooperative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Steel Dynamics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Steel Dynamics, Inc.</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SWL&amp;P</w:t>
            </w:r>
          </w:p>
        </w:tc>
        <w:tc>
          <w:tcPr>
            <w:tcW w:w="818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Harbor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Thomson</w:t>
            </w:r>
          </w:p>
        </w:tc>
        <w:tc>
          <w:tcPr>
            <w:tcW w:w="8180" w:type="dxa"/>
            <w:vAlign w:val="bottom"/>
            <w:gridSpan w:val="2"/>
          </w:tcPr>
          <w:p>
            <w:pPr>
              <w:spacing w:after="0"/>
              <w:rPr>
                <w:sz w:val="20"/>
                <w:szCs w:val="20"/>
                <w:color w:val="auto"/>
              </w:rPr>
            </w:pPr>
            <w:r>
              <w:rPr>
                <w:rFonts w:ascii="Arial" w:cs="Arial" w:eastAsia="Arial" w:hAnsi="Arial"/>
                <w:sz w:val="18"/>
                <w:szCs w:val="18"/>
                <w:color w:val="auto"/>
              </w:rPr>
              <w:t>Thomson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Town Center District</w:t>
            </w:r>
          </w:p>
        </w:tc>
        <w:tc>
          <w:tcPr>
            <w:tcW w:w="818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TransAlta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TransAlta Energy Marketing (U.S.) Inc.</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U.S.</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Water Services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Water Services, Inc.</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USS Corporation</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85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40"/>
              <w:spacing w:after="0"/>
              <w:rPr>
                <w:sz w:val="20"/>
                <w:szCs w:val="20"/>
                <w:color w:val="auto"/>
              </w:rPr>
            </w:pPr>
            <w:r>
              <w:rPr>
                <w:rFonts w:ascii="Arial" w:cs="Arial" w:eastAsia="Arial" w:hAnsi="Arial"/>
                <w:sz w:val="14"/>
                <w:szCs w:val="14"/>
                <w:color w:val="auto"/>
              </w:rPr>
              <w:t>ALLETE, Inc. Third Quarter 2015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greenhouse gases;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recover these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zoning and permitting of land held for resale, real estate development or changes in the real estate market.</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or performance to differ from those anticipated by this report are discussed in Part 1, Item 1A, under the heading “Risk Factors” beginning on page 29 of the Form 10-K for the year ended December 31, 2014, and in “Item 1A. Risk Factors” in this Form 10-Q on page 64.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we assess the impact of each of these factors on our businesses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identify the risks and uncertainties that may affect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00" w:type="dxa"/>
            <w:vAlign w:val="bottom"/>
          </w:tcPr>
          <w:p>
            <w:pPr>
              <w:spacing w:after="0"/>
              <w:rPr>
                <w:sz w:val="20"/>
                <w:szCs w:val="20"/>
                <w:color w:val="auto"/>
              </w:rPr>
            </w:pPr>
          </w:p>
        </w:tc>
        <w:tc>
          <w:tcPr>
            <w:tcW w:w="16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$103.0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$145.8</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$1.3 and $1.1)</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110.7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103.0</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119.1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42.5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82.0</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r>
      <w:tr>
        <w:trPr>
          <w:trHeight w:val="237"/>
        </w:trPr>
        <w:tc>
          <w:tcPr>
            <w:tcW w:w="8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403.3</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418.8</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3,639.1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3,284.8</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353.3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357.3</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ATC</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126.0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113.5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114.4</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 Net</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212.9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83.7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59.6</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$4,931.8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$4,360.8</w:t>
            </w: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$125.0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Accrued Taxes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34.8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38.7</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Long-Term Debt Due Within One Year</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49.1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100.7</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Notes Payable</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Other</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94.3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120.8</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317.7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1,549.0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1,272.8</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593.6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105.8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94.2</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189.6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190.9</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352.7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265.0</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3,108.4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2,749.6</w:t>
            </w: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Guarantees and Contingencies (Note 15)</w:t>
            </w:r>
          </w:p>
        </w:tc>
        <w:tc>
          <w:tcPr>
            <w:tcW w:w="16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ALLETE’s Equity</w:t>
            </w: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Without Par Value, 80.0 Shares Authorized, 49.0 and 45.9 Shares Outstanding</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1,264.9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1,107.6</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Unearned ESOP Shares</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1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578.8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530.1</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ALLETE Equity</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1,821.7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1,609.4</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1,823.4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1,611.2</w:t>
            </w: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$4,931.8</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$4,360.8</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00" w:type="dxa"/>
            <w:vAlign w:val="bottom"/>
          </w:tcPr>
          <w:p>
            <w:pPr>
              <w:ind w:left="3380"/>
              <w:spacing w:after="0"/>
              <w:rPr>
                <w:sz w:val="20"/>
                <w:szCs w:val="20"/>
                <w:color w:val="auto"/>
              </w:rPr>
            </w:pPr>
            <w:r>
              <w:rPr>
                <w:rFonts w:ascii="Arial" w:cs="Arial" w:eastAsia="Arial" w:hAnsi="Arial"/>
                <w:sz w:val="18"/>
                <w:szCs w:val="18"/>
                <w:color w:val="auto"/>
                <w:w w:val="91"/>
              </w:rPr>
              <w:t>The accompanying notes are an integral part of these statements.</w:t>
            </w:r>
          </w:p>
        </w:tc>
        <w:tc>
          <w:tcPr>
            <w:tcW w:w="162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344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Quarter Ended</w:t>
            </w:r>
          </w:p>
        </w:tc>
        <w:tc>
          <w:tcPr>
            <w:tcW w:w="22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720" w:type="dxa"/>
            <w:vAlign w:val="bottom"/>
          </w:tcPr>
          <w:p>
            <w:pPr>
              <w:spacing w:after="0"/>
              <w:rPr>
                <w:sz w:val="23"/>
                <w:szCs w:val="23"/>
                <w:color w:val="auto"/>
              </w:rPr>
            </w:pPr>
          </w:p>
        </w:tc>
        <w:tc>
          <w:tcPr>
            <w:tcW w:w="344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22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720" w:type="dxa"/>
            <w:vAlign w:val="bottom"/>
          </w:tcPr>
          <w:p>
            <w:pPr>
              <w:spacing w:after="0"/>
              <w:rPr>
                <w:sz w:val="23"/>
                <w:szCs w:val="23"/>
                <w:color w:val="auto"/>
              </w:rPr>
            </w:pPr>
          </w:p>
        </w:tc>
        <w:tc>
          <w:tcPr>
            <w:tcW w:w="23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100" w:type="dxa"/>
            <w:vAlign w:val="bottom"/>
          </w:tcPr>
          <w:p>
            <w:pPr>
              <w:jc w:val="right"/>
              <w:ind w:right="630"/>
              <w:spacing w:after="0"/>
              <w:rPr>
                <w:sz w:val="20"/>
                <w:szCs w:val="20"/>
                <w:color w:val="auto"/>
              </w:rPr>
            </w:pPr>
            <w:r>
              <w:rPr>
                <w:rFonts w:ascii="Arial" w:cs="Arial" w:eastAsia="Arial" w:hAnsi="Arial"/>
                <w:sz w:val="18"/>
                <w:szCs w:val="18"/>
                <w:b w:val="1"/>
                <w:bCs w:val="1"/>
                <w:color w:val="auto"/>
                <w:w w:val="89"/>
              </w:rPr>
              <w:t>2014</w:t>
            </w: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7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$462.5</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$288.9</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$1,105.8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$846.1</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76.8</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88.9</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242.9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268.7</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Transmission Services</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13.9</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11.9</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40.1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33.2</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149.8</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16.8</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233.3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81.3</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65.7</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246.4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214.3</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43.2</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33.4</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123.5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12.3</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11.4</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38.5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377.3</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228.1</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924.7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85.2</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60.8</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181.1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137.3</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340" w:type="dxa"/>
            <w:vAlign w:val="bottom"/>
          </w:tcPr>
          <w:p>
            <w:pPr>
              <w:jc w:val="right"/>
              <w:ind w:right="350"/>
              <w:spacing w:after="0"/>
              <w:rPr>
                <w:sz w:val="20"/>
                <w:szCs w:val="20"/>
                <w:color w:val="auto"/>
              </w:rPr>
            </w:pPr>
            <w:r>
              <w:rPr>
                <w:rFonts w:ascii="Arial" w:cs="Arial" w:eastAsia="Arial" w:hAnsi="Arial"/>
                <w:sz w:val="18"/>
                <w:szCs w:val="18"/>
                <w:color w:val="auto"/>
              </w:rPr>
              <w:t>(17.7)</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(13.2)</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(49.0)</w:t>
            </w:r>
          </w:p>
        </w:tc>
        <w:tc>
          <w:tcPr>
            <w:tcW w:w="96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5.5</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5.3</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Other</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1.7</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(10.5)</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(5.8)</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74.7</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55.0</w:t>
            </w:r>
          </w:p>
        </w:tc>
        <w:tc>
          <w:tcPr>
            <w:tcW w:w="13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149.7</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119.4</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14.4</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13.4</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60.3</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41.6</w:t>
            </w:r>
          </w:p>
        </w:tc>
        <w:tc>
          <w:tcPr>
            <w:tcW w:w="13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122.7</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92.3</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$60.4</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$41.6</w:t>
            </w:r>
          </w:p>
        </w:tc>
        <w:tc>
          <w:tcPr>
            <w:tcW w:w="13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$122.8</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$91.9</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Basic</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48.8</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42.9</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48.0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42.1</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48.9</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42.9</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$1.24</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$0.97</w:t>
            </w:r>
          </w:p>
        </w:tc>
        <w:tc>
          <w:tcPr>
            <w:tcW w:w="13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$2.56</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$1.23</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$0.97</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$0.505</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$0.49</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$1.515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80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060" w:type="dxa"/>
            <w:vAlign w:val="bottom"/>
            <w:gridSpan w:val="2"/>
          </w:tcPr>
          <w:p>
            <w:pPr>
              <w:ind w:left="3380"/>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1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30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0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6060" w:type="dxa"/>
            <w:vAlign w:val="bottom"/>
          </w:tcPr>
          <w:p>
            <w:pPr>
              <w:spacing w:after="0"/>
              <w:rPr>
                <w:sz w:val="23"/>
                <w:szCs w:val="23"/>
                <w:color w:val="auto"/>
              </w:rPr>
            </w:pPr>
          </w:p>
        </w:tc>
        <w:tc>
          <w:tcPr>
            <w:tcW w:w="33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0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6060" w:type="dxa"/>
            <w:vAlign w:val="bottom"/>
          </w:tcPr>
          <w:p>
            <w:pPr>
              <w:spacing w:after="0"/>
              <w:rPr>
                <w:sz w:val="23"/>
                <w:szCs w:val="23"/>
                <w:color w:val="auto"/>
              </w:rPr>
            </w:pPr>
          </w:p>
        </w:tc>
        <w:tc>
          <w:tcPr>
            <w:tcW w:w="2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r>
      <w:tr>
        <w:trPr>
          <w:trHeight w:val="27"/>
        </w:trPr>
        <w:tc>
          <w:tcPr>
            <w:tcW w:w="60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0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$60.3</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$41.6</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$122.7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2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of Income Taxes of $(0.4), $–, $(0.3), and $0.1</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(0.7)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Derivatives</w:t>
            </w:r>
          </w:p>
        </w:tc>
        <w:tc>
          <w:tcPr>
            <w:tcW w:w="2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of Income Taxes of $–, $–, $0.1, and $0.1</w:t>
            </w:r>
          </w:p>
        </w:tc>
        <w:tc>
          <w:tcPr>
            <w:tcW w:w="21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40"/>
              <w:spacing w:after="0"/>
              <w:rPr>
                <w:sz w:val="20"/>
                <w:szCs w:val="20"/>
                <w:color w:val="auto"/>
              </w:rPr>
            </w:pPr>
            <w:r>
              <w:rPr>
                <w:rFonts w:ascii="Arial" w:cs="Arial" w:eastAsia="Arial" w:hAnsi="Arial"/>
                <w:sz w:val="18"/>
                <w:szCs w:val="18"/>
                <w:color w:val="auto"/>
              </w:rPr>
              <w:t>Net of Income Taxes of $0.3, $0.2, $0.7, and $0.6</w:t>
            </w:r>
          </w:p>
        </w:tc>
        <w:tc>
          <w:tcPr>
            <w:tcW w:w="2180" w:type="dxa"/>
            <w:vAlign w:val="bottom"/>
          </w:tcPr>
          <w:p>
            <w:pPr>
              <w:jc w:val="right"/>
              <w:ind w:right="250"/>
              <w:spacing w:after="0"/>
              <w:rPr>
                <w:sz w:val="20"/>
                <w:szCs w:val="20"/>
                <w:color w:val="auto"/>
              </w:rPr>
            </w:pPr>
            <w:r>
              <w:rPr>
                <w:rFonts w:ascii="Arial" w:cs="Arial" w:eastAsia="Arial" w:hAnsi="Arial"/>
                <w:sz w:val="18"/>
                <w:szCs w:val="18"/>
                <w:color w:val="auto"/>
              </w:rPr>
              <w:t>0.3</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60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1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59.9</w:t>
            </w: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41.8</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123.2</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93.3</w:t>
            </w:r>
          </w:p>
        </w:tc>
      </w:tr>
      <w:tr>
        <w:trPr>
          <w:trHeight w:val="27"/>
        </w:trPr>
        <w:tc>
          <w:tcPr>
            <w:tcW w:w="6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Attributable to ALLETE</w:t>
            </w:r>
          </w:p>
        </w:tc>
        <w:tc>
          <w:tcPr>
            <w:tcW w:w="21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$60.0</w:t>
            </w: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$41.8</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$123.3</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19"/>
                <w:szCs w:val="19"/>
                <w:color w:val="auto"/>
              </w:rPr>
            </w:pPr>
          </w:p>
        </w:tc>
        <w:tc>
          <w:tcPr>
            <w:tcW w:w="2600" w:type="dxa"/>
            <w:vAlign w:val="bottom"/>
            <w:gridSpan w:val="2"/>
          </w:tcPr>
          <w:p>
            <w:pPr>
              <w:jc w:val="right"/>
              <w:ind w:right="255"/>
              <w:spacing w:after="0"/>
              <w:rPr>
                <w:sz w:val="20"/>
                <w:szCs w:val="20"/>
                <w:color w:val="auto"/>
              </w:rPr>
            </w:pPr>
            <w:r>
              <w:rPr>
                <w:rFonts w:ascii="Arial" w:cs="Arial" w:eastAsia="Arial" w:hAnsi="Arial"/>
                <w:sz w:val="17"/>
                <w:szCs w:val="17"/>
                <w:b w:val="1"/>
                <w:bCs w:val="1"/>
                <w:color w:val="auto"/>
              </w:rPr>
              <w:t>Nine Months Ended</w:t>
            </w:r>
          </w:p>
        </w:tc>
      </w:tr>
      <w:tr>
        <w:trPr>
          <w:trHeight w:val="270"/>
        </w:trPr>
        <w:tc>
          <w:tcPr>
            <w:tcW w:w="8820" w:type="dxa"/>
            <w:vAlign w:val="bottom"/>
          </w:tcPr>
          <w:p>
            <w:pPr>
              <w:spacing w:after="0"/>
              <w:rPr>
                <w:sz w:val="23"/>
                <w:szCs w:val="23"/>
                <w:color w:val="auto"/>
              </w:rPr>
            </w:pPr>
          </w:p>
        </w:tc>
        <w:tc>
          <w:tcPr>
            <w:tcW w:w="2600" w:type="dxa"/>
            <w:vAlign w:val="bottom"/>
            <w:gridSpan w:val="2"/>
          </w:tcPr>
          <w:p>
            <w:pPr>
              <w:jc w:val="right"/>
              <w:ind w:right="455"/>
              <w:spacing w:after="0"/>
              <w:rPr>
                <w:sz w:val="20"/>
                <w:szCs w:val="20"/>
                <w:color w:val="auto"/>
              </w:rPr>
            </w:pPr>
            <w:r>
              <w:rPr>
                <w:rFonts w:ascii="Arial" w:cs="Arial" w:eastAsia="Arial" w:hAnsi="Arial"/>
                <w:sz w:val="17"/>
                <w:szCs w:val="17"/>
                <w:b w:val="1"/>
                <w:bCs w:val="1"/>
                <w:color w:val="auto"/>
              </w:rPr>
              <w:t>September 30,</w:t>
            </w:r>
          </w:p>
        </w:tc>
      </w:tr>
      <w:tr>
        <w:trPr>
          <w:trHeight w:val="270"/>
        </w:trPr>
        <w:tc>
          <w:tcPr>
            <w:tcW w:w="8820" w:type="dxa"/>
            <w:vAlign w:val="bottom"/>
          </w:tcPr>
          <w:p>
            <w:pPr>
              <w:spacing w:after="0"/>
              <w:rPr>
                <w:sz w:val="23"/>
                <w:szCs w:val="23"/>
                <w:color w:val="auto"/>
              </w:rPr>
            </w:pPr>
          </w:p>
        </w:tc>
        <w:tc>
          <w:tcPr>
            <w:tcW w:w="1680" w:type="dxa"/>
            <w:vAlign w:val="bottom"/>
          </w:tcPr>
          <w:p>
            <w:pPr>
              <w:jc w:val="right"/>
              <w:ind w:right="455"/>
              <w:spacing w:after="0"/>
              <w:rPr>
                <w:sz w:val="20"/>
                <w:szCs w:val="20"/>
                <w:color w:val="auto"/>
              </w:rPr>
            </w:pPr>
            <w:r>
              <w:rPr>
                <w:rFonts w:ascii="Arial" w:cs="Arial" w:eastAsia="Arial" w:hAnsi="Arial"/>
                <w:sz w:val="17"/>
                <w:szCs w:val="17"/>
                <w:b w:val="1"/>
                <w:bCs w:val="1"/>
                <w:color w:val="auto"/>
              </w:rPr>
              <w:t>2015</w:t>
            </w:r>
          </w:p>
        </w:tc>
        <w:tc>
          <w:tcPr>
            <w:tcW w:w="920" w:type="dxa"/>
            <w:vAlign w:val="bottom"/>
          </w:tcPr>
          <w:p>
            <w:pPr>
              <w:jc w:val="right"/>
              <w:ind w:right="255"/>
              <w:spacing w:after="0"/>
              <w:rPr>
                <w:sz w:val="20"/>
                <w:szCs w:val="20"/>
                <w:color w:val="auto"/>
              </w:rPr>
            </w:pPr>
            <w:r>
              <w:rPr>
                <w:rFonts w:ascii="Arial" w:cs="Arial" w:eastAsia="Arial" w:hAnsi="Arial"/>
                <w:sz w:val="17"/>
                <w:szCs w:val="17"/>
                <w:b w:val="1"/>
                <w:bCs w:val="1"/>
                <w:color w:val="auto"/>
              </w:rPr>
              <w:t>2014</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15"/>
        </w:trPr>
        <w:tc>
          <w:tcPr>
            <w:tcW w:w="88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$122.7</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$92.3</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Allowance for Funds Used During Construction – Equity</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(2.6)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Income from Equity Investments – Net of Dividends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(3.7)</w:t>
            </w:r>
          </w:p>
        </w:tc>
        <w:tc>
          <w:tcPr>
            <w:tcW w:w="9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Gain on Sales of Investments and Property, Plant and Equipment</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(0.2)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Depreciation Expense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120.7</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99.5</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Power Purchase Agreements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(17.1)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Amortization of Other Intangible Assets and Other Assets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5.0</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0.8</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26.5</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25.2</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2.1</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1.7</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ESOP Compensation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7.3</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11.5</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9.6</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Bad Debt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0.8</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Receivable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11.6</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16.9</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Inventories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(24.1)</w:t>
            </w:r>
          </w:p>
        </w:tc>
        <w:tc>
          <w:tcPr>
            <w:tcW w:w="9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Prepayments and Other</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(0.4)</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Other Current Liabilities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(0.8)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(6.2)</w:t>
            </w:r>
          </w:p>
        </w:tc>
        <w:tc>
          <w:tcPr>
            <w:tcW w:w="92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1.5</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w:t>
            </w:r>
          </w:p>
        </w:tc>
      </w:tr>
      <w:tr>
        <w:trPr>
          <w:trHeight w:val="233"/>
        </w:trPr>
        <w:tc>
          <w:tcPr>
            <w:tcW w:w="882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Operating Activities</w:t>
            </w:r>
          </w:p>
        </w:tc>
        <w:tc>
          <w:tcPr>
            <w:tcW w:w="168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254.6</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212.1</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0.7</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3.3</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Acquisitions of Subsidiaries – Net of Cash Acquired</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(324.8)</w:t>
            </w:r>
          </w:p>
        </w:tc>
        <w:tc>
          <w:tcPr>
            <w:tcW w:w="920" w:type="dxa"/>
            <w:vAlign w:val="bottom"/>
          </w:tcPr>
          <w:p>
            <w:pPr>
              <w:jc w:val="right"/>
              <w:spacing w:after="0"/>
              <w:rPr>
                <w:sz w:val="20"/>
                <w:szCs w:val="20"/>
                <w:color w:val="auto"/>
              </w:rPr>
            </w:pPr>
            <w:r>
              <w:rPr>
                <w:rFonts w:ascii="Arial" w:cs="Arial" w:eastAsia="Arial" w:hAnsi="Arial"/>
                <w:sz w:val="17"/>
                <w:szCs w:val="17"/>
                <w:color w:val="auto"/>
              </w:rPr>
              <w:t>(23.1)</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Investment in ATC</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to Other Investments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31.1</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(208.2)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(467.8)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Cash in Escrow for Acquisition</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5.4</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Property, Plant and Equipment</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0.3</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3"/>
        </w:trPr>
        <w:tc>
          <w:tcPr>
            <w:tcW w:w="882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for Investing Activities</w:t>
            </w:r>
          </w:p>
        </w:tc>
        <w:tc>
          <w:tcPr>
            <w:tcW w:w="168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rPr>
              <w:t>(534.3)</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(458.5)</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155.2</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128.9</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240.0</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375.0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Restricted Cash</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2.2</w:t>
            </w:r>
          </w:p>
        </w:tc>
        <w:tc>
          <w:tcPr>
            <w:tcW w:w="9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Notes Payable</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(3.7)</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Repayments of Long-Term Debt</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(81.8)</w:t>
            </w:r>
          </w:p>
        </w:tc>
        <w:tc>
          <w:tcPr>
            <w:tcW w:w="920" w:type="dxa"/>
            <w:vAlign w:val="bottom"/>
          </w:tcPr>
          <w:p>
            <w:pPr>
              <w:jc w:val="right"/>
              <w:spacing w:after="0"/>
              <w:rPr>
                <w:sz w:val="20"/>
                <w:szCs w:val="20"/>
                <w:color w:val="auto"/>
              </w:rPr>
            </w:pPr>
            <w:r>
              <w:rPr>
                <w:rFonts w:ascii="Arial" w:cs="Arial" w:eastAsia="Arial" w:hAnsi="Arial"/>
                <w:sz w:val="17"/>
                <w:szCs w:val="17"/>
                <w:color w:val="auto"/>
              </w:rPr>
              <w:t>(134.1)</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 of Non-Controlling Interest</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Debt Issuance Costs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(1.0)</w:t>
            </w:r>
          </w:p>
        </w:tc>
        <w:tc>
          <w:tcPr>
            <w:tcW w:w="92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Dividends on Common Stock</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(74.0)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(62.4)</w:t>
            </w:r>
          </w:p>
        </w:tc>
      </w:tr>
      <w:tr>
        <w:trPr>
          <w:trHeight w:val="233"/>
        </w:trPr>
        <w:tc>
          <w:tcPr>
            <w:tcW w:w="882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Financing Activities</w:t>
            </w:r>
          </w:p>
        </w:tc>
        <w:tc>
          <w:tcPr>
            <w:tcW w:w="168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236.9</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299.6</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Change in Cash and Cash Equivalents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(42.8)</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53.2</w:t>
            </w:r>
          </w:p>
        </w:tc>
      </w:tr>
      <w:tr>
        <w:trPr>
          <w:trHeight w:val="239"/>
        </w:trPr>
        <w:tc>
          <w:tcPr>
            <w:tcW w:w="8820" w:type="dxa"/>
            <w:vAlign w:val="bottom"/>
          </w:tcPr>
          <w:p>
            <w:pPr>
              <w:ind w:left="4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145.8</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97.3</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at End of Period</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$103.0</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$150.5</w:t>
            </w:r>
          </w:p>
        </w:tc>
      </w:tr>
      <w:tr>
        <w:trPr>
          <w:trHeight w:val="224"/>
        </w:trPr>
        <w:tc>
          <w:tcPr>
            <w:tcW w:w="8820" w:type="dxa"/>
            <w:vAlign w:val="bottom"/>
            <w:tcBorders>
              <w:top w:val="single" w:sz="8" w:color="auto"/>
            </w:tcBorders>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ectPr>
          <w:pgSz w:w="11900" w:h="16838" w:orient="portrait"/>
          <w:cols w:equalWidth="0" w:num="1">
            <w:col w:w="11420"/>
          </w:cols>
          <w:pgMar w:left="240" w:top="364" w:right="239" w:bottom="1124"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364" w:right="239" w:bottom="1124"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2014,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nine months ended September 30, 2015, are not necessarily indicative of results that may be expected for any other interim period or for the year ending December 31, 2015. For further information, refer to the Consolidated Financial Statements and notes included in our 2014 Form 10-K.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Reclassifications. </w:t>
      </w:r>
      <w:r>
        <w:rPr>
          <w:rFonts w:ascii="Arial" w:cs="Arial" w:eastAsia="Arial" w:hAnsi="Arial"/>
          <w:sz w:val="17"/>
          <w:szCs w:val="17"/>
          <w:color w:val="auto"/>
        </w:rPr>
        <w:t>As a result of recent acquisitions, certain financial statement captions have been added and we have reclassified certain prior-period</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on our Consolidated Balance Sheet and Consolidated Statement of Income to conform to the presentation for the current period.</w:t>
      </w:r>
    </w:p>
    <w:p>
      <w:pPr>
        <w:spacing w:after="0" w:line="14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In conformity with the current presentation of Goodwill and Intangible Assets - Net on the Consolidated Balance Sheet,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reclassified our December 31, 2014, Consolidated Balance Sheet to include $1.6 million and $3.2 million of goodwill and intangible assets previously disclosed in Property, Plant and Equipment - Net and Other Non-Current Assets, respectively, under Goodwill and Intangible Assets - Net. There was no impact to Total Assets as a result of the reclassification.</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Consolidated Statement of Income. </w:t>
      </w:r>
      <w:r>
        <w:rPr>
          <w:rFonts w:ascii="Arial" w:cs="Arial" w:eastAsia="Arial" w:hAnsi="Arial"/>
          <w:sz w:val="18"/>
          <w:szCs w:val="18"/>
          <w:color w:val="auto"/>
        </w:rPr>
        <w:t>In conformity with the current presentation of Cost of Sales on the Consolidated Statement of Income,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reclassified $16.8 million from Operating and Maintenance expenses to Cost of Sales for the quarter ended September 30, 2014, and $59.2 million for the nine months ended September 30, 2014. Cost of Sales includes purchased gas at SWL&amp;P, expenses incurred to deliver coal at BNI Coal, and the cost of land and other sales at ALLETE Properties. Cost of Sales also includes costs associated with the manufacture and delivery of inventories at U.S. Water Services, our integrated water management company which was acquired on February 10, 2015. (See Note 4. Acquisitions.) In addition to the presentation of Cost of Sales, we have created new captions on the Consolidated Statement of Income to provide additional detail for Transmission Services and Taxes Other than Income Taxes. Transmission Services are MISO-related costs incurred for the transmission of electricity. In conformity with the current presentation, we have reclassified from Operating and Maintenance expenses $11.9 million of Transmission Services and $11.4 million of Taxes Other than Income Taxes for the quarter ended September 30, 2014, and $33.2 million of Transmission Services and $33.9 million of Taxes Other than Income Taxes for the nine months ended September 30, 2014. There was no impact to Operating Income, Net Income, or Net Income Attributable to ALLETE as a result of these reclassifications.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inventories in our Regulated Operations and ALLETE Clean</w:t>
      </w:r>
      <w:r>
        <w:rPr>
          <w:rFonts w:ascii="Arial" w:cs="Arial" w:eastAsia="Arial" w:hAnsi="Arial"/>
          <w:sz w:val="18"/>
          <w:szCs w:val="18"/>
          <w:b w:val="1"/>
          <w:bCs w:val="1"/>
          <w:color w:val="auto"/>
        </w:rPr>
        <w:t xml:space="preserve"> </w:t>
      </w:r>
      <w:r>
        <w:rPr>
          <w:rFonts w:ascii="Arial" w:cs="Arial" w:eastAsia="Arial" w:hAnsi="Arial"/>
          <w:sz w:val="18"/>
          <w:szCs w:val="18"/>
          <w:color w:val="auto"/>
        </w:rPr>
        <w:t>Energy segments are recorded on an average cost basis. Amounts removed from inventories in our U.S. Water Services and Corporate and Other segments are recorded on an average cost, first-in, first-out or specific identification basis.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4760" w:type="dxa"/>
            <w:vAlign w:val="bottom"/>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7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524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7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47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$54.0</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4760" w:type="dxa"/>
            <w:vAlign w:val="bottom"/>
          </w:tcPr>
          <w:p>
            <w:pPr>
              <w:jc w:val="right"/>
              <w:ind w:right="170"/>
              <w:spacing w:after="0"/>
              <w:rPr>
                <w:sz w:val="20"/>
                <w:szCs w:val="20"/>
                <w:color w:val="auto"/>
              </w:rPr>
            </w:pPr>
            <w:r>
              <w:rPr>
                <w:rFonts w:ascii="Arial" w:cs="Arial" w:eastAsia="Arial" w:hAnsi="Arial"/>
                <w:sz w:val="18"/>
                <w:szCs w:val="18"/>
                <w:color w:val="auto"/>
              </w:rPr>
              <w:t>52.6</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5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7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Work in Progress</w:t>
            </w:r>
          </w:p>
        </w:tc>
        <w:tc>
          <w:tcPr>
            <w:tcW w:w="4760" w:type="dxa"/>
            <w:vAlign w:val="bottom"/>
          </w:tcPr>
          <w:p>
            <w:pPr>
              <w:jc w:val="right"/>
              <w:ind w:right="170"/>
              <w:spacing w:after="0"/>
              <w:rPr>
                <w:sz w:val="20"/>
                <w:szCs w:val="20"/>
                <w:color w:val="auto"/>
              </w:rPr>
            </w:pPr>
            <w:r>
              <w:rPr>
                <w:rFonts w:ascii="Arial" w:cs="Arial" w:eastAsia="Arial" w:hAnsi="Arial"/>
                <w:sz w:val="18"/>
                <w:szCs w:val="18"/>
                <w:color w:val="auto"/>
              </w:rPr>
              <w:t>0.7</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7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8.9</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Reserve for Obsolescence</w:t>
            </w:r>
          </w:p>
        </w:tc>
        <w:tc>
          <w:tcPr>
            <w:tcW w:w="476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47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$119.1</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r>
      <w:tr>
        <w:trPr>
          <w:trHeight w:val="20"/>
        </w:trPr>
        <w:tc>
          <w:tcPr>
            <w:tcW w:w="5240" w:type="dxa"/>
            <w:vAlign w:val="bottom"/>
            <w:shd w:val="clear" w:color="auto" w:fill="000000"/>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36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76"/>
        </w:trPr>
        <w:tc>
          <w:tcPr>
            <w:tcW w:w="7700" w:type="dxa"/>
            <w:vAlign w:val="bottom"/>
          </w:tcPr>
          <w:p>
            <w:pPr>
              <w:spacing w:after="0"/>
              <w:rPr>
                <w:sz w:val="24"/>
                <w:szCs w:val="24"/>
                <w:color w:val="auto"/>
              </w:rPr>
            </w:pPr>
          </w:p>
        </w:tc>
        <w:tc>
          <w:tcPr>
            <w:tcW w:w="228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22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77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7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2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$16.3</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 xml:space="preserve">Construction Costs for Development Project </w:t>
            </w:r>
            <w:r>
              <w:rPr>
                <w:rFonts w:ascii="Arial" w:cs="Arial" w:eastAsia="Arial" w:hAnsi="Arial"/>
                <w:sz w:val="18"/>
                <w:szCs w:val="18"/>
                <w:i w:val="1"/>
                <w:iCs w:val="1"/>
                <w:color w:val="auto"/>
              </w:rPr>
              <w:t>(a)</w:t>
            </w:r>
          </w:p>
        </w:tc>
        <w:tc>
          <w:tcPr>
            <w:tcW w:w="2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48.2</w:t>
            </w:r>
          </w:p>
        </w:tc>
      </w:tr>
      <w:tr>
        <w:trPr>
          <w:trHeight w:val="27"/>
        </w:trPr>
        <w:tc>
          <w:tcPr>
            <w:tcW w:w="7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i w:val="1"/>
                <w:iCs w:val="1"/>
                <w:color w:val="auto"/>
              </w:rPr>
              <w:t>(b)</w:t>
            </w:r>
          </w:p>
        </w:tc>
        <w:tc>
          <w:tcPr>
            <w:tcW w:w="2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Other</w:t>
            </w:r>
          </w:p>
        </w:tc>
        <w:tc>
          <w:tcPr>
            <w:tcW w:w="2280" w:type="dxa"/>
            <w:vAlign w:val="bottom"/>
          </w:tcPr>
          <w:p>
            <w:pPr>
              <w:jc w:val="right"/>
              <w:ind w:right="150"/>
              <w:spacing w:after="0"/>
              <w:rPr>
                <w:sz w:val="20"/>
                <w:szCs w:val="20"/>
                <w:color w:val="auto"/>
              </w:rPr>
            </w:pPr>
            <w:r>
              <w:rPr>
                <w:rFonts w:ascii="Arial" w:cs="Arial" w:eastAsia="Arial" w:hAnsi="Arial"/>
                <w:sz w:val="18"/>
                <w:szCs w:val="18"/>
                <w:color w:val="auto"/>
              </w:rPr>
              <w:t>18.1</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77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2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$42.5</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r>
      <w:tr>
        <w:trPr>
          <w:trHeight w:val="20"/>
        </w:trPr>
        <w:tc>
          <w:tcPr>
            <w:tcW w:w="77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jc w:val="both"/>
        <w:ind w:left="340" w:hanging="332"/>
        <w:spacing w:after="0" w:line="248"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Construction Costs for Development Project relate to ALLETE Clean Energy’s project to develop and construct a wind energy facility in 2015. Beginning in the second quarter of 2015, these costs have been net against contract billings. (See Billings in Excess of Costs and Estimated Earnings in Other Current Liabilities table and Note 4. Acquisitions.)</w:t>
      </w:r>
    </w:p>
    <w:p>
      <w:pPr>
        <w:spacing w:after="0" w:line="1"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Restricted Cash related to ALLETE Clean Energy’s wind energy facilities’ operating expense and capital distribution reserve requirements, and cash pledged as collateral by U.S. Water Services for stand-by letters of credit.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the excess of the purchase price (consideration transferred) over the estimated fair value of net assets of acquired businesses.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GAAP, goodwill is not amortized. To align with the annual budgeting and forecasting process, goodwill is assessed annually in the fourth quarter for impairment and whenever an event occurs or circumstances change that would indicate the carrying amount may be impaired. Impairment testing for goodwill is done at the reporting unit level. An impairment loss is recognized when the carrying amount of the reporting unit’s net assets exceeds the estimated fair value of the reporting unit. The estimated fair value is generally determined using a discounted cash flow analysis.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include customer relationships, patents, non-compete agreements and trademarks and trade names. Intangible assets with</w:t>
      </w:r>
      <w:r>
        <w:rPr>
          <w:rFonts w:ascii="Arial" w:cs="Arial" w:eastAsia="Arial" w:hAnsi="Arial"/>
          <w:sz w:val="18"/>
          <w:szCs w:val="18"/>
          <w:i w:val="1"/>
          <w:iCs w:val="1"/>
          <w:color w:val="auto"/>
        </w:rPr>
        <w:t xml:space="preserve"> </w:t>
      </w:r>
      <w:r>
        <w:rPr>
          <w:rFonts w:ascii="Arial" w:cs="Arial" w:eastAsia="Arial" w:hAnsi="Arial"/>
          <w:sz w:val="18"/>
          <w:szCs w:val="18"/>
          <w:color w:val="auto"/>
        </w:rPr>
        <w:t>definite lives consist of customer relationships, patents and non-compete agreements, which are amortized on a straight-line or accelerated basis with estimated useful lives ranging from approximately 3 years to approximately 22 years. We review definite-lived intangible assets for impairment whenever events or circumstances indicate that the carrying amount of an asset may not be recoverable. Indefinite-lived intangible assets consist of trademarks and trade names, which are tested for impairment annually in the fourth quarter and whenever an event occurs or circumstances change that would indicate that the carrying amount may be impaired. Impairment is calculated as the excess of the asset’s carrying amount over its fair value. Fair value is generally determined using a discounted cash flow analysis.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Included in Other Non-Current Assets on the Consolidated Balance Sheet was restricted cash of $11.9 million and $5.3 million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and December 31, 2014, respectively, related primarily to ALLETE Clean Energy’s wind energy facilities’ major maintenance, debt service, and other reserve requirements.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36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576"/>
        </w:trPr>
        <w:tc>
          <w:tcPr>
            <w:tcW w:w="7700" w:type="dxa"/>
            <w:vAlign w:val="bottom"/>
          </w:tcPr>
          <w:p>
            <w:pPr>
              <w:spacing w:after="0"/>
              <w:rPr>
                <w:sz w:val="24"/>
                <w:szCs w:val="24"/>
                <w:color w:val="auto"/>
              </w:rPr>
            </w:pPr>
          </w:p>
        </w:tc>
        <w:tc>
          <w:tcPr>
            <w:tcW w:w="226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2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77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7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2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 xml:space="preserve">Power Purchase Agreements </w:t>
            </w:r>
            <w:r>
              <w:rPr>
                <w:rFonts w:ascii="Arial" w:cs="Arial" w:eastAsia="Arial" w:hAnsi="Arial"/>
                <w:sz w:val="18"/>
                <w:szCs w:val="18"/>
                <w:i w:val="1"/>
                <w:iCs w:val="1"/>
                <w:color w:val="auto"/>
              </w:rPr>
              <w:t>(a)</w:t>
            </w: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23.8</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
        </w:trPr>
        <w:tc>
          <w:tcPr>
            <w:tcW w:w="7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Construction Deposits Received for Development Project </w:t>
            </w:r>
            <w:r>
              <w:rPr>
                <w:rFonts w:ascii="Arial" w:cs="Arial" w:eastAsia="Arial" w:hAnsi="Arial"/>
                <w:sz w:val="18"/>
                <w:szCs w:val="18"/>
                <w:i w:val="1"/>
                <w:iCs w:val="1"/>
                <w:color w:val="auto"/>
              </w:rPr>
              <w:t>(b)</w:t>
            </w:r>
          </w:p>
        </w:tc>
        <w:tc>
          <w:tcPr>
            <w:tcW w:w="2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 xml:space="preserve">Billings in Excess of Costs and Estimated Earnings </w:t>
            </w:r>
            <w:r>
              <w:rPr>
                <w:rFonts w:ascii="Arial" w:cs="Arial" w:eastAsia="Arial" w:hAnsi="Arial"/>
                <w:sz w:val="18"/>
                <w:szCs w:val="18"/>
                <w:i w:val="1"/>
                <w:iCs w:val="1"/>
                <w:color w:val="auto"/>
              </w:rPr>
              <w:t>(c)</w:t>
            </w: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8.8</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r>
      <w:tr>
        <w:trPr>
          <w:trHeight w:val="237"/>
        </w:trPr>
        <w:tc>
          <w:tcPr>
            <w:tcW w:w="7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2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$94.3</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Power Purchase Agreements were acquired in conjunction with ALLETE Clean Energy’s wind energy facilities acquisitions. (See Note 4. Acquisitions.)</w:t>
      </w:r>
    </w:p>
    <w:p>
      <w:pPr>
        <w:spacing w:after="0" w:line="1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Construction Deposits Received for Development Project relate to ALLETE Clean Energy’s project to develop and construct a wind energy facility in 2015. Beginning in the second quarter of 2015, these deposits have been net against contract costs and estimated gross profit. (See Billings in Excess of Costs and Estimated Earnings below and Note 4. Acquisitions.)</w:t>
      </w:r>
    </w:p>
    <w:p>
      <w:pPr>
        <w:spacing w:after="0" w:line="1"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Billings in Excess of Costs and Estimated Earnings represents the excess of contract billings over the construction costs incurred and estimated earnings recognized. In the second quarter of 2015, the NDPSC approved the sale agreement ALLETE Clean Energy has with Montana-Dakota Utilities to develop, construct, and sell a wind energy facility in 2015. (See Note 4. Acquisitions.)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438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3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55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$126.3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 xml:space="preserve">Power Purchase Agreements </w:t>
            </w:r>
            <w:r>
              <w:rPr>
                <w:rFonts w:ascii="Arial" w:cs="Arial" w:eastAsia="Arial" w:hAnsi="Arial"/>
                <w:sz w:val="18"/>
                <w:szCs w:val="18"/>
                <w:i w:val="1"/>
                <w:iCs w:val="1"/>
                <w:color w:val="auto"/>
              </w:rPr>
              <w:t>(a)</w:t>
            </w:r>
          </w:p>
        </w:tc>
        <w:tc>
          <w:tcPr>
            <w:tcW w:w="4380" w:type="dxa"/>
            <w:vAlign w:val="bottom"/>
          </w:tcPr>
          <w:p>
            <w:pPr>
              <w:jc w:val="right"/>
              <w:ind w:right="150"/>
              <w:spacing w:after="0"/>
              <w:rPr>
                <w:sz w:val="20"/>
                <w:szCs w:val="20"/>
                <w:color w:val="auto"/>
              </w:rPr>
            </w:pPr>
            <w:r>
              <w:rPr>
                <w:rFonts w:ascii="Arial" w:cs="Arial" w:eastAsia="Arial" w:hAnsi="Arial"/>
                <w:sz w:val="18"/>
                <w:szCs w:val="18"/>
                <w:color w:val="auto"/>
              </w:rPr>
              <w:t>143.9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110.7</w:t>
            </w:r>
          </w:p>
        </w:tc>
      </w:tr>
      <w:tr>
        <w:trPr>
          <w:trHeight w:val="27"/>
        </w:trPr>
        <w:tc>
          <w:tcPr>
            <w:tcW w:w="5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8"/>
                <w:szCs w:val="18"/>
                <w:i w:val="1"/>
                <w:iCs w:val="1"/>
                <w:color w:val="auto"/>
              </w:rPr>
              <w:t>(b)</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w:t>
            </w:r>
          </w:p>
        </w:tc>
        <w:tc>
          <w:tcPr>
            <w:tcW w:w="4380" w:type="dxa"/>
            <w:vAlign w:val="bottom"/>
          </w:tcPr>
          <w:p>
            <w:pPr>
              <w:jc w:val="right"/>
              <w:ind w:right="150"/>
              <w:spacing w:after="0"/>
              <w:rPr>
                <w:sz w:val="20"/>
                <w:szCs w:val="20"/>
                <w:color w:val="auto"/>
              </w:rPr>
            </w:pPr>
            <w:r>
              <w:rPr>
                <w:rFonts w:ascii="Arial" w:cs="Arial" w:eastAsia="Arial" w:hAnsi="Arial"/>
                <w:sz w:val="18"/>
                <w:szCs w:val="18"/>
                <w:color w:val="auto"/>
              </w:rPr>
              <w:t>45.1</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45.1</w:t>
            </w:r>
          </w:p>
        </w:tc>
      </w:tr>
      <w:tr>
        <w:trPr>
          <w:trHeight w:val="27"/>
        </w:trPr>
        <w:tc>
          <w:tcPr>
            <w:tcW w:w="55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$352.7</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$265.0</w:t>
            </w:r>
          </w:p>
        </w:tc>
      </w:tr>
      <w:tr>
        <w:trPr>
          <w:trHeight w:val="20"/>
        </w:trPr>
        <w:tc>
          <w:tcPr>
            <w:tcW w:w="558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Power Purchase Agreements were acquired in conjunction with ALLETE Clean Energy’s wind energy facilities acquisitions. (See Note 4. Acquisitions.)</w:t>
      </w:r>
    </w:p>
    <w:p>
      <w:pPr>
        <w:spacing w:after="0" w:line="9"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Contingent Consideration relates to the estimated fair value of the earnings-based payment resulting from the U.S. Water Services acquisition. (See Note 4. Acquisitions and Note 6. Fair Value.)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24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80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$46.6</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Cash Paid During the Period for Income Taxes</w:t>
            </w:r>
          </w:p>
        </w:tc>
        <w:tc>
          <w:tcPr>
            <w:tcW w:w="2480" w:type="dxa"/>
            <w:vAlign w:val="bottom"/>
          </w:tcPr>
          <w:p>
            <w:pPr>
              <w:jc w:val="right"/>
              <w:ind w:right="390"/>
              <w:spacing w:after="0"/>
              <w:rPr>
                <w:sz w:val="20"/>
                <w:szCs w:val="20"/>
                <w:color w:val="auto"/>
              </w:rPr>
            </w:pPr>
            <w:r>
              <w:rPr>
                <w:rFonts w:ascii="Arial" w:cs="Arial" w:eastAsia="Arial" w:hAnsi="Arial"/>
                <w:sz w:val="18"/>
                <w:szCs w:val="18"/>
                <w:color w:val="auto"/>
              </w:rPr>
              <w:t>$0.1</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80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480" w:type="dxa"/>
            <w:vAlign w:val="bottom"/>
          </w:tcPr>
          <w:p>
            <w:pPr>
              <w:jc w:val="right"/>
              <w:ind w:right="290"/>
              <w:spacing w:after="0"/>
              <w:rPr>
                <w:sz w:val="20"/>
                <w:szCs w:val="20"/>
                <w:color w:val="auto"/>
              </w:rPr>
            </w:pPr>
            <w:r>
              <w:rPr>
                <w:rFonts w:ascii="Arial" w:cs="Arial" w:eastAsia="Arial" w:hAnsi="Arial"/>
                <w:sz w:val="18"/>
                <w:szCs w:val="18"/>
                <w:color w:val="auto"/>
              </w:rPr>
              <w:t>$(26.8)</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0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AFUDC–Equity</w:t>
            </w:r>
          </w:p>
        </w:tc>
        <w:tc>
          <w:tcPr>
            <w:tcW w:w="2480" w:type="dxa"/>
            <w:vAlign w:val="bottom"/>
          </w:tcPr>
          <w:p>
            <w:pPr>
              <w:jc w:val="right"/>
              <w:ind w:right="390"/>
              <w:spacing w:after="0"/>
              <w:rPr>
                <w:sz w:val="20"/>
                <w:szCs w:val="20"/>
                <w:color w:val="auto"/>
              </w:rPr>
            </w:pPr>
            <w:r>
              <w:rPr>
                <w:rFonts w:ascii="Arial" w:cs="Arial" w:eastAsia="Arial" w:hAnsi="Arial"/>
                <w:sz w:val="18"/>
                <w:szCs w:val="18"/>
                <w:color w:val="auto"/>
              </w:rPr>
              <w:t>$2.6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80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the Pension Plan</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Contingent Consideration</w:t>
            </w:r>
          </w:p>
        </w:tc>
        <w:tc>
          <w:tcPr>
            <w:tcW w:w="2480" w:type="dxa"/>
            <w:vAlign w:val="bottom"/>
          </w:tcPr>
          <w:p>
            <w:pPr>
              <w:jc w:val="right"/>
              <w:ind w:right="390"/>
              <w:spacing w:after="0"/>
              <w:rPr>
                <w:sz w:val="20"/>
                <w:szCs w:val="20"/>
                <w:color w:val="auto"/>
              </w:rPr>
            </w:pPr>
            <w:r>
              <w:rPr>
                <w:rFonts w:ascii="Arial" w:cs="Arial" w:eastAsia="Arial" w:hAnsi="Arial"/>
                <w:sz w:val="18"/>
                <w:szCs w:val="18"/>
                <w:color w:val="auto"/>
              </w:rPr>
              <w:t>$35.7</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36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Reporting Discontinued Operations and Disclosures of Disposals of Components of an Entity</w:t>
      </w:r>
      <w:r>
        <w:rPr>
          <w:rFonts w:ascii="Arial" w:cs="Arial" w:eastAsia="Arial" w:hAnsi="Arial"/>
          <w:sz w:val="18"/>
          <w:szCs w:val="18"/>
          <w:color w:val="auto"/>
        </w:rPr>
        <w:t>. In April 2014, the FASB issued an accounting standard update</w:t>
      </w:r>
      <w:r>
        <w:rPr>
          <w:rFonts w:ascii="Arial" w:cs="Arial" w:eastAsia="Arial" w:hAnsi="Arial"/>
          <w:sz w:val="18"/>
          <w:szCs w:val="18"/>
          <w:i w:val="1"/>
          <w:iCs w:val="1"/>
          <w:color w:val="auto"/>
        </w:rPr>
        <w:t xml:space="preserve"> </w:t>
      </w:r>
      <w:r>
        <w:rPr>
          <w:rFonts w:ascii="Arial" w:cs="Arial" w:eastAsia="Arial" w:hAnsi="Arial"/>
          <w:sz w:val="18"/>
          <w:szCs w:val="18"/>
          <w:color w:val="auto"/>
        </w:rPr>
        <w:t>modifying the criteria for determining which disposals should be presented as discontinued operations and modifying the related disclosure requirements. Additionally, the new guidance requires that a business which qualifies as held for sale upon acquisition should be reported as discontinued operations. The new guidance was effective beginning in the first quarter of 2015, and applies prospectively to new disposals and new classifications of disposal groups as held for sale. This guidance is not expected to have a material impact on our Consolidated Financial Statements. We will consider the requirements of this standard if future transactions arise.</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In May 2014, the FASB issued amended revenue recognition guidance to clarify the principles for recognizing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contracts with customers. The guidance requires an entity to recognize revenue to depict the transfer of goods or services to customers in an amount that reflects the consideration to which an entity expects to be entitled in exchange for those goods or services. The guidance also requires expanded disclosures relating to the nature, amount, timing, and uncertainty of revenue and cash flows arising from contracts with customers. Additionally, qualitative and quantitative disclosures are required regarding customer contracts, significant judgments and changes in judgments, and assets recognized from the costs to obtain or fulfill a contract. This accounting guidance was to have been effective for the Company beginning in the first quarter of 2017 using one of two prescribed retrospective methods. On July 9, 2015, the FASB decided to defer the effective date of the standard by one year which will make the guidance effective for the Company beginning in the first quarter of 2018. Early adoption is permitted beginning in the first quarter of 2017 for public companies. The Company is evaluating the impact of the amended revenue recognition guidance on the Company’s Consolidated Financial Statements.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Presentation of Debt Issuance Costs. </w:t>
      </w:r>
      <w:r>
        <w:rPr>
          <w:rFonts w:ascii="Arial" w:cs="Arial" w:eastAsia="Arial" w:hAnsi="Arial"/>
          <w:sz w:val="18"/>
          <w:szCs w:val="18"/>
          <w:color w:val="auto"/>
        </w:rPr>
        <w:t>In April 2015, the FASB issued revised guidance addressing the presentation requirements for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revised guidance, all costs incurred to issue debt are to be presented on the Consolidated Balance Sheet as a direct deduction from the carrying amount of that debt liability. The revised guidance is effective for interim and annual reporting periods beginning after December 15, 2015. The adoption of this update is not expected to have a material impact on our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Simplifying the Measurement of Inventory. </w:t>
      </w:r>
      <w:r>
        <w:rPr>
          <w:rFonts w:ascii="Arial" w:cs="Arial" w:eastAsia="Arial" w:hAnsi="Arial"/>
          <w:sz w:val="18"/>
          <w:szCs w:val="18"/>
          <w:color w:val="auto"/>
        </w:rPr>
        <w:t>In July 2015, the FASB issued an accounting standard which requires entities that measure inventory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first-in, first-out or average cost methods to measure inventory at the lower of cost or net realizable value. Net realizable value is defined as estimated selling price in the ordinary course of business less reasonably predictable costs of completion, disposal and transportation. This accounting guidance is effective for the Company beginning in the first quarter of 2017; early adoption is permitted. The adoption of this update is not expected to have a material impact on our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quarter ended September 30, 2015, management updated our reportable segment presentation to reflect the manner in which we operate, assess, and allocate resources after our recent acquisitions. We will now present three reportable segments, Regulated Operations, ALLETE Clean Energy, and U.S. Water Services. Prior period amounts have been revised to conform with the current business segment presentation.</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 Wisconsin-based regulated utility that owns and maintains electric transmission assets in parts of Wisconsin, Michigan, Minnesota and Illinois. ALLETE Clean Energy is our business aimed at acquiring or developing capital projects that create energy solutions by way of wind, solar, biomass, hydro, natural gas, shale resources, clean coal technology and other emerging energy innovations. U.S. Water Services is our integrated water management company which was acquired on February 10, 2015. The ALLETE Clean Energy and U.S. Water Services reportable segments comprise our Energy Infrastructure and Related Services businesses. We also present Corporate and Other which includes two operating segments, BNI Coal, our coal mining operations in North Dakota, and ALLETE Properties, our Florida real estate investment, along with other business development and corporate expenditures, unallocated interest expense, a small amount of non-rate base generation, approximately 5,000 acres of land in Minnesota, and earnings on cash and investments.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84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Quarter Ended</w:t>
            </w:r>
          </w:p>
        </w:tc>
        <w:tc>
          <w:tcPr>
            <w:tcW w:w="22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38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September 30,</w:t>
            </w:r>
          </w:p>
        </w:tc>
        <w:tc>
          <w:tcPr>
            <w:tcW w:w="22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4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2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4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Regulated Operations</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$250.2</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$255.8</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$743.0</w:t>
            </w:r>
          </w:p>
        </w:tc>
        <w:tc>
          <w:tcPr>
            <w:tcW w:w="960" w:type="dxa"/>
            <w:vAlign w:val="bottom"/>
          </w:tcPr>
          <w:p>
            <w:pPr>
              <w:jc w:val="right"/>
              <w:spacing w:after="0"/>
              <w:rPr>
                <w:sz w:val="20"/>
                <w:szCs w:val="20"/>
                <w:color w:val="auto"/>
              </w:rPr>
            </w:pPr>
            <w:r>
              <w:rPr>
                <w:rFonts w:ascii="Arial" w:cs="Arial" w:eastAsia="Arial" w:hAnsi="Arial"/>
                <w:sz w:val="18"/>
                <w:szCs w:val="18"/>
                <w:color w:val="auto"/>
              </w:rPr>
              <w:t>$749.6</w:t>
            </w:r>
          </w:p>
        </w:tc>
      </w:tr>
      <w:tr>
        <w:trPr>
          <w:trHeight w:val="27"/>
        </w:trPr>
        <w:tc>
          <w:tcPr>
            <w:tcW w:w="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28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Energy Infrastructure and Related Services</w:t>
            </w:r>
          </w:p>
        </w:tc>
        <w:tc>
          <w:tcPr>
            <w:tcW w:w="25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 Clean Energy</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151.1</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6.8</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197.5</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r>
      <w:tr>
        <w:trPr>
          <w:trHeight w:val="243"/>
        </w:trPr>
        <w:tc>
          <w:tcPr>
            <w:tcW w:w="40" w:type="dxa"/>
            <w:vAlign w:val="bottom"/>
          </w:tcPr>
          <w:p>
            <w:pPr>
              <w:spacing w:after="0"/>
              <w:rPr>
                <w:sz w:val="21"/>
                <w:szCs w:val="21"/>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U.S. Water Services</w:t>
            </w: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36.1</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86.0</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28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Corporate and Other</w:t>
            </w: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25.1</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26.3</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79.3</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73.9</w:t>
            </w:r>
          </w:p>
        </w:tc>
      </w:tr>
      <w:tr>
        <w:trPr>
          <w:trHeight w:val="27"/>
        </w:trPr>
        <w:tc>
          <w:tcPr>
            <w:tcW w:w="4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Revenue</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$462.5</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$288.9</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$1,105.8</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$846.1</w:t>
            </w:r>
          </w:p>
        </w:tc>
      </w:tr>
      <w:tr>
        <w:trPr>
          <w:trHeight w:val="237"/>
        </w:trPr>
        <w:tc>
          <w:tcPr>
            <w:tcW w:w="40" w:type="dxa"/>
            <w:vAlign w:val="bottom"/>
          </w:tcPr>
          <w:p>
            <w:pPr>
              <w:spacing w:after="0"/>
              <w:rPr>
                <w:sz w:val="20"/>
                <w:szCs w:val="20"/>
                <w:color w:val="auto"/>
              </w:rPr>
            </w:pPr>
          </w:p>
        </w:tc>
        <w:tc>
          <w:tcPr>
            <w:tcW w:w="52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 Attributable to ALLETE</w:t>
            </w:r>
          </w:p>
        </w:tc>
        <w:tc>
          <w:tcPr>
            <w:tcW w:w="2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Regulated Operations </w:t>
            </w:r>
            <w:r>
              <w:rPr>
                <w:rFonts w:ascii="Arial" w:cs="Arial" w:eastAsia="Arial" w:hAnsi="Arial"/>
                <w:sz w:val="18"/>
                <w:szCs w:val="18"/>
                <w:i w:val="1"/>
                <w:iCs w:val="1"/>
                <w:color w:val="auto"/>
              </w:rPr>
              <w:t>(a)</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$43.8</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$40.9</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$108.1</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$91.6</w:t>
            </w:r>
          </w:p>
        </w:tc>
      </w:tr>
      <w:tr>
        <w:trPr>
          <w:trHeight w:val="270"/>
        </w:trPr>
        <w:tc>
          <w:tcPr>
            <w:tcW w:w="4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4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Energy Infrastructure and Related Services</w:t>
            </w:r>
          </w:p>
        </w:tc>
        <w:tc>
          <w:tcPr>
            <w:tcW w:w="2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ALLETE Clean Energy</w:t>
            </w: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13.2</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0.5</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18.7</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Water Services</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5"/>
        </w:trPr>
        <w:tc>
          <w:tcPr>
            <w:tcW w:w="40" w:type="dxa"/>
            <w:vAlign w:val="bottom"/>
          </w:tcPr>
          <w:p>
            <w:pPr>
              <w:spacing w:after="0"/>
              <w:rPr>
                <w:sz w:val="23"/>
                <w:szCs w:val="23"/>
                <w:color w:val="auto"/>
              </w:rPr>
            </w:pPr>
          </w:p>
        </w:tc>
        <w:tc>
          <w:tcPr>
            <w:tcW w:w="5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i w:val="1"/>
                <w:iCs w:val="1"/>
                <w:color w:val="auto"/>
              </w:rPr>
              <w:t>(a)</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2.4</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0.2</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40" w:type="dxa"/>
            <w:vAlign w:val="bottom"/>
          </w:tcPr>
          <w:p>
            <w:pPr>
              <w:spacing w:after="0"/>
              <w:rPr>
                <w:sz w:val="20"/>
                <w:szCs w:val="20"/>
                <w:color w:val="auto"/>
              </w:rPr>
            </w:pPr>
          </w:p>
        </w:tc>
        <w:tc>
          <w:tcPr>
            <w:tcW w:w="528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Net Income Attributable to ALLETE</w:t>
            </w:r>
          </w:p>
        </w:tc>
        <w:tc>
          <w:tcPr>
            <w:tcW w:w="25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$60.4</w:t>
            </w:r>
          </w:p>
        </w:tc>
        <w:tc>
          <w:tcPr>
            <w:tcW w:w="13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$41.6</w:t>
            </w:r>
          </w:p>
        </w:tc>
        <w:tc>
          <w:tcPr>
            <w:tcW w:w="12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$122.8</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74" w:lineRule="auto"/>
        <w:tabs>
          <w:tab w:leader="none" w:pos="340"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During the third quarter of 2015, the Company entered into an intercompany loan agreement, and allocated long-term debt to ALLETE Transmission Holdings, which owns approximately 8 percent of ATC, to better reflect the capital requirements of ALLETE Transmission Holdings and our investment in ATC. ALLETE Transmission Holdings recognized interest expense of approximately $0.3 million after-tax in the third quarter of 2015 which is reflected in our Regulated Operations segment. Our Corporate and Other segment recognized interest income of the same amount. The amounts are eliminated in consolidation. Prior period segment results have been revised to conform to the current presentation as if the intercompany loan existed as of January 1, 2014.</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As of September 30,</w:t>
            </w:r>
          </w:p>
        </w:tc>
        <w:tc>
          <w:tcPr>
            <w:tcW w:w="4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r>
      <w:tr>
        <w:trPr>
          <w:trHeight w:val="27"/>
        </w:trPr>
        <w:tc>
          <w:tcPr>
            <w:tcW w:w="62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Regulated Operations</w:t>
            </w:r>
          </w:p>
        </w:tc>
        <w:tc>
          <w:tcPr>
            <w:tcW w:w="4040" w:type="dxa"/>
            <w:vAlign w:val="bottom"/>
          </w:tcPr>
          <w:p>
            <w:pPr>
              <w:jc w:val="right"/>
              <w:ind w:right="290"/>
              <w:spacing w:after="0"/>
              <w:rPr>
                <w:sz w:val="20"/>
                <w:szCs w:val="20"/>
                <w:color w:val="auto"/>
              </w:rPr>
            </w:pPr>
            <w:r>
              <w:rPr>
                <w:rFonts w:ascii="Arial" w:cs="Arial" w:eastAsia="Arial" w:hAnsi="Arial"/>
                <w:sz w:val="18"/>
                <w:szCs w:val="18"/>
                <w:color w:val="auto"/>
              </w:rPr>
              <w:t>$3,836.3</w:t>
            </w:r>
          </w:p>
        </w:tc>
        <w:tc>
          <w:tcPr>
            <w:tcW w:w="1120" w:type="dxa"/>
            <w:vAlign w:val="bottom"/>
          </w:tcPr>
          <w:p>
            <w:pPr>
              <w:jc w:val="right"/>
              <w:spacing w:after="0"/>
              <w:rPr>
                <w:sz w:val="20"/>
                <w:szCs w:val="20"/>
                <w:color w:val="auto"/>
              </w:rPr>
            </w:pPr>
            <w:r>
              <w:rPr>
                <w:rFonts w:ascii="Arial" w:cs="Arial" w:eastAsia="Arial" w:hAnsi="Arial"/>
                <w:sz w:val="18"/>
                <w:szCs w:val="18"/>
                <w:color w:val="auto"/>
              </w:rPr>
              <w:t>$3,519.9</w:t>
            </w:r>
          </w:p>
        </w:tc>
      </w:tr>
      <w:tr>
        <w:trPr>
          <w:trHeight w:val="27"/>
        </w:trPr>
        <w:tc>
          <w:tcPr>
            <w:tcW w:w="62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200" w:type="dxa"/>
            <w:vAlign w:val="bottom"/>
            <w:shd w:val="clear" w:color="auto" w:fill="CCEEFF"/>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6200" w:type="dxa"/>
            <w:vAlign w:val="bottom"/>
          </w:tcPr>
          <w:p>
            <w:pPr>
              <w:ind w:left="160"/>
              <w:spacing w:after="0"/>
              <w:rPr>
                <w:sz w:val="20"/>
                <w:szCs w:val="20"/>
                <w:color w:val="auto"/>
              </w:rPr>
            </w:pPr>
            <w:r>
              <w:rPr>
                <w:rFonts w:ascii="Arial" w:cs="Arial" w:eastAsia="Arial" w:hAnsi="Arial"/>
                <w:sz w:val="18"/>
                <w:szCs w:val="18"/>
                <w:color w:val="auto"/>
              </w:rPr>
              <w:t>Energy Infrastructure and Related Services</w:t>
            </w:r>
          </w:p>
        </w:tc>
        <w:tc>
          <w:tcPr>
            <w:tcW w:w="40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 Clean Energy</w:t>
            </w:r>
          </w:p>
        </w:tc>
        <w:tc>
          <w:tcPr>
            <w:tcW w:w="40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565.7</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184.4</w:t>
            </w: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U.S. Water Services</w:t>
            </w:r>
          </w:p>
        </w:tc>
        <w:tc>
          <w:tcPr>
            <w:tcW w:w="4040" w:type="dxa"/>
            <w:vAlign w:val="bottom"/>
          </w:tcPr>
          <w:p>
            <w:pPr>
              <w:jc w:val="right"/>
              <w:ind w:right="370"/>
              <w:spacing w:after="0"/>
              <w:rPr>
                <w:sz w:val="20"/>
                <w:szCs w:val="20"/>
                <w:color w:val="auto"/>
              </w:rPr>
            </w:pPr>
            <w:r>
              <w:rPr>
                <w:rFonts w:ascii="Arial" w:cs="Arial" w:eastAsia="Arial" w:hAnsi="Arial"/>
                <w:sz w:val="18"/>
                <w:szCs w:val="18"/>
                <w:color w:val="auto"/>
              </w:rPr>
              <w:t>257.8</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200" w:type="dxa"/>
            <w:vAlign w:val="bottom"/>
            <w:shd w:val="clear" w:color="auto" w:fill="CCEEFF"/>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Corporate and Other</w:t>
            </w:r>
          </w:p>
        </w:tc>
        <w:tc>
          <w:tcPr>
            <w:tcW w:w="4040" w:type="dxa"/>
            <w:vAlign w:val="bottom"/>
          </w:tcPr>
          <w:p>
            <w:pPr>
              <w:jc w:val="right"/>
              <w:ind w:right="370"/>
              <w:spacing w:after="0"/>
              <w:rPr>
                <w:sz w:val="20"/>
                <w:szCs w:val="20"/>
                <w:color w:val="auto"/>
              </w:rPr>
            </w:pPr>
            <w:r>
              <w:rPr>
                <w:rFonts w:ascii="Arial" w:cs="Arial" w:eastAsia="Arial" w:hAnsi="Arial"/>
                <w:sz w:val="18"/>
                <w:szCs w:val="18"/>
                <w:color w:val="auto"/>
              </w:rPr>
              <w:t>272.0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363.6</w:t>
            </w:r>
          </w:p>
        </w:tc>
      </w:tr>
      <w:tr>
        <w:trPr>
          <w:trHeight w:val="27"/>
        </w:trPr>
        <w:tc>
          <w:tcPr>
            <w:tcW w:w="62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40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$4,931.8</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$4,067.9</w:t>
            </w:r>
          </w:p>
        </w:tc>
      </w:tr>
      <w:tr>
        <w:trPr>
          <w:trHeight w:val="20"/>
        </w:trPr>
        <w:tc>
          <w:tcPr>
            <w:tcW w:w="620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At September 30, 2015, our investment portfolio included the real estate assets of ALLETE Properties, debt and equity securities consisting</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of securities held in other postretirement plans to fund employee benefits, the cash equivalents within these plans, and other assets consisting primarily of land in Minnesota.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52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5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54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$88.3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8"/>
                <w:szCs w:val="18"/>
                <w:i w:val="1"/>
                <w:iCs w:val="1"/>
                <w:color w:val="auto"/>
              </w:rPr>
              <w:t>(a)</w:t>
            </w:r>
          </w:p>
        </w:tc>
        <w:tc>
          <w:tcPr>
            <w:tcW w:w="4520" w:type="dxa"/>
            <w:vAlign w:val="bottom"/>
          </w:tcPr>
          <w:p>
            <w:pPr>
              <w:jc w:val="right"/>
              <w:ind w:right="210"/>
              <w:spacing w:after="0"/>
              <w:rPr>
                <w:sz w:val="20"/>
                <w:szCs w:val="20"/>
                <w:color w:val="auto"/>
              </w:rPr>
            </w:pPr>
            <w:r>
              <w:rPr>
                <w:rFonts w:ascii="Arial" w:cs="Arial" w:eastAsia="Arial" w:hAnsi="Arial"/>
                <w:sz w:val="18"/>
                <w:szCs w:val="18"/>
                <w:color w:val="auto"/>
              </w:rPr>
              <w:t>18.5</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54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2.6</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Other</w:t>
            </w:r>
          </w:p>
        </w:tc>
        <w:tc>
          <w:tcPr>
            <w:tcW w:w="452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54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$113.5</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r>
      <w:tr>
        <w:trPr>
          <w:trHeight w:val="20"/>
        </w:trPr>
        <w:tc>
          <w:tcPr>
            <w:tcW w:w="54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ind w:left="340" w:hanging="332"/>
        <w:spacing w:after="0" w:line="263"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As of September 30, 2015, the aggregate amount of available-for-sale corporate debt securities maturing in one year or less was $0.2 million, in one year to less than three years was $1.6 million, in three years to less than five years was $3.0 million, and in five or more years was $6.4 million.</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fair value. Land values are reviewed for indicators of impairment on a quarterly basis and no impairments were recorded for the quarter and nine months ended September 30, 2015 (none for the year ended December 31, 2014).</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2680" w:type="dxa"/>
            <w:vAlign w:val="bottom"/>
            <w:gridSpan w:val="2"/>
          </w:tcPr>
          <w:p>
            <w:pPr>
              <w:ind w:left="1000"/>
              <w:spacing w:after="0"/>
              <w:rPr>
                <w:sz w:val="20"/>
                <w:szCs w:val="20"/>
                <w:color w:val="auto"/>
              </w:rPr>
            </w:pPr>
            <w:r>
              <w:rPr>
                <w:rFonts w:ascii="Arial" w:cs="Arial" w:eastAsia="Arial" w:hAnsi="Arial"/>
                <w:sz w:val="18"/>
                <w:szCs w:val="18"/>
                <w:b w:val="1"/>
                <w:bCs w:val="1"/>
                <w:color w:val="auto"/>
              </w:rPr>
              <w:t>Gross Unrealized</w:t>
            </w:r>
          </w:p>
        </w:tc>
        <w:tc>
          <w:tcPr>
            <w:tcW w:w="2180" w:type="dxa"/>
            <w:vAlign w:val="bottom"/>
          </w:tcPr>
          <w:p>
            <w:pPr>
              <w:spacing w:after="0"/>
              <w:rPr>
                <w:sz w:val="20"/>
                <w:szCs w:val="20"/>
                <w:color w:val="auto"/>
              </w:rPr>
            </w:pPr>
          </w:p>
        </w:tc>
      </w:tr>
      <w:tr>
        <w:trPr>
          <w:trHeight w:val="270"/>
        </w:trPr>
        <w:tc>
          <w:tcPr>
            <w:tcW w:w="4100" w:type="dxa"/>
            <w:vAlign w:val="bottom"/>
          </w:tcPr>
          <w:p>
            <w:pPr>
              <w:spacing w:after="0"/>
              <w:rPr>
                <w:sz w:val="23"/>
                <w:szCs w:val="23"/>
                <w:color w:val="auto"/>
              </w:rPr>
            </w:pPr>
          </w:p>
        </w:tc>
        <w:tc>
          <w:tcPr>
            <w:tcW w:w="2460" w:type="dxa"/>
            <w:vAlign w:val="bottom"/>
          </w:tcPr>
          <w:p>
            <w:pPr>
              <w:jc w:val="center"/>
              <w:ind w:left="930"/>
              <w:spacing w:after="0"/>
              <w:rPr>
                <w:sz w:val="20"/>
                <w:szCs w:val="20"/>
                <w:color w:val="auto"/>
              </w:rPr>
            </w:pPr>
            <w:r>
              <w:rPr>
                <w:rFonts w:ascii="Arial" w:cs="Arial" w:eastAsia="Arial" w:hAnsi="Arial"/>
                <w:sz w:val="18"/>
                <w:szCs w:val="18"/>
                <w:b w:val="1"/>
                <w:bCs w:val="1"/>
                <w:color w:val="auto"/>
                <w:w w:val="89"/>
              </w:rPr>
              <w:t>Cost</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4"/>
              </w:rPr>
              <w:t>Gain</w:t>
            </w:r>
          </w:p>
        </w:tc>
        <w:tc>
          <w:tcPr>
            <w:tcW w:w="940" w:type="dxa"/>
            <w:vAlign w:val="bottom"/>
          </w:tcPr>
          <w:p>
            <w:pPr>
              <w:ind w:left="560"/>
              <w:spacing w:after="0"/>
              <w:rPr>
                <w:sz w:val="20"/>
                <w:szCs w:val="20"/>
                <w:color w:val="auto"/>
              </w:rPr>
            </w:pPr>
            <w:r>
              <w:rPr>
                <w:rFonts w:ascii="Arial" w:cs="Arial" w:eastAsia="Arial" w:hAnsi="Arial"/>
                <w:sz w:val="18"/>
                <w:szCs w:val="18"/>
                <w:b w:val="1"/>
                <w:bCs w:val="1"/>
                <w:color w:val="auto"/>
                <w:w w:val="85"/>
              </w:rPr>
              <w:t>Loss</w:t>
            </w:r>
          </w:p>
        </w:tc>
        <w:tc>
          <w:tcPr>
            <w:tcW w:w="218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2460" w:type="dxa"/>
            <w:vAlign w:val="bottom"/>
            <w:tcBorders>
              <w:bottom w:val="single" w:sz="8" w:color="CCEEFF"/>
            </w:tcBorders>
            <w:shd w:val="clear" w:color="auto" w:fill="CCEEFF"/>
          </w:tcPr>
          <w:p>
            <w:pPr>
              <w:jc w:val="center"/>
              <w:ind w:left="930"/>
              <w:spacing w:after="0"/>
              <w:rPr>
                <w:sz w:val="20"/>
                <w:szCs w:val="20"/>
                <w:color w:val="auto"/>
              </w:rPr>
            </w:pPr>
            <w:r>
              <w:rPr>
                <w:rFonts w:ascii="Arial" w:cs="Arial" w:eastAsia="Arial" w:hAnsi="Arial"/>
                <w:sz w:val="18"/>
                <w:szCs w:val="18"/>
                <w:color w:val="auto"/>
                <w:w w:val="88"/>
              </w:rPr>
              <w:t>$20.1</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9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5"/>
              </w:rPr>
              <w:t>$1.7</w:t>
            </w:r>
          </w:p>
        </w:tc>
        <w:tc>
          <w:tcPr>
            <w:tcW w:w="21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$18.5</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2460" w:type="dxa"/>
            <w:vAlign w:val="bottom"/>
          </w:tcPr>
          <w:p>
            <w:pPr>
              <w:jc w:val="center"/>
              <w:ind w:left="930"/>
              <w:spacing w:after="0"/>
              <w:rPr>
                <w:sz w:val="20"/>
                <w:szCs w:val="20"/>
                <w:color w:val="auto"/>
              </w:rPr>
            </w:pPr>
            <w:r>
              <w:rPr>
                <w:rFonts w:ascii="Arial" w:cs="Arial" w:eastAsia="Arial" w:hAnsi="Arial"/>
                <w:sz w:val="18"/>
                <w:szCs w:val="18"/>
                <w:color w:val="auto"/>
                <w:w w:val="88"/>
              </w:rPr>
              <w:t>$19.6</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940" w:type="dxa"/>
            <w:vAlign w:val="bottom"/>
          </w:tcPr>
          <w:p>
            <w:pPr>
              <w:jc w:val="center"/>
              <w:ind w:left="430"/>
              <w:spacing w:after="0"/>
              <w:rPr>
                <w:sz w:val="20"/>
                <w:szCs w:val="20"/>
                <w:color w:val="auto"/>
              </w:rPr>
            </w:pPr>
            <w:r>
              <w:rPr>
                <w:rFonts w:ascii="Arial" w:cs="Arial" w:eastAsia="Arial" w:hAnsi="Arial"/>
                <w:sz w:val="18"/>
                <w:szCs w:val="18"/>
                <w:color w:val="auto"/>
                <w:w w:val="85"/>
              </w:rPr>
              <w:t>$0.9</w:t>
            </w:r>
          </w:p>
        </w:tc>
        <w:tc>
          <w:tcPr>
            <w:tcW w:w="2180" w:type="dxa"/>
            <w:vAlign w:val="bottom"/>
          </w:tcPr>
          <w:p>
            <w:pPr>
              <w:jc w:val="right"/>
              <w:ind w:right="610"/>
              <w:spacing w:after="0"/>
              <w:rPr>
                <w:sz w:val="20"/>
                <w:szCs w:val="20"/>
                <w:color w:val="auto"/>
              </w:rPr>
            </w:pPr>
            <w:r>
              <w:rPr>
                <w:rFonts w:ascii="Arial" w:cs="Arial" w:eastAsia="Arial" w:hAnsi="Arial"/>
                <w:sz w:val="18"/>
                <w:szCs w:val="18"/>
                <w:color w:val="auto"/>
              </w:rPr>
              <w:t>$18.9</w:t>
            </w:r>
          </w:p>
        </w:tc>
      </w:tr>
      <w:tr>
        <w:trPr>
          <w:trHeight w:val="27"/>
        </w:trPr>
        <w:tc>
          <w:tcPr>
            <w:tcW w:w="4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534"/>
        </w:trPr>
        <w:tc>
          <w:tcPr>
            <w:tcW w:w="4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c>
          <w:tcPr>
            <w:tcW w:w="940" w:type="dxa"/>
            <w:vAlign w:val="bottom"/>
          </w:tcPr>
          <w:p>
            <w:pPr>
              <w:spacing w:after="0"/>
              <w:rPr>
                <w:sz w:val="24"/>
                <w:szCs w:val="24"/>
                <w:color w:val="auto"/>
              </w:rPr>
            </w:pPr>
          </w:p>
        </w:tc>
        <w:tc>
          <w:tcPr>
            <w:tcW w:w="2180" w:type="dxa"/>
            <w:vAlign w:val="bottom"/>
          </w:tcPr>
          <w:p>
            <w:pPr>
              <w:jc w:val="right"/>
              <w:ind w:right="930"/>
              <w:spacing w:after="0"/>
              <w:rPr>
                <w:sz w:val="20"/>
                <w:szCs w:val="20"/>
                <w:color w:val="auto"/>
              </w:rPr>
            </w:pPr>
            <w:r>
              <w:rPr>
                <w:rFonts w:ascii="Arial" w:cs="Arial" w:eastAsia="Arial" w:hAnsi="Arial"/>
                <w:sz w:val="18"/>
                <w:szCs w:val="18"/>
                <w:b w:val="1"/>
                <w:bCs w:val="1"/>
                <w:color w:val="auto"/>
                <w:w w:val="87"/>
              </w:rPr>
              <w:t>Gross Realized</w:t>
            </w:r>
          </w:p>
        </w:tc>
      </w:tr>
      <w:tr>
        <w:trPr>
          <w:trHeight w:val="270"/>
        </w:trPr>
        <w:tc>
          <w:tcPr>
            <w:tcW w:w="41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3"/>
              </w:rPr>
              <w:t>Proceeds</w:t>
            </w:r>
          </w:p>
        </w:tc>
        <w:tc>
          <w:tcPr>
            <w:tcW w:w="940" w:type="dxa"/>
            <w:vAlign w:val="bottom"/>
          </w:tcPr>
          <w:p>
            <w:pPr>
              <w:ind w:left="540"/>
              <w:spacing w:after="0"/>
              <w:rPr>
                <w:sz w:val="20"/>
                <w:szCs w:val="20"/>
                <w:color w:val="auto"/>
              </w:rPr>
            </w:pPr>
            <w:r>
              <w:rPr>
                <w:rFonts w:ascii="Arial" w:cs="Arial" w:eastAsia="Arial" w:hAnsi="Arial"/>
                <w:sz w:val="18"/>
                <w:szCs w:val="18"/>
                <w:b w:val="1"/>
                <w:bCs w:val="1"/>
                <w:color w:val="auto"/>
                <w:w w:val="94"/>
              </w:rPr>
              <w:t>Gain</w:t>
            </w:r>
          </w:p>
        </w:tc>
        <w:tc>
          <w:tcPr>
            <w:tcW w:w="2180" w:type="dxa"/>
            <w:vAlign w:val="bottom"/>
          </w:tcPr>
          <w:p>
            <w:pPr>
              <w:jc w:val="right"/>
              <w:ind w:right="530"/>
              <w:spacing w:after="0"/>
              <w:rPr>
                <w:sz w:val="20"/>
                <w:szCs w:val="20"/>
                <w:color w:val="auto"/>
              </w:rPr>
            </w:pPr>
            <w:r>
              <w:rPr>
                <w:rFonts w:ascii="Arial" w:cs="Arial" w:eastAsia="Arial" w:hAnsi="Arial"/>
                <w:sz w:val="18"/>
                <w:szCs w:val="18"/>
                <w:b w:val="1"/>
                <w:bCs w:val="1"/>
                <w:color w:val="auto"/>
              </w:rPr>
              <w:t>Loss</w:t>
            </w:r>
          </w:p>
        </w:tc>
      </w:tr>
      <w:tr>
        <w:trPr>
          <w:trHeight w:val="27"/>
        </w:trPr>
        <w:tc>
          <w:tcPr>
            <w:tcW w:w="4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w:t>
            </w:r>
          </w:p>
        </w:tc>
        <w:tc>
          <w:tcPr>
            <w:tcW w:w="24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2015</w:t>
            </w:r>
          </w:p>
        </w:tc>
        <w:tc>
          <w:tcPr>
            <w:tcW w:w="246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61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2014</w:t>
            </w:r>
          </w:p>
        </w:tc>
        <w:tc>
          <w:tcPr>
            <w:tcW w:w="24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$0.6</w:t>
            </w:r>
          </w:p>
        </w:tc>
        <w:tc>
          <w:tcPr>
            <w:tcW w:w="9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Nine Months Ended September 30,</w:t>
            </w:r>
          </w:p>
        </w:tc>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2015</w:t>
            </w:r>
          </w:p>
        </w:tc>
        <w:tc>
          <w:tcPr>
            <w:tcW w:w="24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$0.7</w:t>
            </w:r>
          </w:p>
        </w:tc>
        <w:tc>
          <w:tcPr>
            <w:tcW w:w="9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5"/>
              </w:rPr>
              <w:t>$0.1</w:t>
            </w:r>
          </w:p>
        </w:tc>
        <w:tc>
          <w:tcPr>
            <w:tcW w:w="21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2014</w:t>
            </w:r>
          </w:p>
        </w:tc>
        <w:tc>
          <w:tcPr>
            <w:tcW w:w="246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$3.3</w:t>
            </w:r>
          </w:p>
        </w:tc>
        <w:tc>
          <w:tcPr>
            <w:tcW w:w="940" w:type="dxa"/>
            <w:vAlign w:val="bottom"/>
          </w:tcPr>
          <w:p>
            <w:pPr>
              <w:jc w:val="center"/>
              <w:ind w:left="430"/>
              <w:spacing w:after="0"/>
              <w:rPr>
                <w:sz w:val="20"/>
                <w:szCs w:val="20"/>
                <w:color w:val="auto"/>
              </w:rPr>
            </w:pPr>
            <w:r>
              <w:rPr>
                <w:rFonts w:ascii="Arial" w:cs="Arial" w:eastAsia="Arial" w:hAnsi="Arial"/>
                <w:sz w:val="18"/>
                <w:szCs w:val="18"/>
                <w:color w:val="auto"/>
                <w:w w:val="85"/>
              </w:rPr>
              <w:t>$0.2</w:t>
            </w:r>
          </w:p>
        </w:tc>
        <w:tc>
          <w:tcPr>
            <w:tcW w:w="2180" w:type="dxa"/>
            <w:vAlign w:val="bottom"/>
          </w:tcPr>
          <w:p>
            <w:pPr>
              <w:jc w:val="right"/>
              <w:ind w:right="61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4. 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acquisitions below are consistent with ALLETE’s stated strategy of investing in energy infrastructure and related services businesses to complement its core regulated utility, balance exposure to business cycles and changing demand, and provide potential long-term earnings growth. The pro forma impact of the following acquisitions was not significant, either individually or in the aggregate, to the results of the Company for the nine months ended September 30, 2015, and year ended December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U.S. Water Services. </w:t>
      </w:r>
      <w:r>
        <w:rPr>
          <w:rFonts w:ascii="Arial" w:cs="Arial" w:eastAsia="Arial" w:hAnsi="Arial"/>
          <w:sz w:val="17"/>
          <w:szCs w:val="17"/>
          <w:color w:val="auto"/>
        </w:rPr>
        <w:t>On February 10, 2015, ALLETE acquired U.S. Water Services. Total consideration for the transaction was $202.3 million,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payment of $166.6 million in cash and an estimated fair value of earnings-based contingent consideration of $35.7 million to be paid through 2019. The contingent consideration is presented within Other Non-Current Liabilities on the Consolidated Balance Sheet. The Consolidated Statement of Income reflects 100 percent of the results of operations for U.S. Water Services since the acquisition date as the Company has acquired 100 percent of U.S. Water Services. U.S. Water Services, an integrated industrial water management company headquartered in St. Michael, Minnesota, provides integrated water management for industry by combining chemical, equipment, engineering and service for customized solutions to reduce water and energy usage and improve efficiency. U.S. Water Services helps customers achieve efficient and sustainable use of their water and energy systems, is a leading provider to the biofuels industry, and has a growing presence in the power generation and midstream oil and gas industries.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acquisition was accounted for as a business combination and the purchase price was allocated based on the estimated fair values of the assets acquired and the liabilities assumed at the date of acquisition. The allocation of the purchase price is subject to judgment and the preliminary estimated fair value of the assets acquired and the liabilities assumed may be adjusted when the valuation analysis is completed in subsequent periods. Preliminary estimates subject to adjustment in subsequent periods relate primarily to income taxes; subsequent adjustments could impact the amount of goodwill recorded.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(a)</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(b)</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i w:val="1"/>
                <w:iCs w:val="1"/>
                <w:color w:val="auto"/>
              </w:rPr>
              <w:t>(c)</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8"/>
                <w:szCs w:val="18"/>
                <w:i w:val="1"/>
                <w:iCs w:val="1"/>
                <w:color w:val="auto"/>
              </w:rPr>
              <w:t>(d)</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$257.9</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5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$55.6</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$202.3</w:t>
            </w:r>
          </w:p>
        </w:tc>
      </w:tr>
      <w:tr>
        <w:trPr>
          <w:trHeight w:val="20"/>
        </w:trPr>
        <w:tc>
          <w:tcPr>
            <w:tcW w:w="69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Inventories was $2.7 million of fair value adjustments relating to work in progress and finished goods inventories which will be recognized as Cost of Sales within one year from the acquisition date.</w:t>
      </w:r>
    </w:p>
    <w:p>
      <w:pPr>
        <w:ind w:left="340" w:hanging="332"/>
        <w:spacing w:after="0" w:line="263" w:lineRule="auto"/>
        <w:tabs>
          <w:tab w:leader="none" w:pos="34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Included in Other Current Assets was $1.6 million relating to the fair value of sales backlog. Sales backlog will be recognized as Cost of Sales within one year from the acquisition date. Also included in Other Current Assets was restricted cash of $2.1 million relating to cash pledged as collateral for stand-by letters of credit.</w:t>
      </w: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$3.2 million of deductible Goodwill.</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Intangible Assets include customer relationships, patents, non-compete agreements and trademarks and trade names. (See Note 5. Goodwill and Intangible Assets.)</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Acquisition-related costs of $3.0 million after-tax were expensed as incurred during the first quarter of 2015, and were recorded in Operating and Maintenance on the Consolidated Statement of Income.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Chanarambie/Viking. </w:t>
      </w:r>
      <w:r>
        <w:rPr>
          <w:rFonts w:ascii="Arial" w:cs="Arial" w:eastAsia="Arial" w:hAnsi="Arial"/>
          <w:sz w:val="18"/>
          <w:szCs w:val="18"/>
          <w:color w:val="auto"/>
        </w:rPr>
        <w:t>On April 15, 2015, ALLETE Clean Energy acquired wind energy facilities in southern Minnesota (Chanarambie/Viking) from EDF</w:t>
      </w:r>
      <w:r>
        <w:rPr>
          <w:rFonts w:ascii="Arial" w:cs="Arial" w:eastAsia="Arial" w:hAnsi="Arial"/>
          <w:sz w:val="18"/>
          <w:szCs w:val="18"/>
          <w:i w:val="1"/>
          <w:iCs w:val="1"/>
          <w:color w:val="auto"/>
        </w:rPr>
        <w:t xml:space="preserve"> </w:t>
      </w:r>
      <w:r>
        <w:rPr>
          <w:rFonts w:ascii="Arial" w:cs="Arial" w:eastAsia="Arial" w:hAnsi="Arial"/>
          <w:sz w:val="18"/>
          <w:szCs w:val="18"/>
          <w:color w:val="auto"/>
        </w:rPr>
        <w:t>Renewable Energy, Inc. for $48.0 million.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facilities have 97.5 MW of generating capability and are located near ALLETE Clean Energy’s Lake Benton facility. The wind energy facilities began commercial operations in 2003 and have PPAs in place for their entire output, which expire in 2018 (12 MW) and 2023 (85.5 MW).</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acquisition was accounted for as a business combination and the purchase price was allocated based on the estimated fair values of the assets acquired and the liabilities assumed at the date of acquisition. In connection with finalizing purchase price accounting, the Company recorded minor adjustments during the third quarter of 2015 to certain assets and liabilities, which are reflected in the table below. The result of these adjustments had no impact on the results of operations for the nine months ended September 30, 2015.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(a)</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520" w:type="dxa"/>
            <w:vAlign w:val="bottom"/>
            <w:tcBorders>
              <w:top w:val="single" w:sz="8" w:color="auto"/>
            </w:tcBorders>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18"/>
                <w:szCs w:val="18"/>
                <w:i w:val="1"/>
                <w:iCs w:val="1"/>
                <w:color w:val="auto"/>
              </w:rPr>
              <w:t>(b)</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Power Purchase Agreements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0"/>
        </w:trPr>
        <w:tc>
          <w:tcPr>
            <w:tcW w:w="69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$0.3 million of goodwill; for tax purposes, the purchase price allocation resulted in no allocation to goodwill.</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Current Liabilities included $5.9 million related to the current portion of Power Purchase Agreements.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$0.2 million after-tax were expensed as incurred during the first six months of 2015, and were recorded in Operating and Maintenance on the Consolidated Statement of Income.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Armenia Mountain. </w:t>
      </w:r>
      <w:r>
        <w:rPr>
          <w:rFonts w:ascii="Arial" w:cs="Arial" w:eastAsia="Arial" w:hAnsi="Arial"/>
          <w:sz w:val="18"/>
          <w:szCs w:val="18"/>
          <w:color w:val="auto"/>
        </w:rPr>
        <w:t>On July 1, 2015, ALLETE Clean Energy acquired 100 percent of a wind energy facility located near Troy, Pennsylvania (Armenia</w:t>
      </w:r>
      <w:r>
        <w:rPr>
          <w:rFonts w:ascii="Arial" w:cs="Arial" w:eastAsia="Arial" w:hAnsi="Arial"/>
          <w:sz w:val="18"/>
          <w:szCs w:val="18"/>
          <w:i w:val="1"/>
          <w:iCs w:val="1"/>
          <w:color w:val="auto"/>
        </w:rPr>
        <w:t xml:space="preserve"> </w:t>
      </w:r>
      <w:r>
        <w:rPr>
          <w:rFonts w:ascii="Arial" w:cs="Arial" w:eastAsia="Arial" w:hAnsi="Arial"/>
          <w:sz w:val="18"/>
          <w:szCs w:val="18"/>
          <w:color w:val="auto"/>
        </w:rPr>
        <w:t>Mountain) from The AES Corporation (AES) and a minority shareholder for $111.1 million, plus the assumption of existing debt.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facility has 100.5 MW of generating capability, began commercial operations in 2009, and has PPAs in place for its entire output, which expire in 2024.</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acquisition was accounted for as a business combination and the purchase price was allocated based on the estimated fair values of the assets acquired and the liabilities assumed at the date of acquisition. The allocation of the purchase price is subject to judgment and the preliminary estimated fair value of the assets acquired and the liabilities assumed may be adjusted when the valuation analysis is completed in subsequent periods. Preliminary estimates subject to adjustment in subsequent periods relate primarily to property, plant and equipment, working capital and PPAs; subsequent adjustments could impact the amount of goodwill recorded. Fair value measurements were valued primarily using the discounted cash flow method.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4.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228600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Current Assets </w:t>
            </w:r>
            <w:r>
              <w:rPr>
                <w:rFonts w:ascii="Arial" w:cs="Arial" w:eastAsia="Arial" w:hAnsi="Arial"/>
                <w:sz w:val="18"/>
                <w:szCs w:val="18"/>
                <w:i w:val="1"/>
                <w:iCs w:val="1"/>
                <w:color w:val="auto"/>
              </w:rPr>
              <w:t>(a)</w:t>
            </w:r>
          </w:p>
        </w:tc>
        <w:tc>
          <w:tcPr>
            <w:tcW w:w="4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156.7</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(b)</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14.4</w:t>
            </w:r>
          </w:p>
        </w:tc>
      </w:tr>
      <w:tr>
        <w:trPr>
          <w:trHeight w:val="27"/>
        </w:trPr>
        <w:tc>
          <w:tcPr>
            <w:tcW w:w="68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$180.1</w:t>
            </w:r>
          </w:p>
        </w:tc>
      </w:tr>
      <w:tr>
        <w:trPr>
          <w:trHeight w:val="237"/>
        </w:trPr>
        <w:tc>
          <w:tcPr>
            <w:tcW w:w="68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500" w:type="dxa"/>
            <w:vAlign w:val="bottom"/>
            <w:tcBorders>
              <w:top w:val="single" w:sz="8" w:color="auto"/>
            </w:tcBorders>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Long-Term Debt Due Within One Year</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
        </w:trPr>
        <w:tc>
          <w:tcPr>
            <w:tcW w:w="68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37"/>
        </w:trPr>
        <w:tc>
          <w:tcPr>
            <w:tcW w:w="68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55"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Assets was $1.0 million related to the current portion of Power Purchase Agreements and $6.0 million of restricted cash related to capital distribution reserve requirements.</w:t>
      </w:r>
    </w:p>
    <w:p>
      <w:pPr>
        <w:spacing w:after="0" w:line="1"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$8.2 million related to the non-current portion of Power Purchase Agreements, $6.1 million of restricted cash related to operating expense and major maintenance reserve requirements, and $0.1 million of goodwill; for tax purposes, the purchase price allocation resulted in no allocation to goodwill.</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Acquisition-related costs of $1.6 million after-tax were expensed as incurred during the first nine months of 2015, and were recorded in Operating and Maintenance on the Consolidated Statement of Income.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Montana-Dakota Utilities. </w:t>
      </w:r>
      <w:r>
        <w:rPr>
          <w:rFonts w:ascii="Arial" w:cs="Arial" w:eastAsia="Arial" w:hAnsi="Arial"/>
          <w:sz w:val="17"/>
          <w:szCs w:val="17"/>
          <w:color w:val="auto"/>
        </w:rPr>
        <w:t>In November 2014, ALLETE Clean Energy acquired a business for $27.0 million to develop a wind facility near Hettinger, North</w:t>
      </w:r>
      <w:r>
        <w:rPr>
          <w:rFonts w:ascii="Arial" w:cs="Arial" w:eastAsia="Arial" w:hAnsi="Arial"/>
          <w:sz w:val="17"/>
          <w:szCs w:val="17"/>
          <w:i w:val="1"/>
          <w:iCs w:val="1"/>
          <w:color w:val="auto"/>
        </w:rPr>
        <w:t xml:space="preserve"> </w:t>
      </w:r>
      <w:r>
        <w:rPr>
          <w:rFonts w:ascii="Arial" w:cs="Arial" w:eastAsia="Arial" w:hAnsi="Arial"/>
          <w:sz w:val="17"/>
          <w:szCs w:val="17"/>
          <w:color w:val="auto"/>
        </w:rPr>
        <w:t>Dakota. ALLETE Clean Energy is developing and constructing a 107 MW wind facility consisting of 43 turbines, which was approved to be sold to Montana-Dakota Utilities by the NDPSC on June 30, 2015, for approximately $200 million. Construction is expected to be completed in December 2015.</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liabilities assumed at the date of acquisition. Fair value measurements were valued primarily using the replacement cost method and determined that the assets acquired amounted to cash of $3.6 million and construction in process of $23.4 million. There were no liabilities assumed and no recognition of goodwill.</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result of the NDPSC approval of the sale agreement with Montana-Dakota Utilities in the second quarter of 2015, ALLETE Clean Energy began accounting for the project under the percentage of completion method of accounting for contracts. The percentage of completion used to recognize revenue and cost of sales is calculated based on the percentage of construction costs incurred at the measurement date compared to the estimated total construction costs. We have selected this method because we consider construction costs to be the best available measure of progress on the project. Any adjustments to the estimated percentage of completion or estimated earnings, and the related impacts to operating income, are recorded in the period they become known.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billings, construction costs, and estimated earnings recognized for the wind facility: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374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37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7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Billings</w:t>
            </w:r>
          </w:p>
        </w:tc>
        <w:tc>
          <w:tcPr>
            <w:tcW w:w="3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r>
      <w:tr>
        <w:trPr>
          <w:trHeight w:val="243"/>
        </w:trPr>
        <w:tc>
          <w:tcPr>
            <w:tcW w:w="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Construction Costs</w:t>
            </w:r>
          </w:p>
        </w:tc>
        <w:tc>
          <w:tcPr>
            <w:tcW w:w="3740" w:type="dxa"/>
            <w:vAlign w:val="bottom"/>
          </w:tcPr>
          <w:p>
            <w:pPr>
              <w:jc w:val="right"/>
              <w:ind w:right="10"/>
              <w:spacing w:after="0"/>
              <w:rPr>
                <w:sz w:val="20"/>
                <w:szCs w:val="20"/>
                <w:color w:val="auto"/>
              </w:rPr>
            </w:pPr>
            <w:r>
              <w:rPr>
                <w:rFonts w:ascii="Arial" w:cs="Arial" w:eastAsia="Arial" w:hAnsi="Arial"/>
                <w:sz w:val="18"/>
                <w:szCs w:val="18"/>
                <w:color w:val="auto"/>
              </w:rPr>
              <w:t>137.5</w:t>
            </w:r>
          </w:p>
        </w:tc>
      </w:tr>
      <w:tr>
        <w:trPr>
          <w:trHeight w:val="27"/>
        </w:trPr>
        <w:tc>
          <w:tcPr>
            <w:tcW w:w="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Earnings</w:t>
            </w:r>
          </w:p>
        </w:tc>
        <w:tc>
          <w:tcPr>
            <w:tcW w:w="3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37"/>
        </w:trPr>
        <w:tc>
          <w:tcPr>
            <w:tcW w:w="20" w:type="dxa"/>
            <w:vAlign w:val="bottom"/>
          </w:tcPr>
          <w:p>
            <w:pPr>
              <w:spacing w:after="0"/>
              <w:rPr>
                <w:sz w:val="20"/>
                <w:szCs w:val="20"/>
                <w:color w:val="auto"/>
              </w:rPr>
            </w:pPr>
          </w:p>
        </w:tc>
        <w:tc>
          <w:tcPr>
            <w:tcW w:w="7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xml:space="preserve">Billings in Excess of Costs and Estimated Earnings </w:t>
            </w:r>
            <w:r>
              <w:rPr>
                <w:rFonts w:ascii="Arial" w:cs="Arial" w:eastAsia="Arial" w:hAnsi="Arial"/>
                <w:sz w:val="18"/>
                <w:szCs w:val="18"/>
                <w:i w:val="1"/>
                <w:iCs w:val="1"/>
                <w:color w:val="auto"/>
              </w:rPr>
              <w:t>(a)</w:t>
            </w:r>
          </w:p>
        </w:tc>
        <w:tc>
          <w:tcPr>
            <w:tcW w:w="3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7680" w:type="dxa"/>
            <w:vAlign w:val="bottom"/>
            <w:gridSpan w:val="2"/>
          </w:tcPr>
          <w:p>
            <w:pPr>
              <w:spacing w:after="0"/>
              <w:rPr>
                <w:sz w:val="2"/>
                <w:szCs w:val="2"/>
                <w:color w:val="auto"/>
              </w:rPr>
            </w:pPr>
          </w:p>
        </w:tc>
        <w:tc>
          <w:tcPr>
            <w:tcW w:w="374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76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Included in Current Liabilities - Other on the Consolidated Balance Sheet.</w:t>
            </w:r>
          </w:p>
        </w:tc>
        <w:tc>
          <w:tcPr>
            <w:tcW w:w="3740" w:type="dxa"/>
            <w:vAlign w:val="bottom"/>
            <w:tcBorders>
              <w:top w:val="single" w:sz="8" w:color="auto"/>
            </w:tcBorders>
          </w:tcPr>
          <w:p>
            <w:pPr>
              <w:spacing w:after="0"/>
              <w:rPr>
                <w:sz w:val="17"/>
                <w:szCs w:val="17"/>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4.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2015, revenue of $156.4 million and cost of sales of $133.0 million were recognized under the percentage of completion method of accounting for contracts and were reported on the Consolidated Statement of Income as Operating Revenue and Cost of Sales, respectively. Cash flows related to construction costs incurred, contract billings, and estimated earnings were reported net on the Consolidated Statement of Cash Flows as Current Liabilities - Other.</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2014, contract billings received were $54.3 million and construction costs incurred (including the construction costs acquired) were $48.2 million and were classified as Current Liabilities - Other and Prepayments and Other, respectively, on the Consolidated Balance Sheet.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Activity.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ACE Wind Acquisition. </w:t>
      </w:r>
      <w:r>
        <w:rPr>
          <w:rFonts w:ascii="Arial" w:cs="Arial" w:eastAsia="Arial" w:hAnsi="Arial"/>
          <w:sz w:val="18"/>
          <w:szCs w:val="18"/>
          <w:color w:val="auto"/>
        </w:rPr>
        <w:t>In January 2014, ALLETE Clean Energy acquired wind energy facilities located in Lake Benton, Minnesota (Lake Benton), Storm</w:t>
      </w:r>
      <w:r>
        <w:rPr>
          <w:rFonts w:ascii="Arial" w:cs="Arial" w:eastAsia="Arial" w:hAnsi="Arial"/>
          <w:sz w:val="18"/>
          <w:szCs w:val="18"/>
          <w:i w:val="1"/>
          <w:iCs w:val="1"/>
          <w:color w:val="auto"/>
        </w:rPr>
        <w:t xml:space="preserve"> </w:t>
      </w:r>
      <w:r>
        <w:rPr>
          <w:rFonts w:ascii="Arial" w:cs="Arial" w:eastAsia="Arial" w:hAnsi="Arial"/>
          <w:sz w:val="18"/>
          <w:szCs w:val="18"/>
          <w:color w:val="auto"/>
        </w:rPr>
        <w:t>Lake, Iowa (Storm Lake II) and Condon, Oregon (Condon) from AES for $26.9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Lake Benton, Storm Lake II and Condon have 104 MW, 77 MW and 50 MW of generating capability, respectively. Lake Benton and Storm Lake II began commercial operations in 1998, while Condon began operations in 2002. All three wind energy facilities have PPAs in place for their entire output, which expire in various years between 2019 and 2032.</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acquired a controlling interest in the limited liability company (LLC) which owns Lake Benton and Storm Lake II, and a controlling interest in the LLC that owns Condon. The acquisition was accounted for as a business combination and the purchase price was allocated based on the estimated fair values of the assets acquired and the liabilities assumed at the date of acquisition.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156.9</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(a)</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37"/>
        </w:trPr>
        <w:tc>
          <w:tcPr>
            <w:tcW w:w="76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3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$182.5</w:t>
            </w:r>
          </w:p>
        </w:tc>
      </w:tr>
      <w:tr>
        <w:trPr>
          <w:trHeight w:val="27"/>
        </w:trPr>
        <w:tc>
          <w:tcPr>
            <w:tcW w:w="7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7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18"/>
                <w:szCs w:val="18"/>
                <w:i w:val="1"/>
                <w:iCs w:val="1"/>
                <w:color w:val="auto"/>
              </w:rPr>
              <w:t>(b)</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Due Within One Year</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Purchase Agreements</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18"/>
                <w:szCs w:val="18"/>
                <w:i w:val="1"/>
                <w:iCs w:val="1"/>
                <w:color w:val="auto"/>
              </w:rPr>
              <w:t>(c)</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37"/>
        </w:trPr>
        <w:tc>
          <w:tcPr>
            <w:tcW w:w="76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and Non-Controlling Interest Assumed</w:t>
            </w:r>
          </w:p>
        </w:tc>
        <w:tc>
          <w:tcPr>
            <w:tcW w:w="3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$155.6</w:t>
            </w:r>
          </w:p>
        </w:tc>
      </w:tr>
      <w:tr>
        <w:trPr>
          <w:trHeight w:val="27"/>
        </w:trPr>
        <w:tc>
          <w:tcPr>
            <w:tcW w:w="7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0"/>
        </w:trPr>
        <w:tc>
          <w:tcPr>
            <w:tcW w:w="766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$0.3 million for the option to purchase Armenia Mountain, and goodwill of $2.9 million; for tax purposes, the purchase price allocation resulted in no allocation to goodwill.</w:t>
      </w: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Current Liabilities included $12.4 million related to the current portion of Power Purchase Agreements.</w:t>
      </w:r>
    </w:p>
    <w:p>
      <w:pPr>
        <w:spacing w:after="0" w:line="5"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The purchase price accounting valued the non-controlling interest relating to Lake Benton, Storm Lake II and Condon at fair value using the discounted cash flow method.</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February 2014, ALLETE Clean Energy purchased the non-controlling interest related to Lake Benton and Storm Lake II for $6.0 million. This was accounted for as an equity transaction, and no gain or loss was recognized in net income or other comprehensive income.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4.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Activity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Storm Lake I Acquisition. </w:t>
      </w:r>
      <w:r>
        <w:rPr>
          <w:rFonts w:ascii="Arial" w:cs="Arial" w:eastAsia="Arial" w:hAnsi="Arial"/>
          <w:sz w:val="18"/>
          <w:szCs w:val="18"/>
          <w:color w:val="auto"/>
        </w:rPr>
        <w:t>In December 2014, ALLETE Clean Energy acquired a wind energy facility in Storm Lake, Iowa (Storm Lake I) from NRG Energy,</w:t>
      </w:r>
      <w:r>
        <w:rPr>
          <w:rFonts w:ascii="Arial" w:cs="Arial" w:eastAsia="Arial" w:hAnsi="Arial"/>
          <w:sz w:val="18"/>
          <w:szCs w:val="18"/>
          <w:i w:val="1"/>
          <w:iCs w:val="1"/>
          <w:color w:val="auto"/>
        </w:rPr>
        <w:t xml:space="preserve"> </w:t>
      </w:r>
      <w:r>
        <w:rPr>
          <w:rFonts w:ascii="Arial" w:cs="Arial" w:eastAsia="Arial" w:hAnsi="Arial"/>
          <w:sz w:val="18"/>
          <w:szCs w:val="18"/>
          <w:color w:val="auto"/>
        </w:rPr>
        <w:t>Inc. for $15.1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Storm Lake I has 108 MW of generating capability and is located adjacent to Storm Lake II. The wind energy facility began commercial operations in 1999 and has a PPA in place for its entire output which expires in 2019.</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acquisition was accounted for as a business combination and the purchase price was allocated based on the estimated fair values of the assets acquired and the liabilities assumed at the date of acquisition. In connection with finalizing purchase price accounting, the Company recorded minor adjustments during the first quarter of 2015 to certain assets and liabilities, which are reflected in the table below. The result of these adjustments had no impact on the results of operations for the nine months ended September 30, 2015.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94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
        </w:trPr>
        <w:tc>
          <w:tcPr>
            <w:tcW w:w="694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(a)</w:t>
            </w:r>
          </w:p>
        </w:tc>
        <w:tc>
          <w:tcPr>
            <w:tcW w:w="4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37"/>
        </w:trPr>
        <w:tc>
          <w:tcPr>
            <w:tcW w:w="694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$63.8</w:t>
            </w:r>
          </w:p>
        </w:tc>
      </w:tr>
      <w:tr>
        <w:trPr>
          <w:trHeight w:val="27"/>
        </w:trPr>
        <w:tc>
          <w:tcPr>
            <w:tcW w:w="69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48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18"/>
                <w:szCs w:val="18"/>
                <w:i w:val="1"/>
                <w:iCs w:val="1"/>
                <w:color w:val="auto"/>
              </w:rPr>
              <w:t>(b)</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694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Purchase Agreements</w:t>
            </w:r>
          </w:p>
        </w:tc>
        <w:tc>
          <w:tcPr>
            <w:tcW w:w="4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69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69"/>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37"/>
        </w:trPr>
        <w:tc>
          <w:tcPr>
            <w:tcW w:w="694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55"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$0.4 million of restricted cash and an immaterial amount of goodwill; for tax purposes, the purchase price allocation resulted in no allocation to goodwill.</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Current Liabilities included $7.5 million related to the current portion of Power Purchase Agreements.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to goodwill by business segment for the nine months ended September 30,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3380" w:type="dxa"/>
            <w:vAlign w:val="bottom"/>
          </w:tcPr>
          <w:p>
            <w:pPr>
              <w:jc w:val="right"/>
              <w:ind w:right="90"/>
              <w:spacing w:after="0"/>
              <w:rPr>
                <w:sz w:val="20"/>
                <w:szCs w:val="20"/>
                <w:color w:val="auto"/>
              </w:rPr>
            </w:pPr>
            <w:r>
              <w:rPr>
                <w:rFonts w:ascii="Arial" w:cs="Arial" w:eastAsia="Arial" w:hAnsi="Arial"/>
                <w:sz w:val="18"/>
                <w:szCs w:val="18"/>
                <w:b w:val="1"/>
                <w:bCs w:val="1"/>
                <w:color w:val="auto"/>
              </w:rPr>
              <w:t>ALLETE Clean</w:t>
            </w:r>
          </w:p>
        </w:tc>
        <w:tc>
          <w:tcPr>
            <w:tcW w:w="2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4460" w:type="dxa"/>
            <w:vAlign w:val="bottom"/>
          </w:tcPr>
          <w:p>
            <w:pPr>
              <w:spacing w:after="0"/>
              <w:rPr>
                <w:sz w:val="20"/>
                <w:szCs w:val="20"/>
                <w:color w:val="auto"/>
              </w:rPr>
            </w:pPr>
          </w:p>
        </w:tc>
        <w:tc>
          <w:tcPr>
            <w:tcW w:w="3380" w:type="dxa"/>
            <w:vAlign w:val="bottom"/>
          </w:tcPr>
          <w:p>
            <w:pPr>
              <w:jc w:val="right"/>
              <w:ind w:right="90"/>
              <w:spacing w:after="0"/>
              <w:rPr>
                <w:sz w:val="20"/>
                <w:szCs w:val="20"/>
                <w:color w:val="auto"/>
              </w:rPr>
            </w:pPr>
            <w:r>
              <w:rPr>
                <w:rFonts w:ascii="Arial" w:cs="Arial" w:eastAsia="Arial" w:hAnsi="Arial"/>
                <w:sz w:val="18"/>
                <w:szCs w:val="18"/>
                <w:b w:val="1"/>
                <w:bCs w:val="1"/>
                <w:color w:val="auto"/>
              </w:rPr>
              <w:t>Energy</w:t>
            </w:r>
          </w:p>
        </w:tc>
        <w:tc>
          <w:tcPr>
            <w:tcW w:w="2320" w:type="dxa"/>
            <w:vAlign w:val="bottom"/>
          </w:tcPr>
          <w:p>
            <w:pPr>
              <w:jc w:val="right"/>
              <w:ind w:right="550"/>
              <w:spacing w:after="0"/>
              <w:rPr>
                <w:sz w:val="20"/>
                <w:szCs w:val="20"/>
                <w:color w:val="auto"/>
              </w:rPr>
            </w:pPr>
            <w:r>
              <w:rPr>
                <w:rFonts w:ascii="Arial" w:cs="Arial" w:eastAsia="Arial" w:hAnsi="Arial"/>
                <w:sz w:val="18"/>
                <w:szCs w:val="18"/>
                <w:b w:val="1"/>
                <w:bCs w:val="1"/>
                <w:color w:val="auto"/>
                <w:w w:val="98"/>
              </w:rPr>
              <w:t>U.S. Water Services</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4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3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23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Acquired Goodwill</w:t>
            </w:r>
          </w:p>
        </w:tc>
        <w:tc>
          <w:tcPr>
            <w:tcW w:w="338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2320" w:type="dxa"/>
            <w:vAlign w:val="bottom"/>
          </w:tcPr>
          <w:p>
            <w:pPr>
              <w:jc w:val="right"/>
              <w:ind w:right="550"/>
              <w:spacing w:after="0"/>
              <w:rPr>
                <w:sz w:val="20"/>
                <w:szCs w:val="20"/>
                <w:color w:val="auto"/>
              </w:rPr>
            </w:pPr>
            <w:r>
              <w:rPr>
                <w:rFonts w:ascii="Arial" w:cs="Arial" w:eastAsia="Arial" w:hAnsi="Arial"/>
                <w:sz w:val="18"/>
                <w:szCs w:val="18"/>
                <w:color w:val="auto"/>
              </w:rPr>
              <w:t>$127.7</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128.1</w:t>
            </w:r>
          </w:p>
        </w:tc>
      </w:tr>
      <w:tr>
        <w:trPr>
          <w:trHeight w:val="27"/>
        </w:trPr>
        <w:tc>
          <w:tcPr>
            <w:tcW w:w="44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2015</w:t>
            </w:r>
          </w:p>
        </w:tc>
        <w:tc>
          <w:tcPr>
            <w:tcW w:w="3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23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$127.7</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w:t>
            </w:r>
          </w:p>
        </w:tc>
      </w:tr>
      <w:tr>
        <w:trPr>
          <w:trHeight w:val="20"/>
        </w:trPr>
        <w:tc>
          <w:tcPr>
            <w:tcW w:w="4460" w:type="dxa"/>
            <w:vAlign w:val="bottom"/>
            <w:shd w:val="clear" w:color="auto" w:fill="000000"/>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36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NOTE 5. GOODWILL AND INTANGIBLE ASSETS (Continued)</w:t>
            </w:r>
          </w:p>
        </w:tc>
        <w:tc>
          <w:tcPr>
            <w:tcW w:w="1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6960" w:type="dxa"/>
            <w:vAlign w:val="bottom"/>
            <w:gridSpan w:val="3"/>
          </w:tcPr>
          <w:p>
            <w:pPr>
              <w:spacing w:after="0"/>
              <w:rPr>
                <w:sz w:val="20"/>
                <w:szCs w:val="20"/>
                <w:color w:val="auto"/>
              </w:rPr>
            </w:pPr>
            <w:r>
              <w:rPr>
                <w:rFonts w:ascii="Arial" w:cs="Arial" w:eastAsia="Arial" w:hAnsi="Arial"/>
                <w:sz w:val="18"/>
                <w:szCs w:val="18"/>
                <w:color w:val="auto"/>
                <w:w w:val="91"/>
              </w:rPr>
              <w:t>Balances of intangible assets, net, excluding goodwill as of September 30, 2015, are as follows:</w:t>
            </w: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0"/>
        </w:trPr>
        <w:tc>
          <w:tcPr>
            <w:tcW w:w="3400" w:type="dxa"/>
            <w:vAlign w:val="bottom"/>
          </w:tcPr>
          <w:p>
            <w:pPr>
              <w:spacing w:after="0"/>
              <w:rPr>
                <w:sz w:val="24"/>
                <w:szCs w:val="24"/>
                <w:color w:val="auto"/>
              </w:rPr>
            </w:pPr>
          </w:p>
        </w:tc>
        <w:tc>
          <w:tcPr>
            <w:tcW w:w="188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3400" w:type="dxa"/>
            <w:vAlign w:val="bottom"/>
          </w:tcPr>
          <w:p>
            <w:pPr>
              <w:spacing w:after="0"/>
              <w:rPr>
                <w:sz w:val="20"/>
                <w:szCs w:val="20"/>
                <w:color w:val="auto"/>
              </w:rPr>
            </w:pPr>
          </w:p>
        </w:tc>
        <w:tc>
          <w:tcPr>
            <w:tcW w:w="1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680" w:type="dxa"/>
            <w:vAlign w:val="bottom"/>
          </w:tcPr>
          <w:p>
            <w:pPr>
              <w:jc w:val="right"/>
              <w:ind w:right="450"/>
              <w:spacing w:after="0"/>
              <w:rPr>
                <w:sz w:val="20"/>
                <w:szCs w:val="20"/>
                <w:color w:val="auto"/>
              </w:rPr>
            </w:pPr>
            <w:r>
              <w:rPr>
                <w:rFonts w:ascii="Arial" w:cs="Arial" w:eastAsia="Arial" w:hAnsi="Arial"/>
                <w:sz w:val="18"/>
                <w:szCs w:val="18"/>
                <w:b w:val="1"/>
                <w:bCs w:val="1"/>
                <w:color w:val="auto"/>
              </w:rPr>
              <w:t xml:space="preserve">Additions </w:t>
            </w:r>
            <w:r>
              <w:rPr>
                <w:rFonts w:ascii="Arial" w:cs="Arial" w:eastAsia="Arial" w:hAnsi="Arial"/>
                <w:sz w:val="18"/>
                <w:szCs w:val="18"/>
                <w:i w:val="1"/>
                <w:iCs w:val="1"/>
                <w:color w:val="auto"/>
              </w:rPr>
              <w:t>(a)</w:t>
            </w: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Amortization</w:t>
            </w:r>
          </w:p>
        </w:tc>
        <w:tc>
          <w:tcPr>
            <w:tcW w:w="1460" w:type="dxa"/>
            <w:vAlign w:val="bottom"/>
          </w:tcPr>
          <w:p>
            <w:pPr>
              <w:jc w:val="right"/>
              <w:ind w:right="43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(b)</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3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8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tcPr>
          <w:p>
            <w:pPr>
              <w:ind w:left="180"/>
              <w:spacing w:after="0"/>
              <w:rPr>
                <w:sz w:val="20"/>
                <w:szCs w:val="20"/>
                <w:color w:val="auto"/>
              </w:rPr>
            </w:pPr>
            <w:r>
              <w:rPr>
                <w:rFonts w:ascii="Arial" w:cs="Arial" w:eastAsia="Arial" w:hAnsi="Arial"/>
                <w:sz w:val="18"/>
                <w:szCs w:val="18"/>
                <w:color w:val="auto"/>
              </w:rPr>
              <w:t>Definite-Lived Intangible Assets</w:t>
            </w:r>
          </w:p>
        </w:tc>
        <w:tc>
          <w:tcPr>
            <w:tcW w:w="18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1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$60.1</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r>
      <w:tr>
        <w:trPr>
          <w:trHeight w:val="243"/>
        </w:trPr>
        <w:tc>
          <w:tcPr>
            <w:tcW w:w="3400" w:type="dxa"/>
            <w:vAlign w:val="bottom"/>
          </w:tcPr>
          <w:p>
            <w:pPr>
              <w:ind w:left="28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8"/>
                <w:szCs w:val="18"/>
                <w:i w:val="1"/>
                <w:iCs w:val="1"/>
                <w:color w:val="auto"/>
              </w:rPr>
              <w:t>(c)</w:t>
            </w:r>
          </w:p>
        </w:tc>
        <w:tc>
          <w:tcPr>
            <w:tcW w:w="1880" w:type="dxa"/>
            <w:vAlign w:val="bottom"/>
          </w:tcPr>
          <w:p>
            <w:pPr>
              <w:jc w:val="right"/>
              <w:ind w:right="270"/>
              <w:spacing w:after="0"/>
              <w:rPr>
                <w:sz w:val="20"/>
                <w:szCs w:val="20"/>
                <w:color w:val="auto"/>
              </w:rPr>
            </w:pPr>
            <w:r>
              <w:rPr>
                <w:rFonts w:ascii="Arial" w:cs="Arial" w:eastAsia="Arial" w:hAnsi="Arial"/>
                <w:sz w:val="18"/>
                <w:szCs w:val="18"/>
                <w:color w:val="auto"/>
              </w:rPr>
              <w:t>$1.9</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6.4</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3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Definite-Lived Intangible Assets</w:t>
            </w:r>
          </w:p>
        </w:tc>
        <w:tc>
          <w:tcPr>
            <w:tcW w:w="1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w:t>
            </w:r>
          </w:p>
        </w:tc>
        <w:tc>
          <w:tcPr>
            <w:tcW w:w="16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66.5</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r>
      <w:tr>
        <w:trPr>
          <w:trHeight w:val="243"/>
        </w:trPr>
        <w:tc>
          <w:tcPr>
            <w:tcW w:w="3400" w:type="dxa"/>
            <w:vAlign w:val="bottom"/>
          </w:tcPr>
          <w:p>
            <w:pPr>
              <w:ind w:left="180"/>
              <w:spacing w:after="0"/>
              <w:rPr>
                <w:sz w:val="20"/>
                <w:szCs w:val="20"/>
                <w:color w:val="auto"/>
              </w:rPr>
            </w:pPr>
            <w:r>
              <w:rPr>
                <w:rFonts w:ascii="Arial" w:cs="Arial" w:eastAsia="Arial" w:hAnsi="Arial"/>
                <w:sz w:val="18"/>
                <w:szCs w:val="18"/>
                <w:color w:val="auto"/>
              </w:rPr>
              <w:t>Indefinite-Lived Intangible Assets</w:t>
            </w:r>
          </w:p>
        </w:tc>
        <w:tc>
          <w:tcPr>
            <w:tcW w:w="18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1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16.6</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3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 Assets</w:t>
            </w:r>
          </w:p>
        </w:tc>
        <w:tc>
          <w:tcPr>
            <w:tcW w:w="18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$1.9</w:t>
            </w:r>
          </w:p>
        </w:tc>
        <w:tc>
          <w:tcPr>
            <w:tcW w:w="16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$83.1</w:t>
            </w:r>
          </w:p>
        </w:tc>
        <w:tc>
          <w:tcPr>
            <w:tcW w:w="1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$(2.8)</w:t>
            </w:r>
          </w:p>
        </w:tc>
        <w:tc>
          <w:tcPr>
            <w:tcW w:w="1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$(0.3)</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Additions are primarily the result of the U.S. Water Services acquisition. (See Note 4. Acquisitions.)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4"/>
        </w:numPr>
        <w:rPr>
          <w:rFonts w:ascii="Arial" w:cs="Arial" w:eastAsia="Arial" w:hAnsi="Arial"/>
          <w:sz w:val="15"/>
          <w:szCs w:val="15"/>
          <w:i w:val="1"/>
          <w:iCs w:val="1"/>
          <w:color w:val="auto"/>
        </w:rPr>
      </w:pPr>
      <w:r>
        <w:rPr>
          <w:rFonts w:ascii="Arial" w:cs="Arial" w:eastAsia="Arial" w:hAnsi="Arial"/>
          <w:sz w:val="15"/>
          <w:szCs w:val="15"/>
          <w:i w:val="1"/>
          <w:iCs w:val="1"/>
          <w:color w:val="auto"/>
        </w:rPr>
        <w:t>Armenia Mountain was acquired on July 1, 2015, at which time the purchase option intangible asset was reclassified as a component of the acquisition consideration.</w:t>
      </w:r>
    </w:p>
    <w:p>
      <w:pPr>
        <w:spacing w:after="0" w:line="16" w:lineRule="exact"/>
        <w:rPr>
          <w:rFonts w:ascii="Arial" w:cs="Arial" w:eastAsia="Arial" w:hAnsi="Arial"/>
          <w:sz w:val="15"/>
          <w:szCs w:val="15"/>
          <w:i w:val="1"/>
          <w:iCs w:val="1"/>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Developed Technology and Other includes patents, non-compete agreements, and land easements.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have a useful life of approximately 22 years and developed technology and other have useful lives ranging from approximately 3 years to approximately 13 years (weighted average of approximately 9 years). The weighted average useful life of all definite-lived intangible assets as of September 30, 2015, is approximately 21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of intangible assets for the nine months ended September 30, 2015, was $2.8 million. Accumulated amortization was $2.9 million and $0.1 million as of September 30, 2015, and December 31, 2014, respectively. The estimated amortization expense for definite-lived intangible assets for the remainder of 2015 is $1.1 million. Estimated annual amortization expense for definite-lived intangible assets is $4.3 million in 2016, $4.2 million in 2017, $4.1 million in 2018, $4.0 million in 2019, and $47.6 million thereafter.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10. Fair Value to the Consolidated Financial Statements in our 2014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September 30, 2015, and December 31, 2014.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tables below.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20"/>
          </w:cols>
          <w:pgMar w:left="240" w:top="36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NOTE 6. FAIR VALUE (Continued)</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594"/>
        </w:trPr>
        <w:tc>
          <w:tcPr>
            <w:tcW w:w="5480" w:type="dxa"/>
            <w:vAlign w:val="bottom"/>
          </w:tcPr>
          <w:p>
            <w:pPr>
              <w:spacing w:after="0"/>
              <w:rPr>
                <w:sz w:val="24"/>
                <w:szCs w:val="24"/>
                <w:color w:val="auto"/>
              </w:rPr>
            </w:pPr>
          </w:p>
        </w:tc>
        <w:tc>
          <w:tcPr>
            <w:tcW w:w="5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Fair Value as of September 30, 2015</w:t>
            </w:r>
          </w:p>
        </w:tc>
        <w:tc>
          <w:tcPr>
            <w:tcW w:w="700" w:type="dxa"/>
            <w:vAlign w:val="bottom"/>
          </w:tcPr>
          <w:p>
            <w:pPr>
              <w:spacing w:after="0"/>
              <w:rPr>
                <w:sz w:val="24"/>
                <w:szCs w:val="24"/>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2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Level 3</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$7.3</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$11.2</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11.2</w:t>
            </w: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2.6</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$9.9</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$11.2</w:t>
            </w:r>
          </w:p>
        </w:tc>
        <w:tc>
          <w:tcPr>
            <w:tcW w:w="1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8"/>
                <w:szCs w:val="18"/>
                <w:i w:val="1"/>
                <w:iCs w:val="1"/>
                <w:color w:val="auto"/>
              </w:rPr>
              <w:t>(b)</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$15.9</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Derivatives – Interest Rate Swap </w:t>
            </w:r>
            <w:r>
              <w:rPr>
                <w:rFonts w:ascii="Arial" w:cs="Arial" w:eastAsia="Arial" w:hAnsi="Arial"/>
                <w:sz w:val="18"/>
                <w:szCs w:val="18"/>
                <w:i w:val="1"/>
                <w:iCs w:val="1"/>
                <w:color w:val="auto"/>
              </w:rPr>
              <w:t>(c)</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4.8</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U.S. Water Services Contingent Consideration </w:t>
            </w:r>
            <w:r>
              <w:rPr>
                <w:rFonts w:ascii="Arial" w:cs="Arial" w:eastAsia="Arial" w:hAnsi="Arial"/>
                <w:sz w:val="18"/>
                <w:szCs w:val="18"/>
                <w:i w:val="1"/>
                <w:iCs w:val="1"/>
                <w:color w:val="auto"/>
              </w:rPr>
              <w:t>(b)</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$37.4</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$20.7</w:t>
            </w:r>
          </w:p>
        </w:tc>
        <w:tc>
          <w:tcPr>
            <w:tcW w:w="1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$37.4</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$58.1</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$9.9</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$(9.5)</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$(37.4)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548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Liabilities - Other and Other Non-Current Liabilities on the Consolidated Balance Sheet.</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52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Fair Value as of December 31, 2014</w:t>
            </w:r>
          </w:p>
        </w:tc>
        <w:tc>
          <w:tcPr>
            <w:tcW w:w="680" w:type="dxa"/>
            <w:vAlign w:val="bottom"/>
          </w:tcPr>
          <w:p>
            <w:pPr>
              <w:spacing w:after="0"/>
              <w:rPr>
                <w:sz w:val="20"/>
                <w:szCs w:val="20"/>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2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3</w:t>
            </w: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$8.1</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$10.8</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10.8</w:t>
            </w: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2.9</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$11.0</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$10.8</w:t>
            </w: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8"/>
                <w:szCs w:val="18"/>
                <w:i w:val="1"/>
                <w:iCs w:val="1"/>
                <w:color w:val="auto"/>
              </w:rPr>
              <w:t>(b)</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$16.2</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Derivatives – Interest Rate Swap </w:t>
            </w:r>
            <w:r>
              <w:rPr>
                <w:rFonts w:ascii="Arial" w:cs="Arial" w:eastAsia="Arial" w:hAnsi="Arial"/>
                <w:sz w:val="18"/>
                <w:szCs w:val="18"/>
                <w:i w:val="1"/>
                <w:iCs w:val="1"/>
                <w:color w:val="auto"/>
              </w:rPr>
              <w:t>(c)</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0.3</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0.3</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$16.5</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$11.0</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$(5.7)</w:t>
            </w: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Liabilities - Other on the Consolidated Balance Sheet.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FAIR VALUE (Continued)</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table provides a reconciliation of the beginning and ending balances of the U.S. Water Services Contingent Consideration measured at fair value using Level 3 measurements as of September 30, 2015. The acquisition contingent consideration was recorded at the acquisition date at its estimated fair value. The acquisition date fair value is measured based on the consideration expected to be transferred, discounted to present value. The discount rate is determined at the time of measurement in accordance with generally accepted valuation methods. The fair value of the acquisition contingent consideration is remeasured to arrive at estimated fair value each reporting period with the change in fair value recognized as income or expense in our Consolidated Statement of Income. Changes to the fair value of the acquisition contingent consideration can result from changes in discount rates, or in the timing and amount of earnings estimates. Using different valuation assumptions, including earnings projections or discount rates, may result in different fair value measurements and expense (or income) in future periods. The acquisition contingent consideration was measured at $37.4 million as of September 30, 2015.</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Recurring Fair Value Measures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Activity in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20" w:type="dxa"/>
            <w:vAlign w:val="bottom"/>
          </w:tcPr>
          <w:p>
            <w:pPr>
              <w:spacing w:after="0"/>
              <w:rPr>
                <w:sz w:val="20"/>
                <w:szCs w:val="20"/>
                <w:color w:val="auto"/>
              </w:rPr>
            </w:pPr>
          </w:p>
        </w:tc>
      </w:tr>
      <w:tr>
        <w:trPr>
          <w:trHeight w:val="27"/>
        </w:trPr>
        <w:tc>
          <w:tcPr>
            <w:tcW w:w="77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Recognition of U.S. Water Services Contingent Consideration</w:t>
            </w:r>
          </w:p>
        </w:tc>
        <w:tc>
          <w:tcPr>
            <w:tcW w:w="372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77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Accretion Expense </w:t>
            </w:r>
            <w:r>
              <w:rPr>
                <w:rFonts w:ascii="Arial" w:cs="Arial" w:eastAsia="Arial" w:hAnsi="Arial"/>
                <w:sz w:val="18"/>
                <w:szCs w:val="18"/>
                <w:i w:val="1"/>
                <w:iCs w:val="1"/>
                <w:color w:val="auto"/>
              </w:rPr>
              <w:t>(a)</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 xml:space="preserve">Payments </w:t>
            </w:r>
            <w:r>
              <w:rPr>
                <w:rFonts w:ascii="Arial" w:cs="Arial" w:eastAsia="Arial" w:hAnsi="Arial"/>
                <w:sz w:val="18"/>
                <w:szCs w:val="18"/>
                <w:i w:val="1"/>
                <w:iCs w:val="1"/>
                <w:color w:val="auto"/>
              </w:rPr>
              <w:t>(b)</w:t>
            </w:r>
          </w:p>
        </w:tc>
        <w:tc>
          <w:tcPr>
            <w:tcW w:w="37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7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2015</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r>
      <w:tr>
        <w:trPr>
          <w:trHeight w:val="20"/>
        </w:trPr>
        <w:tc>
          <w:tcPr>
            <w:tcW w:w="770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Interest Expense on the Consolidated Statement of Income.</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Amounts paid to terminated employees.</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Level 3 activity above is the result of the February 10, 2015, acquisition of U.S. Water Services; there was no activity in Level 3 during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2015, and the year ended December 31, 2014, there were no transfers in or out of Levels 1, 2 or 3.</w:t>
      </w:r>
    </w:p>
    <w:p>
      <w:pPr>
        <w:spacing w:after="0" w:line="221"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With the exception of the item listed in the table below, the estimated fair value of all financial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approximates the carrying amount. The fair value for the item listed below was based on quoted market prices for the same or similar instruments (Level 2).</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10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September 30, 2015</w:t>
            </w:r>
          </w:p>
        </w:tc>
        <w:tc>
          <w:tcPr>
            <w:tcW w:w="4100" w:type="dxa"/>
            <w:vAlign w:val="bottom"/>
          </w:tcPr>
          <w:p>
            <w:pPr>
              <w:jc w:val="right"/>
              <w:ind w:right="470"/>
              <w:spacing w:after="0"/>
              <w:rPr>
                <w:sz w:val="20"/>
                <w:szCs w:val="20"/>
                <w:color w:val="auto"/>
              </w:rPr>
            </w:pPr>
            <w:r>
              <w:rPr>
                <w:rFonts w:ascii="Arial" w:cs="Arial" w:eastAsia="Arial" w:hAnsi="Arial"/>
                <w:sz w:val="18"/>
                <w:szCs w:val="18"/>
                <w:color w:val="auto"/>
              </w:rPr>
              <w:t>$1,598.1</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$1,685.2</w:t>
            </w: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2014</w:t>
            </w:r>
          </w:p>
        </w:tc>
        <w:tc>
          <w:tcPr>
            <w:tcW w:w="4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$1,373.5</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$1,484.5</w:t>
            </w:r>
          </w:p>
        </w:tc>
      </w:tr>
      <w:tr>
        <w:trPr>
          <w:trHeight w:val="20"/>
        </w:trPr>
        <w:tc>
          <w:tcPr>
            <w:tcW w:w="544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Equity Method Investment. </w:t>
      </w:r>
      <w:r>
        <w:rPr>
          <w:rFonts w:ascii="Arial" w:cs="Arial" w:eastAsia="Arial" w:hAnsi="Arial"/>
          <w:sz w:val="16"/>
          <w:szCs w:val="16"/>
          <w:color w:val="auto"/>
        </w:rPr>
        <w:t>Our wholly-owned subsidiary, ALLETE Transmission Holdings, owns approximately 8 percent of ATC, a Wisconsin-based utility</w:t>
      </w:r>
      <w:r>
        <w:rPr>
          <w:rFonts w:ascii="Arial" w:cs="Arial" w:eastAsia="Arial" w:hAnsi="Arial"/>
          <w:sz w:val="16"/>
          <w:szCs w:val="16"/>
          <w:i w:val="1"/>
          <w:iCs w:val="1"/>
          <w:color w:val="auto"/>
        </w:rPr>
        <w:t xml:space="preserve"> </w:t>
      </w:r>
      <w:r>
        <w:rPr>
          <w:rFonts w:ascii="Arial" w:cs="Arial" w:eastAsia="Arial" w:hAnsi="Arial"/>
          <w:sz w:val="16"/>
          <w:szCs w:val="16"/>
          <w:color w:val="auto"/>
        </w:rPr>
        <w:t>that owns and maintains electric transmission assets in parts of Wisconsin, Michigan, Minnesota and Illinois. (See Note 8. Investment in ATC.) The aggregate carrying amount of the investment was $126.0 million as of September 30, 2015 ($121.1 million as of December 31, 2014). The Company assesses our investment in ATC for impairment whenever events or changes in circumstances indicate that the carrying amount of our investment in ATC may not be recoverable. For the nine months ended September 30, 2015, and the year ended December 31, 2014, there were no indicators of impairment.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6. FAIR VALUE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To align with the annual budgeting and forecasting process, the Company assesses the impairment of goodwill annually in the fourth quarter and</w:t>
      </w:r>
      <w:r>
        <w:rPr>
          <w:rFonts w:ascii="Arial" w:cs="Arial" w:eastAsia="Arial" w:hAnsi="Arial"/>
          <w:sz w:val="18"/>
          <w:szCs w:val="18"/>
          <w:i w:val="1"/>
          <w:iCs w:val="1"/>
          <w:color w:val="auto"/>
        </w:rPr>
        <w:t xml:space="preserve"> </w:t>
      </w:r>
      <w:r>
        <w:rPr>
          <w:rFonts w:ascii="Arial" w:cs="Arial" w:eastAsia="Arial" w:hAnsi="Arial"/>
          <w:sz w:val="18"/>
          <w:szCs w:val="18"/>
          <w:color w:val="auto"/>
        </w:rPr>
        <w:t>whenever an event occurs or circumstances change that would indicate that the carrying amount may be impaired. Substantially all of the Company’s goodwill is a result of the U.S. Water Services acquisition on February 10, 2015. The aggregate carrying amount of goodwill was $131.0 million and $2.9 million as of September 30, 2015, and December 31, 2014, respectively.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The Company calculates the excess of each reporting unit's fair value over its carrying amount, including goodwill, utilizing a discounted cash flow analysis. As of September 30, 2015, there have been no events or changes in circumstance which would indicate impairment of our goodwill.</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The Company assesses indefinite-lived intangible assets for impairment annually in the fourth quarter. The Company also assesses</w:t>
      </w:r>
      <w:r>
        <w:rPr>
          <w:rFonts w:ascii="Arial" w:cs="Arial" w:eastAsia="Arial" w:hAnsi="Arial"/>
          <w:sz w:val="17"/>
          <w:szCs w:val="17"/>
          <w:i w:val="1"/>
          <w:iCs w:val="1"/>
          <w:color w:val="auto"/>
        </w:rPr>
        <w:t xml:space="preserve"> </w:t>
      </w:r>
      <w:r>
        <w:rPr>
          <w:rFonts w:ascii="Arial" w:cs="Arial" w:eastAsia="Arial" w:hAnsi="Arial"/>
          <w:sz w:val="17"/>
          <w:szCs w:val="17"/>
          <w:color w:val="auto"/>
        </w:rPr>
        <w:t>indefinite-lived and definite-lived intangible assets whenever events or changes in circumstances indicate that the carrying amount of an intangible asset may not be recoverable. Substantially all of the Company’s intangible assets are a result of the U.S. Water Services acquisition on February 10, 2015. The aggregate carrying amount of intangible assets was $81.9 million as of September 30, 2015 ($1.9 million as of December 31, 2014). When events or changes in circumstances indicate that the carrying amount of an intangible asset may not be recoverable, the Company calculates the excess of an intangible asset's carrying amount over its undiscounted future cash flows. If the carrying amount is not recoverable, an impairment loss is recorded based on the amount by which the carrying amount exceeds the fair value. The inputs used in the fair value analysis fall within Level 3 of the fair value hierarchy due to the use of significant unobservable inputs to determine fair value. As of September 30, 2015, there have been no events or changes in circumstance which would indicate impairment of our intangible assets.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The Company assesses the impairment of property, plant, and equipment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the carrying amount of property, plant, and equipment assets may not be recoverable. For the nine months ended September 30, 2015, and the year ended December 31, 2014, there were no indicators of impairment.</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believe that long-standing ratemaking practices approved by applicable state and federal regulatory commissions allow for the recovery of the remaining book value of retired plant assets. Minnesota Power retired Taconite Harbor Unit 3 and converted Laskin to natural gas in the second quarter of 2015, which were actions included in our 2013 Integrated Resource Plan approved by the MPUC in a November 2013 order. On September 1, 2015, Minnesota Power filed its 2015 Integrated Resource Plan with the MPUC which contains the next steps its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plan, which includes the economic idling of Taconite Harbor Units 1 and 2 in the fall of 2016 and the ceasing of coal-fired operations at Taconite Harbor in 2020. We do not expect to record any impairment charge as a result of the retirement of Taconite Harbor or the conversion of Laskin. In addition, we expect to be able to continue depreciation of these assets over their established remaining useful lives; however we are unable to predict the impact of unanticipated regulatory outcomes resulting in changes to their remaining useful lives. We would seek recovery in a general rate case of additional depreciation expense as a result of material changes in useful lives.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Minnesota Rate Case. </w:t>
      </w:r>
      <w:r>
        <w:rPr>
          <w:rFonts w:ascii="Arial" w:cs="Arial" w:eastAsia="Arial" w:hAnsi="Arial"/>
          <w:sz w:val="18"/>
          <w:szCs w:val="18"/>
          <w:color w:val="auto"/>
        </w:rPr>
        <w:t>Minnesota Power’s current retail rates are based on a 2011 MPUC retail rate order, effective June 1, 2011, that allows for a 10.38</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54.29 percent equity ratio.</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Energy-Intensive Trade-Exposed Customer Rates. </w:t>
      </w:r>
      <w:r>
        <w:rPr>
          <w:rFonts w:ascii="Arial" w:cs="Arial" w:eastAsia="Arial" w:hAnsi="Arial"/>
          <w:sz w:val="18"/>
          <w:szCs w:val="18"/>
          <w:color w:val="auto"/>
        </w:rPr>
        <w:t>The Minnesota Legislature enacted, and the Governor of Minnesota signed, Energy-Intensive Trade-Exposed customer ratemaking legislation in June 2015. The intent of this legislation is to enable the MPUC to address elements in rate design to better support the competitiveness of manufacturers with electrically intensive operations which compete in global markets. The Company is working with stakeholders to develop a rate schedule to be filed with the MPUC. It is expected that any rate design outcomes will be implemented on a revenue neutral basis.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7. REGULATORY MATTERS (Continued)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 has 16 non-affiliated municipal customers in Minnesota. SWL&amp;P is a Wisconsin utility and a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of Minnesota Power.</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21, 2015, Minnesota Power amended its formula-based wholesale electric sales contract with the Nashwauk Public Utilities Commission, extending the term through June 30, 2028. The electric service agreements with the Brainerd Public Utilities Commission and SWL&amp;P are effective through June 30, 2019. The rates included in these contracts are set each July 1 based on a cost-based formula methodology, using estimated costs and a rate of return that is equal to Minnesota Power’s authorized rate of return for Minnesota retail customers (currently 10.38 percent). The formula-based rate methodology also provides for a yearly true-up calculation for actual costs incurred.</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September 2015, Minnesota Power amended its wholesale electric contracts with the remaining 14 municipal customers, extending the contract terms through December 31, 2024. These contracts include fixed capacity charges through 2018; beginning January 1, 2019, the capacity charge will not increase by more than two percent or decrease by more than one percent from the previous year’s capacity charge and will be based on a cost-based formula methodology. The energy charge for each year of the contract term will be set each January 1 and is also based on a cost-based formula methodology.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wholesale contracts include a termination clause requiring a three-year notice to terminate. Under the Nashwauk Public Utilities Commission agreement, no termination notice may be given prior to June 30, 2025. Under the agreements with the Brainerd Public Utilities Commission and SWL&amp;P, no termination notices may be given prior to June 30, 2016. The remaining 14 municipal customers may not give termination notices prior to December 31, 2021.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2012 Wisconsin Rate Case. </w:t>
      </w:r>
      <w:r>
        <w:rPr>
          <w:rFonts w:ascii="Arial" w:cs="Arial" w:eastAsia="Arial" w:hAnsi="Arial"/>
          <w:sz w:val="18"/>
          <w:szCs w:val="18"/>
          <w:color w:val="auto"/>
        </w:rPr>
        <w:t>SWL&amp;P’s current retail rates are based on a 2012 PSCW retail rate order, effective January 1, 2013, that allows for a 10.9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Transmission Cost Recovery Rider. </w:t>
      </w:r>
      <w:r>
        <w:rPr>
          <w:rFonts w:ascii="Arial" w:cs="Arial" w:eastAsia="Arial" w:hAnsi="Arial"/>
          <w:sz w:val="16"/>
          <w:szCs w:val="16"/>
          <w:color w:val="auto"/>
        </w:rPr>
        <w:t>Minnesota Power has an approved cost recovery rider in place for certain transmission investments and expenditures. In</w:t>
      </w:r>
      <w:r>
        <w:rPr>
          <w:rFonts w:ascii="Arial" w:cs="Arial" w:eastAsia="Arial" w:hAnsi="Arial"/>
          <w:sz w:val="16"/>
          <w:szCs w:val="16"/>
          <w:i w:val="1"/>
          <w:iCs w:val="1"/>
          <w:color w:val="auto"/>
        </w:rPr>
        <w:t xml:space="preserve"> </w:t>
      </w:r>
      <w:r>
        <w:rPr>
          <w:rFonts w:ascii="Arial" w:cs="Arial" w:eastAsia="Arial" w:hAnsi="Arial"/>
          <w:sz w:val="16"/>
          <w:szCs w:val="16"/>
          <w:color w:val="auto"/>
        </w:rPr>
        <w:t>an order dated February 23, 2015, the MPUC approved Minnesota Power’s updated billing factor which allows Minnesota Power to charge retail customers on a current basis for the costs of constructing certain transmission facilities plus a return on the capital invested. On May 22, 2015, Minnesota Power filed a transmission factor filing which includes updated costs associated with certain transmission facilities. Upon approval of the filing, Minnesota Power will be authorized to include updated billing rates on customer bills. As a result of the MPUC approval of the certificate of need for the GNTL on June 30, 2015, the project is eligible for cost recovery under the existing transmission cost recovery rider. Minnesota Power anticipates including its portion of the investments and expenditures for the GNTL as part of future transmission factor filings to include updated billing rates on customer bills.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in place for investments and expenditures related to the 497 MW</w:t>
      </w:r>
      <w:r>
        <w:rPr>
          <w:rFonts w:ascii="Arial" w:cs="Arial" w:eastAsia="Arial" w:hAnsi="Arial"/>
          <w:sz w:val="18"/>
          <w:szCs w:val="18"/>
          <w:i w:val="1"/>
          <w:iCs w:val="1"/>
          <w:color w:val="auto"/>
        </w:rPr>
        <w:t xml:space="preserve"> </w:t>
      </w:r>
      <w:r>
        <w:rPr>
          <w:rFonts w:ascii="Arial" w:cs="Arial" w:eastAsia="Arial" w:hAnsi="Arial"/>
          <w:sz w:val="18"/>
          <w:szCs w:val="18"/>
          <w:color w:val="auto"/>
        </w:rPr>
        <w:t>Bison Wind Energy Center in North Dakota. Customer billing rates for the Bison Wind Energy Center were approved by the MPUC in an order dated May 22, 2015. In November 2014, Minnesota Power filed a renewable resources factor filing which includes updated costs associated with Bison. Upon approval of the filing, Minnesota Power will be authorized to include updated billing rates on customer bills.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13, 2015, Minnesota Power supplemented its November 2014 renewable resources factor filing to include costs associated with the restoration and repair of Thomson. In an order dated March 5, 2015, the MPUC approved Minnesota Power’s petition seeking cost recovery for investments and expenditures related to the restoration and repair of Thomson through a renewable resources rider.</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Integrated Resource Plan. </w:t>
      </w:r>
      <w:r>
        <w:rPr>
          <w:rFonts w:ascii="Arial" w:cs="Arial" w:eastAsia="Arial" w:hAnsi="Arial"/>
          <w:sz w:val="18"/>
          <w:szCs w:val="18"/>
          <w:color w:val="auto"/>
        </w:rPr>
        <w:t>In a November 2013 order, the MPUC approved Minnesota Power’s 2013 Integrated Resource Plan which detailed its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EnergyForward </w:t>
      </w:r>
      <w:r>
        <w:rPr>
          <w:rFonts w:ascii="Arial" w:cs="Arial" w:eastAsia="Arial" w:hAnsi="Arial"/>
          <w:sz w:val="18"/>
          <w:szCs w:val="18"/>
          <w:color w:val="auto"/>
        </w:rPr>
        <w:t>strategic plan and included an analysis of a variety of existing and future energy resource alternatives and a projection of customer cost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impact by class. Significant elements of the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plan include major wind investments in North Dakota which were completed in the fourth quarter of 2014, installation of emissions control technology underway at Boswell Unit 4, planning for the proposed GNTL, the conversion of Laskin from coal to natural gas completed in June 2015 and the retirement of Taconite Harbor Unit 3 completed in May 2015. On September 1, 2015, Minnesota Power filed its 2015 Integrated Resource Plan with the MPUC which contains the next steps in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plan including the economic idling of Taconite Harbor Units 1 and 2 in the fall of 2016, the ceasing of coal-fired operations at Taconite Harbor in 2020, and the addition of between 200 MW and 300 MW of natural gas-fired generation in the next decade.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7. REGULATORY MATTERS (Continued)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Boswell Mercury Emissions Reduction Plan. </w:t>
      </w:r>
      <w:r>
        <w:rPr>
          <w:rFonts w:ascii="Arial" w:cs="Arial" w:eastAsia="Arial" w:hAnsi="Arial"/>
          <w:sz w:val="17"/>
          <w:szCs w:val="17"/>
          <w:color w:val="auto"/>
        </w:rPr>
        <w:t>Minnesota Power is implementing a mercury emissions reduction project for Boswell Unit 4 in order to</w:t>
      </w:r>
      <w:r>
        <w:rPr>
          <w:rFonts w:ascii="Arial" w:cs="Arial" w:eastAsia="Arial" w:hAnsi="Arial"/>
          <w:sz w:val="17"/>
          <w:szCs w:val="17"/>
          <w:b w:val="1"/>
          <w:bCs w:val="1"/>
          <w:color w:val="auto"/>
        </w:rPr>
        <w:t xml:space="preserve"> </w:t>
      </w:r>
      <w:r>
        <w:rPr>
          <w:rFonts w:ascii="Arial" w:cs="Arial" w:eastAsia="Arial" w:hAnsi="Arial"/>
          <w:sz w:val="17"/>
          <w:szCs w:val="17"/>
          <w:color w:val="auto"/>
        </w:rPr>
        <w:t>comply with the Minnesota Mercury Emissions Reduction Act and the Federal MATS rule. In August 2012, Minnesota Power filed its mercury emissions reduction plan for Boswell Unit 4 with the MPUC and the MPCA. Costs to implement the Boswell Unit 4 mercury emissions reduction plan are included in the estimated capital expenditures required for compliance with the MATS rule and are estimated to be approximately $260 million, of which approximately $207 million was spent through September 30, 2015. Project completion is expected in the first quarter of 2016. In a November 2013 order, the MPUC approved the Boswell Unit 4 mercury emissions reduction plan and cost recovery, establishing an environmental improvement rider. Customer billing rates for the environmental improvement rider were approved by the MPUC in an order dated August 24, 2015. On September 30, 2015, Minnesota Power filed an updated environmental improvement factor filing which included updated costs associated with Boswell Unit 4. Upon approval of the filing, Minnesota Power will be authorized to include updated billing rates on customer bills.</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Great Northern Transmission Line (GNTL)</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and Manitoba Hydro have proposed construction of the GNTL, an approximately 220-mile</w:t>
      </w:r>
      <w:r>
        <w:rPr>
          <w:rFonts w:ascii="Arial" w:cs="Arial" w:eastAsia="Arial" w:hAnsi="Arial"/>
          <w:sz w:val="17"/>
          <w:szCs w:val="17"/>
          <w:b w:val="1"/>
          <w:bCs w:val="1"/>
          <w:color w:val="auto"/>
        </w:rPr>
        <w:t xml:space="preserve"> </w:t>
      </w:r>
      <w:r>
        <w:rPr>
          <w:rFonts w:ascii="Arial" w:cs="Arial" w:eastAsia="Arial" w:hAnsi="Arial"/>
          <w:sz w:val="17"/>
          <w:szCs w:val="17"/>
          <w:color w:val="auto"/>
        </w:rPr>
        <w:t>500 kV transmission line, between Manitoba and Minnesota’s Iron Range. The GNTL is subject to various federal and state regulatory approvals. In October 2013, a certificate of need application was filed with the MPUC which was approved in an order dated June 30, 2015. Based on this order, Minnesota Power’s portion of the investments and expenditures for the project are eligible for cost recovery under its existing transmission cost recovery rider and are anticipated to be included in future transmission factor filings. In April 2014, Minnesota Power filed a route permit application with the MPUC and a request for a presidential permit to cross the U.S.-Canadian border with the U.S. Department of Energy. In a July 2014 order, the MPUC determined the route permit application to be complete. On October 30, 2015, the Minnesota Department of Commerce and the U.S. Department of Energy released the final EIS for the GNTL. A decision on the route permit by the MPUC is expected in the first quarter of 2016. Manitoba Hydro must also obtain regulatory and governmental approvals related to a new transmission line in Canada. In September 2015, Manitoba Hydro submitted the final preferred route and EIS for the transmission line in Canada to Manitoba Conservation and Water Stewardship for regulatory approval. Construction of Manitoba Hydro’s hydroelectric generation facility commenced in the third quarter of 2014. Upon receipt of all applicable permits and approvals, construction of the GNTL is expected to begin by 2017 and to be completed in 2020.</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Conservation Improvement Program (CIP). </w:t>
      </w:r>
      <w:r>
        <w:rPr>
          <w:rFonts w:ascii="Arial" w:cs="Arial" w:eastAsia="Arial" w:hAnsi="Arial"/>
          <w:sz w:val="18"/>
          <w:szCs w:val="18"/>
          <w:color w:val="auto"/>
        </w:rPr>
        <w:t>Minnesota has enacted legislation establishing an annual energy-savings goal for each utility of 1.5 percent of</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retail energy sales. On April 1, 2015, Minnesota Power submitted its 2014 CIP filing that requested a CIP financial incentive of $6.2 million based upon MPUC procedures. The requested CIP financial incentive was approved by the MPUC in an order dated September 16, 2015, and was recorded as revenue and as a regulatory asset. The approved financial incentive will be recovered through customer billing rates in 2015 and 2016. In 2014, the CIP financial incentive of $8.7 million was recognized in the third quarter. CIP financial incentives are recognized in the period in which the MPUC approves the filing.</w:t>
      </w:r>
    </w:p>
    <w:p>
      <w:pPr>
        <w:spacing w:after="0" w:line="18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MISO Return on Equity Complaints. </w:t>
      </w:r>
      <w:r>
        <w:rPr>
          <w:rFonts w:ascii="Arial" w:cs="Arial" w:eastAsia="Arial" w:hAnsi="Arial"/>
          <w:sz w:val="16"/>
          <w:szCs w:val="16"/>
          <w:color w:val="auto"/>
        </w:rPr>
        <w:t>In November 2013, several customer groups located within the MISO service area filed complaints with the FERC</w:t>
      </w:r>
      <w:r>
        <w:rPr>
          <w:rFonts w:ascii="Arial" w:cs="Arial" w:eastAsia="Arial" w:hAnsi="Arial"/>
          <w:sz w:val="16"/>
          <w:szCs w:val="16"/>
          <w:b w:val="1"/>
          <w:bCs w:val="1"/>
          <w:color w:val="auto"/>
        </w:rPr>
        <w:t xml:space="preserve"> </w:t>
      </w:r>
      <w:r>
        <w:rPr>
          <w:rFonts w:ascii="Arial" w:cs="Arial" w:eastAsia="Arial" w:hAnsi="Arial"/>
          <w:sz w:val="16"/>
          <w:szCs w:val="16"/>
          <w:color w:val="auto"/>
        </w:rPr>
        <w:t>requesting, among other things, a reduction in the base return on equity used by MISO transmission owners, including ALLETE, to 9.15 percent. On February 12, 2015, an additional complaint was filed with the FERC seeking an order to further reduce the base return on equity to 8.67 percent. As a result of these complaints filed with the FERC, we have recorded an estimated refund obligation for MISO revenue of $6.2 million and an estimated refund for MISO transmission expense of $4.1 million, resulting in a reserve of $2.1 million as of September 30, 2015; $1.5 million was attributable to prior years.</w:t>
      </w:r>
    </w:p>
    <w:p>
      <w:pPr>
        <w:spacing w:after="0" w:line="15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Our regulated utility operations are subject to accounting guidance for the effect of certain types of regulation.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36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NOTE 7. REGULATORY MATTERS (Continued)</w:t>
            </w:r>
          </w:p>
        </w:tc>
        <w:tc>
          <w:tcPr>
            <w:tcW w:w="3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76"/>
        </w:trPr>
        <w:tc>
          <w:tcPr>
            <w:tcW w:w="6760" w:type="dxa"/>
            <w:vAlign w:val="bottom"/>
          </w:tcPr>
          <w:p>
            <w:pPr>
              <w:spacing w:after="0"/>
              <w:rPr>
                <w:sz w:val="24"/>
                <w:szCs w:val="24"/>
                <w:color w:val="auto"/>
              </w:rPr>
            </w:pPr>
          </w:p>
        </w:tc>
        <w:tc>
          <w:tcPr>
            <w:tcW w:w="310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i w:val="1"/>
                <w:iCs w:val="1"/>
                <w:color w:val="auto"/>
              </w:rPr>
              <w:t>(a)</w:t>
            </w:r>
          </w:p>
        </w:tc>
        <w:tc>
          <w:tcPr>
            <w:tcW w:w="3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Deferred Fuel</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$16.3</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6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Regulatory Assets</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37"/>
        </w:trPr>
        <w:tc>
          <w:tcPr>
            <w:tcW w:w="6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8"/>
                <w:szCs w:val="18"/>
                <w:i w:val="1"/>
                <w:iCs w:val="1"/>
                <w:color w:val="auto"/>
              </w:rPr>
              <w:t>(b)</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212.3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8"/>
                <w:szCs w:val="18"/>
                <w:i w:val="1"/>
                <w:iCs w:val="1"/>
                <w:color w:val="auto"/>
              </w:rPr>
              <w:t>(c)</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64.0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59.7</w:t>
            </w: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46.9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Asset Retirement Obligations</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20.5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PPACA Income Tax Deferral</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Other</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4.6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6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Assets</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353.3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w:t>
            </w:r>
          </w:p>
        </w:tc>
      </w:tr>
      <w:tr>
        <w:trPr>
          <w:trHeight w:val="237"/>
        </w:trPr>
        <w:tc>
          <w:tcPr>
            <w:tcW w:w="6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Regulatory Assets</w:t>
            </w:r>
          </w:p>
        </w:tc>
        <w:tc>
          <w:tcPr>
            <w:tcW w:w="3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$369.6</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$373.6</w:t>
            </w:r>
          </w:p>
        </w:tc>
      </w:tr>
      <w:tr>
        <w:trPr>
          <w:trHeight w:val="27"/>
        </w:trPr>
        <w:tc>
          <w:tcPr>
            <w:tcW w:w="6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676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Wholesale and Retail Contra AFUDC</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$54.5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20.9</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22.8</w:t>
            </w: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8"/>
                <w:szCs w:val="18"/>
                <w:i w:val="1"/>
                <w:iCs w:val="1"/>
                <w:color w:val="auto"/>
              </w:rPr>
              <w:t>(b)</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1.8</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37"/>
        </w:trPr>
        <w:tc>
          <w:tcPr>
            <w:tcW w:w="6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3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$105.8</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the Consolidated Balance Sheet.</w:t>
      </w:r>
    </w:p>
    <w:p>
      <w:pPr>
        <w:spacing w:after="0" w:line="1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are recognized as regulatory assets or regulatory liabilities on the Consolidated Balance Sheet. (See Note 14. Pension and Other Postretirement Benefit Plans.)</w:t>
      </w:r>
    </w:p>
    <w:p>
      <w:pPr>
        <w:spacing w:after="0" w:line="1"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assets are primarily due to capital expenditures related to the Bison Wind Energy Center, investment in CapX2020 projects, and the Boswell Unit 4 environmental upgrade and are recognized in accordance with the accounting standards for alternative revenue programs.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ATC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parts of Wisconsin, Michigan, Minnesota and Illinois. We account for our investment in ATC under the equity method of accounting. As of September 30, 2015, our equity investment in ATC was $126.0 million ($121.1 million at December 31, 2014). In the first nine months of 2015, we invested $1.2 million in ATC, and on October 29, 2015, we invested an additional $0.4 million. We do not expect to make any additional investments in 2015.</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20"/>
                <w:szCs w:val="20"/>
                <w:color w:val="auto"/>
              </w:rPr>
            </w:pP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2014</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0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0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73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September 30, 2015</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w:t>
            </w:r>
          </w:p>
        </w:tc>
      </w:tr>
      <w:tr>
        <w:trPr>
          <w:trHeight w:val="20"/>
        </w:trPr>
        <w:tc>
          <w:tcPr>
            <w:tcW w:w="734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36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NOTE 8. INVESTMENT IN ATC (Continued)</w:t>
            </w:r>
          </w:p>
        </w:tc>
        <w:tc>
          <w:tcPr>
            <w:tcW w:w="2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9140" w:type="dxa"/>
            <w:vAlign w:val="bottom"/>
            <w:gridSpan w:val="3"/>
          </w:tcPr>
          <w:p>
            <w:pPr>
              <w:spacing w:after="0"/>
              <w:rPr>
                <w:sz w:val="20"/>
                <w:szCs w:val="20"/>
                <w:color w:val="auto"/>
              </w:rPr>
            </w:pPr>
            <w:r>
              <w:rPr>
                <w:rFonts w:ascii="Arial" w:cs="Arial" w:eastAsia="Arial" w:hAnsi="Arial"/>
                <w:sz w:val="18"/>
                <w:szCs w:val="18"/>
                <w:color w:val="auto"/>
                <w:w w:val="97"/>
              </w:rPr>
              <w:t>ATC’s summarized financial data for the quarter and nine months ended September 30, 2015 and 2014, is as follows:</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5280" w:type="dxa"/>
            <w:vAlign w:val="bottom"/>
          </w:tcPr>
          <w:p>
            <w:pPr>
              <w:spacing w:after="0"/>
              <w:rPr>
                <w:sz w:val="24"/>
                <w:szCs w:val="24"/>
                <w:color w:val="auto"/>
              </w:rPr>
            </w:pPr>
          </w:p>
        </w:tc>
        <w:tc>
          <w:tcPr>
            <w:tcW w:w="386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Quarter Ended</w:t>
            </w:r>
          </w:p>
        </w:tc>
        <w:tc>
          <w:tcPr>
            <w:tcW w:w="22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386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22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6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52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$164.5</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$163.6</w:t>
            </w: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$482.0</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$487.0</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600" w:type="dxa"/>
            <w:vAlign w:val="bottom"/>
          </w:tcPr>
          <w:p>
            <w:pPr>
              <w:jc w:val="right"/>
              <w:ind w:right="230"/>
              <w:spacing w:after="0"/>
              <w:rPr>
                <w:sz w:val="20"/>
                <w:szCs w:val="20"/>
                <w:color w:val="auto"/>
              </w:rPr>
            </w:pPr>
            <w:r>
              <w:rPr>
                <w:rFonts w:ascii="Arial" w:cs="Arial" w:eastAsia="Arial" w:hAnsi="Arial"/>
                <w:sz w:val="18"/>
                <w:szCs w:val="18"/>
                <w:color w:val="auto"/>
              </w:rPr>
              <w:t>78.0</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76.6</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238.3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229.6</w:t>
            </w:r>
          </w:p>
        </w:tc>
      </w:tr>
      <w:tr>
        <w:trPr>
          <w:trHeight w:val="27"/>
        </w:trPr>
        <w:tc>
          <w:tcPr>
            <w:tcW w:w="5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23.1</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21.4</w:t>
            </w: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71.7</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r>
      <w:tr>
        <w:trPr>
          <w:trHeight w:val="237"/>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26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$63.4</w:t>
            </w:r>
          </w:p>
        </w:tc>
        <w:tc>
          <w:tcPr>
            <w:tcW w:w="12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$65.6</w:t>
            </w:r>
          </w:p>
        </w:tc>
        <w:tc>
          <w:tcPr>
            <w:tcW w:w="12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$172.0</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$192.3</w:t>
            </w:r>
          </w:p>
        </w:tc>
      </w:tr>
      <w:tr>
        <w:trPr>
          <w:trHeight w:val="27"/>
        </w:trPr>
        <w:tc>
          <w:tcPr>
            <w:tcW w:w="52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ALLETE’s Equity in Net Income</w:t>
            </w:r>
          </w:p>
        </w:tc>
        <w:tc>
          <w:tcPr>
            <w:tcW w:w="2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$5.5</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$5.3</w:t>
            </w: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0"/>
        </w:trPr>
        <w:tc>
          <w:tcPr>
            <w:tcW w:w="528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equity earnings in ATC for the nine months ended September 30, 2015, were $14.1 million and reflected a $2.0 million reduction related to complaints filed with the FERC by several customer groups located within the MISO service area; of which $1.1 million was attributable to ATC’s change in estimate of a refund liability relating to prior years. The groups requested, among other things, a reduction in the base return on equity used by MISO transmission owners, including ATC, to 9.15 percent. ATC's current authorized return on equity is 12.2 percent. On February 12, 2015, an additional complaint was filed with the FERC seeking an order to further reduce the base return on equity to 8.67 percent. We own approximately 8 percent of ATC and estimate that for every 50 basis point reduction in ATC’s allowed return on equity our equity earnings in ATC would be impacted annually by approximately $0.5 million on an after-tax basis ($0.9 million pre-tax).</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SHORT-TERM AND LONG-TERM DEBT</w:t>
      </w:r>
    </w:p>
    <w:p>
      <w:pPr>
        <w:spacing w:after="0" w:line="2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Short-Term Debt. </w:t>
      </w:r>
      <w:r>
        <w:rPr>
          <w:rFonts w:ascii="Arial" w:cs="Arial" w:eastAsia="Arial" w:hAnsi="Arial"/>
          <w:sz w:val="17"/>
          <w:szCs w:val="17"/>
          <w:color w:val="auto"/>
        </w:rPr>
        <w:t>As of September 30, 2015, total short-term debt outstanding was $49.1 million and consisted of long-term debt due within one year. Short-term debt outstanding as of December 31, 2014, was $104.4 million and consisted of long-term debt due within one year and notes payable.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As of September 30, 2015, total long-term debt outstanding was $1,549.0 million ($1,272.8 million as of December 31, 2014).</w:t>
      </w: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1, 2015, ALLETE Clean Energy assumed $60.9 million of long-term debt at fair value, including $5.9 million due within one year, in conjunction with ALLETE Clean Energy’s acquisition of Armenia Mountain. (See Note 4. Acquisitions.)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25, 2015, the Company entered into a $125.0 million Term Loan Agreement with JPMorgan Chase Bank, N.A., as a lender and administrative agent, and Bank of America, N.A., as a lender (Term Loan). The Term Loan is an unsecured, single-draw loan that is due on August 25, 2017. The interest rate on the Term Loan is equal to LIBOR plus 0.625 percent. Proceeds from the Term Loan will be used for general corporate purposes, including the refinancing of the $75.0 million Term Loan Agreement due August 25, 2015.</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Term Loan contains customary conditions of borrowing, events of default and affirmative and negative covenants. The Term Loan includes a financial covenant to maintain a ratio of total indebtedness to total capitalization (as defined therein) equal to or less than 65 percent. Indebtedness under the Term Loan may be accelerated upon the occurrence of an event of default, including cross-default to other indebtedness in excess of $35.0 million.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9. SHORT-TERM AND LONG-TERM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September 24, 2015, we issued $100.0 million of ALLETE first mortgage bonds (Bonds) in the private placement market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Amount</w:t>
            </w:r>
          </w:p>
        </w:tc>
        <w:tc>
          <w:tcPr>
            <w:tcW w:w="36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38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15, 2020</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$40 Million</w:t>
            </w:r>
          </w:p>
        </w:tc>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2.80%</w:t>
            </w:r>
          </w:p>
        </w:tc>
      </w:tr>
      <w:tr>
        <w:trPr>
          <w:trHeight w:val="243"/>
        </w:trPr>
        <w:tc>
          <w:tcPr>
            <w:tcW w:w="3880" w:type="dxa"/>
            <w:vAlign w:val="bottom"/>
          </w:tcPr>
          <w:p>
            <w:pPr>
              <w:jc w:val="center"/>
              <w:spacing w:after="0"/>
              <w:rPr>
                <w:sz w:val="20"/>
                <w:szCs w:val="20"/>
                <w:color w:val="auto"/>
              </w:rPr>
            </w:pPr>
            <w:r>
              <w:rPr>
                <w:rFonts w:ascii="Arial" w:cs="Arial" w:eastAsia="Arial" w:hAnsi="Arial"/>
                <w:sz w:val="18"/>
                <w:szCs w:val="18"/>
                <w:color w:val="auto"/>
                <w:w w:val="88"/>
              </w:rPr>
              <w:t>September 16, 2030</w:t>
            </w:r>
          </w:p>
        </w:tc>
        <w:tc>
          <w:tcPr>
            <w:tcW w:w="3880" w:type="dxa"/>
            <w:vAlign w:val="bottom"/>
          </w:tcPr>
          <w:p>
            <w:pPr>
              <w:jc w:val="center"/>
              <w:spacing w:after="0"/>
              <w:rPr>
                <w:sz w:val="20"/>
                <w:szCs w:val="20"/>
                <w:color w:val="auto"/>
              </w:rPr>
            </w:pPr>
            <w:r>
              <w:rPr>
                <w:rFonts w:ascii="Arial" w:cs="Arial" w:eastAsia="Arial" w:hAnsi="Arial"/>
                <w:sz w:val="18"/>
                <w:szCs w:val="18"/>
                <w:color w:val="auto"/>
                <w:w w:val="97"/>
              </w:rPr>
              <w:t>$60 Million</w:t>
            </w: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3.86%</w:t>
            </w:r>
          </w:p>
        </w:tc>
      </w:tr>
      <w:tr>
        <w:trPr>
          <w:trHeight w:val="27"/>
        </w:trPr>
        <w:tc>
          <w:tcPr>
            <w:tcW w:w="38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on the Bonds is payable semi-annually on March 15 and September 15 of each year, commencing on March 15, 2016. The Company has the option to prepay all or a portion of the Bonds at its discretion, subject to a make-whole provision; however, the September 16, 2030, series of bonds is redeemable at par, including accrued and unpaid interest, six months prior to the maturity date. The Bonds are subject to additional terms and conditions which are customary for these types of transactions. The Company intends to use the proceeds from the sale of the Bonds to fund utility capital expenditures and/or for general corporate purposes. The Bonds were sold in reliance on an exemption from registration under Section 4(a)(2) of the Securities Act of 1933, as amended, to institutional accredited investors.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September 30, 2015, our ratio was approximately 0.47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September 30, 2015, ALLETE was in compliance with its financial covenants.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NOTE 10. OTHER INCOME (EXPENSE)</w:t>
            </w:r>
          </w:p>
        </w:tc>
        <w:tc>
          <w:tcPr>
            <w:tcW w:w="2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78"/>
        </w:trPr>
        <w:tc>
          <w:tcPr>
            <w:tcW w:w="5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Quarter Ended</w:t>
            </w:r>
          </w:p>
        </w:tc>
        <w:tc>
          <w:tcPr>
            <w:tcW w:w="23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1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September 30,</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Pr>
          <w:p>
            <w:pPr>
              <w:spacing w:after="0"/>
              <w:rPr>
                <w:sz w:val="23"/>
                <w:szCs w:val="23"/>
                <w:color w:val="auto"/>
              </w:rPr>
            </w:pPr>
          </w:p>
        </w:tc>
      </w:tr>
      <w:tr>
        <w:trPr>
          <w:trHeight w:val="270"/>
        </w:trPr>
        <w:tc>
          <w:tcPr>
            <w:tcW w:w="5120" w:type="dxa"/>
            <w:vAlign w:val="bottom"/>
          </w:tcPr>
          <w:p>
            <w:pPr>
              <w:spacing w:after="0"/>
              <w:rPr>
                <w:sz w:val="23"/>
                <w:szCs w:val="23"/>
                <w:color w:val="auto"/>
              </w:rPr>
            </w:pPr>
          </w:p>
        </w:tc>
        <w:tc>
          <w:tcPr>
            <w:tcW w:w="25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560" w:type="dxa"/>
            <w:vAlign w:val="bottom"/>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5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AFUDC–Equity</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15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$2.6</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Gain on Sale of Available-for-sale Securities</w:t>
            </w: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0.1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5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and Other Income (Expense)</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Income</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$2.1</w:t>
            </w:r>
          </w:p>
        </w:tc>
        <w:tc>
          <w:tcPr>
            <w:tcW w:w="15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$3.5</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5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36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NOTE 11. INCOME TAX EXPENSE</w:t>
            </w:r>
          </w:p>
        </w:tc>
        <w:tc>
          <w:tcPr>
            <w:tcW w:w="3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5120" w:type="dxa"/>
            <w:vAlign w:val="bottom"/>
          </w:tcPr>
          <w:p>
            <w:pPr>
              <w:spacing w:after="0"/>
              <w:rPr>
                <w:sz w:val="24"/>
                <w:szCs w:val="24"/>
                <w:color w:val="auto"/>
              </w:rPr>
            </w:pPr>
          </w:p>
        </w:tc>
        <w:tc>
          <w:tcPr>
            <w:tcW w:w="426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120" w:type="dxa"/>
            <w:vAlign w:val="bottom"/>
          </w:tcPr>
          <w:p>
            <w:pPr>
              <w:spacing w:after="0"/>
              <w:rPr>
                <w:sz w:val="23"/>
                <w:szCs w:val="23"/>
                <w:color w:val="auto"/>
              </w:rPr>
            </w:pPr>
          </w:p>
        </w:tc>
        <w:tc>
          <w:tcPr>
            <w:tcW w:w="426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0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120" w:type="dxa"/>
            <w:vAlign w:val="bottom"/>
          </w:tcPr>
          <w:p>
            <w:pPr>
              <w:spacing w:after="0"/>
              <w:rPr>
                <w:sz w:val="23"/>
                <w:szCs w:val="23"/>
                <w:color w:val="auto"/>
              </w:rPr>
            </w:pPr>
          </w:p>
        </w:tc>
        <w:tc>
          <w:tcPr>
            <w:tcW w:w="3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r>
      <w:tr>
        <w:trPr>
          <w:trHeight w:val="27"/>
        </w:trPr>
        <w:tc>
          <w:tcPr>
            <w:tcW w:w="51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 (b)</w:t>
            </w:r>
          </w:p>
        </w:tc>
        <w:tc>
          <w:tcPr>
            <w:tcW w:w="3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51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w:t>
            </w:r>
          </w:p>
        </w:tc>
        <w:tc>
          <w:tcPr>
            <w:tcW w:w="3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$0.2</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1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Federal</w:t>
            </w:r>
          </w:p>
        </w:tc>
        <w:tc>
          <w:tcPr>
            <w:tcW w:w="3120" w:type="dxa"/>
            <w:vAlign w:val="bottom"/>
          </w:tcPr>
          <w:p>
            <w:pPr>
              <w:jc w:val="right"/>
              <w:ind w:right="150"/>
              <w:spacing w:after="0"/>
              <w:rPr>
                <w:sz w:val="20"/>
                <w:szCs w:val="20"/>
                <w:color w:val="auto"/>
              </w:rPr>
            </w:pPr>
            <w:r>
              <w:rPr>
                <w:rFonts w:ascii="Arial" w:cs="Arial" w:eastAsia="Arial" w:hAnsi="Arial"/>
                <w:sz w:val="18"/>
                <w:szCs w:val="18"/>
                <w:color w:val="auto"/>
              </w:rPr>
              <w:t>$14.8</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$11.2</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$23.5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$20.4</w:t>
            </w:r>
          </w:p>
        </w:tc>
      </w:tr>
      <w:tr>
        <w:trPr>
          <w:trHeight w:val="27"/>
        </w:trPr>
        <w:tc>
          <w:tcPr>
            <w:tcW w:w="5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0.7</w:t>
            </w:r>
          </w:p>
        </w:tc>
        <w:tc>
          <w:tcPr>
            <w:tcW w:w="1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3.6</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312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1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3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14.2</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11.6</w:t>
            </w:r>
          </w:p>
        </w:tc>
        <w:tc>
          <w:tcPr>
            <w:tcW w:w="1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26.5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37"/>
        </w:trPr>
        <w:tc>
          <w:tcPr>
            <w:tcW w:w="5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3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$14.4</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$13.4</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$27.0</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52" w:lineRule="auto"/>
        <w:tabs>
          <w:tab w:leader="none" w:pos="3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and nine months ended September 30, 2015, the federal and state current tax expense was minimal due to the utilization of NOL carryforwards from prior periods. The NOL carryforwards resulted from the bonus depreciation provisions of the Tax Increase Prevention Act of 2014 and the American Taxpayer Relief Act of 2012.</w:t>
      </w:r>
    </w:p>
    <w:p>
      <w:pPr>
        <w:spacing w:after="0" w:line="1"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and nine months ended September 30, 2014, the state current tax expense reflected initiatives implemented on the 2013 federal and state tax returns to utilize tax carryforwards that may have expired due to NOL carryforwards from prior periods. State NOL and alternative minimum tax carryforwards remaining after utilization in 2015 will be carried forward to offset future income.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2015, the effective tax rate was 18.0 percent (22.7 percent for the nine months ended September 30, 2014). The decrease in the effective tax rate from September 30, 2014, was primarily due to increased production tax credits. The effective rate deviated from the statutory rate of approximately 41 percent primarily due to production tax credits.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4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34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3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r>
      <w:tr>
        <w:trPr>
          <w:trHeight w:val="27"/>
        </w:trPr>
        <w:tc>
          <w:tcPr>
            <w:tcW w:w="68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68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3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$149.7</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$119.4</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3460" w:type="dxa"/>
            <w:vAlign w:val="bottom"/>
          </w:tcPr>
          <w:p>
            <w:pPr>
              <w:jc w:val="right"/>
              <w:ind w:right="310"/>
              <w:spacing w:after="0"/>
              <w:rPr>
                <w:sz w:val="20"/>
                <w:szCs w:val="20"/>
                <w:color w:val="auto"/>
              </w:rPr>
            </w:pPr>
            <w:r>
              <w:rPr>
                <w:rFonts w:ascii="Arial" w:cs="Arial" w:eastAsia="Arial" w:hAnsi="Arial"/>
                <w:sz w:val="18"/>
                <w:szCs w:val="18"/>
                <w:color w:val="auto"/>
              </w:rPr>
              <w:t>35%</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8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35 percent Statutory Federal Rate</w:t>
            </w:r>
          </w:p>
        </w:tc>
        <w:tc>
          <w:tcPr>
            <w:tcW w:w="3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52.4</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41.8</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Increase (Decrease) in Tax Due to:</w:t>
            </w:r>
          </w:p>
        </w:tc>
        <w:tc>
          <w:tcPr>
            <w:tcW w:w="34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8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3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2.6</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3460" w:type="dxa"/>
            <w:vAlign w:val="bottom"/>
          </w:tcPr>
          <w:p>
            <w:pPr>
              <w:jc w:val="right"/>
              <w:ind w:right="390"/>
              <w:spacing w:after="0"/>
              <w:rPr>
                <w:sz w:val="20"/>
                <w:szCs w:val="20"/>
                <w:color w:val="auto"/>
              </w:rPr>
            </w:pPr>
            <w:r>
              <w:rPr>
                <w:rFonts w:ascii="Arial" w:cs="Arial" w:eastAsia="Arial" w:hAnsi="Arial"/>
                <w:sz w:val="18"/>
                <w:szCs w:val="18"/>
                <w:color w:val="auto"/>
              </w:rPr>
              <w:t>(27.0)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(16.4)</w:t>
            </w:r>
          </w:p>
        </w:tc>
      </w:tr>
      <w:tr>
        <w:trPr>
          <w:trHeight w:val="27"/>
        </w:trPr>
        <w:tc>
          <w:tcPr>
            <w:tcW w:w="68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Differences for Utility Plant</w:t>
            </w:r>
          </w:p>
        </w:tc>
        <w:tc>
          <w:tcPr>
            <w:tcW w:w="34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(0.7)</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Other</w:t>
            </w:r>
          </w:p>
        </w:tc>
        <w:tc>
          <w:tcPr>
            <w:tcW w:w="3460" w:type="dxa"/>
            <w:vAlign w:val="bottom"/>
          </w:tcPr>
          <w:p>
            <w:pPr>
              <w:jc w:val="right"/>
              <w:ind w:right="390"/>
              <w:spacing w:after="0"/>
              <w:rPr>
                <w:sz w:val="20"/>
                <w:szCs w:val="20"/>
                <w:color w:val="auto"/>
              </w:rPr>
            </w:pPr>
            <w:r>
              <w:rPr>
                <w:rFonts w:ascii="Arial" w:cs="Arial" w:eastAsia="Arial" w:hAnsi="Arial"/>
                <w:sz w:val="18"/>
                <w:szCs w:val="18"/>
                <w:color w:val="auto"/>
              </w:rPr>
              <w:t>(0.3)</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68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3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$27.0</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$27.1</w:t>
            </w:r>
          </w:p>
        </w:tc>
      </w:tr>
      <w:tr>
        <w:trPr>
          <w:trHeight w:val="20"/>
        </w:trPr>
        <w:tc>
          <w:tcPr>
            <w:tcW w:w="688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September 30, 2015, we had gross unrecognized tax benefits of $2.9 million ($2.0 million as of December 31, 2014).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gross unrecognized tax benefits, $0.4 million represents the amount of unrecognized tax benefits included in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ALLETE is no longer subject to federal examination for years before 2012, or state examination for years before 2010.</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20"/>
          </w:cols>
          <w:pgMar w:left="240" w:top="364"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12. RECLASSIFICATIONS OUT OF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net of tax, for the quarters ended September 30, 2015 and 2014, were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 Gains and</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Defined Benefit</w:t>
            </w: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Gains and Losses</w:t>
            </w:r>
          </w:p>
        </w:tc>
        <w:tc>
          <w:tcPr>
            <w:tcW w:w="104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7"/>
              </w:rPr>
              <w:t>Losses on Available-for-</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Pension, Other</w:t>
            </w: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on Cash Flow</w:t>
            </w:r>
          </w:p>
        </w:tc>
        <w:tc>
          <w:tcPr>
            <w:tcW w:w="104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5"/>
              </w:rPr>
              <w:t>sale Securities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Postretirement Items</w:t>
            </w: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Hedge</w:t>
            </w: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September 30, 2015</w:t>
            </w:r>
          </w:p>
        </w:tc>
        <w:tc>
          <w:tcPr>
            <w:tcW w:w="20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Beginning Accumulated Other Comprehensive Loss</w:t>
            </w:r>
          </w:p>
        </w:tc>
        <w:tc>
          <w:tcPr>
            <w:tcW w:w="2080" w:type="dxa"/>
            <w:vAlign w:val="bottom"/>
          </w:tcPr>
          <w:p>
            <w:pPr>
              <w:jc w:val="right"/>
              <w:ind w:right="690"/>
              <w:spacing w:after="0"/>
              <w:rPr>
                <w:sz w:val="20"/>
                <w:szCs w:val="20"/>
                <w:color w:val="auto"/>
              </w:rPr>
            </w:pPr>
            <w:r>
              <w:rPr>
                <w:rFonts w:ascii="Arial" w:cs="Arial" w:eastAsia="Arial" w:hAnsi="Arial"/>
                <w:sz w:val="18"/>
                <w:szCs w:val="18"/>
                <w:color w:val="auto"/>
              </w:rPr>
              <w:t>$(0.2)</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$(20.0)</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$(20.2)</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20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(0.7)</w:t>
            </w:r>
          </w:p>
        </w:tc>
        <w:tc>
          <w:tcPr>
            <w:tcW w:w="18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w w:val="93"/>
              </w:rPr>
              <w:t>Amounts Reclassified From Accumulated Other Comprehensive</w:t>
            </w:r>
          </w:p>
        </w:tc>
        <w:tc>
          <w:tcPr>
            <w:tcW w:w="20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Loss</w:t>
            </w:r>
          </w:p>
        </w:tc>
        <w:tc>
          <w:tcPr>
            <w:tcW w:w="2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10"/>
              <w:spacing w:after="0"/>
              <w:rPr>
                <w:sz w:val="20"/>
                <w:szCs w:val="20"/>
                <w:color w:val="auto"/>
              </w:rPr>
            </w:pPr>
            <w:r>
              <w:rPr>
                <w:rFonts w:ascii="Arial" w:cs="Arial" w:eastAsia="Arial" w:hAnsi="Arial"/>
                <w:sz w:val="18"/>
                <w:szCs w:val="18"/>
                <w:color w:val="auto"/>
              </w:rPr>
              <w:t>0.3</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0.3</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Other Comprehensive Income (Loss)</w:t>
            </w:r>
          </w:p>
        </w:tc>
        <w:tc>
          <w:tcPr>
            <w:tcW w:w="20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(0.7)</w:t>
            </w:r>
          </w:p>
        </w:tc>
        <w:tc>
          <w:tcPr>
            <w:tcW w:w="18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0.3</w:t>
            </w:r>
          </w:p>
        </w:tc>
        <w:tc>
          <w:tcPr>
            <w:tcW w:w="16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37"/>
        </w:trPr>
        <w:tc>
          <w:tcPr>
            <w:tcW w:w="4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Ending Accumulated Other Comprehensive Loss</w:t>
            </w:r>
          </w:p>
        </w:tc>
        <w:tc>
          <w:tcPr>
            <w:tcW w:w="20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$(0.9)</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$(19.7)</w:t>
            </w:r>
          </w:p>
        </w:tc>
        <w:tc>
          <w:tcPr>
            <w:tcW w:w="16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$(20.6)</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48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 2014</w:t>
            </w:r>
          </w:p>
        </w:tc>
        <w:tc>
          <w:tcPr>
            <w:tcW w:w="20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Beginning Accumulated Other Comprehensive Income (Loss)</w:t>
            </w:r>
          </w:p>
        </w:tc>
        <w:tc>
          <w:tcPr>
            <w:tcW w:w="2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$(16.1)</w:t>
            </w:r>
          </w:p>
        </w:tc>
        <w:tc>
          <w:tcPr>
            <w:tcW w:w="16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$(0.3)</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$(16.3)</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w w:val="96"/>
              </w:rPr>
              <w:t>Other Comprehensive Income (Loss) Before Reclassifications</w:t>
            </w:r>
          </w:p>
        </w:tc>
        <w:tc>
          <w:tcPr>
            <w:tcW w:w="208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Amounts Reclassified From Accumulated Other Comprehensive</w:t>
            </w:r>
          </w:p>
        </w:tc>
        <w:tc>
          <w:tcPr>
            <w:tcW w:w="20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2"/>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20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0.3</w:t>
            </w:r>
          </w:p>
        </w:tc>
        <w:tc>
          <w:tcPr>
            <w:tcW w:w="16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r>
      <w:tr>
        <w:trPr>
          <w:trHeight w:val="237"/>
        </w:trPr>
        <w:tc>
          <w:tcPr>
            <w:tcW w:w="48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 (Loss)</w:t>
            </w:r>
          </w:p>
        </w:tc>
        <w:tc>
          <w:tcPr>
            <w:tcW w:w="20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(0.1)</w:t>
            </w:r>
          </w:p>
        </w:tc>
        <w:tc>
          <w:tcPr>
            <w:tcW w:w="18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0.2</w:t>
            </w:r>
          </w:p>
        </w:tc>
        <w:tc>
          <w:tcPr>
            <w:tcW w:w="16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0.1</w:t>
            </w: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0.2</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Accumulated Other Comprehensive Loss</w:t>
            </w:r>
          </w:p>
        </w:tc>
        <w:tc>
          <w:tcPr>
            <w:tcW w:w="20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$(15.9)</w:t>
            </w:r>
          </w:p>
        </w:tc>
        <w:tc>
          <w:tcPr>
            <w:tcW w:w="16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$(0.2)</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$(16.1)</w:t>
            </w:r>
          </w:p>
        </w:tc>
      </w:tr>
      <w:tr>
        <w:trPr>
          <w:trHeight w:val="20"/>
        </w:trPr>
        <w:tc>
          <w:tcPr>
            <w:tcW w:w="48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accumulated other comprehensive income (loss) for the quarters ended September 30, 2015 and 2014,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4740" w:type="dxa"/>
            <w:vAlign w:val="bottom"/>
            <w:gridSpan w:val="2"/>
          </w:tcPr>
          <w:p>
            <w:pPr>
              <w:jc w:val="right"/>
              <w:ind w:right="1190"/>
              <w:spacing w:after="0"/>
              <w:rPr>
                <w:sz w:val="20"/>
                <w:szCs w:val="20"/>
                <w:color w:val="auto"/>
              </w:rPr>
            </w:pPr>
            <w:r>
              <w:rPr>
                <w:rFonts w:ascii="Arial" w:cs="Arial" w:eastAsia="Arial" w:hAnsi="Arial"/>
                <w:sz w:val="18"/>
                <w:szCs w:val="18"/>
                <w:b w:val="1"/>
                <w:bCs w:val="1"/>
                <w:color w:val="auto"/>
              </w:rPr>
              <w:t>Quarter Ended</w:t>
            </w:r>
          </w:p>
        </w:tc>
      </w:tr>
      <w:tr>
        <w:trPr>
          <w:trHeight w:val="270"/>
        </w:trPr>
        <w:tc>
          <w:tcPr>
            <w:tcW w:w="6680" w:type="dxa"/>
            <w:vAlign w:val="bottom"/>
          </w:tcPr>
          <w:p>
            <w:pPr>
              <w:spacing w:after="0"/>
              <w:rPr>
                <w:sz w:val="23"/>
                <w:szCs w:val="23"/>
                <w:color w:val="auto"/>
              </w:rPr>
            </w:pPr>
          </w:p>
        </w:tc>
        <w:tc>
          <w:tcPr>
            <w:tcW w:w="2860" w:type="dxa"/>
            <w:vAlign w:val="bottom"/>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1880" w:type="dxa"/>
            <w:vAlign w:val="bottom"/>
          </w:tcPr>
          <w:p>
            <w:pPr>
              <w:jc w:val="right"/>
              <w:ind w:right="29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Amount Reclassified from Accumulated Other Comprehensive Loss</w:t>
            </w:r>
          </w:p>
        </w:tc>
        <w:tc>
          <w:tcPr>
            <w:tcW w:w="28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r>
      <w:tr>
        <w:trPr>
          <w:trHeight w:val="27"/>
        </w:trPr>
        <w:tc>
          <w:tcPr>
            <w:tcW w:w="66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6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Defined Benefit Pension and Other Postretirement Items</w:t>
            </w:r>
          </w:p>
        </w:tc>
        <w:tc>
          <w:tcPr>
            <w:tcW w:w="28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8"/>
                <w:szCs w:val="18"/>
                <w:i w:val="1"/>
                <w:iCs w:val="1"/>
                <w:color w:val="auto"/>
              </w:rPr>
              <w:t>(a)</w:t>
            </w:r>
          </w:p>
        </w:tc>
        <w:tc>
          <w:tcPr>
            <w:tcW w:w="2860" w:type="dxa"/>
            <w:vAlign w:val="bottom"/>
          </w:tcPr>
          <w:p>
            <w:pPr>
              <w:jc w:val="right"/>
              <w:ind w:right="290"/>
              <w:spacing w:after="0"/>
              <w:rPr>
                <w:sz w:val="20"/>
                <w:szCs w:val="20"/>
                <w:color w:val="auto"/>
              </w:rPr>
            </w:pPr>
            <w:r>
              <w:rPr>
                <w:rFonts w:ascii="Arial" w:cs="Arial" w:eastAsia="Arial" w:hAnsi="Arial"/>
                <w:sz w:val="18"/>
                <w:szCs w:val="18"/>
                <w:color w:val="auto"/>
              </w:rPr>
              <w:t>$0.1</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$0.1</w:t>
            </w:r>
          </w:p>
        </w:tc>
      </w:tr>
      <w:tr>
        <w:trPr>
          <w:trHeight w:val="27"/>
        </w:trPr>
        <w:tc>
          <w:tcPr>
            <w:tcW w:w="66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Actuarial Gains and Losses </w:t>
            </w:r>
            <w:r>
              <w:rPr>
                <w:rFonts w:ascii="Arial" w:cs="Arial" w:eastAsia="Arial" w:hAnsi="Arial"/>
                <w:sz w:val="18"/>
                <w:szCs w:val="18"/>
                <w:i w:val="1"/>
                <w:iCs w:val="1"/>
                <w:color w:val="auto"/>
              </w:rPr>
              <w:t>(a)</w:t>
            </w:r>
          </w:p>
        </w:tc>
        <w:tc>
          <w:tcPr>
            <w:tcW w:w="28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(0.6)</w:t>
            </w:r>
          </w:p>
        </w:tc>
        <w:tc>
          <w:tcPr>
            <w:tcW w:w="18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(0.6)</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(0.5)</w:t>
            </w:r>
          </w:p>
        </w:tc>
        <w:tc>
          <w:tcPr>
            <w:tcW w:w="1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(0.5)</w:t>
            </w:r>
          </w:p>
        </w:tc>
      </w:tr>
      <w:tr>
        <w:trPr>
          <w:trHeight w:val="27"/>
        </w:trPr>
        <w:tc>
          <w:tcPr>
            <w:tcW w:w="66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c>
          <w:tcPr>
            <w:tcW w:w="18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of Income Taxes</w:t>
            </w:r>
          </w:p>
        </w:tc>
        <w:tc>
          <w:tcPr>
            <w:tcW w:w="28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$(0.3)</w:t>
            </w:r>
          </w:p>
        </w:tc>
        <w:tc>
          <w:tcPr>
            <w:tcW w:w="18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$(0.3)</w:t>
            </w:r>
          </w:p>
        </w:tc>
      </w:tr>
      <w:tr>
        <w:trPr>
          <w:trHeight w:val="27"/>
        </w:trPr>
        <w:tc>
          <w:tcPr>
            <w:tcW w:w="66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28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$(0.3)</w:t>
            </w:r>
          </w:p>
        </w:tc>
        <w:tc>
          <w:tcPr>
            <w:tcW w:w="18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$(0.3)</w:t>
            </w:r>
          </w:p>
        </w:tc>
      </w:tr>
      <w:tr>
        <w:trPr>
          <w:trHeight w:val="20"/>
        </w:trPr>
        <w:tc>
          <w:tcPr>
            <w:tcW w:w="668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jc w:val="both"/>
        <w:ind w:left="340" w:hanging="332"/>
        <w:spacing w:after="0" w:line="248" w:lineRule="auto"/>
        <w:tabs>
          <w:tab w:leader="none" w:pos="3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excluded from our Regulated Operations are recognized in accumulated other comprehensive loss and are subsequently reclassified out of accumulated other comprehensive loss as components of net periodic pension and other postretirement benefit expense. (See Note 14. Pension and Other Postretirement Benefit Plans.)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Income Tax Expense on our Consolidated Statement of Income.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12. RECLASSIFICATIONS OUT OF ACCUMULATED OTHER COMPREHENSIVE INCOME (LOSS)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Changes in accumulated other comprehensive income (loss), net of tax, for the nine months ended September 30, 2015 and 2014, were as follows: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 Gains and</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Defined Benefit</w:t>
            </w: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Gains and Losses</w:t>
            </w:r>
          </w:p>
        </w:tc>
        <w:tc>
          <w:tcPr>
            <w:tcW w:w="104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7"/>
              </w:rPr>
              <w:t>Losses on Available-for-</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Pension, Other</w:t>
            </w: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on Cash Flow</w:t>
            </w:r>
          </w:p>
        </w:tc>
        <w:tc>
          <w:tcPr>
            <w:tcW w:w="104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5"/>
              </w:rPr>
              <w:t>sale Securities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Postretirement Items</w:t>
            </w: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Hedge</w:t>
            </w: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2015</w:t>
            </w:r>
          </w:p>
        </w:tc>
        <w:tc>
          <w:tcPr>
            <w:tcW w:w="20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Beginning Accumulated Other Comprehensive Loss</w:t>
            </w:r>
          </w:p>
        </w:tc>
        <w:tc>
          <w:tcPr>
            <w:tcW w:w="2080" w:type="dxa"/>
            <w:vAlign w:val="bottom"/>
          </w:tcPr>
          <w:p>
            <w:pPr>
              <w:jc w:val="right"/>
              <w:ind w:right="210"/>
              <w:spacing w:after="0"/>
              <w:rPr>
                <w:sz w:val="20"/>
                <w:szCs w:val="20"/>
                <w:color w:val="auto"/>
              </w:rPr>
            </w:pPr>
            <w:r>
              <w:rPr>
                <w:rFonts w:ascii="Arial" w:cs="Arial" w:eastAsia="Arial" w:hAnsi="Arial"/>
                <w:sz w:val="18"/>
                <w:szCs w:val="18"/>
                <w:color w:val="auto"/>
              </w:rPr>
              <w:t>$(0.3)</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$(20.7)</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$(21.1)</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Other Comprehensive Income (Loss) Before Reclassifications</w:t>
            </w:r>
          </w:p>
        </w:tc>
        <w:tc>
          <w:tcPr>
            <w:tcW w:w="20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(0.5)</w:t>
            </w:r>
          </w:p>
        </w:tc>
        <w:tc>
          <w:tcPr>
            <w:tcW w:w="18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6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w w:val="93"/>
              </w:rPr>
              <w:t>Amounts Reclassified From Accumulated Other Comprehensive</w:t>
            </w:r>
          </w:p>
        </w:tc>
        <w:tc>
          <w:tcPr>
            <w:tcW w:w="20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Loss</w:t>
            </w:r>
          </w:p>
        </w:tc>
        <w:tc>
          <w:tcPr>
            <w:tcW w:w="2080" w:type="dxa"/>
            <w:vAlign w:val="bottom"/>
          </w:tcPr>
          <w:p>
            <w:pPr>
              <w:jc w:val="right"/>
              <w:ind w:right="670"/>
              <w:spacing w:after="0"/>
              <w:rPr>
                <w:sz w:val="20"/>
                <w:szCs w:val="20"/>
                <w:color w:val="auto"/>
              </w:rPr>
            </w:pPr>
            <w:r>
              <w:rPr>
                <w:rFonts w:ascii="Arial" w:cs="Arial" w:eastAsia="Arial" w:hAnsi="Arial"/>
                <w:sz w:val="18"/>
                <w:szCs w:val="18"/>
                <w:color w:val="auto"/>
              </w:rPr>
              <w:t>(0.1)</w:t>
            </w:r>
          </w:p>
        </w:tc>
        <w:tc>
          <w:tcPr>
            <w:tcW w:w="1800" w:type="dxa"/>
            <w:vAlign w:val="bottom"/>
          </w:tcPr>
          <w:p>
            <w:pPr>
              <w:jc w:val="right"/>
              <w:ind w:right="210"/>
              <w:spacing w:after="0"/>
              <w:rPr>
                <w:sz w:val="20"/>
                <w:szCs w:val="20"/>
                <w:color w:val="auto"/>
              </w:rPr>
            </w:pPr>
            <w:r>
              <w:rPr>
                <w:rFonts w:ascii="Arial" w:cs="Arial" w:eastAsia="Arial" w:hAnsi="Arial"/>
                <w:sz w:val="18"/>
                <w:szCs w:val="18"/>
                <w:color w:val="auto"/>
              </w:rPr>
              <w:t>0.9</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0.8</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Other Comprehensive Income (Loss)</w:t>
            </w:r>
          </w:p>
        </w:tc>
        <w:tc>
          <w:tcPr>
            <w:tcW w:w="20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(0.6)</w:t>
            </w:r>
          </w:p>
        </w:tc>
        <w:tc>
          <w:tcPr>
            <w:tcW w:w="18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16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r>
      <w:tr>
        <w:trPr>
          <w:trHeight w:val="237"/>
        </w:trPr>
        <w:tc>
          <w:tcPr>
            <w:tcW w:w="4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Ending Accumulated Other Comprehensive Loss</w:t>
            </w:r>
          </w:p>
        </w:tc>
        <w:tc>
          <w:tcPr>
            <w:tcW w:w="20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$(0.9)</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$(19.7)</w:t>
            </w:r>
          </w:p>
        </w:tc>
        <w:tc>
          <w:tcPr>
            <w:tcW w:w="16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$(20.6)</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48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 2014</w:t>
            </w:r>
          </w:p>
        </w:tc>
        <w:tc>
          <w:tcPr>
            <w:tcW w:w="20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Accumulated Other Comprehensive Loss</w:t>
            </w:r>
          </w:p>
        </w:tc>
        <w:tc>
          <w:tcPr>
            <w:tcW w:w="2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$(16.7)</w:t>
            </w:r>
          </w:p>
        </w:tc>
        <w:tc>
          <w:tcPr>
            <w:tcW w:w="16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$(0.3)</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$(17.1)</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w w:val="96"/>
              </w:rPr>
              <w:t>Other Comprehensive Income (Loss) Before Reclassifications</w:t>
            </w:r>
          </w:p>
        </w:tc>
        <w:tc>
          <w:tcPr>
            <w:tcW w:w="2080" w:type="dxa"/>
            <w:vAlign w:val="bottom"/>
          </w:tcPr>
          <w:p>
            <w:pPr>
              <w:jc w:val="right"/>
              <w:ind w:right="270"/>
              <w:spacing w:after="0"/>
              <w:rPr>
                <w:sz w:val="20"/>
                <w:szCs w:val="20"/>
                <w:color w:val="auto"/>
              </w:rPr>
            </w:pPr>
            <w:r>
              <w:rPr>
                <w:rFonts w:ascii="Arial" w:cs="Arial" w:eastAsia="Arial" w:hAnsi="Arial"/>
                <w:sz w:val="18"/>
                <w:szCs w:val="18"/>
                <w:color w:val="auto"/>
              </w:rPr>
              <w:t>0.2</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Amounts Reclassified From Accumulated Other Comprehensive</w:t>
            </w:r>
          </w:p>
        </w:tc>
        <w:tc>
          <w:tcPr>
            <w:tcW w:w="20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2"/>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2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8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0.9</w:t>
            </w:r>
          </w:p>
        </w:tc>
        <w:tc>
          <w:tcPr>
            <w:tcW w:w="16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r>
      <w:tr>
        <w:trPr>
          <w:trHeight w:val="237"/>
        </w:trPr>
        <w:tc>
          <w:tcPr>
            <w:tcW w:w="48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w:t>
            </w:r>
          </w:p>
        </w:tc>
        <w:tc>
          <w:tcPr>
            <w:tcW w:w="20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0.1</w:t>
            </w:r>
          </w:p>
        </w:tc>
        <w:tc>
          <w:tcPr>
            <w:tcW w:w="18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0.8</w:t>
            </w:r>
          </w:p>
        </w:tc>
        <w:tc>
          <w:tcPr>
            <w:tcW w:w="16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0.1</w:t>
            </w: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Accumulated Other Comprehensive Loss</w:t>
            </w:r>
          </w:p>
        </w:tc>
        <w:tc>
          <w:tcPr>
            <w:tcW w:w="20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$(15.9)</w:t>
            </w:r>
          </w:p>
        </w:tc>
        <w:tc>
          <w:tcPr>
            <w:tcW w:w="16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$(0.2)</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$(16.1)</w:t>
            </w:r>
          </w:p>
        </w:tc>
      </w:tr>
      <w:tr>
        <w:trPr>
          <w:trHeight w:val="20"/>
        </w:trPr>
        <w:tc>
          <w:tcPr>
            <w:tcW w:w="48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from accumulated other comprehensive income (loss) for the nine months ended September 30, 2015 and 2014,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4740" w:type="dxa"/>
            <w:vAlign w:val="bottom"/>
            <w:gridSpan w:val="2"/>
          </w:tcPr>
          <w:p>
            <w:pPr>
              <w:jc w:val="right"/>
              <w:ind w:right="10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6680" w:type="dxa"/>
            <w:vAlign w:val="bottom"/>
          </w:tcPr>
          <w:p>
            <w:pPr>
              <w:spacing w:after="0"/>
              <w:rPr>
                <w:sz w:val="23"/>
                <w:szCs w:val="23"/>
                <w:color w:val="auto"/>
              </w:rPr>
            </w:pPr>
          </w:p>
        </w:tc>
        <w:tc>
          <w:tcPr>
            <w:tcW w:w="2860" w:type="dxa"/>
            <w:vAlign w:val="bottom"/>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1880" w:type="dxa"/>
            <w:vAlign w:val="bottom"/>
          </w:tcPr>
          <w:p>
            <w:pPr>
              <w:jc w:val="right"/>
              <w:ind w:right="29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Amount Reclassified from Accumulated Other Comprehensive Loss</w:t>
            </w:r>
          </w:p>
        </w:tc>
        <w:tc>
          <w:tcPr>
            <w:tcW w:w="28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r>
      <w:tr>
        <w:trPr>
          <w:trHeight w:val="27"/>
        </w:trPr>
        <w:tc>
          <w:tcPr>
            <w:tcW w:w="66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6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Unrealized Gains on Available-for-sale Securities </w:t>
            </w:r>
            <w:r>
              <w:rPr>
                <w:rFonts w:ascii="Arial" w:cs="Arial" w:eastAsia="Arial" w:hAnsi="Arial"/>
                <w:sz w:val="18"/>
                <w:szCs w:val="18"/>
                <w:i w:val="1"/>
                <w:iCs w:val="1"/>
                <w:color w:val="auto"/>
              </w:rPr>
              <w:t>(a)</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18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8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(0.1)</w:t>
            </w:r>
          </w:p>
        </w:tc>
      </w:tr>
      <w:tr>
        <w:trPr>
          <w:trHeight w:val="27"/>
        </w:trPr>
        <w:tc>
          <w:tcPr>
            <w:tcW w:w="66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of Income Taxes</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18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r>
      <w:tr>
        <w:trPr>
          <w:trHeight w:val="291"/>
        </w:trPr>
        <w:tc>
          <w:tcPr>
            <w:tcW w:w="6680" w:type="dxa"/>
            <w:vAlign w:val="bottom"/>
            <w:tcBorders>
              <w:top w:val="single" w:sz="8" w:color="auto"/>
            </w:tcBorders>
          </w:tcPr>
          <w:p>
            <w:pPr>
              <w:spacing w:after="0"/>
              <w:rPr>
                <w:sz w:val="24"/>
                <w:szCs w:val="24"/>
                <w:color w:val="auto"/>
              </w:rPr>
            </w:pPr>
          </w:p>
        </w:tc>
        <w:tc>
          <w:tcPr>
            <w:tcW w:w="286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Defined Benefit Pension and Other Postretirement Items</w:t>
            </w:r>
          </w:p>
        </w:tc>
        <w:tc>
          <w:tcPr>
            <w:tcW w:w="28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8"/>
                <w:szCs w:val="18"/>
                <w:i w:val="1"/>
                <w:iCs w:val="1"/>
                <w:color w:val="auto"/>
              </w:rPr>
              <w:t>(c)</w:t>
            </w:r>
          </w:p>
        </w:tc>
        <w:tc>
          <w:tcPr>
            <w:tcW w:w="2860" w:type="dxa"/>
            <w:vAlign w:val="bottom"/>
          </w:tcPr>
          <w:p>
            <w:pPr>
              <w:jc w:val="right"/>
              <w:ind w:right="290"/>
              <w:spacing w:after="0"/>
              <w:rPr>
                <w:sz w:val="20"/>
                <w:szCs w:val="20"/>
                <w:color w:val="auto"/>
              </w:rPr>
            </w:pPr>
            <w:r>
              <w:rPr>
                <w:rFonts w:ascii="Arial" w:cs="Arial" w:eastAsia="Arial" w:hAnsi="Arial"/>
                <w:sz w:val="18"/>
                <w:szCs w:val="18"/>
                <w:color w:val="auto"/>
              </w:rPr>
              <w:t>$0.3</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$0.3</w:t>
            </w:r>
          </w:p>
        </w:tc>
      </w:tr>
      <w:tr>
        <w:trPr>
          <w:trHeight w:val="27"/>
        </w:trPr>
        <w:tc>
          <w:tcPr>
            <w:tcW w:w="66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Actuarial Gains and Losses </w:t>
            </w:r>
            <w:r>
              <w:rPr>
                <w:rFonts w:ascii="Arial" w:cs="Arial" w:eastAsia="Arial" w:hAnsi="Arial"/>
                <w:sz w:val="18"/>
                <w:szCs w:val="18"/>
                <w:i w:val="1"/>
                <w:iCs w:val="1"/>
                <w:color w:val="auto"/>
              </w:rPr>
              <w:t>(c)</w:t>
            </w:r>
          </w:p>
        </w:tc>
        <w:tc>
          <w:tcPr>
            <w:tcW w:w="2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w:t>
            </w:r>
          </w:p>
        </w:tc>
        <w:tc>
          <w:tcPr>
            <w:tcW w:w="18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(1.6)</w:t>
            </w:r>
          </w:p>
        </w:tc>
        <w:tc>
          <w:tcPr>
            <w:tcW w:w="1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(1.5)</w:t>
            </w:r>
          </w:p>
        </w:tc>
      </w:tr>
      <w:tr>
        <w:trPr>
          <w:trHeight w:val="27"/>
        </w:trPr>
        <w:tc>
          <w:tcPr>
            <w:tcW w:w="66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0.7</w:t>
            </w:r>
          </w:p>
        </w:tc>
        <w:tc>
          <w:tcPr>
            <w:tcW w:w="18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0.6</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of Income Taxes</w:t>
            </w:r>
          </w:p>
        </w:tc>
        <w:tc>
          <w:tcPr>
            <w:tcW w:w="28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$(0.9)</w:t>
            </w:r>
          </w:p>
        </w:tc>
        <w:tc>
          <w:tcPr>
            <w:tcW w:w="18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$(0.9)</w:t>
            </w:r>
          </w:p>
        </w:tc>
      </w:tr>
      <w:tr>
        <w:trPr>
          <w:trHeight w:val="27"/>
        </w:trPr>
        <w:tc>
          <w:tcPr>
            <w:tcW w:w="66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28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$(0.8)</w:t>
            </w:r>
          </w:p>
        </w:tc>
        <w:tc>
          <w:tcPr>
            <w:tcW w:w="18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$(0.8)</w:t>
            </w:r>
          </w:p>
        </w:tc>
      </w:tr>
      <w:tr>
        <w:trPr>
          <w:trHeight w:val="20"/>
        </w:trPr>
        <w:tc>
          <w:tcPr>
            <w:tcW w:w="668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Income (Expense) – Other on our Consolidated Statement of Income.</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Income Tax Expense on our Consolidated Statement of Income.</w:t>
      </w:r>
    </w:p>
    <w:p>
      <w:pPr>
        <w:spacing w:after="0" w:line="5"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excluded from our Regulated Operations are recognized in accumulated other comprehensive loss and are subsequently reclassified out of accumulated other comprehensive loss as components of net periodic pension and other postretirement benefit expense. (See Note 14. Pension and Other Postretirement Benefit Plans.)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EARNINGS PER SHARE AND COMMON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compute basic earnings per share using the weighted average number of shares of common stock outstanding during each period. The difference between basic and diluted earnings per share, if any, arises from outstanding stock options, non-vested restricted stock units, performance share awards granted under our Executive Long-Term Incentive Compensation Plan and common shares under the forward sale agreement (described below). For the nine months ended September 30, 2015 and 2014, no options to purchase shares of common stock were excluded from the computation of diluted earnings per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$60.4</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$41.6</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48.8</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42.9</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$1.24</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$0.97</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$122.8</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$91.9</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48.0</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42.1</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$2.56</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$2.18</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Forward Sale Agreement and Issuance of Common Stock</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February 2014, ALLETE entered into a confirmation of forward sale agreement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a forward counterparty in connection with a public offering of 2.8 million shares of ALLETE common stock.</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forward counterparty (or its affiliate) borrowed 2.8 million shares of ALLETE common stock from third parties and sold them to the underwriters. The forward sale price was $48.01 per share, subject to adjustment as provided in the Agreement. In September 2014, ALLETE physically settled a portion of its obligations under the Agreement by delivering approximately 1.4 million shares of common stock in exchange for cash proceeds of $65.0 million and on February 4, 2015, ALLETE physically settled the remaining portion of its obligation under the Agreement by delivering approximately 1.4 million shares of common stock in exchange for cash proceeds of $65.4 million.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public offering of the 2.8 million shares, ALLETE granted the underwriters an option to purchase up to an additional 0.4 million shares of ALLETE common stock (the option shares). The underwriters exercised the option in full and in March 2014, the Company issued and sold the option shares to the underwriters at a price to ALLETE equal to the initial forward sale price for proceeds of $20.2 million.</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Contributions to Pension. </w:t>
      </w:r>
      <w:r>
        <w:rPr>
          <w:rFonts w:ascii="Arial" w:cs="Arial" w:eastAsia="Arial" w:hAnsi="Arial"/>
          <w:sz w:val="18"/>
          <w:szCs w:val="18"/>
          <w:color w:val="auto"/>
        </w:rPr>
        <w:t>No contributions were made to the pension plan for the nine months ended September 30, 2015. For the nine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2014, ALLETE contributed 0.4 million shares of ALLETE common stock to its pension plan. These shares of ALLETE common stock were contributed in reliance upon an exemption available pursuant to Section 4(a)(2) of the Securities Act of 1933, as amended, and had an aggregate value of $19.5 million when contributed.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36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NOTE 14. PENSION AND OTHER POSTRETIREMENT BENEFIT PLANS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76"/>
        </w:trPr>
        <w:tc>
          <w:tcPr>
            <w:tcW w:w="6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60" w:type="dxa"/>
            <w:vAlign w:val="bottom"/>
          </w:tcPr>
          <w:p>
            <w:pPr>
              <w:spacing w:after="0"/>
              <w:rPr>
                <w:sz w:val="24"/>
                <w:szCs w:val="24"/>
                <w:color w:val="auto"/>
              </w:rPr>
            </w:pPr>
          </w:p>
        </w:tc>
      </w:tr>
      <w:tr>
        <w:trPr>
          <w:trHeight w:val="234"/>
        </w:trPr>
        <w:tc>
          <w:tcPr>
            <w:tcW w:w="66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40" w:type="dxa"/>
            <w:vAlign w:val="bottom"/>
          </w:tcPr>
          <w:p>
            <w:pPr>
              <w:spacing w:after="0"/>
              <w:rPr>
                <w:sz w:val="20"/>
                <w:szCs w:val="20"/>
                <w:color w:val="auto"/>
              </w:rPr>
            </w:pP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Expense (Income)</w:t>
            </w: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2014</w:t>
            </w: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$2.6</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7.5</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(10.2)</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(9.6)</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(2.7)</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 (Credits)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4.4</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3.6</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$4.3</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$3.6</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64"/>
        </w:trPr>
        <w:tc>
          <w:tcPr>
            <w:tcW w:w="668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$7.6</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$6.2</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$3.2</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22.4</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22.4</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5.4</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(30.5)</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(28.7)</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(8.2)</w:t>
            </w: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 (Credits)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0.1</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13.4</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10.7</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0.3</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$13.0</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$10.8</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66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nine months ended September 30, 2015, no contributions were made to our defined benefit pension plan ($19.5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nine months ended September 30, 2014); we do not expect to make any contributions to our defined benefit pension plan in 2015. For the nine months ended September 30, 2015 and 2014, we made no contributions to our other postretirement benefit plan; we do not expect to make any contributions to our other postretirement benefit plan in 2015.</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Minnesota Power’s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its entitlement to Unit output. Minnesota Power’s output entitlement under the Agreement is 50 percent for the remainder of the Agreement,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September 30, 2015, Square Butte had total debt outstanding of $377.9 million. Annual debt service for Square Butte is expected to be approximately $45 million in each of the next five years, 2015 through 2019, of which Minnesota Power’s obligation is 50 percent. Fuel expenses are recoverable through Minnesota Power’s fuel adjustment clause and include the cost of coal purchased from BNI Coal under a long-term contract.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cost of power purchased from Square Butte during the nine months ended September 30, 2015, was $57.6 million ($51.8 million for the nine months ended September 30, 2014). This reflects Minnesota Power’s pro rata share of total Square Butte costs based on the 50 percent output entitlement. Included in this amount was Minnesota Power’s pro rata share of interest expense of $7.6 million during the nine months ended September 30, 2015 ($7.9 million for the nine months ended September 30, 2014). Minnesota Power’s payments to Square Butte are approved as a purchased power expense for ratemaking purposes by both the MPUC and the FERC.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20"/>
          </w:cols>
          <w:pgMar w:left="240" w:top="364"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Minnkota Power Sales Agreement. </w:t>
      </w:r>
      <w:r>
        <w:rPr>
          <w:rFonts w:ascii="Arial" w:cs="Arial" w:eastAsia="Arial" w:hAnsi="Arial"/>
          <w:sz w:val="17"/>
          <w:szCs w:val="17"/>
          <w:color w:val="auto"/>
        </w:rPr>
        <w:t>In December 2009, Minnesota Power entered into a power sales agreement with Minnkota Power, which commenced in</w:t>
      </w:r>
      <w:r>
        <w:rPr>
          <w:rFonts w:ascii="Arial" w:cs="Arial" w:eastAsia="Arial" w:hAnsi="Arial"/>
          <w:sz w:val="17"/>
          <w:szCs w:val="17"/>
          <w:i w:val="1"/>
          <w:iCs w:val="1"/>
          <w:color w:val="auto"/>
        </w:rPr>
        <w:t xml:space="preserve"> </w:t>
      </w:r>
      <w:r>
        <w:rPr>
          <w:rFonts w:ascii="Arial" w:cs="Arial" w:eastAsia="Arial" w:hAnsi="Arial"/>
          <w:sz w:val="17"/>
          <w:szCs w:val="17"/>
          <w:color w:val="auto"/>
        </w:rPr>
        <w:t>June 2014. Under the power sales agreement, Minnesota Power is selling a portion of its output from Square Butte to Minnkota Power, resulting in Minnkota Power’s net entitlement increasing and Minnesota Power’s net entitlement decreasing until Minnesota Power’s share is eliminated at the end of 2025. In 2015, Minnesota Power’s portion of output sold to Minnkota Power is approximately 28 percent (23 percent in 2014).</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Minnkota Power PPA. </w:t>
      </w:r>
      <w:r>
        <w:rPr>
          <w:rFonts w:ascii="Arial" w:cs="Arial" w:eastAsia="Arial" w:hAnsi="Arial"/>
          <w:sz w:val="18"/>
          <w:szCs w:val="18"/>
          <w:color w:val="auto"/>
        </w:rPr>
        <w:t>In December 2012, Minnesota Power entered into a long-term PPA with Minnkota Power. Under this agreement, Minnesota Power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50 MW of capacity and the energy associated with that capacity from June 2016 through May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PPAs. </w:t>
      </w:r>
      <w:r>
        <w:rPr>
          <w:rFonts w:ascii="Arial" w:cs="Arial" w:eastAsia="Arial" w:hAnsi="Arial"/>
          <w:sz w:val="18"/>
          <w:szCs w:val="18"/>
          <w:color w:val="auto"/>
        </w:rPr>
        <w:t>Minnesota Power entered into two long-term wind PPAs with an affiliate of NextEra Energy, Inc. to purchase the output from</w:t>
      </w:r>
      <w:r>
        <w:rPr>
          <w:rFonts w:ascii="Arial" w:cs="Arial" w:eastAsia="Arial" w:hAnsi="Arial"/>
          <w:sz w:val="18"/>
          <w:szCs w:val="18"/>
          <w:i w:val="1"/>
          <w:iCs w:val="1"/>
          <w:color w:val="auto"/>
        </w:rPr>
        <w:t xml:space="preserve"> </w:t>
      </w:r>
      <w:r>
        <w:rPr>
          <w:rFonts w:ascii="Arial" w:cs="Arial" w:eastAsia="Arial" w:hAnsi="Arial"/>
          <w:sz w:val="18"/>
          <w:szCs w:val="18"/>
          <w:color w:val="auto"/>
        </w:rPr>
        <w:t>Oliver Wind I (50 MW) and Oliver Wind II (48 MW) wind energy facilities located near Center, North Dakota that expire in 2031 and 2032, respectively. Each agreement provides for the purchase of all output from the facilities at fixed energy prices. There are no fixed capacity charges, and we only pay for energy as it is delivered to us.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Manitoba Hydro PPAs. </w:t>
      </w:r>
      <w:r>
        <w:rPr>
          <w:rFonts w:ascii="Arial" w:cs="Arial" w:eastAsia="Arial" w:hAnsi="Arial"/>
          <w:sz w:val="18"/>
          <w:szCs w:val="18"/>
          <w:color w:val="auto"/>
        </w:rPr>
        <w:t>Minnesota Power has a long-term PPA with Manitoba Hydro that expires in May 2020.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 In addition, 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2011, Minnesota Power and Manitoba Hydro signed an additional long-term PPA. The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In September 2015, Manitoba Hydro submitted the final preferred route and EIS for the additional transmission capacity in Canada to Manitoba Conservation and Water Stewardship for regulatory approval. Construction of Manitoba Hydro’s hydroelectric generation facility commenced in the third quarter of 2014.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2014, Minnesota Power and Manitoba Hydro signed a long-term PPA that provides for Minnesota Power to purchase up to 133 MW of energy from Manitoba Hydro for 20 years beginning in 2020. The pricing under this PPA is based on forward market prices. The agreement was approved by the MPUC in an order dated January 30, 2015, and is subject to the construction of the GNTL. (See Great Northern Transmission Line.)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River Energy PPAs. </w:t>
      </w:r>
      <w:r>
        <w:rPr>
          <w:rFonts w:ascii="Arial" w:cs="Arial" w:eastAsia="Arial" w:hAnsi="Arial"/>
          <w:sz w:val="18"/>
          <w:szCs w:val="18"/>
          <w:color w:val="auto"/>
        </w:rPr>
        <w:t>In August 2014 and January 2015, Minnesota Power and Great River Energy signed long-term PPAs that provide for Minnesota</w:t>
      </w:r>
      <w:r>
        <w:rPr>
          <w:rFonts w:ascii="Arial" w:cs="Arial" w:eastAsia="Arial" w:hAnsi="Arial"/>
          <w:sz w:val="18"/>
          <w:szCs w:val="18"/>
          <w:i w:val="1"/>
          <w:iCs w:val="1"/>
          <w:color w:val="auto"/>
        </w:rPr>
        <w:t xml:space="preserve"> </w:t>
      </w:r>
      <w:r>
        <w:rPr>
          <w:rFonts w:ascii="Arial" w:cs="Arial" w:eastAsia="Arial" w:hAnsi="Arial"/>
          <w:sz w:val="18"/>
          <w:szCs w:val="18"/>
          <w:color w:val="auto"/>
        </w:rPr>
        <w:t>Power to purchase 50 MW of capacity and energy under the first PPA and 50 MW of capacity-only under the second PPA. The PPAs commence in June 2016 and expire in May 2020. Both contracts have fixed capacity pricing. The energy price in the first PPA is based on a formula that includes an annual fixed price component adjusted for changes in a natural gas index, as well as market prices.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TransAlta PPAs. </w:t>
      </w:r>
      <w:r>
        <w:rPr>
          <w:rFonts w:ascii="Arial" w:cs="Arial" w:eastAsia="Arial" w:hAnsi="Arial"/>
          <w:sz w:val="18"/>
          <w:szCs w:val="18"/>
          <w:color w:val="auto"/>
        </w:rPr>
        <w:t>In September 2015, Minnesota Power and TransAlta signed PPAs that provide for Minnesota Power to purchase 50 MW of energy during</w:t>
      </w:r>
      <w:r>
        <w:rPr>
          <w:rFonts w:ascii="Arial" w:cs="Arial" w:eastAsia="Arial" w:hAnsi="Arial"/>
          <w:sz w:val="18"/>
          <w:szCs w:val="18"/>
          <w:i w:val="1"/>
          <w:iCs w:val="1"/>
          <w:color w:val="auto"/>
        </w:rPr>
        <w:t xml:space="preserve"> </w:t>
      </w:r>
      <w:r>
        <w:rPr>
          <w:rFonts w:ascii="Arial" w:cs="Arial" w:eastAsia="Arial" w:hAnsi="Arial"/>
          <w:sz w:val="18"/>
          <w:szCs w:val="18"/>
          <w:color w:val="auto"/>
        </w:rPr>
        <w:t>off-peak hours and 100 MW of energy during on-peak hours beginning in January 2017 and ending in December 2019. The energy prices are fixed throughout the terms of the PPAs.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December 2016 and a portion of its coal requirements through December 2019. Minnesota Power also has coal transportation agreements in place for the delivery of a significant portion of its coal requirements through December 2018. The minimum annual payment obligation under these supply and transportation agreements is $13.9 million for the remainder of 2015, $37.4 million in 2016, $27.6 million in 2017, $28.3 million in 2018 and $1.8 million in 2019. The delivered costs of fuel for Minnesota Power’s generation are recoverable from Minnesota Power’s utility customers through the fuel adjustment clause.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2022. The aggregate amount of minimum lease payments for all operating leases is $15.0 million in 2015, $12.9 million in 2016, $11.8 million in 2017, $10.4 million in 2018, $9.3 million in 2019 and $29.1 million thereafter.</w:t>
      </w:r>
    </w:p>
    <w:p>
      <w:pPr>
        <w:spacing w:after="0" w:line="18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Transmission. </w:t>
      </w:r>
      <w:r>
        <w:rPr>
          <w:rFonts w:ascii="Arial" w:cs="Arial" w:eastAsia="Arial" w:hAnsi="Arial"/>
          <w:sz w:val="16"/>
          <w:szCs w:val="16"/>
          <w:color w:val="auto"/>
        </w:rPr>
        <w:t>We continue to make investments in transmission opportunities that strengthen or enhance the transmission grid or take advantage of our</w:t>
      </w:r>
      <w:r>
        <w:rPr>
          <w:rFonts w:ascii="Arial" w:cs="Arial" w:eastAsia="Arial" w:hAnsi="Arial"/>
          <w:sz w:val="16"/>
          <w:szCs w:val="16"/>
          <w:b w:val="1"/>
          <w:bCs w:val="1"/>
          <w:color w:val="auto"/>
        </w:rPr>
        <w:t xml:space="preserve"> </w:t>
      </w:r>
      <w:r>
        <w:rPr>
          <w:rFonts w:ascii="Arial" w:cs="Arial" w:eastAsia="Arial" w:hAnsi="Arial"/>
          <w:sz w:val="16"/>
          <w:szCs w:val="16"/>
          <w:color w:val="auto"/>
        </w:rPr>
        <w:t>geographical location between sources of renewable energy and end users. These include the GNTL and the CapX2020 initiative, as well as investments to enhance our own transmission facilities, investments in other transmission assets (individually or in combination with others), and our investment in ATC.</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Transmission Investments. </w:t>
      </w:r>
      <w:r>
        <w:rPr>
          <w:rFonts w:ascii="Arial" w:cs="Arial" w:eastAsia="Arial" w:hAnsi="Arial"/>
          <w:sz w:val="17"/>
          <w:szCs w:val="17"/>
          <w:color w:val="auto"/>
        </w:rPr>
        <w:t>Minnesota Power has an approved cost recovery rider in place for certain transmission investments and expenditures. In an order</w:t>
      </w:r>
      <w:r>
        <w:rPr>
          <w:rFonts w:ascii="Arial" w:cs="Arial" w:eastAsia="Arial" w:hAnsi="Arial"/>
          <w:sz w:val="17"/>
          <w:szCs w:val="17"/>
          <w:i w:val="1"/>
          <w:iCs w:val="1"/>
          <w:color w:val="auto"/>
        </w:rPr>
        <w:t xml:space="preserve"> </w:t>
      </w:r>
      <w:r>
        <w:rPr>
          <w:rFonts w:ascii="Arial" w:cs="Arial" w:eastAsia="Arial" w:hAnsi="Arial"/>
          <w:sz w:val="17"/>
          <w:szCs w:val="17"/>
          <w:color w:val="auto"/>
        </w:rPr>
        <w:t>dated February 23, 2015, the MPUC approved Minnesota Power’s updated billing factor which allows Minnesota Power to charge retail customers on a current basis for the costs of constructing certain transmission facilities plus a return on the capital invested. On May 22, 2015, Minnesota Power filed a transmission factor filing which includes updated costs associated with certain transmission facilities. Upon approval of the filing, Minnesota Power will be authorized to include updated billing rates on customer bills. As a result of the MPUC approval of the certificate of need for the GNTL on June 30, 2015, the project is eligible for cost recovery under the existing transmission cost recovery rider. Minnesota Power anticipates including its portion of the investments and expenditures for the GNTL as part of future transmission factor filings to include updated billing rates on customer bills.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and municipal and investor-owned utilities, including Minnesota’s largest transmission owners, has assessed the transmission system and projected growth in customer demand for electricity through 2020.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On April 2, 2015, the CapX2020 transmission line project from Fargo, North Dakota, to St. Cloud, Minnesota, was completed and placed into service.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previously participated in two additional CapX2020 projects which were completed and placed into service in 2011 and 2012.</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invested approximately $100 million to complete the three transmission line projects. As future CapX2020 projects are identified, Minnesota Power may elect to participate on a project-by-project basis.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GNTL is subject to various federal and state regulatory approvals. In October 2013, a certificate of need application was filed with the MPUC which was approved in an order dated June 30, 2015. Based on this order, Minnesota Power’s portion of the investments and expenditures for the project are eligible for cost recovery under its existing transmission cost recovery rider and are anticipated to be included in future transmission factor filings. In April 2014, Minnesota Power filed a route permit application with the MPUC and a request for a presidential permit to cross the U.S.-Canadian border with the U.S. Department of Energy. In a July 2014 order, the MPUC determined the route permit application to be complete. On October 30, 2015, the Minnesota Department of Commerce and the U.S. Department of Energy released the final EIS for the GNTL. A decision on the route permit by the MPUC is expected in the first quarter of 2016. Manitoba Hydro must also obtain regulatory and governmental approvals related to a new transmission line in Canada. In September 2015, Manitoba Hydro submitted the final preferred route and EIS for the transmission line in Canada to Manitoba Conservation and Water Stewardship for regulatory approval. Construction of Manitoba Hydro’s hydroelectric generation facility commenced in the third quarter of 2014. Upon receipt of all applicable permits and approvals, construction of the GNTL is expected to begin by 2017 and to be completed in 2020. Total project cost in the U.S., including substation work, is estimated to be between $560 million and $710 million, depending on the final route of the line. Minnesota Power is expected to have majority ownership of the transmission line.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the U.S.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expected future restrictive environmental requirements imposed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project power supply trends and impacts on customers.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New Source Review (NSR). </w:t>
      </w:r>
      <w:r>
        <w:rPr>
          <w:rFonts w:ascii="Arial" w:cs="Arial" w:eastAsia="Arial" w:hAnsi="Arial"/>
          <w:sz w:val="17"/>
          <w:szCs w:val="17"/>
          <w:color w:val="auto"/>
        </w:rPr>
        <w:t>In August 2008, Minnesota Power received a Notice of Violation (NOV) from the EPA asserting violations of the NSR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the Clean Air Act at Boswell and Laskin Unit 2 between the years of 1981 and 2001. Minnesota Power received an additional NOV in April 2011 alleging that two projects undertaken at Rapids Energy Center in 2004 and 2005 should have been reviewed under the NSR requirements and that the Rapids Energy Center’s Title V permit was violated. Minnesota Power reached a settlement with the EPA regarding these NOVs and entered into a Consent Decree which was approved by the U.S. District Court for the District of Minnesota (Court) in September 2014. The Consent Decree provided for, among other requirements, more stringent emissions limits at all affected units, the option of refueling, retrofits or retirements at certain small coal units, and the addition of 200 MW of wind energy. Provisions of the Consent Decree require that, by no later than December 31, 2018, Boswell Units 1 and 2 must be retired, refueled, repowered, or emissions rerouted through existing emission control technology at Boswell. Minnesota Power estimates that if the units are not retired, capital expenditures could range between $20 million and $40 million. Minnesota Power’s 2015 Integrated Resource Plan filed with the MPUC on September 1, 2015, outlined Minnesota Power’s preferred option to reroute emissions from Units 1 and 2 through existing emission control technology at Boswell Unit 3. We are required to notify the EPA no later than December 31, 2016, whether we will retire, refuel, repower or reroute Boswell Units 1 and 2. We believe that future capital expenditures or costs to retire would likely be eligible for recovery in rates over time subject to regulatory approval in a rate proceeding.</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Cross-State Air Pollution Rule (CSAPR). </w:t>
      </w:r>
      <w:r>
        <w:rPr>
          <w:rFonts w:ascii="Arial" w:cs="Arial" w:eastAsia="Arial" w:hAnsi="Arial"/>
          <w:sz w:val="17"/>
          <w:szCs w:val="17"/>
          <w:color w:val="auto"/>
        </w:rPr>
        <w:t>In April 2014, the U.S. Supreme Court issued an opinion reversing an August 2012 U.S. Court of Appeals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D.C. Circuit decision that had vacated the CSAPR. The EPA filed a motion with the U.S. Court of Appeals for the D.C. Circuit in June 2014, to have the stay of CSAPR lifted and the CSAPR compliance deadlines tolled by three years. In October 2014, the U.S. Court of Appeals for the D.C. Circuit granted the EPA's motion, allowing the first compliance period, Phase I, to begin on January 1, 2015, with Phase II beginning in 2017.</w:t>
      </w:r>
    </w:p>
    <w:p>
      <w:pPr>
        <w:spacing w:after="0" w:line="17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CSAPR requires a total of 28 states in the eastern half of the United States, including Minnesota, to reduce power plant emissions that contribute to ozone or fine particulate pollution in other states. CSAPR does not require installation of controls; rather it requires that facilities have sufficient allowances to cover their emissions on an annual basis. These allowances are allocated to facilities from each state’s annual budget and can be bought and sold.</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December 2014, the EPA distributed the CSAPR allowances to CSAPR-subject units for the Phase I years (2015 and 2016). Phase II allowances (2017-2020) have not been distributed. Based on our initial accounting of the NO</w:t>
      </w:r>
      <w:r>
        <w:rPr>
          <w:rFonts w:ascii="Arial" w:cs="Arial" w:eastAsia="Arial" w:hAnsi="Arial"/>
          <w:sz w:val="11"/>
          <w:szCs w:val="11"/>
          <w:color w:val="auto"/>
        </w:rPr>
        <w:t>x</w:t>
      </w:r>
      <w:r>
        <w:rPr>
          <w:rFonts w:ascii="Arial" w:cs="Arial" w:eastAsia="Arial" w:hAnsi="Arial"/>
          <w:sz w:val="16"/>
          <w:szCs w:val="16"/>
          <w:color w:val="auto"/>
        </w:rPr>
        <w:t xml:space="preserve"> and SO</w:t>
      </w:r>
      <w:r>
        <w:rPr>
          <w:rFonts w:ascii="Arial" w:cs="Arial" w:eastAsia="Arial" w:hAnsi="Arial"/>
          <w:sz w:val="11"/>
          <w:szCs w:val="11"/>
          <w:color w:val="auto"/>
        </w:rPr>
        <w:t>2</w:t>
      </w:r>
      <w:r>
        <w:rPr>
          <w:rFonts w:ascii="Arial" w:cs="Arial" w:eastAsia="Arial" w:hAnsi="Arial"/>
          <w:sz w:val="16"/>
          <w:szCs w:val="16"/>
          <w:color w:val="auto"/>
        </w:rPr>
        <w:t xml:space="preserve"> Phase I allowances already issued, and our review of the CSAPR Phase II allowances not yet issued, we currently expect projected generation levels and emission rates will be in compliance in both Phase I and Phase 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Mercury and Air Toxics Standards (MATS) Rule (formerly known as the Electric Generating Unit Maximum Achievable Control Technology (MACT) Rule). </w:t>
      </w:r>
      <w:r>
        <w:rPr>
          <w:rFonts w:ascii="Arial" w:cs="Arial" w:eastAsia="Arial" w:hAnsi="Arial"/>
          <w:sz w:val="16"/>
          <w:szCs w:val="16"/>
          <w:color w:val="auto"/>
        </w:rPr>
        <w:t>Under Section 112 of the Clean Air Act, the EPA is required to set emission standards for hazardous air pollutants (HAPs) for certain source categories. The EPA published the final MATS rule in the Federal Register in February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were required to be in compliance with the rule by April 2015. States had the authority to grant sources a one-year extension. The MPCA approved Minnesota Power’s request for an extension of the date of compliance for the Boswell Unit 4 environmental upgrade to April 1, 2016. Compliance at Boswell Unit 4 to address the final MATS rule is expected to result in capital expenditures of approximately $260 million, of which approximately $207 million was spent through September 30, 2015. Project completion is expected in the first quarter of 2016. Boswell Unit 3 is also subject to the MATS rule; however, investments and compliance work completed at Boswell Unit 3, including the emission reduction investments completed in 2009, meet the requirements of the MATS rule. The conversion of Laskin Units 1 and 2 to natural gas in June 2015 positioned those units for MATS compliance. In January 2014, the MPCA approved Minnesota Power’s application to extend the deadline for Taconite Harbor Unit 3 to comply with MATS to June 1, 2015, in order to align the retirement at Unit 3 with MISO’s resource planning year. Taconite Harbor Unit 3 was retired in May 2015.</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June 29, 2015, the U.S. Supreme Court reversed and remanded an earlier U.S. Court of Appeals for the D.C. Circuit decision on the MATS rule. The U.S. Supreme Court ruled that it was unreasonable for the EPA to deem cost of compliance irrelevant in determining that regulation of emissions of hazardous air pollutants from power plants was “appropriate and necessary” under Section 112 of the Clean Air Act. The MATS rule remains in effect until the U.S. Court of Appeals for the D.C. Circuit acts on the remand. The U.S. Supreme Court decision is not expected to have a material impact on Minnesota Power generation due to ongoing emission reduction obligations under the Minnesota Mercury Emissions Reduction Act and the Consent Decree. (See </w:t>
      </w:r>
      <w:r>
        <w:rPr>
          <w:rFonts w:ascii="Arial" w:cs="Arial" w:eastAsia="Arial" w:hAnsi="Arial"/>
          <w:sz w:val="18"/>
          <w:szCs w:val="18"/>
          <w:i w:val="1"/>
          <w:iCs w:val="1"/>
          <w:color w:val="auto"/>
        </w:rPr>
        <w:t>New Source</w:t>
      </w:r>
      <w:r>
        <w:rPr>
          <w:rFonts w:ascii="Arial" w:cs="Arial" w:eastAsia="Arial" w:hAnsi="Arial"/>
          <w:sz w:val="18"/>
          <w:szCs w:val="18"/>
          <w:color w:val="auto"/>
        </w:rPr>
        <w:t xml:space="preserve"> </w:t>
      </w:r>
      <w:r>
        <w:rPr>
          <w:rFonts w:ascii="Arial" w:cs="Arial" w:eastAsia="Arial" w:hAnsi="Arial"/>
          <w:sz w:val="18"/>
          <w:szCs w:val="18"/>
          <w:i w:val="1"/>
          <w:iCs w:val="1"/>
          <w:color w:val="auto"/>
        </w:rPr>
        <w:t>Review.</w:t>
      </w:r>
      <w:r>
        <w:rPr>
          <w:rFonts w:ascii="Arial" w:cs="Arial" w:eastAsia="Arial" w:hAnsi="Arial"/>
          <w:sz w:val="18"/>
          <w:szCs w:val="18"/>
          <w:color w:val="auto"/>
        </w:rPr>
        <w:t>)</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Minnesota Mercury Emissions Reduction Act/Rule. </w:t>
      </w:r>
      <w:r>
        <w:rPr>
          <w:rFonts w:ascii="Arial" w:cs="Arial" w:eastAsia="Arial" w:hAnsi="Arial"/>
          <w:sz w:val="17"/>
          <w:szCs w:val="17"/>
          <w:color w:val="auto"/>
        </w:rPr>
        <w:t>In order to comply with the 2006 Minnesota Mercury Emissions Reduction Act, which was incorporated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into rules promulgated by the MPCA in September 2014, Minnesota Power must implement a mercury emissions reduction project for Boswell Unit 4 by December 31, 2018. The Boswell Unit 4 environmental upgrade discussed above, which is required to be completed by April 1, 2016 (see </w:t>
      </w:r>
      <w:r>
        <w:rPr>
          <w:rFonts w:ascii="Arial" w:cs="Arial" w:eastAsia="Arial" w:hAnsi="Arial"/>
          <w:sz w:val="17"/>
          <w:szCs w:val="17"/>
          <w:i w:val="1"/>
          <w:iCs w:val="1"/>
          <w:color w:val="auto"/>
        </w:rPr>
        <w:t>Mercury and Air</w:t>
      </w:r>
      <w:r>
        <w:rPr>
          <w:rFonts w:ascii="Arial" w:cs="Arial" w:eastAsia="Arial" w:hAnsi="Arial"/>
          <w:sz w:val="17"/>
          <w:szCs w:val="17"/>
          <w:color w:val="auto"/>
        </w:rPr>
        <w:t xml:space="preserve"> </w:t>
      </w:r>
      <w:r>
        <w:rPr>
          <w:rFonts w:ascii="Arial" w:cs="Arial" w:eastAsia="Arial" w:hAnsi="Arial"/>
          <w:sz w:val="17"/>
          <w:szCs w:val="17"/>
          <w:i w:val="1"/>
          <w:iCs w:val="1"/>
          <w:color w:val="auto"/>
        </w:rPr>
        <w:t>Toxics Standards (MATS) Rule</w:t>
      </w:r>
      <w:r>
        <w:rPr>
          <w:rFonts w:ascii="Arial" w:cs="Arial" w:eastAsia="Arial" w:hAnsi="Arial"/>
          <w:sz w:val="17"/>
          <w:szCs w:val="17"/>
          <w:color w:val="auto"/>
        </w:rPr>
        <w:t>), will fulfill the requirements of the Minnesota Mercury Emissions Reduction Act.</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6"/>
          <w:szCs w:val="16"/>
          <w:color w:val="auto"/>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final rule issued by the EPA for Industrial Boiler MACT became effective in December 2012. Major existing sources have until January 31, 2016, to achieve compliance with the final rule. Minnesota Power’s Hibbard Renewable Energy Center and Rapids Energy Center are subject to this rule. We expect compliance to consist largely of adjustments to our operating practices; therefore the costs for complying with the final rule are not expected to be material.</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the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has proposed to more stringently control emissions that result in ground level ozone. In January 2010, the EPA proposed to revise</w:t>
      </w:r>
      <w:r>
        <w:rPr>
          <w:rFonts w:ascii="Arial" w:cs="Arial" w:eastAsia="Arial" w:hAnsi="Arial"/>
          <w:sz w:val="17"/>
          <w:szCs w:val="17"/>
          <w:i w:val="1"/>
          <w:iCs w:val="1"/>
          <w:color w:val="auto"/>
        </w:rPr>
        <w:t xml:space="preserve"> </w:t>
      </w:r>
      <w:r>
        <w:rPr>
          <w:rFonts w:ascii="Arial" w:cs="Arial" w:eastAsia="Arial" w:hAnsi="Arial"/>
          <w:sz w:val="17"/>
          <w:szCs w:val="17"/>
          <w:color w:val="auto"/>
        </w:rPr>
        <w:t>the 2008 eight-hour ozone standard of 75 parts per billion (ppb) and to adopt a secondary standard for the protection of sensitive vegetation from ozone-related damage. On October 1, 2015, the EPA released the final rule revising the eight-hour ozone standard to 70 ppb with a secondary standard also set at 70 ppb. All areas of Minnesota currently meet the new standard based on the most recent available ambient monitoring data. However, some areas in the metropolitan Twin Cities and southwest portion of the state are close to exceeding the standard, so voluntary efforts to reduce ozone continue in the state. No additional costs for compliance are anticipated at this time.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Particulate Matter NAAQS in September 2006. Since then, the EPA has established more stringent 24-hour</w:t>
      </w:r>
      <w:r>
        <w:rPr>
          <w:rFonts w:ascii="Arial" w:cs="Arial" w:eastAsia="Arial" w:hAnsi="Arial"/>
          <w:sz w:val="17"/>
          <w:szCs w:val="17"/>
          <w:i w:val="1"/>
          <w:iCs w:val="1"/>
          <w:color w:val="auto"/>
        </w:rPr>
        <w:t xml:space="preserve"> </w:t>
      </w:r>
      <w:r>
        <w:rPr>
          <w:rFonts w:ascii="Arial" w:cs="Arial" w:eastAsia="Arial" w:hAnsi="Arial"/>
          <w:sz w:val="17"/>
          <w:szCs w:val="17"/>
          <w:color w:val="auto"/>
        </w:rPr>
        <w:t>and annual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standards; the 24-hour coarse particulate matter standard has remained unchanged. In December 2012, the EPA issued a final rule implementing a more stringent annual PM</w:t>
      </w:r>
      <w:r>
        <w:rPr>
          <w:rFonts w:ascii="Arial" w:cs="Arial" w:eastAsia="Arial" w:hAnsi="Arial"/>
          <w:sz w:val="11"/>
          <w:szCs w:val="11"/>
          <w:color w:val="auto"/>
        </w:rPr>
        <w:t>2.5</w:t>
      </w:r>
      <w:r>
        <w:rPr>
          <w:rFonts w:ascii="Arial" w:cs="Arial" w:eastAsia="Arial" w:hAnsi="Arial"/>
          <w:sz w:val="17"/>
          <w:szCs w:val="17"/>
          <w:color w:val="auto"/>
        </w:rPr>
        <w:t xml:space="preserve"> standard, while retaining the current 24-hour PM</w:t>
      </w:r>
      <w:r>
        <w:rPr>
          <w:rFonts w:ascii="Arial" w:cs="Arial" w:eastAsia="Arial" w:hAnsi="Arial"/>
          <w:sz w:val="11"/>
          <w:szCs w:val="11"/>
          <w:color w:val="auto"/>
        </w:rPr>
        <w:t>2.5</w:t>
      </w:r>
      <w:r>
        <w:rPr>
          <w:rFonts w:ascii="Arial" w:cs="Arial" w:eastAsia="Arial" w:hAnsi="Arial"/>
          <w:sz w:val="17"/>
          <w:szCs w:val="17"/>
          <w:color w:val="auto"/>
        </w:rPr>
        <w:t xml:space="preserve"> standard. To implement the new annual PM</w:t>
      </w:r>
      <w:r>
        <w:rPr>
          <w:rFonts w:ascii="Arial" w:cs="Arial" w:eastAsia="Arial" w:hAnsi="Arial"/>
          <w:sz w:val="11"/>
          <w:szCs w:val="11"/>
          <w:color w:val="auto"/>
        </w:rPr>
        <w:t>2.5</w:t>
      </w:r>
      <w:r>
        <w:rPr>
          <w:rFonts w:ascii="Arial" w:cs="Arial" w:eastAsia="Arial" w:hAnsi="Arial"/>
          <w:sz w:val="17"/>
          <w:szCs w:val="17"/>
          <w:color w:val="auto"/>
        </w:rPr>
        <w:t xml:space="preserve"> standard, the EPA is also revising aspects of relevant monitoring, designation and permitting requirements. New projects and permits must comply with the new standard, which is generally demonstrated by modeling at the facility level.</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final rule, states will be responsible for additional PM</w:t>
      </w:r>
      <w:r>
        <w:rPr>
          <w:rFonts w:ascii="Arial" w:cs="Arial" w:eastAsia="Arial" w:hAnsi="Arial"/>
          <w:sz w:val="11"/>
          <w:szCs w:val="11"/>
          <w:color w:val="auto"/>
        </w:rPr>
        <w:t>2.5</w:t>
      </w:r>
      <w:r>
        <w:rPr>
          <w:rFonts w:ascii="Arial" w:cs="Arial" w:eastAsia="Arial" w:hAnsi="Arial"/>
          <w:sz w:val="17"/>
          <w:szCs w:val="17"/>
          <w:color w:val="auto"/>
        </w:rPr>
        <w:t xml:space="preserve"> monitoring, which will likely be accomplished by relocating or repurposing existing monitors. The EPA asked states to submit attainment designations by December 2013, based on already available monitoring data, and issued designations of the 2012 revised primary annual fine particulate attainment status in December 2014. The EPA designated the entire state of Minnesota as unclassifiable/attainment; however, Minnesota sources may ultimately be required to reduce their emissions to assist with attainment in neighboring states. Accordingly, the costs for complying with the final Particulate Matter NAAQS cannot be estimated at this time.</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SO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and NO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NAAQS. </w:t>
      </w:r>
      <w:r>
        <w:rPr>
          <w:rFonts w:ascii="Arial" w:cs="Arial" w:eastAsia="Arial" w:hAnsi="Arial"/>
          <w:sz w:val="16"/>
          <w:szCs w:val="16"/>
          <w:color w:val="auto"/>
        </w:rPr>
        <w:t>During 2010, the EPA finalized one-hour NAAQS for SO</w:t>
      </w:r>
      <w:r>
        <w:rPr>
          <w:rFonts w:ascii="Arial" w:cs="Arial" w:eastAsia="Arial" w:hAnsi="Arial"/>
          <w:sz w:val="11"/>
          <w:szCs w:val="11"/>
          <w:color w:val="auto"/>
        </w:rPr>
        <w:t>2</w:t>
      </w:r>
      <w:r>
        <w:rPr>
          <w:rFonts w:ascii="Arial" w:cs="Arial" w:eastAsia="Arial" w:hAnsi="Arial"/>
          <w:sz w:val="16"/>
          <w:szCs w:val="16"/>
          <w:i w:val="1"/>
          <w:iCs w:val="1"/>
          <w:color w:val="auto"/>
        </w:rPr>
        <w:t xml:space="preserve"> </w:t>
      </w:r>
      <w:r>
        <w:rPr>
          <w:rFonts w:ascii="Arial" w:cs="Arial" w:eastAsia="Arial" w:hAnsi="Arial"/>
          <w:sz w:val="16"/>
          <w:szCs w:val="16"/>
          <w:color w:val="auto"/>
        </w:rPr>
        <w:t>and NO</w:t>
      </w:r>
      <w:r>
        <w:rPr>
          <w:rFonts w:ascii="Arial" w:cs="Arial" w:eastAsia="Arial" w:hAnsi="Arial"/>
          <w:sz w:val="11"/>
          <w:szCs w:val="11"/>
          <w:color w:val="auto"/>
        </w:rPr>
        <w:t>2</w:t>
      </w:r>
      <w:r>
        <w:rPr>
          <w:rFonts w:ascii="Arial" w:cs="Arial" w:eastAsia="Arial" w:hAnsi="Arial"/>
          <w:sz w:val="16"/>
          <w:szCs w:val="16"/>
          <w:color w:val="auto"/>
        </w:rPr>
        <w:t>. Ambient monitoring data indicates that Minnesota is likely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these standards; however, the one-hour SO</w:t>
      </w:r>
      <w:r>
        <w:rPr>
          <w:rFonts w:ascii="Arial" w:cs="Arial" w:eastAsia="Arial" w:hAnsi="Arial"/>
          <w:sz w:val="11"/>
          <w:szCs w:val="11"/>
          <w:color w:val="auto"/>
        </w:rPr>
        <w:t>2</w:t>
      </w:r>
      <w:r>
        <w:rPr>
          <w:rFonts w:ascii="Arial" w:cs="Arial" w:eastAsia="Arial" w:hAnsi="Arial"/>
          <w:sz w:val="16"/>
          <w:szCs w:val="16"/>
          <w:color w:val="auto"/>
        </w:rPr>
        <w:t xml:space="preserve"> NAAQS also requires the EPA to evaluate additional modeling and monitoring considerations to determine attainment. In April 2012, the MPCA notified Minnesota Power that modeling had been suspended as a result of the EPA’s announcement that the SIP submittals would not require modeling demonstrations for states, such as Minnesota, where ambient monitors indicate compliance with the standard. The EPA notified states that their infrastructure SIPs for maintaining attainment of the standard were required to be submitted to the EPA for approval by June 2013. However, the State of Minnesota delayed completing the documents pending EPA guidance to states for preparing the SIP submittal.</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2013 the EPA provided guidance to states regarding implementation of the one-hour NO</w:t>
      </w:r>
      <w:r>
        <w:rPr>
          <w:rFonts w:ascii="Arial" w:cs="Arial" w:eastAsia="Arial" w:hAnsi="Arial"/>
          <w:sz w:val="12"/>
          <w:szCs w:val="12"/>
          <w:color w:val="auto"/>
        </w:rPr>
        <w:t>2</w:t>
      </w:r>
      <w:r>
        <w:rPr>
          <w:rFonts w:ascii="Arial" w:cs="Arial" w:eastAsia="Arial" w:hAnsi="Arial"/>
          <w:sz w:val="18"/>
          <w:szCs w:val="18"/>
          <w:color w:val="auto"/>
        </w:rPr>
        <w:t xml:space="preserve"> NAAQS and in June 2014, as clarified on February 3, 2015, the MPCA submitted a SIP revision to the EPA addressing the infrastructure requirements of Sections 110(a)(1) and 110(a)(2) of the Clean Air Act in regards to the one-hour NO</w:t>
      </w:r>
      <w:r>
        <w:rPr>
          <w:rFonts w:ascii="Arial" w:cs="Arial" w:eastAsia="Arial" w:hAnsi="Arial"/>
          <w:sz w:val="12"/>
          <w:szCs w:val="12"/>
          <w:color w:val="auto"/>
        </w:rPr>
        <w:t>2</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NAAQS, among other standards. The SIP stated that since the EPA determined in January 2012 that no area in the country is in violation of the one-hour NO</w:t>
      </w:r>
      <w:r>
        <w:rPr>
          <w:rFonts w:ascii="Arial" w:cs="Arial" w:eastAsia="Arial" w:hAnsi="Arial"/>
          <w:sz w:val="12"/>
          <w:szCs w:val="12"/>
          <w:color w:val="auto"/>
        </w:rPr>
        <w:t>2</w:t>
      </w:r>
      <w:r>
        <w:rPr>
          <w:rFonts w:ascii="Arial" w:cs="Arial" w:eastAsia="Arial" w:hAnsi="Arial"/>
          <w:sz w:val="18"/>
          <w:szCs w:val="18"/>
          <w:color w:val="auto"/>
        </w:rPr>
        <w:t xml:space="preserve"> NAAQS, there are no nonattainment areas in the country for this pollutant, and therefore Minnesota’s NO</w:t>
      </w:r>
      <w:r>
        <w:rPr>
          <w:rFonts w:ascii="Arial" w:cs="Arial" w:eastAsia="Arial" w:hAnsi="Arial"/>
          <w:sz w:val="12"/>
          <w:szCs w:val="12"/>
          <w:color w:val="auto"/>
        </w:rPr>
        <w:t>2</w:t>
      </w:r>
      <w:r>
        <w:rPr>
          <w:rFonts w:ascii="Arial" w:cs="Arial" w:eastAsia="Arial" w:hAnsi="Arial"/>
          <w:sz w:val="18"/>
          <w:szCs w:val="18"/>
          <w:color w:val="auto"/>
        </w:rPr>
        <w:t xml:space="preserve"> emissions cannot be significantly contributing to nonattainment in any other state. On October 20, 2015, the EPA published in the Federal Register an approval and partial disapproval of the June 2014 SIP revision. According to the MPCA, the partial disapproval is regarding state delegation of a program unrelated to the one-hour NAAQS for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2,</w:t>
      </w:r>
      <w:r>
        <w:rPr>
          <w:rFonts w:ascii="Arial" w:cs="Arial" w:eastAsia="Arial" w:hAnsi="Arial"/>
          <w:sz w:val="18"/>
          <w:szCs w:val="18"/>
          <w:color w:val="auto"/>
        </w:rPr>
        <w:t xml:space="preserve"> and is not expected to require further action. As such, additional compliance costs for the one-hour NO</w:t>
      </w:r>
      <w:r>
        <w:rPr>
          <w:rFonts w:ascii="Arial" w:cs="Arial" w:eastAsia="Arial" w:hAnsi="Arial"/>
          <w:sz w:val="12"/>
          <w:szCs w:val="12"/>
          <w:color w:val="auto"/>
        </w:rPr>
        <w:t>2</w:t>
      </w:r>
      <w:r>
        <w:rPr>
          <w:rFonts w:ascii="Arial" w:cs="Arial" w:eastAsia="Arial" w:hAnsi="Arial"/>
          <w:sz w:val="18"/>
          <w:szCs w:val="18"/>
          <w:color w:val="auto"/>
        </w:rPr>
        <w:t xml:space="preserve"> NAAQS are not expected at this time.</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10, 2015, the EPA finalized the SO</w:t>
      </w:r>
      <w:r>
        <w:rPr>
          <w:rFonts w:ascii="Arial" w:cs="Arial" w:eastAsia="Arial" w:hAnsi="Arial"/>
          <w:sz w:val="11"/>
          <w:szCs w:val="11"/>
          <w:color w:val="auto"/>
        </w:rPr>
        <w:t>2</w:t>
      </w:r>
      <w:r>
        <w:rPr>
          <w:rFonts w:ascii="Arial" w:cs="Arial" w:eastAsia="Arial" w:hAnsi="Arial"/>
          <w:sz w:val="17"/>
          <w:szCs w:val="17"/>
          <w:color w:val="auto"/>
        </w:rPr>
        <w:t xml:space="preserve"> data requirements rule (DRR) for the 2010 one-hour NAAQS to assist the states in implementing the standard. The rule sets emissions thresholds and exemptions for facilities that trigger modeling requirements. Boswell and Taconite Harbor are the only Minnesota Power generating facilities subject to the DRR. The MPCA informed Minnesota Power that compliant SO</w:t>
      </w:r>
      <w:r>
        <w:rPr>
          <w:rFonts w:ascii="Arial" w:cs="Arial" w:eastAsia="Arial" w:hAnsi="Arial"/>
          <w:sz w:val="11"/>
          <w:szCs w:val="11"/>
          <w:color w:val="auto"/>
        </w:rPr>
        <w:t>2</w:t>
      </w:r>
      <w:r>
        <w:rPr>
          <w:rFonts w:ascii="Arial" w:cs="Arial" w:eastAsia="Arial" w:hAnsi="Arial"/>
          <w:sz w:val="17"/>
          <w:szCs w:val="17"/>
          <w:color w:val="auto"/>
        </w:rPr>
        <w:t xml:space="preserve"> modeling recently completed at these facilities should satisfy the DRR obligations, and no further modeling should be required. The MPCA is in discussion with the EPA to confirm its conclusion. The MPCA is required to inform the EPA which sources are subject to the rule by January 15, 2016, and how each source will evaluate air quality by July 1, 2016. As such, additional compliance costs for the one-hour SO</w:t>
      </w:r>
      <w:r>
        <w:rPr>
          <w:rFonts w:ascii="Arial" w:cs="Arial" w:eastAsia="Arial" w:hAnsi="Arial"/>
          <w:sz w:val="11"/>
          <w:szCs w:val="11"/>
          <w:color w:val="auto"/>
        </w:rPr>
        <w:t>2</w:t>
      </w:r>
      <w:r>
        <w:rPr>
          <w:rFonts w:ascii="Arial" w:cs="Arial" w:eastAsia="Arial" w:hAnsi="Arial"/>
          <w:sz w:val="17"/>
          <w:szCs w:val="17"/>
          <w:color w:val="auto"/>
        </w:rPr>
        <w:t xml:space="preserve"> NAAQS are not expected at this time.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Class I Air Quality Petitions and Requests. </w:t>
      </w:r>
      <w:r>
        <w:rPr>
          <w:rFonts w:ascii="Arial" w:cs="Arial" w:eastAsia="Arial" w:hAnsi="Arial"/>
          <w:sz w:val="17"/>
          <w:szCs w:val="17"/>
          <w:color w:val="auto"/>
        </w:rPr>
        <w:t>In July 2014, the Fond du Lac Band of Lake Superior Chippewa (Fond du Lac Band) announced its intent to</w:t>
      </w:r>
      <w:r>
        <w:rPr>
          <w:rFonts w:ascii="Arial" w:cs="Arial" w:eastAsia="Arial" w:hAnsi="Arial"/>
          <w:sz w:val="17"/>
          <w:szCs w:val="17"/>
          <w:i w:val="1"/>
          <w:iCs w:val="1"/>
          <w:color w:val="auto"/>
        </w:rPr>
        <w:t xml:space="preserve"> </w:t>
      </w:r>
      <w:r>
        <w:rPr>
          <w:rFonts w:ascii="Arial" w:cs="Arial" w:eastAsia="Arial" w:hAnsi="Arial"/>
          <w:sz w:val="17"/>
          <w:szCs w:val="17"/>
          <w:color w:val="auto"/>
        </w:rPr>
        <w:t>petition the EPA to redesignate its reservation air shed from Class II to Class I air quality pursuant to Section 164(c) of the Clean Air Act. The Fond du Lac Band does not currently possess authority to directly regulate air quality. Class I air shed status, if granted, would allow the Fond du Lac Band to impose more stringent Clean Air Act protections within the boundaries of the Fond du Lac reservation, including the reservation air shed, near Cloquet, Minnesota. Five other reservations across the U.S. have applied for and received Class I status. A public hearing was held by the Fond du Lac Band in October 2014, and the extended public comment period on the petition expired in November 2014. After the Fond du Lac Band prepares responses to the comments, it is anticipated to make a formal submittal request to the EPA. The Company has requested additional clarification from the Fond du Lac Band and the MPCA on the final regulatory structure that may arise from a Class I redesignation.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2013, the Bad River Band of Lake Superior Chippewa (Bad River Band) announced its intent to petition the EPA to redesignate its reservation air shed, which is located approximately 100 miles east of Duluth, Minnesota, from Class II to Class I air quality pursuant to Section 164(c) of the Clean Air Act. The Class I analysis report was issued by the Bad River Band in January 2015 which was followed by public hearings in March 2015 and a public comment period ending in May 2015. After the Bad River Band prepares responses to the comments, it is also anticipated to make a formal submittal request to the EPA.</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no deadline for the approval, denial, or modification of these requests by the EPA. We are unable to determine the impact of potential Class I status on the Company’s operations at this time.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Improving efficiency of our energy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President Obama’s Climate Action Plan. </w:t>
      </w:r>
      <w:r>
        <w:rPr>
          <w:rFonts w:ascii="Arial" w:cs="Arial" w:eastAsia="Arial" w:hAnsi="Arial"/>
          <w:sz w:val="18"/>
          <w:szCs w:val="18"/>
          <w:color w:val="auto"/>
        </w:rPr>
        <w:t>In June 2013, President Obama announced a Climate Action Plan (CAP) that calls for implementation of measures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May 2010, the EPA issued the Prevention of Significant Deterioration (PSD) and Title V Greenhouse Gas Tailoring</w:t>
      </w:r>
      <w:r>
        <w:rPr>
          <w:rFonts w:ascii="Arial" w:cs="Arial" w:eastAsia="Arial" w:hAnsi="Arial"/>
          <w:sz w:val="18"/>
          <w:szCs w:val="18"/>
          <w:i w:val="1"/>
          <w:iCs w:val="1"/>
          <w:color w:val="auto"/>
        </w:rPr>
        <w:t xml:space="preserve"> </w:t>
      </w:r>
      <w:r>
        <w:rPr>
          <w:rFonts w:ascii="Arial" w:cs="Arial" w:eastAsia="Arial" w:hAnsi="Arial"/>
          <w:sz w:val="18"/>
          <w:szCs w:val="18"/>
          <w:color w:val="auto"/>
        </w:rPr>
        <w:t>Rule (Tailoring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2014, the U.S. Supreme Court invalidated the aspect of the Tailoring Rule that established lower permitting thresholds for GHG than for other pollutants subject to PSD. However, the court also upheld the EPA’s power to require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 At this time, we are unable to predict the compliance costs that we might incur.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under Section 111(b) of the Clean Air Act, to new fossil fuel-fired electric generating units. The proposed NSPS would have applied only to new or re-powered units. Based on the volume of comments received, the EPA announced its intent to re-propose the rule. In September 2013, the EPA retracted its March 2012 proposal and announced the release of a revised NSPS for new or re-powered utility CO</w:t>
      </w:r>
      <w:r>
        <w:rPr>
          <w:rFonts w:ascii="Arial" w:cs="Arial" w:eastAsia="Arial" w:hAnsi="Arial"/>
          <w:sz w:val="12"/>
          <w:szCs w:val="12"/>
          <w:color w:val="auto"/>
        </w:rPr>
        <w:t>2</w:t>
      </w:r>
      <w:r>
        <w:rPr>
          <w:rFonts w:ascii="Arial" w:cs="Arial" w:eastAsia="Arial" w:hAnsi="Arial"/>
          <w:sz w:val="18"/>
          <w:szCs w:val="18"/>
          <w:color w:val="auto"/>
        </w:rPr>
        <w:t xml:space="preserve"> emissions.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2014, the EPA announced a proposed rule under Section 111(d) of the Clean Air Act for existing power plants entitled “Carbon Pollution Emission Guidelines for Existing Stationary Sources: Electric Generating Units” (CPP). The EPA issued the final CPP on August 3, 2015, together with a proposed federal implementation plan and a model rule for emissions trading. The CPP establishes uniform CO</w:t>
      </w:r>
      <w:r>
        <w:rPr>
          <w:rFonts w:ascii="Arial" w:cs="Arial" w:eastAsia="Arial" w:hAnsi="Arial"/>
          <w:sz w:val="11"/>
          <w:szCs w:val="11"/>
          <w:color w:val="auto"/>
        </w:rPr>
        <w:t>2</w:t>
      </w:r>
      <w:r>
        <w:rPr>
          <w:rFonts w:ascii="Arial" w:cs="Arial" w:eastAsia="Arial" w:hAnsi="Arial"/>
          <w:sz w:val="17"/>
          <w:szCs w:val="17"/>
          <w:color w:val="auto"/>
        </w:rPr>
        <w:t xml:space="preserve"> emission performance rates for existing fossil fuel-fired and natural gas-fired combined cycle generating units, setting state-specific goals for CO</w:t>
      </w:r>
      <w:r>
        <w:rPr>
          <w:rFonts w:ascii="Arial" w:cs="Arial" w:eastAsia="Arial" w:hAnsi="Arial"/>
          <w:sz w:val="11"/>
          <w:szCs w:val="11"/>
          <w:color w:val="auto"/>
        </w:rPr>
        <w:t>2</w:t>
      </w:r>
      <w:r>
        <w:rPr>
          <w:rFonts w:ascii="Arial" w:cs="Arial" w:eastAsia="Arial" w:hAnsi="Arial"/>
          <w:sz w:val="17"/>
          <w:szCs w:val="17"/>
          <w:color w:val="auto"/>
        </w:rPr>
        <w:t xml:space="preserve"> emissions from the power sector. State goals were determined based on CPP source-specific performance emission rates and each state’s mix of power plants.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EPA maintains such goals are achievable if a state undertakes a combination of measures across its power sector that constitute the EPA’s guideline for a Best System of Emission Reductions (BSER). BSER is comprised of three building blocks: 1) improved fossil fuel power plant efficiency, 2) increased reliance on low-emitting power sources by generating more electricity from existing natural gas combined cycle units, and 3) building more zero- and low-emitting power sources, including renewable energy. States may also choose to include avoided CO</w:t>
      </w:r>
      <w:r>
        <w:rPr>
          <w:rFonts w:ascii="Arial" w:cs="Arial" w:eastAsia="Arial" w:hAnsi="Arial"/>
          <w:sz w:val="12"/>
          <w:szCs w:val="12"/>
          <w:color w:val="auto"/>
        </w:rPr>
        <w:t>2</w:t>
      </w:r>
      <w:r>
        <w:rPr>
          <w:rFonts w:ascii="Arial" w:cs="Arial" w:eastAsia="Arial" w:hAnsi="Arial"/>
          <w:sz w:val="18"/>
          <w:szCs w:val="18"/>
          <w:color w:val="auto"/>
        </w:rPr>
        <w:t xml:space="preserve"> emissions from customer energy efficiency measures for credit towards meeting state goals.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State goals under the CPP are expressed as both mass-based and rate-based goals, and include interim goals to be met over the years 2022 through 2029, as well as a final goal to be met in 2030 and thereafter. Under the CPP, each state is required to develop a state implementation plan by September 6, 2016, or by September 6, 2018, if granted an extension. In developing its plan, a state may choose to meet either the mass-based or the rate-based goals. Minnesota Power is currently evaluating the CPP as it relates to the State of Minnesota and its potential impact on the Company.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Minnesota has already initiated several measures consistent with those called for under the CAP and CPP. Minnesota Power is implementing its </w:t>
      </w:r>
      <w:r>
        <w:rPr>
          <w:rFonts w:ascii="Arial" w:cs="Arial" w:eastAsia="Arial" w:hAnsi="Arial"/>
          <w:sz w:val="18"/>
          <w:szCs w:val="18"/>
          <w:i w:val="1"/>
          <w:iCs w:val="1"/>
          <w:color w:val="auto"/>
        </w:rPr>
        <w:t xml:space="preserve">EnergyForward </w:t>
      </w:r>
      <w:r>
        <w:rPr>
          <w:rFonts w:ascii="Arial" w:cs="Arial" w:eastAsia="Arial" w:hAnsi="Arial"/>
          <w:sz w:val="18"/>
          <w:szCs w:val="18"/>
          <w:color w:val="auto"/>
        </w:rPr>
        <w:t>strategic plan that provides for significant emission reductions and diversifying its electricity generation mix to include more renewable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natural gas energy. (See Note 7. Regulatory Matters.)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Minnesota Power would seek recovery of any additional costs through cost recovery riders or in a general rate case.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Minnesota’s Next Generation Energy Act of 2007. </w:t>
      </w:r>
      <w:r>
        <w:rPr>
          <w:rFonts w:ascii="Arial" w:cs="Arial" w:eastAsia="Arial" w:hAnsi="Arial"/>
          <w:sz w:val="18"/>
          <w:szCs w:val="18"/>
          <w:color w:val="auto"/>
        </w:rPr>
        <w:t>In April 2014, a U.S. District Court for the District of Minnesota ruled that part of Minnesota’s Next</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Energy Act of 2007 violated the Commerce Clause of the U.S. Constitution. The portions of the law which were ruled unconstitutional prohibited the importation of power from a new CO</w:t>
      </w:r>
      <w:r>
        <w:rPr>
          <w:rFonts w:ascii="Arial" w:cs="Arial" w:eastAsia="Arial" w:hAnsi="Arial"/>
          <w:sz w:val="12"/>
          <w:szCs w:val="12"/>
          <w:color w:val="auto"/>
        </w:rPr>
        <w:t>2</w:t>
      </w:r>
      <w:r>
        <w:rPr>
          <w:rFonts w:ascii="Arial" w:cs="Arial" w:eastAsia="Arial" w:hAnsi="Arial"/>
          <w:sz w:val="18"/>
          <w:szCs w:val="18"/>
          <w:color w:val="auto"/>
        </w:rPr>
        <w:t>-producing facility outside of Minnesota and prohibited the entry into new long-term power purchase agreements that would increase CO</w:t>
      </w:r>
      <w:r>
        <w:rPr>
          <w:rFonts w:ascii="Arial" w:cs="Arial" w:eastAsia="Arial" w:hAnsi="Arial"/>
          <w:sz w:val="12"/>
          <w:szCs w:val="12"/>
          <w:color w:val="auto"/>
        </w:rPr>
        <w:t>2</w:t>
      </w:r>
      <w:r>
        <w:rPr>
          <w:rFonts w:ascii="Arial" w:cs="Arial" w:eastAsia="Arial" w:hAnsi="Arial"/>
          <w:sz w:val="18"/>
          <w:szCs w:val="18"/>
          <w:color w:val="auto"/>
        </w:rPr>
        <w:t xml:space="preserve"> emissions in Minnesota. The State of Minnesota appealed the decision to the U.S. Court of Appeals for the Eighth Circuit in May 2014.</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impacted by the facility’s intake structure or cooling system. The Section 316(b) rule was published in the Federal Register in August 2014, with an effective date in October 2014. The Section 316(b) standards will be implemented through NPDES permits issued to the covered facilities with compliance timing dependent on individual NPDES renewal schedules. No NPDES permits have been re-issued containing Section 316(b) requirements since the final rule was published, so at this time we are unable to determine the final cost of compliance; however, our preliminary assessment suggests costs of compliance could be up to approximately $15 million. We would seek recovery of any additional costs through a general rate case.</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Steam Electric Power Generating Effluent Guidelines. </w:t>
      </w:r>
      <w:r>
        <w:rPr>
          <w:rFonts w:ascii="Arial" w:cs="Arial" w:eastAsia="Arial" w:hAnsi="Arial"/>
          <w:sz w:val="16"/>
          <w:szCs w:val="16"/>
          <w:color w:val="auto"/>
        </w:rPr>
        <w:t>In April 2013, the EPA announced proposed revisions to the federal effluent limit guidelines (ELG) for</w:t>
      </w:r>
      <w:r>
        <w:rPr>
          <w:rFonts w:ascii="Arial" w:cs="Arial" w:eastAsia="Arial" w:hAnsi="Arial"/>
          <w:sz w:val="16"/>
          <w:szCs w:val="16"/>
          <w:i w:val="1"/>
          <w:iCs w:val="1"/>
          <w:color w:val="auto"/>
        </w:rPr>
        <w:t xml:space="preserve"> </w:t>
      </w:r>
      <w:r>
        <w:rPr>
          <w:rFonts w:ascii="Arial" w:cs="Arial" w:eastAsia="Arial" w:hAnsi="Arial"/>
          <w:sz w:val="16"/>
          <w:szCs w:val="16"/>
          <w:color w:val="auto"/>
        </w:rPr>
        <w:t>steam electric power generating stations under the Clean Water Act. The final ELG was issued on September 30, 2015. It sets effluent limits and prescribes BACT for several wastewater streams, including flue gas desulphurization (FGD) water and coal combustion landfill leachate. The ELG rule also prohibits the discharge of bottom and fly ash contact waters. Compliance with the final rule is required between November 1, 2018, and December 31, 2023.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reviewing the proposed rule and evaluating its potential impact on Minnesota Power’s operations, primarily at Boswell. Boswell currently discharges bottom ash contact water through its NPDES permit, and also has a closed-loop FGD system that does not currently discharge, but may do so in the future. Under the final ELG rule, bottom ash discharge would not be allowed and bottom ash contact water would either need to be re-used in a closed-loop process, routed to a FGD scrubber, or the bottom ash handling system would need to be converted to a dry process. If the FGD wastewater is discharged in the future, it would require additional wastewater treatment. Efforts have been underway at Boswell for several years to reduce the amount of water discharged and evaluate potential re-use options in its plant processes. Additional efforts are underway to determine if land application of certain wastewater streams under a state disposal system may be feasible.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and/or reuse. Minnesota Power would seek recovery of any additional costs through cost recovery riders or in a general rate case.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generates coal ash at all five of its electric generating facilities. Two facilities store ash in onsite</w:t>
      </w:r>
      <w:r>
        <w:rPr>
          <w:rFonts w:ascii="Arial" w:cs="Arial" w:eastAsia="Arial" w:hAnsi="Arial"/>
          <w:sz w:val="18"/>
          <w:szCs w:val="18"/>
          <w:i w:val="1"/>
          <w:iCs w:val="1"/>
          <w:color w:val="auto"/>
        </w:rPr>
        <w:t xml:space="preserve"> </w:t>
      </w:r>
      <w:r>
        <w:rPr>
          <w:rFonts w:ascii="Arial" w:cs="Arial" w:eastAsia="Arial" w:hAnsi="Arial"/>
          <w:sz w:val="18"/>
          <w:szCs w:val="18"/>
          <w:color w:val="auto"/>
        </w:rPr>
        <w:t>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(CCR) generated by the electric utility sector. The proposal sought comments on three general regulatory schemes for coal ash under Subtitle D of Resource Conservation and Recovery Act (RCRA) (non-hazardous) or Subtitle C of RCRA (hazardous).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EPA issued the final CCR rule in December 2014 under Subtitle D (non-hazardous) of RCRA which was published in the Federal Register on April 27, 2015. The rule includes additional requirements for new landfill and impoundment construction as well as closure activities related to certain existing impoundments. The final rule also includes provisions that could incentivize early closure of existing impoundments within a three-year window. Costs of compliance for Boswell and Laskin could be up to approximately $100 million. Minnesota Power does not plan on disposing ash onsite at Taconite Harbor after the effective date of the rule, and therefore, the CCR rule will not be applicable to that generating facility. Minnesota Power continues to work on minimizing costs on behalf of customers through evaluation of beneficial re-use and recycling of CCR and CCR-related waters. Minnesota Power would seek recovery of any additional costs through a general rate case.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 acquired wind energy facilities in 2014 and 2015, which have PPAs in place for their entire output and</w:t>
      </w:r>
      <w:r>
        <w:rPr>
          <w:rFonts w:ascii="Arial" w:cs="Arial" w:eastAsia="Arial" w:hAnsi="Arial"/>
          <w:sz w:val="18"/>
          <w:szCs w:val="18"/>
          <w:b w:val="1"/>
          <w:bCs w:val="1"/>
          <w:color w:val="auto"/>
        </w:rPr>
        <w:t xml:space="preserve"> </w:t>
      </w:r>
      <w:r>
        <w:rPr>
          <w:rFonts w:ascii="Arial" w:cs="Arial" w:eastAsia="Arial" w:hAnsi="Arial"/>
          <w:sz w:val="18"/>
          <w:szCs w:val="18"/>
          <w:color w:val="auto"/>
        </w:rPr>
        <w:t>expire in various years between 2018 and 2032. (See Note 4.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As of September 30, 2015, U.S. Water Services has $0.8 million outstanding in stand-by letters of credit.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September 30, 2015, BNI Coal had surety bonds outstanding of $49.9 million related to the reclamation liability for closing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mine and mine facilities. Although the coal supply agreements obligate the customers to provide for the closing costs, additional assurance is required by federal and state regulations. In addition to the surety bonds, BNI Coal has secured a letter of credit for an additional $0.6 million to provide for BNI Coal’s total reclamation liability, which is currently estimated at $47.5 million. BNI Coal does not believe it is likely that any of these outstanding surety bonds or the letter of credit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September 30, 2015, ALLETE Properties, through its subsidiaries, had surety bonds outstanding and letters of credit to</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entities totaling $10.8 million primarily related to development and maintenance obligations for various projects. The estimated cost of the remaining development work is approximately $6.2 million. ALLETE Properties does not believe it is likely that any of these outstanding surety bonds or letters of credit will be drawn upon.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Community Development District Obligations. </w:t>
      </w:r>
      <w:r>
        <w:rPr>
          <w:rFonts w:ascii="Arial" w:cs="Arial" w:eastAsia="Arial" w:hAnsi="Arial"/>
          <w:sz w:val="18"/>
          <w:szCs w:val="18"/>
          <w:color w:val="auto"/>
        </w:rPr>
        <w:t>At September 30, 2015, we owned 72 percent of the assessable land in the Town Center District (72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at December 31, 2014) and 93 percent of the assessable land in the Palm Coast Park District (93 percent at December 31, 2014). At these ownership levels, our annual assessments related to capital improvement and special assessment bonds are approximately $1.4 million for Town Center and $2.1 million for Palm Coast Park. As we sell property, the obligation to pay special assessments will pass to the new landowners. In accordance with accounting guidance, these bonds are not reflected as debt on our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notes to those statements, Management’s Discussion and Analysis of Financial Condition and Results of Operations from the 2014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headings: “Forward-Looking Statements” located on page 5, “Risk Factors” located in Part I, Item 1A, beginning on page 29 of our 2014 Form 10-K, and in “Item 1A. Risk Factors” in this Form 10-Q on page 64. The risks and uncertainties described in this Form 10-Q and our 2014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6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During the quarter ended September 30, 2015, management updated our reportable segment presentation to reflect the manner 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we operate, assess, and allocate resources after our recent acquisitions. We will now present three reportable segments, Regulated Operations, ALLETE Clean Energy, and U.S. Water Services. Prior period amounts have been revised to conform with the current business segment presentation.</w:t>
      </w:r>
    </w:p>
    <w:p>
      <w:pPr>
        <w:spacing w:after="0" w:line="14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approximately 144,000 retail customers. Minnesota Power also has 16 non-affiliated municipal customers in Minnesota. SWL&amp;P is a Wisconsin utility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was established in 2011, and specializes in developing, acquiring and operating clean and renewable energy projects. ALLETE</w:t>
      </w:r>
      <w:r>
        <w:rPr>
          <w:rFonts w:ascii="Arial" w:cs="Arial" w:eastAsia="Arial" w:hAnsi="Arial"/>
          <w:sz w:val="18"/>
          <w:szCs w:val="18"/>
          <w:b w:val="1"/>
          <w:bCs w:val="1"/>
          <w:color w:val="auto"/>
        </w:rPr>
        <w:t xml:space="preserve"> </w:t>
      </w:r>
      <w:r>
        <w:rPr>
          <w:rFonts w:ascii="Arial" w:cs="Arial" w:eastAsia="Arial" w:hAnsi="Arial"/>
          <w:sz w:val="18"/>
          <w:szCs w:val="18"/>
          <w:color w:val="auto"/>
        </w:rPr>
        <w:t>Clean Energy currently owns and operates approximately 535 MW of wind generation in four states that are under long-term power sales agreements. In addition, ALLETE Clean Energy is developing and constructing a 107 MW wind facility for sale to Montana-Dakota Utilities; construction and sale is expected to be complete in December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is our integrated water management company which was acquired on February 10, 2015.</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Coal, our coal mining operations in North Dakota, ALLETE Properties, our Florida real estate investment, other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development and corporate expenditures, unallocated interest expense, a small amount of non-rate base generation, approximately 5,000 acres of land in Minnesota, and earnings on cash and investments.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September 30, 2015,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net income discussion summarizes a comparison of the nine months ended September 30, 2015, to the nine months ended September 30, 2014.</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income attributable to ALLETE for the nine months ended September 30, 2015, was $122.8 million, or $2.55 per diluted share, compared to $91.9 million, or $2.17 per diluted share, for the same period of 2014. Net income for 2015 included $4.8 million of after-tax expense, or $0.10 per share, for acquisition costs for U.S. Water Services and ALLETE Clean Energy’s wind energy facilities acquisitions in 2015. (See Note 4. Acquisitions.) Net income in 2014 included a $2.5 million after-tax expense, or $0.06 per share, reflecting a liability associated with environmental mitigation projects required as part of the EPA NOV Consent Decree settlement. In addition, net income for 2014 included a $1.4 million after-tax expense, or $0.03 per share, of acquisition costs for ALLETE Clean Energy’s wind energy facilities acquisitions in January 2014. Net income for 2015 increased primarily due to higher net income at Minnesota Power and ALLETE Clean Energy. Earnings per share dilution was $0.36 due to additional shares of common stock outstanding as of September 30, 2015.</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$108.1 million for the nine months ended September 30, 2015, compared to net income of</w:t>
      </w:r>
      <w:r>
        <w:rPr>
          <w:rFonts w:ascii="Arial" w:cs="Arial" w:eastAsia="Arial" w:hAnsi="Arial"/>
          <w:sz w:val="18"/>
          <w:szCs w:val="18"/>
          <w:b w:val="1"/>
          <w:bCs w:val="1"/>
          <w:color w:val="auto"/>
        </w:rPr>
        <w:t xml:space="preserve"> </w:t>
      </w:r>
      <w:r>
        <w:rPr>
          <w:rFonts w:ascii="Arial" w:cs="Arial" w:eastAsia="Arial" w:hAnsi="Arial"/>
          <w:sz w:val="18"/>
          <w:szCs w:val="18"/>
          <w:color w:val="auto"/>
        </w:rPr>
        <w:t>$91.6 million for the same period of 2014. Net income for 2015 increased primarily due to higher net income at Minnesota Power resulting from higher cost recovery rider revenue, production tax credits, power marketing sales as the Minnkota Power sales agreement commenced June 1, 2014, and lower operating and maintenance expenses. These impacts were partially offset by higher depreciation and interest expenses. In addition, Minnesota Power recorded a reserve for estimated refunds of $1.2 million after-tax due to the MISO return on equity complaints, of which $0.9 million after-tax was attributable to prior years. (See Note 7. Regulatory Matters.) Our equity earnings in ATC for the nine months ended September 30, 2015 reflected a $1.2 million after-tax reduction related to the MISO return on equity complaints, of which $0.6 million after-tax was attributable to prior years. (See Note 8. Investment in ATC.) Net income in 2014 included a $2.5 million after-tax expense reflecting a liability associated with environmental mitigation projects required as part of the EPA NOV Consent Decree settlement.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$18.7 million for the nine months ended September 30, 2015, compared to net income of</w:t>
      </w:r>
      <w:r>
        <w:rPr>
          <w:rFonts w:ascii="Arial" w:cs="Arial" w:eastAsia="Arial" w:hAnsi="Arial"/>
          <w:sz w:val="18"/>
          <w:szCs w:val="18"/>
          <w:b w:val="1"/>
          <w:bCs w:val="1"/>
          <w:color w:val="auto"/>
        </w:rPr>
        <w:t xml:space="preserve"> </w:t>
      </w:r>
      <w:r>
        <w:rPr>
          <w:rFonts w:ascii="Arial" w:cs="Arial" w:eastAsia="Arial" w:hAnsi="Arial"/>
          <w:sz w:val="18"/>
          <w:szCs w:val="18"/>
          <w:color w:val="auto"/>
        </w:rPr>
        <w:t>$1.2 million for the same period of 2014. Net income for 2015 increased primarily due to the recognition of estimated profit on the development and construction of a wind facility which will be sold to Montana-Dakota Utilities in December 2015, and the income generated from the operations of wind energy facilities which were acquired subsequent to September 30, 2014. Net income for the nine months ended September 30, 2015 also included $1.8 million of after-tax expense, or $0.04 per share, for acquisition costs relating to the acquisitions of the Chanarambie/Viking and Armenia Mountain wind energy facilities. The net income for the same period of 2014 included a $1.4 million after-tax expense, or $0.03 per share, for acquisition costs for ALLETE Clean Energy’s wind energy facilities acquisition in January 2014.</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 Water Services </w:t>
      </w:r>
      <w:r>
        <w:rPr>
          <w:rFonts w:ascii="Arial" w:cs="Arial" w:eastAsia="Arial" w:hAnsi="Arial"/>
          <w:sz w:val="17"/>
          <w:szCs w:val="17"/>
          <w:color w:val="auto"/>
        </w:rPr>
        <w:t>net income attributable to ALLETE was $1.5 million for the period from February 10, 2015, to September 30, 2015. Net income</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$1.6 million of after-tax expense related to purchase accounting for inventories and sales backlog; the total impact of this purchase accounting adjustment was $2.5 million after-tax, and is expected to be recognized through the first quarter of 2016. (See Note 4. Acquisitions.)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net loss attributable to ALLETE was $5.5 million for the nine months ended September 30, 2015, compared to a net loss of $0.9</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for the same period of 2014. Net loss for 2015 included a $3.0 million after-tax expense, or $0.06 per share, for acquisition costs for the acquisition of U.S. Water Services, and $1.7 million after tax expense relating to accretion of the U.S. Water Services contingent consideration liability.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ind w:right="5080"/>
        <w:spacing w:after="0" w:line="469" w:lineRule="auto"/>
        <w:rPr>
          <w:sz w:val="20"/>
          <w:szCs w:val="20"/>
          <w:color w:val="auto"/>
        </w:rPr>
      </w:pPr>
      <w:r>
        <w:rPr>
          <w:rFonts w:ascii="Arial" w:cs="Arial" w:eastAsia="Arial" w:hAnsi="Arial"/>
          <w:sz w:val="18"/>
          <w:szCs w:val="18"/>
          <w:b w:val="1"/>
          <w:bCs w:val="1"/>
          <w:color w:val="auto"/>
        </w:rPr>
        <w:t xml:space="preserve">COMPARISON OF THE QUARTERS ENDED SEPTEMBER 30, 2015 AND 2014 </w:t>
      </w:r>
      <w:r>
        <w:rPr>
          <w:rFonts w:ascii="Arial" w:cs="Arial" w:eastAsia="Arial" w:hAnsi="Arial"/>
          <w:sz w:val="18"/>
          <w:szCs w:val="18"/>
          <w:color w:val="auto"/>
        </w:rPr>
        <w:t>(See Note 2. Business Segments for financial results by segment.)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387"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32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9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6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$250.2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$255.8</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3220" w:type="dxa"/>
            <w:vAlign w:val="bottom"/>
          </w:tcPr>
          <w:p>
            <w:pPr>
              <w:jc w:val="right"/>
              <w:ind w:right="250"/>
              <w:spacing w:after="0"/>
              <w:rPr>
                <w:sz w:val="20"/>
                <w:szCs w:val="20"/>
                <w:color w:val="auto"/>
              </w:rPr>
            </w:pPr>
            <w:r>
              <w:rPr>
                <w:rFonts w:ascii="Arial" w:cs="Arial" w:eastAsia="Arial" w:hAnsi="Arial"/>
                <w:sz w:val="18"/>
                <w:szCs w:val="18"/>
                <w:color w:val="auto"/>
              </w:rPr>
              <w:t>76.8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88.9</w:t>
            </w:r>
          </w:p>
        </w:tc>
      </w:tr>
      <w:tr>
        <w:trPr>
          <w:trHeight w:val="27"/>
        </w:trPr>
        <w:tc>
          <w:tcPr>
            <w:tcW w:w="6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w:t>
            </w:r>
          </w:p>
        </w:tc>
        <w:tc>
          <w:tcPr>
            <w:tcW w:w="3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20" w:type="dxa"/>
            <w:vAlign w:val="bottom"/>
          </w:tcPr>
          <w:p>
            <w:pPr>
              <w:jc w:val="right"/>
              <w:ind w:right="250"/>
              <w:spacing w:after="0"/>
              <w:rPr>
                <w:sz w:val="20"/>
                <w:szCs w:val="20"/>
                <w:color w:val="auto"/>
              </w:rPr>
            </w:pPr>
            <w:r>
              <w:rPr>
                <w:rFonts w:ascii="Arial" w:cs="Arial" w:eastAsia="Arial" w:hAnsi="Arial"/>
                <w:sz w:val="18"/>
                <w:szCs w:val="18"/>
                <w:color w:val="auto"/>
              </w:rPr>
              <w:t>0.5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6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3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54.7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20" w:type="dxa"/>
            <w:vAlign w:val="bottom"/>
          </w:tcPr>
          <w:p>
            <w:pPr>
              <w:jc w:val="right"/>
              <w:ind w:right="250"/>
              <w:spacing w:after="0"/>
              <w:rPr>
                <w:sz w:val="20"/>
                <w:szCs w:val="20"/>
                <w:color w:val="auto"/>
              </w:rPr>
            </w:pPr>
            <w:r>
              <w:rPr>
                <w:rFonts w:ascii="Arial" w:cs="Arial" w:eastAsia="Arial" w:hAnsi="Arial"/>
                <w:sz w:val="18"/>
                <w:szCs w:val="18"/>
                <w:color w:val="auto"/>
              </w:rPr>
              <w:t>33.6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28.5</w:t>
            </w:r>
          </w:p>
        </w:tc>
      </w:tr>
      <w:tr>
        <w:trPr>
          <w:trHeight w:val="27"/>
        </w:trPr>
        <w:tc>
          <w:tcPr>
            <w:tcW w:w="6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3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37"/>
        </w:trPr>
        <w:tc>
          <w:tcPr>
            <w:tcW w:w="69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Operating Income</w:t>
            </w:r>
          </w:p>
        </w:tc>
        <w:tc>
          <w:tcPr>
            <w:tcW w:w="32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59.8</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59.0</w:t>
            </w:r>
          </w:p>
        </w:tc>
      </w:tr>
      <w:tr>
        <w:trPr>
          <w:trHeight w:val="27"/>
        </w:trPr>
        <w:tc>
          <w:tcPr>
            <w:tcW w:w="6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Equity Earnings in ATC</w:t>
            </w:r>
          </w:p>
        </w:tc>
        <w:tc>
          <w:tcPr>
            <w:tcW w:w="3220" w:type="dxa"/>
            <w:vAlign w:val="bottom"/>
          </w:tcPr>
          <w:p>
            <w:pPr>
              <w:jc w:val="right"/>
              <w:ind w:right="250"/>
              <w:spacing w:after="0"/>
              <w:rPr>
                <w:sz w:val="20"/>
                <w:szCs w:val="20"/>
                <w:color w:val="auto"/>
              </w:rPr>
            </w:pPr>
            <w:r>
              <w:rPr>
                <w:rFonts w:ascii="Arial" w:cs="Arial" w:eastAsia="Arial" w:hAnsi="Arial"/>
                <w:sz w:val="18"/>
                <w:szCs w:val="18"/>
                <w:color w:val="auto"/>
              </w:rPr>
              <w:t>5.5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6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37"/>
        </w:trPr>
        <w:tc>
          <w:tcPr>
            <w:tcW w:w="69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Income Before Non-Controlling Interest and Income Taxes</w:t>
            </w:r>
          </w:p>
        </w:tc>
        <w:tc>
          <w:tcPr>
            <w:tcW w:w="32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52.9</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w:t>
            </w:r>
          </w:p>
        </w:tc>
      </w:tr>
      <w:tr>
        <w:trPr>
          <w:trHeight w:val="27"/>
        </w:trPr>
        <w:tc>
          <w:tcPr>
            <w:tcW w:w="6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37"/>
        </w:trPr>
        <w:tc>
          <w:tcPr>
            <w:tcW w:w="69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Income Attributable to ALLETE</w:t>
            </w:r>
          </w:p>
        </w:tc>
        <w:tc>
          <w:tcPr>
            <w:tcW w:w="3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$43.8</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w:t>
            </w:r>
          </w:p>
        </w:tc>
      </w:tr>
      <w:tr>
        <w:trPr>
          <w:trHeight w:val="27"/>
        </w:trPr>
        <w:tc>
          <w:tcPr>
            <w:tcW w:w="69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$5.6 million, or 2 percent, from 2014 primarily due to lower fuel adjustment clause recoveries and financial incentives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Minnesota Conservation Improvement Program, partially offset by higher revenue from kWh sales and transmission revenue.</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decreased $11.3 million due to lower fuel and purchased power costs attributable to our retail and municipal customers. (See </w:t>
      </w:r>
      <w:r>
        <w:rPr>
          <w:rFonts w:ascii="Arial" w:cs="Arial" w:eastAsia="Arial" w:hAnsi="Arial"/>
          <w:sz w:val="18"/>
          <w:szCs w:val="18"/>
          <w:i w:val="1"/>
          <w:iCs w:val="1"/>
          <w:color w:val="auto"/>
        </w:rPr>
        <w:t>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Recoveries of financial incentives under the Minnesota Conservation Improvement Program decreased $2.5 million from 2014 as a result of annual limits placed on the recoveries beginning in 2015.</w:t>
      </w:r>
    </w:p>
    <w:p>
      <w:pPr>
        <w:spacing w:after="0" w:line="170"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Despite a 1.1% decrease in kWh sales, revenue from Regulated Operations increased $5.4 million due in part to higher contracted power marketing sales prices. In addition, revenue from industrial customers did not necessarily decline in proportion to the decline in kWh sales as power nominations for the quarter were similar to the same period in 2014. Sales to Other Power Suppliers are sold at market-based prices into the MISO market on a daily basis or through bilateral agreements of various durations, and increased 40.1 percent in 2015 compared to 2014 primarily due to increased sales under the Minnkota power sales agreement (See Note. 15 Commitments, Guarantees and Contingencies) and availability of energy resulting from decreased sales to our industrial customers. Sales to our industrial customers decreased 19.5 percent primarily due to reduced taconite production. Sales to our residential, commercial, and municipal customers increased primarily due to warmer temperatures in the third quarter of 2015 compared to the same period in 2014. Cooling degree days in Duluth, Minnesota, were double in the third quarter of 2015 compared to the same period in 2014.</w:t>
      </w:r>
    </w:p>
    <w:p>
      <w:pPr>
        <w:spacing w:after="0" w:line="32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250</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244</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391</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369</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06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1,538</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1,911</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209</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203</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06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2,388</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2,727</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1,052</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751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301</w:t>
            </w:r>
          </w:p>
        </w:tc>
        <w:tc>
          <w:tcPr>
            <w:tcW w:w="1060" w:type="dxa"/>
            <w:vAlign w:val="bottom"/>
          </w:tcPr>
          <w:p>
            <w:pPr>
              <w:jc w:val="right"/>
              <w:spacing w:after="0"/>
              <w:rPr>
                <w:sz w:val="20"/>
                <w:szCs w:val="20"/>
                <w:color w:val="auto"/>
              </w:rPr>
            </w:pPr>
            <w:r>
              <w:rPr>
                <w:rFonts w:ascii="Arial" w:cs="Arial" w:eastAsia="Arial" w:hAnsi="Arial"/>
                <w:sz w:val="18"/>
                <w:szCs w:val="18"/>
                <w:color w:val="auto"/>
              </w:rPr>
              <w:t>40.1 %</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3,440</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3,478</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0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20"/>
          </w:cols>
          <w:pgMar w:left="240" w:top="364"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COMPARISON OF THE QUARTERS ENDED SEPTEMBER 30, 2015 AND 2014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taconite/iron concentrate customers accounted for 20 percent of Regulated Operations operating revenue in 2015 (26 percent in 2014). Revenue from electric sales to paper, pulp and secondary wood product customers accounted for 7 percent of Regulated Operations operating revenue in 2015 (8 percent in 2014). Revenue from electric sales to pipelines and other industrial customers accounted for 8 percent of Regulated Operations operating revenue in 2015 (7 percent in 2014).</w:t>
      </w:r>
    </w:p>
    <w:p>
      <w:pPr>
        <w:spacing w:after="0" w:line="187"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color w:val="auto"/>
        </w:rPr>
        <w:t xml:space="preserve">Transmission revenue increased $2.2 million primarily due to higher MISO-related revenue which was partially offset by an estimated refund for MISO transmission revenue due to the MISO return on equity complaints. (See </w:t>
      </w:r>
      <w:r>
        <w:rPr>
          <w:rFonts w:ascii="Arial" w:cs="Arial" w:eastAsia="Arial" w:hAnsi="Arial"/>
          <w:sz w:val="16"/>
          <w:szCs w:val="16"/>
          <w:i w:val="1"/>
          <w:iCs w:val="1"/>
          <w:color w:val="auto"/>
        </w:rPr>
        <w:t>Operating Expenses - Cost of Sales</w:t>
      </w:r>
      <w:r>
        <w:rPr>
          <w:rFonts w:ascii="Arial" w:cs="Arial" w:eastAsia="Arial" w:hAnsi="Arial"/>
          <w:sz w:val="16"/>
          <w:szCs w:val="16"/>
          <w:color w:val="auto"/>
        </w:rPr>
        <w:t xml:space="preserve"> and Note 7. Regulatory Matters.)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$6.4 million, or 3 percent, from 2014.</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w:t>
      </w:r>
      <w:r>
        <w:rPr>
          <w:rFonts w:ascii="Arial" w:cs="Arial" w:eastAsia="Arial" w:hAnsi="Arial"/>
          <w:sz w:val="18"/>
          <w:szCs w:val="18"/>
          <w:color w:val="auto"/>
        </w:rPr>
        <w:t>expense decreased $12.1 million, or 14 percent, from 2014 primarily due to lower purchased power prices and fewer kWh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sold in 2015 compared to 2014.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Transmission Services </w:t>
      </w:r>
      <w:r>
        <w:rPr>
          <w:rFonts w:ascii="Arial" w:cs="Arial" w:eastAsia="Arial" w:hAnsi="Arial"/>
          <w:sz w:val="18"/>
          <w:szCs w:val="18"/>
          <w:color w:val="auto"/>
        </w:rPr>
        <w:t>expense increased $2.0 million, or 17 percent, from 2014 primarily due to higher MISO-related expense which was partially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an estimated refund for MISO transmission expense due to the MISO return on equity complaints. (See </w:t>
      </w:r>
      <w:r>
        <w:rPr>
          <w:rFonts w:ascii="Arial" w:cs="Arial" w:eastAsia="Arial" w:hAnsi="Arial"/>
          <w:sz w:val="18"/>
          <w:szCs w:val="18"/>
          <w:i w:val="1"/>
          <w:iCs w:val="1"/>
          <w:color w:val="auto"/>
        </w:rPr>
        <w:t>Operating Revenue</w:t>
      </w:r>
      <w:r>
        <w:rPr>
          <w:rFonts w:ascii="Arial" w:cs="Arial" w:eastAsia="Arial" w:hAnsi="Arial"/>
          <w:sz w:val="18"/>
          <w:szCs w:val="18"/>
          <w:color w:val="auto"/>
        </w:rPr>
        <w:t xml:space="preserve"> and Note 7. Regulatory Matters.)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$1.4 million, or 2 percent, from 2014 primarily due to lower salary and wage expenses.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$5.1 million, or 18 percent, from 2014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$1.1 million, or 9 percent, from 2014 primarily due to higher average long-term debt balances.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$4.1 million, or 31 percent, from 2014 primarily due to increased production tax credits as a result of the completion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Bison Wind Energy Center in December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387"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42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0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0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2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$151.1</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4200" w:type="dxa"/>
            <w:vAlign w:val="bottom"/>
          </w:tcPr>
          <w:p>
            <w:pPr>
              <w:jc w:val="right"/>
              <w:ind w:right="230"/>
              <w:spacing w:after="0"/>
              <w:rPr>
                <w:sz w:val="20"/>
                <w:szCs w:val="20"/>
                <w:color w:val="auto"/>
              </w:rPr>
            </w:pPr>
            <w:r>
              <w:rPr>
                <w:rFonts w:ascii="Arial" w:cs="Arial" w:eastAsia="Arial" w:hAnsi="Arial"/>
                <w:sz w:val="18"/>
                <w:szCs w:val="18"/>
                <w:color w:val="auto"/>
              </w:rPr>
              <w:t>$13.2</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60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$144.3 million from 2014 primarily due to the recognition of revenue from the development and construction of a wind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facility under the percentage of completion method of accounting for contracts which amounted to $135.9 million. The development and construction of the wind facility is expected to be completed in December 2015 and will be sold to Montana-Dakota Utilities for approximately $200 million. (See Note</w:t>
      </w:r>
    </w:p>
    <w:p>
      <w:pPr>
        <w:ind w:left="340" w:hanging="8"/>
        <w:spacing w:after="0" w:line="261" w:lineRule="auto"/>
        <w:tabs>
          <w:tab w:leader="none" w:pos="5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Acquisitions.) The acquisitions of Storm Lake I in December 2014, Chanarambie/Viking in April 2015, and Armenia Mountain in July 2015 also contributed to the increase in revenue for the third quarter of 2015 compared to the same period in 2014.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COMPARISON OF THE QUARTERS ENDED SEPTEMBER 30, 2015 AND 2014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369"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6"/>
              </w:rPr>
              <w:t>Quarter Ended September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288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2015</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kWh</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Revenue</w:t>
            </w:r>
          </w:p>
        </w:tc>
        <w:tc>
          <w:tcPr>
            <w:tcW w:w="134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Wind Energy Facility</w:t>
            </w:r>
          </w:p>
        </w:tc>
        <w:tc>
          <w:tcPr>
            <w:tcW w:w="1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48.4</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$2.8</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46.4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31.5</w:t>
            </w: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25.1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17.4</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1.6</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16.7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36.5</w:t>
            </w: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46.0</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3.0</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33.7</w:t>
            </w: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2.8</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Development Fee</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135.9</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213.5</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$151.1</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88.2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7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Net Income Attributable to ALLETE </w:t>
      </w:r>
      <w:r>
        <w:rPr>
          <w:rFonts w:ascii="Arial" w:cs="Arial" w:eastAsia="Arial" w:hAnsi="Arial"/>
          <w:sz w:val="16"/>
          <w:szCs w:val="16"/>
          <w:color w:val="auto"/>
        </w:rPr>
        <w:t>increased $12.7 million from 2014. Net income in 2015 included $12.3 million due to the recognition of earnings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the development and construction of a wind facility under the percentage of completion method of accounting for contracts, and $1.3 million related to income generated from the operations of wind energy facilities which were acquired subsequent to September 30, 2014. In 2015, net income also included $0.9 million of after-tax expense, or $0.02 per share, for acquisition costs relating to the acquisition of Armenia Mountain on July 1, 2015.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387"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4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5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42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44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4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5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was $36.1 million for the quarter ended September 30, 2015. Revenue from chemical sales and related services, which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recurring revenue contracts for the delivery and service of chemicals, amounted to $27.8 million for the quarter ended September 30, 2015. Revenue from equipment and related services, which includes sales of water treatment equipment, amounted to $8.3 million for the quarter ended September 30, 2015. U.S. Water Services strives to provide a full-service product offering to customers including equipment, chemicals, engineering and service.</w:t>
      </w:r>
    </w:p>
    <w:p>
      <w:pPr>
        <w:spacing w:after="0" w:line="188"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was $1.0 million for the quarter ended September 30, 2015. Net income included $0.6 million of after-tax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purchase accounting for inventories and sales backlog; the total impact of this purchase accounting adjustment was $2.5 million after-tax, and is expected to be recognized through the first quarter of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$1.2 million, or 5 percent, from 2014 primarily due to a decrease in sales at ALLETE Properties.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increased $2.2 million from 2014 primarily due to lower state income tax expense partially offset by accretion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resulting from the U.S. Water Services contingent consideration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For the quarter ended September 30, 2015, the effective tax rate was 19.3 percent (24.4 percent for the quarter ended September 30, 2014). The effective tax rate deviated from the statutory rate of approximately 41 percent primarily due to production tax credits. (See Note 11. Income Tax Expense.)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ind w:right="4760"/>
        <w:spacing w:after="0" w:line="501" w:lineRule="auto"/>
        <w:rPr>
          <w:sz w:val="20"/>
          <w:szCs w:val="20"/>
          <w:color w:val="auto"/>
        </w:rPr>
      </w:pPr>
      <w:r>
        <w:rPr>
          <w:rFonts w:ascii="Arial" w:cs="Arial" w:eastAsia="Arial" w:hAnsi="Arial"/>
          <w:sz w:val="18"/>
          <w:szCs w:val="18"/>
          <w:b w:val="1"/>
          <w:bCs w:val="1"/>
          <w:color w:val="auto"/>
        </w:rPr>
        <w:t xml:space="preserve">COMPARISON OF THE NINE MONTHS ENDED SEPTEMBER 30, 2015 AND 2014 </w:t>
      </w:r>
      <w:r>
        <w:rPr>
          <w:rFonts w:ascii="Arial" w:cs="Arial" w:eastAsia="Arial" w:hAnsi="Arial"/>
          <w:sz w:val="18"/>
          <w:szCs w:val="18"/>
          <w:color w:val="auto"/>
        </w:rPr>
        <w:t>(See Note 2. Business Segments for financial results by segment.)</w:t>
      </w:r>
    </w:p>
    <w:p>
      <w:pPr>
        <w:spacing w:after="0"/>
        <w:rPr>
          <w:sz w:val="20"/>
          <w:szCs w:val="20"/>
          <w:color w:val="auto"/>
        </w:rPr>
      </w:pPr>
      <w:r>
        <w:rPr>
          <w:rFonts w:ascii="Arial" w:cs="Arial" w:eastAsia="Arial" w:hAnsi="Arial"/>
          <w:sz w:val="18"/>
          <w:szCs w:val="18"/>
          <w:b w:val="1"/>
          <w:bCs w:val="1"/>
          <w:color w:val="auto"/>
        </w:rPr>
        <w:t>Regulated Operations</w:t>
      </w:r>
    </w:p>
    <w:p>
      <w:pPr>
        <w:spacing w:after="0" w:line="387"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32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9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6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$743.0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$749.6</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3220" w:type="dxa"/>
            <w:vAlign w:val="bottom"/>
          </w:tcPr>
          <w:p>
            <w:pPr>
              <w:jc w:val="right"/>
              <w:ind w:right="250"/>
              <w:spacing w:after="0"/>
              <w:rPr>
                <w:sz w:val="20"/>
                <w:szCs w:val="20"/>
                <w:color w:val="auto"/>
              </w:rPr>
            </w:pPr>
            <w:r>
              <w:rPr>
                <w:rFonts w:ascii="Arial" w:cs="Arial" w:eastAsia="Arial" w:hAnsi="Arial"/>
                <w:sz w:val="18"/>
                <w:szCs w:val="18"/>
                <w:color w:val="auto"/>
              </w:rPr>
              <w:t>242.9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268.7</w:t>
            </w:r>
          </w:p>
        </w:tc>
      </w:tr>
      <w:tr>
        <w:trPr>
          <w:trHeight w:val="27"/>
        </w:trPr>
        <w:tc>
          <w:tcPr>
            <w:tcW w:w="6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w:t>
            </w:r>
          </w:p>
        </w:tc>
        <w:tc>
          <w:tcPr>
            <w:tcW w:w="3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20" w:type="dxa"/>
            <w:vAlign w:val="bottom"/>
          </w:tcPr>
          <w:p>
            <w:pPr>
              <w:jc w:val="right"/>
              <w:ind w:right="250"/>
              <w:spacing w:after="0"/>
              <w:rPr>
                <w:sz w:val="20"/>
                <w:szCs w:val="20"/>
                <w:color w:val="auto"/>
              </w:rPr>
            </w:pPr>
            <w:r>
              <w:rPr>
                <w:rFonts w:ascii="Arial" w:cs="Arial" w:eastAsia="Arial" w:hAnsi="Arial"/>
                <w:sz w:val="18"/>
                <w:szCs w:val="18"/>
                <w:color w:val="auto"/>
              </w:rPr>
              <w:t>6.0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6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3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171.2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20" w:type="dxa"/>
            <w:vAlign w:val="bottom"/>
          </w:tcPr>
          <w:p>
            <w:pPr>
              <w:jc w:val="right"/>
              <w:ind w:right="250"/>
              <w:spacing w:after="0"/>
              <w:rPr>
                <w:sz w:val="20"/>
                <w:szCs w:val="20"/>
                <w:color w:val="auto"/>
              </w:rPr>
            </w:pPr>
            <w:r>
              <w:rPr>
                <w:rFonts w:ascii="Arial" w:cs="Arial" w:eastAsia="Arial" w:hAnsi="Arial"/>
                <w:sz w:val="18"/>
                <w:szCs w:val="18"/>
                <w:color w:val="auto"/>
              </w:rPr>
              <w:t>99.4</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86.9</w:t>
            </w:r>
          </w:p>
        </w:tc>
      </w:tr>
      <w:tr>
        <w:trPr>
          <w:trHeight w:val="27"/>
        </w:trPr>
        <w:tc>
          <w:tcPr>
            <w:tcW w:w="6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3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34.6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r>
      <w:tr>
        <w:trPr>
          <w:trHeight w:val="237"/>
        </w:trPr>
        <w:tc>
          <w:tcPr>
            <w:tcW w:w="69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Operating Income</w:t>
            </w:r>
          </w:p>
        </w:tc>
        <w:tc>
          <w:tcPr>
            <w:tcW w:w="32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148.8</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135.4</w:t>
            </w:r>
          </w:p>
        </w:tc>
      </w:tr>
      <w:tr>
        <w:trPr>
          <w:trHeight w:val="27"/>
        </w:trPr>
        <w:tc>
          <w:tcPr>
            <w:tcW w:w="6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(40.9)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Equity Earnings in ATC</w:t>
            </w:r>
          </w:p>
        </w:tc>
        <w:tc>
          <w:tcPr>
            <w:tcW w:w="3220" w:type="dxa"/>
            <w:vAlign w:val="bottom"/>
          </w:tcPr>
          <w:p>
            <w:pPr>
              <w:jc w:val="right"/>
              <w:ind w:right="250"/>
              <w:spacing w:after="0"/>
              <w:rPr>
                <w:sz w:val="20"/>
                <w:szCs w:val="20"/>
                <w:color w:val="auto"/>
              </w:rPr>
            </w:pPr>
            <w:r>
              <w:rPr>
                <w:rFonts w:ascii="Arial" w:cs="Arial" w:eastAsia="Arial" w:hAnsi="Arial"/>
                <w:sz w:val="18"/>
                <w:szCs w:val="18"/>
                <w:color w:val="auto"/>
              </w:rPr>
              <w:t>14.1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6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37"/>
        </w:trPr>
        <w:tc>
          <w:tcPr>
            <w:tcW w:w="69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Income Before Non-Controlling Interest and Income Taxes</w:t>
            </w:r>
          </w:p>
        </w:tc>
        <w:tc>
          <w:tcPr>
            <w:tcW w:w="32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124.6</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120.5</w:t>
            </w:r>
          </w:p>
        </w:tc>
      </w:tr>
      <w:tr>
        <w:trPr>
          <w:trHeight w:val="27"/>
        </w:trPr>
        <w:tc>
          <w:tcPr>
            <w:tcW w:w="6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37"/>
        </w:trPr>
        <w:tc>
          <w:tcPr>
            <w:tcW w:w="69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Income Attributable to ALLETE</w:t>
            </w:r>
          </w:p>
        </w:tc>
        <w:tc>
          <w:tcPr>
            <w:tcW w:w="3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$108.1</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$91.6</w:t>
            </w:r>
          </w:p>
        </w:tc>
      </w:tr>
      <w:tr>
        <w:trPr>
          <w:trHeight w:val="27"/>
        </w:trPr>
        <w:tc>
          <w:tcPr>
            <w:tcW w:w="69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$6.6 million, or 1 percent, from 2014 primarily due to lower fuel adjustment clause recoveries, gas sales, and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incentives under the Minnesota Conservation Improvement Program, partially offset by higher cost recovery rider revenue and kWh sales.</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decreased $30.1 million due to lower fuel and purchased power costs attributable to our retail and municipal customers. (See </w:t>
      </w:r>
      <w:r>
        <w:rPr>
          <w:rFonts w:ascii="Arial" w:cs="Arial" w:eastAsia="Arial" w:hAnsi="Arial"/>
          <w:sz w:val="18"/>
          <w:szCs w:val="18"/>
          <w:i w:val="1"/>
          <w:iCs w:val="1"/>
          <w:color w:val="auto"/>
        </w:rPr>
        <w:t>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Gas sales at SWL&amp;P decreased $8.9 million from 2014 as a result of unseasonably cold weather during the first half of 2014. (See </w:t>
      </w:r>
      <w:r>
        <w:rPr>
          <w:rFonts w:ascii="Arial" w:cs="Arial" w:eastAsia="Arial" w:hAnsi="Arial"/>
          <w:sz w:val="17"/>
          <w:szCs w:val="17"/>
          <w:i w:val="1"/>
          <w:iCs w:val="1"/>
          <w:color w:val="auto"/>
        </w:rPr>
        <w:t>Cost of Sales.</w:t>
      </w:r>
      <w:r>
        <w:rPr>
          <w:rFonts w:ascii="Arial" w:cs="Arial" w:eastAsia="Arial" w:hAnsi="Arial"/>
          <w:sz w:val="17"/>
          <w:szCs w:val="17"/>
          <w:color w:val="auto"/>
        </w:rPr>
        <w:t>)</w:t>
      </w:r>
    </w:p>
    <w:p>
      <w:pPr>
        <w:spacing w:after="0" w:line="23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Financial incentives under the Minnesota Conservation Improvement Program decreased $2.5 million from 2014 as a result of annual limits placed on the recoveries beginning in 2015.</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Cost recovery rider revenue increased $16.3 million primarily due to the completion of the Bison Wind Energy Center and CapX2020 projects as well as higher capital expenditures related to the Boswell Unit 4 environmental upgrade.</w:t>
      </w:r>
    </w:p>
    <w:p>
      <w:pPr>
        <w:spacing w:after="0" w:line="170"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Revenue from Regulated Operations increased $15.1 million due to a 4.5 percent increase in kWh sales. Sales to Other Power Suppliers are sold at market-based prices into the MISO market on a daily basis or through bilateral agreements of various durations, and increased 46.8 percent in 2015 compared to 2014 primarily due to the commencement of the Minnkota Power sales agreement on June 1, 2014. (See Note 15. Commitments, Guarantees and Contingencies.) Sales to our residential and municipal customers have been impacted as a result of unseasonably cold temperatures in 2014 compared to the same period in 2015. Heating degree days in Duluth, Minnesota, were approximately 15 percent lower in the first nine months of 2015 compared to the same period in 2014. Sales to our industrial customers decreased 8.2 percent primarily due to reduced taconite production. Revenue from industrial customers did not necessarily decline in proportion to the decline in kWh sales as power nominations for the nine months ended September 30, 2015, were similar to the same period in 2014.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36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COMPARISON OF THE NINE MONTHS ENDED SEPTEMBER 30, 2015 AND 2014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5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833</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891</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498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1,106</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1,097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106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
        </w:trPr>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5,063</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5,515</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498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629</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643</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7,631</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8,146</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3,056</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2,082</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974</w:t>
            </w:r>
          </w:p>
        </w:tc>
        <w:tc>
          <w:tcPr>
            <w:tcW w:w="1060" w:type="dxa"/>
            <w:vAlign w:val="bottom"/>
          </w:tcPr>
          <w:p>
            <w:pPr>
              <w:jc w:val="right"/>
              <w:spacing w:after="0"/>
              <w:rPr>
                <w:sz w:val="20"/>
                <w:szCs w:val="20"/>
                <w:color w:val="auto"/>
              </w:rPr>
            </w:pPr>
            <w:r>
              <w:rPr>
                <w:rFonts w:ascii="Arial" w:cs="Arial" w:eastAsia="Arial" w:hAnsi="Arial"/>
                <w:sz w:val="18"/>
                <w:szCs w:val="18"/>
                <w:color w:val="auto"/>
              </w:rPr>
              <w:t>46.8 %</w:t>
            </w:r>
          </w:p>
        </w:tc>
      </w:tr>
      <w:tr>
        <w:trPr>
          <w:trHeight w:val="27"/>
        </w:trPr>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10,687</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10,228</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498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taconite/iron concentrate customers accounted for 23 percent of Regulated Operations operating revenue in 2015 (26 percent in 2014). Revenue from electric sales to paper, pulp and secondary wood product customers accounted for 8 percent of Regulated Operations operating revenue in 2015 (8 percent in 2014). Revenue from electric sales to pipelines and other industrial customers accounted for 7 percent of Regulated Operations operating revenue in 2015 (7 percent in 2014).</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Revenue to our wholesale customers under our formula based rates increased $4.9 million primarily due to additional renewable, environmental and other investments.</w:t>
      </w:r>
    </w:p>
    <w:p>
      <w:pPr>
        <w:spacing w:after="0" w:line="170"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 xml:space="preserve">Transmission revenue increased $1.4 million primarily due to higher MISO-related revenue, which was partially offset by an estimated refund for MISO transmission revenue due to the MISO return on equity complaints. (See </w:t>
      </w:r>
      <w:r>
        <w:rPr>
          <w:rFonts w:ascii="Arial" w:cs="Arial" w:eastAsia="Arial" w:hAnsi="Arial"/>
          <w:sz w:val="16"/>
          <w:szCs w:val="16"/>
          <w:i w:val="1"/>
          <w:iCs w:val="1"/>
          <w:color w:val="auto"/>
        </w:rPr>
        <w:t>Operating Expenses - Cost of Sales</w:t>
      </w:r>
      <w:r>
        <w:rPr>
          <w:rFonts w:ascii="Arial" w:cs="Arial" w:eastAsia="Arial" w:hAnsi="Arial"/>
          <w:sz w:val="16"/>
          <w:szCs w:val="16"/>
          <w:color w:val="auto"/>
        </w:rPr>
        <w:t xml:space="preserve"> and Note 7. Regulatory Matters</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$20.0 million, or 3 percent, from 2014.</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w:t>
      </w:r>
      <w:r>
        <w:rPr>
          <w:rFonts w:ascii="Arial" w:cs="Arial" w:eastAsia="Arial" w:hAnsi="Arial"/>
          <w:sz w:val="18"/>
          <w:szCs w:val="18"/>
          <w:color w:val="auto"/>
        </w:rPr>
        <w:t>expense decreased $25.8 million, or 10 percent, from 2014 primarily due to lower purchased power and fuel prices in 2015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2014, partially offset by higher kWh sales in 2015.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Transmission Services </w:t>
      </w:r>
      <w:r>
        <w:rPr>
          <w:rFonts w:ascii="Arial" w:cs="Arial" w:eastAsia="Arial" w:hAnsi="Arial"/>
          <w:sz w:val="18"/>
          <w:szCs w:val="18"/>
          <w:color w:val="auto"/>
        </w:rPr>
        <w:t>expense increased $6.9 million, or 21 percent, from 2014 primarily due to higher MISO-related expense, which was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offset by an estimated refund for MISO transmission expense due to the MISO return on equity complaints. (See </w:t>
      </w:r>
      <w:r>
        <w:rPr>
          <w:rFonts w:ascii="Arial" w:cs="Arial" w:eastAsia="Arial" w:hAnsi="Arial"/>
          <w:sz w:val="18"/>
          <w:szCs w:val="18"/>
          <w:i w:val="1"/>
          <w:iCs w:val="1"/>
          <w:color w:val="auto"/>
        </w:rPr>
        <w:t>Operating Revenue</w:t>
      </w:r>
      <w:r>
        <w:rPr>
          <w:rFonts w:ascii="Arial" w:cs="Arial" w:eastAsia="Arial" w:hAnsi="Arial"/>
          <w:sz w:val="18"/>
          <w:szCs w:val="18"/>
          <w:color w:val="auto"/>
        </w:rPr>
        <w:t xml:space="preserve"> and Note 7. Regulatory Matters.)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decreased $7.8 million, or 57 percent, from 2014 due to lower purchased gas at SWL&amp;P. (See</w:t>
      </w:r>
      <w:r>
        <w:rPr>
          <w:rFonts w:ascii="Arial" w:cs="Arial" w:eastAsia="Arial" w:hAnsi="Arial"/>
          <w:sz w:val="18"/>
          <w:szCs w:val="18"/>
          <w:i w:val="1"/>
          <w:iCs w:val="1"/>
          <w:color w:val="auto"/>
        </w:rPr>
        <w:t xml:space="preserve"> Operating Revenue.</w:t>
      </w:r>
      <w:r>
        <w:rPr>
          <w:rFonts w:ascii="Arial" w:cs="Arial" w:eastAsia="Arial" w:hAnsi="Arial"/>
          <w:sz w:val="18"/>
          <w:szCs w:val="18"/>
          <w:color w:val="auto"/>
        </w:rPr>
        <w:t>)</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$9.0 million, or 5 percent, from 2014 due to a $4.2 million expense that was recorded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2014 to reflect a liability associated with environmental mitigation projects required as part of an EPA NOV Consent Decree settlement. Also contributing to the decrease in operating and maintenance expense were lower salary and wage expenses.</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$12.5 million, or 14 percent, from 2014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$3.2 million, or 10 percent, from 2014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 and rates.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36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COMPARISON OF THE NINE MONTHS ENDED SEPTEMBER 30, 2015 AND 2014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$4.5 million, or 12 percent, from 2014 primarily due to higher average long-term debt balances.</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decreased $1.5 million, or 10 percent, from 2014 primarily due to a $2.0 million expense related to the MISO return on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complaints, of which $1.1 million was attributable to ATC’s change in estimate of a refund liability relating to prior years. (See Note 8. Investment in ATC.)</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$3.3 million, or 56 percent, from 2014 primarily due to lower AFUDC–Equity.</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$12.4 million, or 43 percent, from 2014 primarily due to increased production tax credits as a result of the completion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Bison Wind Energy Center in December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387"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41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00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60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$197.5</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4180" w:type="dxa"/>
            <w:vAlign w:val="bottom"/>
          </w:tcPr>
          <w:p>
            <w:pPr>
              <w:jc w:val="right"/>
              <w:ind w:right="210"/>
              <w:spacing w:after="0"/>
              <w:rPr>
                <w:sz w:val="20"/>
                <w:szCs w:val="20"/>
                <w:color w:val="auto"/>
              </w:rPr>
            </w:pPr>
            <w:r>
              <w:rPr>
                <w:rFonts w:ascii="Arial" w:cs="Arial" w:eastAsia="Arial" w:hAnsi="Arial"/>
                <w:sz w:val="18"/>
                <w:szCs w:val="18"/>
                <w:color w:val="auto"/>
              </w:rPr>
              <w:t>$18.7</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600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$174.9 million from 2014 primarily due to the recognition of revenue from the development and construction of a wind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facility under the percentage of completion method of accounting for contracts which amounted to $156.4 million. The development and construction of the wind facility is expected to be completed in December 2015 and will be sold to Montana-Dakota Utilities for approximately $200 million. (See Note</w:t>
      </w:r>
    </w:p>
    <w:p>
      <w:pPr>
        <w:ind w:left="340" w:hanging="8"/>
        <w:spacing w:after="0" w:line="261" w:lineRule="auto"/>
        <w:tabs>
          <w:tab w:leader="none" w:pos="54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Acquisitions.) The acquisitions of Storm Lake I in December 2014, Chanarambie/Viking in April 2015, and Armenia Mountain in July 2015 also contributed to the increase in revenue for the nine months ended September 30, 2015, compared to the same period in 2014.</w:t>
      </w:r>
    </w:p>
    <w:p>
      <w:pPr>
        <w:spacing w:after="0" w:line="342"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1"/>
              </w:rPr>
              <w:t>Nine Months Ended September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288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2015</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kWh</w:t>
            </w:r>
          </w:p>
        </w:tc>
        <w:tc>
          <w:tcPr>
            <w:tcW w:w="1620" w:type="dxa"/>
            <w:vAlign w:val="bottom"/>
          </w:tcPr>
          <w:p>
            <w:pPr>
              <w:jc w:val="right"/>
              <w:ind w:right="470"/>
              <w:spacing w:after="0"/>
              <w:rPr>
                <w:sz w:val="20"/>
                <w:szCs w:val="20"/>
                <w:color w:val="auto"/>
              </w:rPr>
            </w:pPr>
            <w:r>
              <w:rPr>
                <w:rFonts w:ascii="Arial" w:cs="Arial" w:eastAsia="Arial" w:hAnsi="Arial"/>
                <w:sz w:val="18"/>
                <w:szCs w:val="18"/>
                <w:b w:val="1"/>
                <w:bCs w:val="1"/>
                <w:color w:val="auto"/>
              </w:rPr>
              <w:t>Revenue</w:t>
            </w:r>
          </w:p>
        </w:tc>
        <w:tc>
          <w:tcPr>
            <w:tcW w:w="134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Wind Energy Facility</w:t>
            </w:r>
          </w:p>
        </w:tc>
        <w:tc>
          <w:tcPr>
            <w:tcW w:w="1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260" w:type="dxa"/>
            <w:vAlign w:val="bottom"/>
          </w:tcPr>
          <w:p>
            <w:pPr>
              <w:jc w:val="right"/>
              <w:spacing w:after="0"/>
              <w:rPr>
                <w:sz w:val="20"/>
                <w:szCs w:val="20"/>
                <w:color w:val="auto"/>
              </w:rPr>
            </w:pPr>
            <w:r>
              <w:rPr>
                <w:rFonts w:ascii="Arial" w:cs="Arial" w:eastAsia="Arial" w:hAnsi="Arial"/>
                <w:sz w:val="18"/>
                <w:szCs w:val="18"/>
                <w:color w:val="auto"/>
              </w:rPr>
              <w:t>196.8</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$10.1</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176.7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6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8.4</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112.3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260" w:type="dxa"/>
            <w:vAlign w:val="bottom"/>
          </w:tcPr>
          <w:p>
            <w:pPr>
              <w:jc w:val="right"/>
              <w:spacing w:after="0"/>
              <w:rPr>
                <w:sz w:val="20"/>
                <w:szCs w:val="20"/>
                <w:color w:val="auto"/>
              </w:rPr>
            </w:pPr>
            <w:r>
              <w:rPr>
                <w:rFonts w:ascii="Arial" w:cs="Arial" w:eastAsia="Arial" w:hAnsi="Arial"/>
                <w:sz w:val="18"/>
                <w:szCs w:val="18"/>
                <w:color w:val="auto"/>
              </w:rPr>
              <w:t>55.1</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5.1</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61.8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6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8.8</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260" w:type="dxa"/>
            <w:vAlign w:val="bottom"/>
          </w:tcPr>
          <w:p>
            <w:pPr>
              <w:jc w:val="right"/>
              <w:spacing w:after="0"/>
              <w:rPr>
                <w:sz w:val="20"/>
                <w:szCs w:val="20"/>
                <w:color w:val="auto"/>
              </w:rPr>
            </w:pPr>
            <w:r>
              <w:rPr>
                <w:rFonts w:ascii="Arial" w:cs="Arial" w:eastAsia="Arial" w:hAnsi="Arial"/>
                <w:sz w:val="18"/>
                <w:szCs w:val="18"/>
                <w:color w:val="auto"/>
              </w:rPr>
              <w:t>99.5</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5.9</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2.8</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Development Fee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156.4</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1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$197.5</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350.8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57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increased $17.5 million from 2014. Net income in 2015 included $13.7 million due to the recognition of 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development and construction of a wind facility under the percentage of completion method of accounting for contracts, and $5.6 million related to income generated from the operations of wind energy facilities which were acquired subsequent to September 30, 2014. Net income also included $1.8 million of after-tax expense, or $0.04 per share, for acquisition costs relating to the acquisitions of the Chanarambie/Viking and Armenia Mountain wind energy facilities.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364"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NINE MONTHS ENDED SEPTEMBER 30, 2015 AND 2014 (Continued)</w:t>
            </w:r>
          </w:p>
        </w:tc>
        <w:tc>
          <w:tcPr>
            <w:tcW w:w="2160" w:type="dxa"/>
            <w:vAlign w:val="bottom"/>
          </w:tcPr>
          <w:p>
            <w:pPr>
              <w:spacing w:after="0"/>
              <w:rPr>
                <w:sz w:val="20"/>
                <w:szCs w:val="20"/>
                <w:color w:val="auto"/>
              </w:rPr>
            </w:pPr>
          </w:p>
        </w:tc>
      </w:tr>
      <w:tr>
        <w:trPr>
          <w:trHeight w:val="432"/>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2160" w:type="dxa"/>
            <w:vAlign w:val="bottom"/>
          </w:tcPr>
          <w:p>
            <w:pPr>
              <w:spacing w:after="0"/>
              <w:rPr>
                <w:sz w:val="24"/>
                <w:szCs w:val="24"/>
                <w:color w:val="auto"/>
              </w:rPr>
            </w:pPr>
          </w:p>
        </w:tc>
      </w:tr>
      <w:tr>
        <w:trPr>
          <w:trHeight w:val="378"/>
        </w:trPr>
        <w:tc>
          <w:tcPr>
            <w:tcW w:w="420" w:type="dxa"/>
            <w:vAlign w:val="bottom"/>
          </w:tcPr>
          <w:p>
            <w:pPr>
              <w:spacing w:after="0"/>
              <w:rPr>
                <w:sz w:val="24"/>
                <w:szCs w:val="24"/>
                <w:color w:val="auto"/>
              </w:rPr>
            </w:pPr>
          </w:p>
        </w:tc>
        <w:tc>
          <w:tcPr>
            <w:tcW w:w="8840" w:type="dxa"/>
            <w:vAlign w:val="bottom"/>
          </w:tcPr>
          <w:p>
            <w:pPr>
              <w:ind w:left="20"/>
              <w:spacing w:after="0"/>
              <w:rPr>
                <w:sz w:val="20"/>
                <w:szCs w:val="20"/>
                <w:color w:val="auto"/>
              </w:rPr>
            </w:pPr>
            <w:r>
              <w:rPr>
                <w:rFonts w:ascii="Arial" w:cs="Arial" w:eastAsia="Arial" w:hAnsi="Arial"/>
                <w:sz w:val="18"/>
                <w:szCs w:val="18"/>
                <w:b w:val="1"/>
                <w:bCs w:val="1"/>
                <w:color w:val="auto"/>
              </w:rPr>
              <w:t>For the period from February 10, 2015 to September 30,</w:t>
            </w: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20" w:type="dxa"/>
            <w:vAlign w:val="bottom"/>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88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1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43"/>
        </w:trPr>
        <w:tc>
          <w:tcPr>
            <w:tcW w:w="420" w:type="dxa"/>
            <w:vAlign w:val="bottom"/>
          </w:tcPr>
          <w:p>
            <w:pPr>
              <w:spacing w:after="0"/>
              <w:rPr>
                <w:sz w:val="21"/>
                <w:szCs w:val="21"/>
                <w:color w:val="auto"/>
              </w:rPr>
            </w:pPr>
          </w:p>
        </w:tc>
        <w:tc>
          <w:tcPr>
            <w:tcW w:w="884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2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20" w:type="dxa"/>
            <w:vAlign w:val="bottom"/>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was $86.0 million for the period from February 10, 2015, to September 30, 2015. Revenue from chemical and related services,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recurring revenue contracts for the delivery and service of chemicals, amounted to $66.6 million for the period from February 10, 2015, to September 30, 2015. Revenue from equipment and related services, which includes sales of water treatment equipment, amounted to $19.4 million for the period from February 10, 2015, to September 30, 2015. U.S. Water Services strives to provide a full-service product offering to customers including equipment, chemicals, engineering and service.</w:t>
      </w:r>
    </w:p>
    <w:p>
      <w:pPr>
        <w:spacing w:after="0" w:line="18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was $1.5 million for the period from February 10, 2015, to September 30, 2015. Net income included $1.6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after-tax expense related to purchase accounting for inventories and sales backlog; the total impact of this purchase accounting adjustment was $2.5 million after-tax, and is expected to be recognized through the first quarter of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$5.4 million, or 7 percent, from 2014 primarily due to an increase in revenue at BNI Coal, which operates under cost-plus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fee contracts, as a result of higher expenses and more coal delivered in 2015 which was partially offset by a decrease in sales at ALLETE Properties.</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decreased $4.6 million from 2014 primarily due to a $3.0 million after-tax expense, or $0.06 per share,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costs for the acquisition of U.S. Water Services and accretion expense resulting from the U.S. Water Services contingent consideration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For the nine months ended September 30, 2015, the effective tax rate was 18.0 percent (22.7 percent for the nine months ended September 30, 2014). The decrease in the effective tax rate from September 30, 2014, was primarily due to increased production tax credits. The effective rate deviated from the statutory rate of approximately 41 percent primarily due to production tax credits. (See Note 11. Income Tax Expense.)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Form 10-K for the year ended December 31, 2014. As a result of our acquisition of U.S. Water Services on February 10, 2015, the valuation of intangible assets and goodwill are considered critical accounting policies.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 and Intangible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we acquire a business, the assets acquired and liabilities assumed are recorded at their respective fair values as of the acquisition date. Determining the fair value of intangible assets acquired as part of a business combination requires us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intangible assets is determined by estimating the future cash flows of each project and discounting the net cash flows back to their present values. The discount rate used is determined at the time of measurement in accordance with accepted valuation standards.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20"/>
          </w:cols>
          <w:pgMar w:left="240" w:top="36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is the excess of the purchase price (consideration transferred) over the estimated fair value of net assets of acquired businesses.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GAAP, goodwill is not amortized. The Company assesses whether there has been an impairment of goodwill annually in the fourth quarter and whenever an event occurs or circumstances change that would indicate the carrying amount may be impaired. 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Our estimates associated with the goodwill impairment test are considered critical due to the amount of goodwill recorded on our Consolidated Balance Sheet and the judgment required in determining fair value, including projected future cash flows. The results of our annual impairment test are discussed in Note 6. Fair Value in this Form 10-Q. Goodwill was $131.0 million and $2.9 million as of September 30, 2015, and December 31, 2014, respectively.</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Intangible assets include customer relationships, patents, non-compete agreements and trademarks and trade names. Intangible assets with</w:t>
      </w:r>
      <w:r>
        <w:rPr>
          <w:rFonts w:ascii="Arial" w:cs="Arial" w:eastAsia="Arial" w:hAnsi="Arial"/>
          <w:sz w:val="16"/>
          <w:szCs w:val="16"/>
          <w:i w:val="1"/>
          <w:iCs w:val="1"/>
          <w:color w:val="auto"/>
        </w:rPr>
        <w:t xml:space="preserve"> </w:t>
      </w:r>
      <w:r>
        <w:rPr>
          <w:rFonts w:ascii="Arial" w:cs="Arial" w:eastAsia="Arial" w:hAnsi="Arial"/>
          <w:sz w:val="16"/>
          <w:szCs w:val="16"/>
          <w:color w:val="auto"/>
        </w:rPr>
        <w:t>definite lives consist of customer relationships, patents, and non-compete agreements, which are amortized on a straight-line or accelerated basis with estimated useful lives ranging from approximately 3 years to approximately 22 years. We review definite-lived intangible assets for impairment whenever events or circumstances indicate that the carrying amount of an asset may not be recoverable. Indefinite-lived intangible assets consist of trademarks and trade names, which are tested for impairment annually in the fourth quarter and whenever an event occurs or circumstances change that would indicate that the carrying amount may be impaired. Impairment is calculated as the excess of the asset’s carrying amount over its fair value. Our impairment reviews are based on an estimated future cash flow approach that requires significant judgment with respect to future revenue and expense growth rates, selection of an appropriate discount rate, and other assumptions and estimates. We use estimates that are consistent with our business plans and a market participant view of the assets being evaluated. The results of our annual impairment test are discussed in Note 6. Fair Value in this Form 10-Q. Actual results may differ from our estimates due to a number of risk factors, including those which are discussed in Item 1A, "Risk Factors" in this Form 10-Q. Intangible assets, net of accumulated amortization, were $81.9 million and $1.9 million as of September 30, 2015, and December 31, 2014, respectively.</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2014 Form 10-K.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long-term objectives of achieving average earnings per share growth of a minimum of 5 percent per year and providing a dividend payout competitive with our industry.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ALLETE is predominantly a regulated utility through Minnesota Power, SWL&amp;P and an investment in ATC. Minnesota Power believes it is well positioned for the future as it executes on its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initiative and serves a potentially growing industrial customer base. Minnesota Power will continue to pursue customer growth opportunities and cost recovery rider approval for environmental, renewable and transmission investments, as well as work with regulators to earn a fair rate of return. We believe that ATC is poised for future growth both organically and through its partnership with Duke Energy.</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2015, ALLETE acquired U.S. Water Services, consistent with ALLETE’s stated strategy of investing in energy infrastructure and related services to complement its core regulated utility, balance exposure to business cycles and changing demand, and provide potential long-term earnings growth. ALLETE will now focus its energy infrastructure and related service efforts on ALLETE Clean Energy and U.S. Water Services. ALLETE Clean Energy has a growing portfolio of wind energy facilities, and U.S. Water Services provides integrated water management to a growing base of industrial and commercial customers. ALLETE’s Energy Infrastructure and Related Services businesses primarily have contracted or recurring revenue.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ALLETE is focused on providing sustainable solutions to our customers, as exemplified by the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and Power of One initiatives at Minnesota Power, renewable energy investments at ALLETE Clean Energy, and investment in U.S. Water Services.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36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Regulated Operations –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regulators to earn a fair rate of return. We project that Minnesota Power will not earn its allowed rate of return in 2015.</w:t>
      </w:r>
    </w:p>
    <w:p>
      <w:pPr>
        <w:spacing w:after="0" w:line="1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Regulatory Matters. </w:t>
      </w:r>
      <w:r>
        <w:rPr>
          <w:rFonts w:ascii="Arial" w:cs="Arial" w:eastAsia="Arial" w:hAnsi="Arial"/>
          <w:sz w:val="17"/>
          <w:szCs w:val="17"/>
          <w:color w:val="auto"/>
        </w:rPr>
        <w:t>Entities within our Regulated Operations segment are under the jurisdiction of the MPUC, the FERC, the PSCW or the NDPSC. See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 7. Regulatory Matters for discussion of regulatory matters within our Minnesota, FERC, Wisconsin and North Dakota jurisdictions.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secondary wood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industries. Approximately 44 percent of our Regulated Utility kWh sales in the nine months ended September 30, 2015 (51 percent in the nine months ended September 30, 2014) were made to our industrial customers in these industries.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Minnesota Power provides electric service to five taconite customers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w:t>
      </w:r>
    </w:p>
    <w:p>
      <w:pPr>
        <w:spacing w:after="0" w:line="15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(AISI), an association of North American steel producers, reported that U.S. raw steel production operated at approximately 73 percent of capacity during the first nine months of 2015 compared to 77 percent in the first nine months of 2014. Many steel producers have reduced production this year, citing higher levels of imports and lower prices. Some Minnesota taconite and iron concentrate producers have reduced production in response to declining U.S. taconite demand primarily resulting from the higher level of imports and lower prices.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taconite customers may experience annual variations in production levels due to such factors as economic conditions, short-term demand changes or maintenance outages. We estimate that a one million ton change in our taconite customers’ production would impact our annual earnings per share by approximately $0.03, net of expected power marketing sales at current prices. Changes in wholesale electric prices or customer contractual demand nominations could impact this estimate. Long-term reductions in taconite production or a permanent shut down of a taconite customer may lead us to file a rate case to recover lost revenue.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Large Power taconite customers, subject to demand nomination requirements, nominate demand levels for their energy needs each December, March, and August for the following four-month periods. Based on nominations received on July 31, 2015, Minnesota Power’s Large Power taconite customers nominated at approximately 80 percent of full demand levels for September 2015, and approximately 90 percent of full demand levels for October through December 2015.</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USS Corporation</w:t>
      </w:r>
      <w:r>
        <w:rPr>
          <w:rFonts w:ascii="Arial" w:cs="Arial" w:eastAsia="Arial" w:hAnsi="Arial"/>
          <w:sz w:val="17"/>
          <w:szCs w:val="17"/>
          <w:color w:val="auto"/>
        </w:rPr>
        <w:t>. On July 31, 2015, Minnesota Power received near full demand nominations for September through December 2015 from USS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second quarter of 2015, USS Corporation temporarily idled its Minnesota Ore Operations - Keetac plant in Keewatin, Minnesota, and a portion of its Minnesota Ore Operations - Minntac plant in Mountain Iron, Minnesota. These actions were due to its current inventory levels and ongoing adjustment of its steel producing operations throughout North America. Global influences in the market, including a higher level of imports, unfairly traded products and reduced steel prices, were cited as having an impact. In the third quarter of 2015, USS Corporation returned its Minntac plant to full production. USS Corporation’s Keetac plant remains idled. Both facilities are Large Power Customers of Minnesota Power.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20"/>
          </w:cols>
          <w:pgMar w:left="240" w:top="36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Magnetation</w:t>
      </w:r>
      <w:r>
        <w:rPr>
          <w:rFonts w:ascii="Arial" w:cs="Arial" w:eastAsia="Arial" w:hAnsi="Arial"/>
          <w:sz w:val="17"/>
          <w:szCs w:val="17"/>
          <w:i w:val="1"/>
          <w:iCs w:val="1"/>
          <w:color w:val="auto"/>
        </w:rPr>
        <w:t xml:space="preserve">. </w:t>
      </w:r>
      <w:r>
        <w:rPr>
          <w:rFonts w:ascii="Arial" w:cs="Arial" w:eastAsia="Arial" w:hAnsi="Arial"/>
          <w:sz w:val="17"/>
          <w:szCs w:val="17"/>
          <w:color w:val="auto"/>
        </w:rPr>
        <w:t>On May 5, 2015, Magnetation announced that it had reached an agreement with holders of more than 70 percent of its 11.0 percent senior</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notes due in 2018 to restructure its balance sheet and provide liquidity to support long-term operations. To implement this restructuring, Magnetation announced that it had filed voluntary petitions for reorganization under Chapter 11 of the Bankruptcy Code in the United States Bankruptcy Court for the District of Minnesota, citing the significant decrease in global iron ore prices and its existing capital structure.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Magnetation stated that it intends to continue to pay suppliers and vendors in full under normal terms for goods and services provided after the bankruptcy filing date of May 5, 2015. Magnetation stated that it expects its mining and pelletizing operations and customer shipments to continue in the ordinary course throughout the reorganization.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Magnetation is a Large Power Customer of Minnesota Power. On July 24, 2015, Minnesota Power filed a petition with the MPUC for approval of a new Electric Service Agreement (Agreement) for service to both Magnetation’s Plant 2 and Plant 4 facilities, and this Agreement has a term through at least December 31, 2025. This Agreement is subject to both MPUC and bankruptcy court approvals. On July 31, 2015, Minnesota Power received full demand nominations for September through December 2015, indicating full production. Minnesota Power’s pre-petition amounts due from Magnetation are less than $1 million.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United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In August 2015, Cliffs Natural Resources Inc. (Cliffs) temporarily idled its United Taconite plant in Eveleth, Minnesota, citing high levels of</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inventories, lower demand from its customers, and the high rate of imported steel. Cliffs has said the plant will return to production as soon as demand from customers returns. Cliffs also stated that the idling offers a chance to start reworking the plant to produce a fully fluxed taconite pellet. That new product will replace a flux pellet now made at Cliffs’ Empire operation in Michigan which is scheduled to shut down at the end of 2016. United Taconite produced approximately 4.9 million tons of taconite in 2014.</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Steel Dynamics</w:t>
      </w:r>
      <w:r>
        <w:rPr>
          <w:rFonts w:ascii="Arial" w:cs="Arial" w:eastAsia="Arial" w:hAnsi="Arial"/>
          <w:sz w:val="18"/>
          <w:szCs w:val="18"/>
          <w:i w:val="1"/>
          <w:iCs w:val="1"/>
          <w:color w:val="auto"/>
        </w:rPr>
        <w:t xml:space="preserve">. </w:t>
      </w:r>
      <w:r>
        <w:rPr>
          <w:rFonts w:ascii="Arial" w:cs="Arial" w:eastAsia="Arial" w:hAnsi="Arial"/>
          <w:sz w:val="18"/>
          <w:szCs w:val="18"/>
          <w:color w:val="auto"/>
        </w:rPr>
        <w:t>On May 26, 2015, Steel Dynamics announced the decision to idle its Minnesota Operations for an initial 24-month period. Its Minnesota</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include Mesabi Nugget and Mining Resources, both of which are Minnesota Power retail customers. Steel Dynamics cited the significant decline in pig iron pricing as the reason behind its decision. Mesabi Nugget and Mining Resources account for a combined 30 MW of load for Minnesota Power when fully operational.</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Nashwauk Public Utilities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On April 21, 2015, the Company amended its formula-based wholesale electric sales agreement with the Nashwauk</w:t>
      </w:r>
      <w:r>
        <w:rPr>
          <w:rFonts w:ascii="Arial" w:cs="Arial" w:eastAsia="Arial" w:hAnsi="Arial"/>
          <w:sz w:val="17"/>
          <w:szCs w:val="17"/>
          <w:i w:val="1"/>
          <w:iCs w:val="1"/>
          <w:color w:val="auto"/>
        </w:rPr>
        <w:t xml:space="preserve"> </w:t>
      </w:r>
      <w:r>
        <w:rPr>
          <w:rFonts w:ascii="Arial" w:cs="Arial" w:eastAsia="Arial" w:hAnsi="Arial"/>
          <w:sz w:val="17"/>
          <w:szCs w:val="17"/>
          <w:color w:val="auto"/>
        </w:rPr>
        <w:t>Public Utilities Commission for all of its electric service requirements, extending the term through June 30, 2028. A new Essar taconite facility is currently under construction in the city of Nashwauk, and the Nashwauk Public Utilities Commission also amended and extended its electric service agreement with Essar. Upon completion, this facility would result in up to approximately 110 MW of additional load for Minnesota Power. Essar announced the completion of project financing in October 2014 and has stated that it expects to achieve full production capability in 2016.</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a long-term contract with PolyMet, which is planning to start a new copper-nickel and precious metal (non-ferrous) mining</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in northeastern Minnesota. On June 22, 2015, PolyMet announced the preliminary final EIS has been completed and is undergoing review by state and federal agencies prior to publication of the final EIS in the Federal Register and Minnesota Environmental Quality Board Monitor, which is expected in November 2015. Following publication, the final EIS requires an adequacy decision by the Minnesota Department of Natural Resources and Records of Decision by the federal agencies before final action can be taken on the required permits to construct and operate the mining operation, both of which are expected in 2016. Minnesota Power could supply between 45 MW and 50 MW of load under a ten-year power supply contract that would begin upon start-up of the mining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36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Enbridge</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a long-term contract with Enbridge that extends through December 31, 2020. Enbridge owns and operates a crude oil and</w:t>
      </w:r>
      <w:r>
        <w:rPr>
          <w:rFonts w:ascii="Arial" w:cs="Arial" w:eastAsia="Arial" w:hAnsi="Arial"/>
          <w:sz w:val="18"/>
          <w:szCs w:val="18"/>
          <w:i w:val="1"/>
          <w:iCs w:val="1"/>
          <w:color w:val="auto"/>
        </w:rPr>
        <w:t xml:space="preserve"> </w:t>
      </w:r>
      <w:r>
        <w:rPr>
          <w:rFonts w:ascii="Arial" w:cs="Arial" w:eastAsia="Arial" w:hAnsi="Arial"/>
          <w:sz w:val="18"/>
          <w:szCs w:val="18"/>
          <w:color w:val="auto"/>
        </w:rPr>
        <w:t>liquids transportation system in North America including in our service territories. Enbridge recently completed an expansion at two pumping stations located in Minnesota Power’s service territory in Deer River and Floodwood, Minnesota resulting in load growth of approximately 15 MW since the expansion was completed. Enbridge plans to construct a pipeline connecting its Beaver Lodge Station, near Tioga, North Dakota, to an existing terminal in Superior, Wisconsin (Sandpiper). On June 5, 2015, the MPUC granted the certificate of need for the pipeline, but on September 14, 2015, the Minnesota Court of Appeals reversed the MPUC’s decision and remanded this proceeding directing that an EIS be completed before a final decision is made on the certificate of need. Enbridge is also planning a replacement of its Line 3 pipeline running from Canada, through Minnesota, and into its Superior terminal. Upon completion and full operation of the Sandpiper and Line 3 replacement projects, expected by 2018, we anticipate supplying between 15 MW and 25 MW of additional load at SWL&amp;P.</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In January 2013, Minnesota Power announced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improving environmental performance. The plan includes completed and planned investments in wind and hydroelectric power, the addition of natural gas as a generation fuel source, and the installation of emissions control technology. Significant elements of the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include:</w:t>
      </w:r>
    </w:p>
    <w:p>
      <w:pPr>
        <w:spacing w:after="0" w:line="166" w:lineRule="exact"/>
        <w:rPr>
          <w:sz w:val="20"/>
          <w:szCs w:val="20"/>
          <w:color w:val="auto"/>
        </w:rPr>
      </w:pPr>
    </w:p>
    <w:p>
      <w:pPr>
        <w:ind w:left="660" w:right="2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Major wind investments in North Dakota. The Bison Wind Energy Center added 205 MW of capacity in the fourth quarter of 2014, bringing total capacity to 497 MW. (See </w:t>
      </w:r>
      <w:r>
        <w:rPr>
          <w:rFonts w:ascii="Arial" w:cs="Arial" w:eastAsia="Arial" w:hAnsi="Arial"/>
          <w:sz w:val="18"/>
          <w:szCs w:val="18"/>
          <w:i w:val="1"/>
          <w:iCs w:val="1"/>
          <w:color w:val="auto"/>
        </w:rPr>
        <w:t>Renewable Energy.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installation of approximately $260 million in emissions control technology underway at Boswell Unit 4 to further reduce emissions of SO</w:t>
      </w:r>
      <w:r>
        <w:rPr>
          <w:rFonts w:ascii="Arial" w:cs="Arial" w:eastAsia="Arial" w:hAnsi="Arial"/>
          <w:sz w:val="12"/>
          <w:szCs w:val="12"/>
          <w:color w:val="auto"/>
        </w:rPr>
        <w:t>2</w:t>
      </w:r>
      <w:r>
        <w:rPr>
          <w:rFonts w:ascii="Arial" w:cs="Arial" w:eastAsia="Arial" w:hAnsi="Arial"/>
          <w:sz w:val="18"/>
          <w:szCs w:val="18"/>
          <w:color w:val="auto"/>
        </w:rPr>
        <w:t xml:space="preserve">, particulates and mercury. (See </w:t>
      </w:r>
      <w:r>
        <w:rPr>
          <w:rFonts w:ascii="Arial" w:cs="Arial" w:eastAsia="Arial" w:hAnsi="Arial"/>
          <w:sz w:val="18"/>
          <w:szCs w:val="18"/>
          <w:i w:val="1"/>
          <w:iCs w:val="1"/>
          <w:color w:val="auto"/>
        </w:rPr>
        <w:t>Boswell Mercury Emission Reduction Plan.</w:t>
      </w:r>
      <w:r>
        <w:rPr>
          <w:rFonts w:ascii="Arial" w:cs="Arial" w:eastAsia="Arial" w:hAnsi="Arial"/>
          <w:sz w:val="18"/>
          <w:szCs w:val="18"/>
          <w:color w:val="auto"/>
        </w:rPr>
        <w:t>)</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Planning for the proposed GNTL to deliver hydroelectric power from northern Manitoba by 2020. (See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conversion of Laskin from coal to cleaner-burning natural gas which was completed in June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Retirement of Taconite Harbor Unit 3, one of three coal-fired units at Taconite Harbor.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July 9, 2015, Minnesota Power announced the next steps in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plan, which will reduce carbon emissions, increase the use of renewable resources and add natural gas to meet customer electric service needs in a balanced, reliable and cost-effective way. Significant additional elements of the plan include:</w:t>
      </w:r>
    </w:p>
    <w:p>
      <w:pPr>
        <w:spacing w:after="0" w:line="18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idling of Taconite Harbor Units 1 and 2 in the fall of 2016 and the ceasing of coal-fired operations there in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Adding between 200 MW and 300 MW of cleaner and flexible natural gas-fired generation to Minnesota Power’s portfolio within the next decade.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Building both large and small scale solar generation.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Expanding the potential for additional energy efficiency savings.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Integrated Resource Plan. </w:t>
      </w:r>
      <w:r>
        <w:rPr>
          <w:rFonts w:ascii="Arial" w:cs="Arial" w:eastAsia="Arial" w:hAnsi="Arial"/>
          <w:sz w:val="18"/>
          <w:szCs w:val="18"/>
          <w:color w:val="auto"/>
        </w:rPr>
        <w:t>In a November 2013 order, the MPUC approved Minnesota Power’s 2013 Integrated Resource Plan which detailed elements of its</w:t>
      </w:r>
      <w:r>
        <w:rPr>
          <w:rFonts w:ascii="Arial" w:cs="Arial" w:eastAsia="Arial" w:hAnsi="Arial"/>
          <w:sz w:val="18"/>
          <w:szCs w:val="18"/>
          <w:i w:val="1"/>
          <w:iCs w:val="1"/>
          <w:color w:val="auto"/>
        </w:rPr>
        <w:t xml:space="preserve"> EnergyForward </w:t>
      </w:r>
      <w:r>
        <w:rPr>
          <w:rFonts w:ascii="Arial" w:cs="Arial" w:eastAsia="Arial" w:hAnsi="Arial"/>
          <w:sz w:val="18"/>
          <w:szCs w:val="18"/>
          <w:color w:val="auto"/>
        </w:rPr>
        <w:t>strategic plan, announced in January 2013. On September 1, 2015, Minnesota Power filed its 2015 Integrated Resource Plan with the MPUC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contains the next steps in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and includes an analysis of a variety of existing and future energy resource alternatives and a projection of customer cost impact by class.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Renewable Energy. </w:t>
      </w:r>
      <w:r>
        <w:rPr>
          <w:rFonts w:ascii="Arial" w:cs="Arial" w:eastAsia="Arial" w:hAnsi="Arial"/>
          <w:sz w:val="16"/>
          <w:szCs w:val="16"/>
          <w:color w:val="auto"/>
        </w:rPr>
        <w:t>In February 2007, Minnesota enacted a law requiring 25 percent of electric utilities’ total retail and municipal energy sales in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be from renewable energy sources by 2025. The law also requires electric utilities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Power’s 2015 Integrated Resource Plan, which was filed with the MPUC on September 1, 2015, includes an update on its plans and progress in meeting the Minnesota renewable energy milestones through 2025. (See </w:t>
      </w:r>
      <w:r>
        <w:rPr>
          <w:rFonts w:ascii="Arial" w:cs="Arial" w:eastAsia="Arial" w:hAnsi="Arial"/>
          <w:sz w:val="16"/>
          <w:szCs w:val="16"/>
          <w:i w:val="1"/>
          <w:iCs w:val="1"/>
          <w:color w:val="auto"/>
        </w:rPr>
        <w:t>EnergyForward</w:t>
      </w:r>
      <w:r>
        <w:rPr>
          <w:rFonts w:ascii="Arial" w:cs="Arial" w:eastAsia="Arial" w:hAnsi="Arial"/>
          <w:sz w:val="16"/>
          <w:szCs w:val="16"/>
          <w:color w:val="auto"/>
        </w:rPr>
        <w: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continues to execute its renewable energy strategy through key renewable projects that will ensure we meet the identified state mandate at the lowest cost for customers. Minnesota Power exceeded the interim milestone requirements to date and expects approximately 25 percent of its total retail and municipal energy sales will be supplied by renewable energy sources in 2015.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20"/>
          </w:cols>
          <w:pgMar w:left="240" w:top="36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u w:val="single" w:color="auto"/>
          <w:color w:val="auto"/>
        </w:rPr>
        <w:t>Minnesota Solar Energy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In May 2013, legislation was enacted by the state of Minnesota requiring at least 1.5 percent of total retail electric sales,</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sales to certain industrial customers, to be generated by solar energy by the end of 2020. At least 10 percent of the 1.5 percent mandate must be met by solar energy generated by or procured from solar photovoltaic devices with a nameplate capacity of 20 kilowatts or less. Minnesota Power is in the process of evaluating the potential impact of this legislation on its operations; however, any costs are expected to be recovered in customer rates.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the 497 MW Bison Wind Energy Center located in North Dakota, which was placed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in various phases between 2010 and 2014, and the 25 MW Taconite Ridge Energy Center located in northeastern Minnesota. Minnesota Power also has two long-term wind PPAs with an affiliate of NextEra Energy, Inc. to purchase the output from Oliver Wind I (50 MW) and Oliver Wind II (48 MW) located in North Dakota.</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billing rates for the Bison Wind Energy Center were approved by the MPUC in an order dated May 22, 2015. In November 2014, Minnesota Power filed a renewable resources factor filing which includes updated costs associated with Bison. Upon approval of the filing, Minnesota Power will be authorized to include updated billing rates on customer bills.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 kV DC transmission line that runs from Center, North Dakota, to Duluth, Minnesota to transport increasing amounts of wind energy from North Dakota while gradually phasing out coal-based electricity delivered to our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Manitoba Hydro</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a long-term PPA with Manitoba Hydro that expires in May 2020.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 In addition, 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2011, Minnesota Power and Manitoba Hydro signed an additional long-term PPA. The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In September 2015, Manitoba Hydro submitted the final preferred route and EIS for the additional transmission capacity in Canada to Manitoba Conservation and Water Stewardship for regulatory approval. Construction of Manitoba Hydro’s hydroelectric generation facility commenced in the third quarter of 2014.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July 2014, Minnesota Power and Manitoba Hydro signed a long-term PPA that provides for Minnesota Power to purchase up to 133 MW of energy from Manitoba Hydro for 20 years beginning in 2020. The pricing under this PPA is based on forward market prices. The agreement was approved by the MPUC in an order dated January 30, 2015, and is subject to the construction of the GNTL. (See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u w:val="single" w:color="auto"/>
          <w:color w:val="auto"/>
        </w:rPr>
        <w:t>Hydro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On February 13, 2015, Minnesota Power supplemented its November 2014 renewable resources factor filing to include costs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restoration and repair of Thomson. In an order dated March 5, 2015, the MPUC approved Minnesota Power’s petition seeking cost recovery of investments and expenditures related to the restoration and repair of Thomson through a renewable resources rider.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36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Boswell Mercury Emissions Reduction Plan. </w:t>
      </w:r>
      <w:r>
        <w:rPr>
          <w:rFonts w:ascii="Arial" w:cs="Arial" w:eastAsia="Arial" w:hAnsi="Arial"/>
          <w:sz w:val="17"/>
          <w:szCs w:val="17"/>
          <w:color w:val="auto"/>
        </w:rPr>
        <w:t>Minnesota Power is implementing a mercury emissions reduction project for Boswell Unit 4 in order to comply</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Minnesota Mercury Emissions Reduction Act and the Federal MATS rule. In August 2012, Minnesota Power filed its mercury emissions reduction plan for Boswell Unit 4 with the MPUC and the MPCA. Costs to implement the Boswell Unit 4 mercury emissions reduction plan are included in the estimated capital expenditures required for compliance with the MATS rule and are estimated to be approximately $260 million, of which approximately $207 million was spent through September 30, 2015. Project completion is expected in the first quarter of 2016. In a November 2013 order, the MPUC approved the Boswell Unit 4 mercury emissions reduction plan and cost recovery, establishing an environmental improvement rider. Customer billing rates for the environmental improvement rider were approved by the MPUC in an order dated August 24, 2015. On September 30, 2015, Minnesota Power filed an updated environmental improvement factor filing which included updated costs associated with Boswell Unit 4. Upon approval of the filing, Minnesota Power will be authorized to include updated billing rates on customer bills.</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Transmission. </w:t>
      </w:r>
      <w:r>
        <w:rPr>
          <w:rFonts w:ascii="Arial" w:cs="Arial" w:eastAsia="Arial" w:hAnsi="Arial"/>
          <w:sz w:val="16"/>
          <w:szCs w:val="16"/>
          <w:color w:val="auto"/>
        </w:rPr>
        <w:t>We continue to make investments in transmission opportunities that strengthen or enhance the transmission grid or take advantage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geographical location between sources of renewable energy and end users. These include the GNTL and the CapX2020 initiative, as well as investments to enhance our own transmission facilities, investments in other transmission assets (individually or in combination with others), and our investment in ATC.</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and municipal and investor-owned utilities, including Minnesota’s largest transmission owners, has assessed the transmission system and projected growth in customer demand for electricity through 2020.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On April 2, 2015, the CapX2020 transmission line project from Fargo, North Dakota, to St. Cloud, Minnesota, was completed and placed into service.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previously participated in two additional CapX2020 projects which were completed and placed into service in 2011 and 2012.</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invested approximately $100 million to complete the three transmission line projects. As future CapX2020 projects are identified, Minnesota Power may elect to participate on a project-by-project basis.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GNTL is subject to various federal and state regulatory approvals. In October 2013, a certificate of need application was filed with the MPUC which was approved in an order dated June 30, 2015. Based on this order, Minnesota Power’s portion of the investments and expenditures for the project are eligible for cost recovery under its existing transmission cost recovery rider and are anticipated to be included in future transmission factor filings. In April 2014, Minnesota Power filed a route permit application with the MPUC and a request for a presidential permit to cross the U.S.-Canadian border with the U.S. Department of Energy. In a July 2014 order, the MPUC determined the route permit application to be complete. On October 30, 2015, the Minnesota Department of Commerce and the U.S. Department of Energy released the final EIS for the GNTL. A decision on the route permit by the MPUC is expected in the first quarter of 2016. Manitoba Hydro must also obtain regulatory and governmental approvals related to a new transmission line in Canada. In September 2015, Manitoba Hydro submitted the final preferred route and EIS for the transmission line in Canada to Manitoba Conservation and Water Stewardship for regulatory approval. Construction of Manitoba Hydro’s hydroelectric generation facility commenced in the third quarter of 2014. Upon receipt of all applicable permits and approvals, construction of the GNTL is expected to begin by 2017 and to be completed in 2020. Total project cost in the U.S., including substation work, is estimated to be between $560 million and $710 million, depending on the final route of the line. Minnesota Power is expected to have majority ownership of the transmission line.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36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Investment in ATC. </w:t>
      </w:r>
      <w:r>
        <w:rPr>
          <w:rFonts w:ascii="Arial" w:cs="Arial" w:eastAsia="Arial" w:hAnsi="Arial"/>
          <w:sz w:val="17"/>
          <w:szCs w:val="17"/>
          <w:color w:val="auto"/>
        </w:rPr>
        <w:t>As of September 30, 2015, our equity investment in ATC was $126.0 million, representing an approximate 8 percent ownership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ATC’s 10-year transmission assessment, which covers the years 2015 through 2024, identifies a need for between $3.7 billion and $4.5 billion in transmission system investments. These investments by ATC are expected to be funded through a combination of internally generated cash, debt and investor contributions. As opportunities arise, we plan to make additional investments in ATC through general capital calls based upon our pro rata ownership interest in ATC. In the first nine months of 2015, we invested $1.2 million in ATC, and on October 29, 2015, we invested an additional $0.4 million. We do not expect to make any additional investments in 2015. (See Note 8. Investment in ATC.)</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equity earnings in ATC for the nine months ended September 30, 2015, were $14.1 million and reflected a $2.0 million reduction related to complaints filed with the FERC by several customer groups located within the MISO service area; of which $1.1 million was attributable to ATC’s change in estimate of a refund liability relating to prior years. The groups requested, among other things, a reduction in the base return on equity used by MISO transmission owners, including ATC, to 9.15 percent. ATC's current authorized return on equity is 12.2 percent. On February 12, 2015, an additional complaint was filed with the FERC seeking an order to further reduce the base return on equity to 8.67 percent. We own approximately 8 percent of ATC and estimate that for every 50 basis point reduction in ATC’s allowed return on equity our equity earnings in ATC would be impacted annually by approximately $0.5 million on an after-tax basis ($0.9 million pre-tax).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was established in 2011, and specializes in developing, acquiring and operating clean and renewable energy projects. ALLETE Clean Energy currently owns and operates approximately 535 MW of wind generation in four states that are under long-term power sales agreements. In addition, ALLETE Clean Energy is developing and constructing a 107 MW wind facility for sale to Montana-Dakota Utilities; construction and sale is expected to be complete in December 2015.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 believes the market for renewable energy in North America is robust, driven by several factors including environmental regulation, tax incentives, societal expectations and continual technology advances. The recent Clean Power Plan is an example of an environmental regulation that we believe will drive renewable energy development.</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 Clean Energy’s strategy includes the safe, reliable, optimal and profitable operation of its existing facilities. This includes a strong safety culture, the continuous pursuit of operational efficiencies at existing facilities, and cost controls. While ALLETE Clean Energy generally acquires facilities in liquid power markets, ALLETE Clean Energy’s strategy also includes the exploration of power sales agreement extensions upon expiration of existing contracts.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 Clean Energy will pursue steady growth through acquisitions or project development for others. ALLETE Clean Energy is targeting acquisitions of existing facilities with a purchase price in the $50 million to $100 million range, and which have long-term power sales agreements in place for the facility’s output. At this time, ALLETE Clean Energy expects acquisitions will be primarily wind or solar facilities in North America within liquid power markets.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ALLETE Clean Energy will manage risk by having a diverse portfolio of assets, which will include power sales contract expiration and geographic diversity.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current mix of power sales agreement expiration and geographic location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Facility</w:t>
            </w:r>
          </w:p>
        </w:tc>
        <w:tc>
          <w:tcPr>
            <w:tcW w:w="3040" w:type="dxa"/>
            <w:vAlign w:val="bottom"/>
          </w:tcPr>
          <w:p>
            <w:pPr>
              <w:jc w:val="center"/>
              <w:ind w:left="1270"/>
              <w:spacing w:after="0"/>
              <w:rPr>
                <w:sz w:val="20"/>
                <w:szCs w:val="20"/>
                <w:color w:val="auto"/>
              </w:rPr>
            </w:pPr>
            <w:r>
              <w:rPr>
                <w:rFonts w:ascii="Arial" w:cs="Arial" w:eastAsia="Arial" w:hAnsi="Arial"/>
                <w:sz w:val="18"/>
                <w:szCs w:val="18"/>
                <w:b w:val="1"/>
                <w:bCs w:val="1"/>
                <w:color w:val="auto"/>
                <w:w w:val="90"/>
              </w:rPr>
              <w:t>Location</w:t>
            </w:r>
          </w:p>
        </w:tc>
        <w:tc>
          <w:tcPr>
            <w:tcW w:w="1820" w:type="dxa"/>
            <w:vAlign w:val="bottom"/>
          </w:tcPr>
          <w:p>
            <w:pPr>
              <w:ind w:left="340"/>
              <w:spacing w:after="0"/>
              <w:rPr>
                <w:sz w:val="20"/>
                <w:szCs w:val="20"/>
                <w:color w:val="auto"/>
              </w:rPr>
            </w:pPr>
            <w:r>
              <w:rPr>
                <w:rFonts w:ascii="Arial" w:cs="Arial" w:eastAsia="Arial" w:hAnsi="Arial"/>
                <w:sz w:val="18"/>
                <w:szCs w:val="18"/>
                <w:b w:val="1"/>
                <w:bCs w:val="1"/>
                <w:color w:val="auto"/>
              </w:rPr>
              <w:t>Capacity MW</w:t>
            </w:r>
          </w:p>
        </w:tc>
        <w:tc>
          <w:tcPr>
            <w:tcW w:w="1500" w:type="dxa"/>
            <w:vAlign w:val="bottom"/>
          </w:tcPr>
          <w:p>
            <w:pPr>
              <w:ind w:left="400"/>
              <w:spacing w:after="0"/>
              <w:rPr>
                <w:sz w:val="20"/>
                <w:szCs w:val="20"/>
                <w:color w:val="auto"/>
              </w:rPr>
            </w:pPr>
            <w:r>
              <w:rPr>
                <w:rFonts w:ascii="Arial" w:cs="Arial" w:eastAsia="Arial" w:hAnsi="Arial"/>
                <w:sz w:val="18"/>
                <w:szCs w:val="18"/>
                <w:b w:val="1"/>
                <w:bCs w:val="1"/>
                <w:color w:val="auto"/>
              </w:rPr>
              <w:t>PPA MW</w:t>
            </w:r>
          </w:p>
        </w:tc>
        <w:tc>
          <w:tcPr>
            <w:tcW w:w="182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PPA Expiration</w:t>
            </w:r>
          </w:p>
        </w:tc>
      </w:tr>
      <w:tr>
        <w:trPr>
          <w:trHeight w:val="27"/>
        </w:trPr>
        <w:tc>
          <w:tcPr>
            <w:tcW w:w="32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Lake Benton</w:t>
            </w:r>
          </w:p>
        </w:tc>
        <w:tc>
          <w:tcPr>
            <w:tcW w:w="3040" w:type="dxa"/>
            <w:vAlign w:val="bottom"/>
            <w:tcBorders>
              <w:bottom w:val="single" w:sz="8" w:color="CCEEFF"/>
            </w:tcBorders>
            <w:shd w:val="clear" w:color="auto" w:fill="CCEEFF"/>
          </w:tcPr>
          <w:p>
            <w:pPr>
              <w:jc w:val="center"/>
              <w:ind w:left="1270"/>
              <w:spacing w:after="0"/>
              <w:rPr>
                <w:sz w:val="20"/>
                <w:szCs w:val="20"/>
                <w:color w:val="auto"/>
              </w:rPr>
            </w:pPr>
            <w:r>
              <w:rPr>
                <w:rFonts w:ascii="Arial" w:cs="Arial" w:eastAsia="Arial" w:hAnsi="Arial"/>
                <w:sz w:val="18"/>
                <w:szCs w:val="18"/>
                <w:color w:val="auto"/>
                <w:w w:val="91"/>
              </w:rPr>
              <w:t>Minnesota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104</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2028</w:t>
            </w:r>
          </w:p>
        </w:tc>
      </w:tr>
      <w:tr>
        <w:trPr>
          <w:trHeight w:val="237"/>
        </w:trPr>
        <w:tc>
          <w:tcPr>
            <w:tcW w:w="3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Storm Lake I</w:t>
            </w:r>
          </w:p>
        </w:tc>
        <w:tc>
          <w:tcPr>
            <w:tcW w:w="3040" w:type="dxa"/>
            <w:vAlign w:val="bottom"/>
            <w:tcBorders>
              <w:top w:val="single" w:sz="8" w:color="auto"/>
            </w:tcBorders>
          </w:tcPr>
          <w:p>
            <w:pPr>
              <w:jc w:val="center"/>
              <w:ind w:left="1270"/>
              <w:spacing w:after="0"/>
              <w:rPr>
                <w:sz w:val="20"/>
                <w:szCs w:val="20"/>
                <w:color w:val="auto"/>
              </w:rPr>
            </w:pPr>
            <w:r>
              <w:rPr>
                <w:rFonts w:ascii="Arial" w:cs="Arial" w:eastAsia="Arial" w:hAnsi="Arial"/>
                <w:sz w:val="18"/>
                <w:szCs w:val="18"/>
                <w:color w:val="auto"/>
                <w:w w:val="94"/>
              </w:rPr>
              <w:t>Iowa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108</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2019</w:t>
            </w:r>
          </w:p>
        </w:tc>
      </w:tr>
      <w:tr>
        <w:trPr>
          <w:trHeight w:val="27"/>
        </w:trPr>
        <w:tc>
          <w:tcPr>
            <w:tcW w:w="32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II</w:t>
            </w:r>
          </w:p>
        </w:tc>
        <w:tc>
          <w:tcPr>
            <w:tcW w:w="3040" w:type="dxa"/>
            <w:vAlign w:val="bottom"/>
            <w:tcBorders>
              <w:bottom w:val="single" w:sz="8" w:color="CCEEFF"/>
            </w:tcBorders>
            <w:shd w:val="clear" w:color="auto" w:fill="CCEEFF"/>
          </w:tcPr>
          <w:p>
            <w:pPr>
              <w:jc w:val="center"/>
              <w:ind w:left="1270"/>
              <w:spacing w:after="0"/>
              <w:rPr>
                <w:sz w:val="20"/>
                <w:szCs w:val="20"/>
                <w:color w:val="auto"/>
              </w:rPr>
            </w:pPr>
            <w:r>
              <w:rPr>
                <w:rFonts w:ascii="Arial" w:cs="Arial" w:eastAsia="Arial" w:hAnsi="Arial"/>
                <w:sz w:val="18"/>
                <w:szCs w:val="18"/>
                <w:color w:val="auto"/>
                <w:w w:val="94"/>
              </w:rPr>
              <w:t>Iowa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77</w:t>
            </w:r>
          </w:p>
        </w:tc>
        <w:tc>
          <w:tcPr>
            <w:tcW w:w="15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PPA 1</w:t>
            </w:r>
          </w:p>
        </w:tc>
        <w:tc>
          <w:tcPr>
            <w:tcW w:w="30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90%</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2019</w:t>
            </w:r>
          </w:p>
        </w:tc>
      </w:tr>
      <w:tr>
        <w:trPr>
          <w:trHeight w:val="27"/>
        </w:trPr>
        <w:tc>
          <w:tcPr>
            <w:tcW w:w="32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5"/>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 2</w:t>
            </w:r>
          </w:p>
        </w:tc>
        <w:tc>
          <w:tcPr>
            <w:tcW w:w="30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2032</w:t>
            </w:r>
          </w:p>
        </w:tc>
      </w:tr>
      <w:tr>
        <w:trPr>
          <w:trHeight w:val="237"/>
        </w:trPr>
        <w:tc>
          <w:tcPr>
            <w:tcW w:w="3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Condon</w:t>
            </w:r>
          </w:p>
        </w:tc>
        <w:tc>
          <w:tcPr>
            <w:tcW w:w="3040" w:type="dxa"/>
            <w:vAlign w:val="bottom"/>
            <w:tcBorders>
              <w:top w:val="single" w:sz="8" w:color="auto"/>
            </w:tcBorders>
          </w:tcPr>
          <w:p>
            <w:pPr>
              <w:jc w:val="center"/>
              <w:ind w:left="1290"/>
              <w:spacing w:after="0"/>
              <w:rPr>
                <w:sz w:val="20"/>
                <w:szCs w:val="20"/>
                <w:color w:val="auto"/>
              </w:rPr>
            </w:pPr>
            <w:r>
              <w:rPr>
                <w:rFonts w:ascii="Arial" w:cs="Arial" w:eastAsia="Arial" w:hAnsi="Arial"/>
                <w:sz w:val="18"/>
                <w:szCs w:val="18"/>
                <w:color w:val="auto"/>
                <w:w w:val="89"/>
              </w:rPr>
              <w:t>Oregon</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50</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2022</w:t>
            </w:r>
          </w:p>
        </w:tc>
      </w:tr>
      <w:tr>
        <w:trPr>
          <w:trHeight w:val="27"/>
        </w:trPr>
        <w:tc>
          <w:tcPr>
            <w:tcW w:w="32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3040" w:type="dxa"/>
            <w:vAlign w:val="bottom"/>
            <w:tcBorders>
              <w:bottom w:val="single" w:sz="8" w:color="CCEEFF"/>
            </w:tcBorders>
            <w:shd w:val="clear" w:color="auto" w:fill="CCEEFF"/>
          </w:tcPr>
          <w:p>
            <w:pPr>
              <w:jc w:val="center"/>
              <w:ind w:left="1270"/>
              <w:spacing w:after="0"/>
              <w:rPr>
                <w:sz w:val="20"/>
                <w:szCs w:val="20"/>
                <w:color w:val="auto"/>
              </w:rPr>
            </w:pPr>
            <w:r>
              <w:rPr>
                <w:rFonts w:ascii="Arial" w:cs="Arial" w:eastAsia="Arial" w:hAnsi="Arial"/>
                <w:sz w:val="18"/>
                <w:szCs w:val="18"/>
                <w:color w:val="auto"/>
                <w:w w:val="89"/>
              </w:rPr>
              <w:t>Pennsylvania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2024</w:t>
            </w:r>
          </w:p>
        </w:tc>
      </w:tr>
      <w:tr>
        <w:trPr>
          <w:trHeight w:val="237"/>
        </w:trPr>
        <w:tc>
          <w:tcPr>
            <w:tcW w:w="3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Chanarambie/Viking</w:t>
            </w:r>
          </w:p>
        </w:tc>
        <w:tc>
          <w:tcPr>
            <w:tcW w:w="3040" w:type="dxa"/>
            <w:vAlign w:val="bottom"/>
            <w:tcBorders>
              <w:top w:val="single" w:sz="8" w:color="auto"/>
            </w:tcBorders>
          </w:tcPr>
          <w:p>
            <w:pPr>
              <w:jc w:val="center"/>
              <w:ind w:left="1270"/>
              <w:spacing w:after="0"/>
              <w:rPr>
                <w:sz w:val="20"/>
                <w:szCs w:val="20"/>
                <w:color w:val="auto"/>
              </w:rPr>
            </w:pPr>
            <w:r>
              <w:rPr>
                <w:rFonts w:ascii="Arial" w:cs="Arial" w:eastAsia="Arial" w:hAnsi="Arial"/>
                <w:sz w:val="18"/>
                <w:szCs w:val="18"/>
                <w:color w:val="auto"/>
                <w:w w:val="91"/>
              </w:rPr>
              <w:t>Minnesota</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97.5</w:t>
            </w:r>
          </w:p>
        </w:tc>
        <w:tc>
          <w:tcPr>
            <w:tcW w:w="15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 1</w:t>
            </w:r>
          </w:p>
        </w:tc>
        <w:tc>
          <w:tcPr>
            <w:tcW w:w="30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2018</w:t>
            </w: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PPA 2</w:t>
            </w:r>
          </w:p>
        </w:tc>
        <w:tc>
          <w:tcPr>
            <w:tcW w:w="30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7"/>
        </w:trPr>
        <w:tc>
          <w:tcPr>
            <w:tcW w:w="32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36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10, 2015, ALLETE acquired U.S. Water Services. Headquartered in St. Michael, Minnesota, U.S. Water Services provides integrated water management for industry by combining chemical, equipment, engineering and service for customized solutions to reduce water and energy usage and improve efficiency. U.S. Water Services is a nationwide service provider located in 49 states and Canada and has an established base of 3,800 customers. U.S. Water Services differentiates itself from the competition by developing unexpected synergies between established solutions in engineering, equipment, and chemical water treatment and helping customers achieve efficient and sustainable use of their water and energy systems. U.S. Water Services is a leading provider to the biofuels industry, and also serves the food and beverage, industrial, power generation, and midstream oil and gas industries. U.S. Water Services has demonstratively recurring revenue.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is to grow U.S. Water Services’ North American presence by adding customers, products, and new geographies. We believe water scarcity and a growing emphasis on conservation will continue to drive significant growth in the industrial, commercial, and governmental sectors leading to organic revenue growth for U.S. Water Services. U.S. Water Services also expects to pursue periodic strategic tuck-in acquisitions with a purchase price in the $10 million to $50 million range. Priority will be given to acquisitions which expand its geographic reach, add new technology, or deepen its capabilities to serve its expanding customer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4.4 million tons of coal in 2015 (4.0 million tons were sold in 2014) and has sold 3.3 million tons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(2.8 million tons were sold as of September 30, 2014). BNI Coal operates under cost-plus fixed fee agreements extending through December 31, 2037.</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ALLETE Properties. </w:t>
      </w:r>
      <w:r>
        <w:rPr>
          <w:rFonts w:ascii="Arial" w:cs="Arial" w:eastAsia="Arial" w:hAnsi="Arial"/>
          <w:sz w:val="17"/>
          <w:szCs w:val="17"/>
          <w:color w:val="auto"/>
        </w:rPr>
        <w:t>ALLETE Properties represents our Florida real estate investment. Market conditions can impact land sales and could result in our</w:t>
      </w:r>
      <w:r>
        <w:rPr>
          <w:rFonts w:ascii="Arial" w:cs="Arial" w:eastAsia="Arial" w:hAnsi="Arial"/>
          <w:sz w:val="17"/>
          <w:szCs w:val="17"/>
          <w:i w:val="1"/>
          <w:iCs w:val="1"/>
          <w:color w:val="auto"/>
        </w:rPr>
        <w:t xml:space="preserve"> </w:t>
      </w:r>
      <w:r>
        <w:rPr>
          <w:rFonts w:ascii="Arial" w:cs="Arial" w:eastAsia="Arial" w:hAnsi="Arial"/>
          <w:sz w:val="17"/>
          <w:szCs w:val="17"/>
          <w:color w:val="auto"/>
        </w:rPr>
        <w:t>inability to cover our cost basis, operating expenses or fixed carrying costs such as community development district assessments and property taxes.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for ALLETE Properties has been to complete and maintain key entitlements and infrastructure improvements without requiring significant additional investment, and sell assets in the portfolio over time in order to optimize cash flows in support of future investment opportunities and growth initiatives. Opportunities for growth and investment in our energy infrastructure and related services strategy may impact management’s decisions to divest all or portions of the ALLETE Properties’ asset portfolio; this could impact the timing and pricing of divestitures. ALLETE does not intend to acquire additional Florida real estate.</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 Properties’ two major development projects are Town Center and Palm Coast Park. Another major project, Ormond Crossings, is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20"/>
          </w:cols>
          <w:pgMar w:left="240" w:top="36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Summary of Development Projects (100% Owned)</w:t>
            </w:r>
          </w:p>
        </w:tc>
        <w:tc>
          <w:tcPr>
            <w:tcW w:w="268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As of September 30, 2015</w:t>
            </w:r>
          </w:p>
        </w:tc>
        <w:tc>
          <w:tcPr>
            <w:tcW w:w="2680" w:type="dxa"/>
            <w:vAlign w:val="bottom"/>
          </w:tcPr>
          <w:p>
            <w:pPr>
              <w:jc w:val="right"/>
              <w:ind w:right="1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w:t>
            </w:r>
          </w:p>
        </w:tc>
      </w:tr>
      <w:tr>
        <w:trPr>
          <w:trHeight w:val="27"/>
        </w:trPr>
        <w:tc>
          <w:tcPr>
            <w:tcW w:w="56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Development Projects</w:t>
            </w:r>
          </w:p>
        </w:tc>
        <w:tc>
          <w:tcPr>
            <w:tcW w:w="2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60"/>
              <w:spacing w:after="0"/>
              <w:rPr>
                <w:sz w:val="20"/>
                <w:szCs w:val="20"/>
                <w:color w:val="auto"/>
              </w:rPr>
            </w:pPr>
            <w:r>
              <w:rPr>
                <w:rFonts w:ascii="Arial" w:cs="Arial" w:eastAsia="Arial" w:hAnsi="Arial"/>
                <w:sz w:val="18"/>
                <w:szCs w:val="18"/>
                <w:color w:val="auto"/>
              </w:rPr>
              <w:t>Town Center</w:t>
            </w:r>
          </w:p>
        </w:tc>
        <w:tc>
          <w:tcPr>
            <w:tcW w:w="2680" w:type="dxa"/>
            <w:vAlign w:val="bottom"/>
          </w:tcPr>
          <w:p>
            <w:pPr>
              <w:jc w:val="right"/>
              <w:ind w:right="170"/>
              <w:spacing w:after="0"/>
              <w:rPr>
                <w:sz w:val="20"/>
                <w:szCs w:val="20"/>
                <w:color w:val="auto"/>
              </w:rPr>
            </w:pPr>
            <w:r>
              <w:rPr>
                <w:rFonts w:ascii="Arial" w:cs="Arial" w:eastAsia="Arial" w:hAnsi="Arial"/>
                <w:sz w:val="18"/>
                <w:szCs w:val="18"/>
                <w:color w:val="auto"/>
              </w:rPr>
              <w:t>958</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2,359</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2,236,700</w:t>
            </w:r>
          </w:p>
        </w:tc>
      </w:tr>
      <w:tr>
        <w:trPr>
          <w:trHeight w:val="27"/>
        </w:trPr>
        <w:tc>
          <w:tcPr>
            <w:tcW w:w="5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5"/>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Palm Coast Park</w:t>
            </w:r>
          </w:p>
        </w:tc>
        <w:tc>
          <w:tcPr>
            <w:tcW w:w="2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3,771</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3,746</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3,096,800</w:t>
            </w:r>
          </w:p>
        </w:tc>
      </w:tr>
      <w:tr>
        <w:trPr>
          <w:trHeight w:val="237"/>
        </w:trPr>
        <w:tc>
          <w:tcPr>
            <w:tcW w:w="5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Current Development Projects</w:t>
            </w:r>
          </w:p>
        </w:tc>
        <w:tc>
          <w:tcPr>
            <w:tcW w:w="2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4,729</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6,105</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5,333,500</w:t>
            </w:r>
          </w:p>
        </w:tc>
      </w:tr>
      <w:tr>
        <w:trPr>
          <w:trHeight w:val="27"/>
        </w:trPr>
        <w:tc>
          <w:tcPr>
            <w:tcW w:w="5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84"/>
        </w:trPr>
        <w:tc>
          <w:tcPr>
            <w:tcW w:w="566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Planned Development Project</w:t>
            </w:r>
          </w:p>
        </w:tc>
        <w:tc>
          <w:tcPr>
            <w:tcW w:w="2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Ormond Crossings</w:t>
            </w:r>
          </w:p>
        </w:tc>
        <w:tc>
          <w:tcPr>
            <w:tcW w:w="2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2,883</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2,950</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3,215,000</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Other</w:t>
            </w:r>
          </w:p>
        </w:tc>
        <w:tc>
          <w:tcPr>
            <w:tcW w:w="2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5"/>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Lake Swamp Wetland Mitigation Project</w:t>
            </w:r>
          </w:p>
        </w:tc>
        <w:tc>
          <w:tcPr>
            <w:tcW w:w="2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3,050</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rPr>
              <w:t>(c)</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(c)</w:t>
            </w:r>
          </w:p>
        </w:tc>
      </w:tr>
      <w:tr>
        <w:trPr>
          <w:trHeight w:val="237"/>
        </w:trPr>
        <w:tc>
          <w:tcPr>
            <w:tcW w:w="5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of Development Projects</w:t>
            </w:r>
          </w:p>
        </w:tc>
        <w:tc>
          <w:tcPr>
            <w:tcW w:w="2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10,662</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9,055</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8,548,500</w:t>
            </w:r>
          </w:p>
        </w:tc>
      </w:tr>
    </w:tbl>
    <w:p>
      <w:pPr>
        <w:spacing w:after="0" w:line="4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27"/>
        </w:numPr>
        <w:rPr>
          <w:rFonts w:ascii="Arial" w:cs="Arial" w:eastAsia="Arial" w:hAnsi="Arial"/>
          <w:sz w:val="18"/>
          <w:szCs w:val="18"/>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9" w:lineRule="exact"/>
        <w:rPr>
          <w:rFonts w:ascii="Arial" w:cs="Arial" w:eastAsia="Arial" w:hAnsi="Arial"/>
          <w:sz w:val="18"/>
          <w:szCs w:val="18"/>
          <w:i w:val="1"/>
          <w:iCs w:val="1"/>
          <w:color w:val="auto"/>
        </w:rPr>
      </w:pPr>
    </w:p>
    <w:p>
      <w:pPr>
        <w:ind w:left="340" w:right="20" w:hanging="332"/>
        <w:spacing w:after="0" w:line="281" w:lineRule="auto"/>
        <w:tabs>
          <w:tab w:leader="none" w:pos="340" w:val="left"/>
        </w:tabs>
        <w:numPr>
          <w:ilvl w:val="0"/>
          <w:numId w:val="27"/>
        </w:numPr>
        <w:rPr>
          <w:rFonts w:ascii="Arial" w:cs="Arial" w:eastAsia="Arial" w:hAnsi="Arial"/>
          <w:sz w:val="18"/>
          <w:szCs w:val="18"/>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credits will be used at Ormond Crossings and are available-for-sale to developers of other projects that are located in the bank’s service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-575310</wp:posOffset>
            </wp:positionV>
            <wp:extent cx="7212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1,650 acres of other land available-for-sale.</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ALLETE’s aggregate federal and multi-state statutory tax rate is approximately 41 percent for 2015. On an ongoing basis, ALLETE has tax</w:t>
      </w:r>
      <w:r>
        <w:rPr>
          <w:rFonts w:ascii="Arial" w:cs="Arial" w:eastAsia="Arial" w:hAnsi="Arial"/>
          <w:sz w:val="18"/>
          <w:szCs w:val="18"/>
          <w:b w:val="1"/>
          <w:bCs w:val="1"/>
          <w:color w:val="auto"/>
        </w:rPr>
        <w:t xml:space="preserve"> </w:t>
      </w:r>
      <w:r>
        <w:rPr>
          <w:rFonts w:ascii="Arial" w:cs="Arial" w:eastAsia="Arial" w:hAnsi="Arial"/>
          <w:sz w:val="18"/>
          <w:szCs w:val="18"/>
          <w:color w:val="auto"/>
        </w:rPr>
        <w:t>credits and other tax adjustments that reduce the statutory rate to the effective tax rate. These tax credits and adjustments historically have included items such as investment tax credits, production tax credits, AFUDC–Equity, depletion,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Primarily due to increased production tax credits as a result of wind generation, we expect our effective tax rate to be approximately 20 percent for 2015. We also expect that our effective tax rate will be lower than the statutory rate over the next ten years due to production tax credits attributable to our wind generation. (See Note 11. Income Tax Expense.)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September 30, 2015,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$103.0 million, $384.6 million in available consolidated lines of credit and a debt-to-capital ratio of 47 percent.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980" w:type="dxa"/>
            <w:vAlign w:val="bottom"/>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18"/>
                <w:szCs w:val="18"/>
                <w:color w:val="auto"/>
              </w:rPr>
            </w:pPr>
          </w:p>
        </w:tc>
        <w:tc>
          <w:tcPr>
            <w:tcW w:w="182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Pr>
          <w:p>
            <w:pPr>
              <w:spacing w:after="0"/>
              <w:rPr>
                <w:sz w:val="18"/>
                <w:szCs w:val="18"/>
                <w:color w:val="auto"/>
              </w:rPr>
            </w:pPr>
          </w:p>
        </w:tc>
      </w:tr>
      <w:tr>
        <w:trPr>
          <w:trHeight w:val="234"/>
        </w:trPr>
        <w:tc>
          <w:tcPr>
            <w:tcW w:w="4880" w:type="dxa"/>
            <w:vAlign w:val="bottom"/>
          </w:tcPr>
          <w:p>
            <w:pPr>
              <w:spacing w:after="0"/>
              <w:rPr>
                <w:sz w:val="20"/>
                <w:szCs w:val="20"/>
                <w:color w:val="auto"/>
              </w:rPr>
            </w:pPr>
          </w:p>
        </w:tc>
        <w:tc>
          <w:tcPr>
            <w:tcW w:w="2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48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48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$1,821.7</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53</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$1,609.4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98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1.8</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1,598.1</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47</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1,373.5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29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3.7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$3,421.5</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$2,988.4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88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36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19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46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tc>
        <w:tc>
          <w:tcPr>
            <w:tcW w:w="1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19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8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$145.8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19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254.6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212.1</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1900" w:type="dxa"/>
            <w:vAlign w:val="bottom"/>
          </w:tcPr>
          <w:p>
            <w:pPr>
              <w:jc w:val="right"/>
              <w:ind w:right="370"/>
              <w:spacing w:after="0"/>
              <w:rPr>
                <w:sz w:val="20"/>
                <w:szCs w:val="20"/>
                <w:color w:val="auto"/>
              </w:rPr>
            </w:pPr>
            <w:r>
              <w:rPr>
                <w:rFonts w:ascii="Arial" w:cs="Arial" w:eastAsia="Arial" w:hAnsi="Arial"/>
                <w:sz w:val="18"/>
                <w:szCs w:val="18"/>
                <w:color w:val="auto"/>
              </w:rPr>
              <w:t>(534.3)</w:t>
            </w:r>
          </w:p>
        </w:tc>
        <w:tc>
          <w:tcPr>
            <w:tcW w:w="1060" w:type="dxa"/>
            <w:vAlign w:val="bottom"/>
          </w:tcPr>
          <w:p>
            <w:pPr>
              <w:jc w:val="right"/>
              <w:spacing w:after="0"/>
              <w:rPr>
                <w:sz w:val="20"/>
                <w:szCs w:val="20"/>
                <w:color w:val="auto"/>
              </w:rPr>
            </w:pPr>
            <w:r>
              <w:rPr>
                <w:rFonts w:ascii="Arial" w:cs="Arial" w:eastAsia="Arial" w:hAnsi="Arial"/>
                <w:sz w:val="18"/>
                <w:szCs w:val="18"/>
                <w:color w:val="auto"/>
              </w:rPr>
              <w:t>(458.5)</w:t>
            </w:r>
          </w:p>
        </w:tc>
      </w:tr>
      <w:tr>
        <w:trPr>
          <w:trHeight w:val="27"/>
        </w:trPr>
        <w:tc>
          <w:tcPr>
            <w:tcW w:w="8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236.9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299.6</w:t>
            </w:r>
          </w:p>
        </w:tc>
      </w:tr>
      <w:tr>
        <w:trPr>
          <w:trHeight w:val="237"/>
        </w:trPr>
        <w:tc>
          <w:tcPr>
            <w:tcW w:w="8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19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(42.8)</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w:t>
            </w:r>
          </w:p>
        </w:tc>
      </w:tr>
      <w:tr>
        <w:trPr>
          <w:trHeight w:val="27"/>
        </w:trPr>
        <w:tc>
          <w:tcPr>
            <w:tcW w:w="8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$103.0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r>
      <w:tr>
        <w:trPr>
          <w:trHeight w:val="20"/>
        </w:trPr>
        <w:tc>
          <w:tcPr>
            <w:tcW w:w="84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$254.6 million for the nine months ended September 30, 2015 ($212.1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2014). Cash from operating activities was higher in 2015 primarily due to higher net income and non-cash items (primarily depreciation expense), partially offset by higher fuel inventories.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used for investing activities was $534.3 million for the nine months ended September 30, 2015 ($458.5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2014). The increase in cash used for investing activities was primarily due to the U.S. Water Services acquisition in February 2015 and acquisitions by ALLETE Clean Energy in 2015, which were partially offset by lower capital expenditures in 2015.</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$236.9 million for the nine months ended September 30, 2015 ($299.6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2014). The decrease in cash from financing activities was primarily due to lower proceeds from the issuance of long-term debt, net of repayments, in 2015, partially offset by higher proceeds from the issuance of common stock in 2015.</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Working Capital. </w:t>
      </w:r>
      <w:r>
        <w:rPr>
          <w:rFonts w:ascii="Arial" w:cs="Arial" w:eastAsia="Arial" w:hAnsi="Arial"/>
          <w:sz w:val="17"/>
          <w:szCs w:val="17"/>
          <w:color w:val="auto"/>
        </w:rPr>
        <w:t>Additional working capital, if and when needed, generally is provided by consolidated bank lines of credit or the sale of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commercial paper. As of September 30, 2015, we had available consolidated bank lines of credit aggregating $384.6 million ($357.2 million available as of December 31, 2014), the majority of which expire in November 2018. In addition, as of September 30, 2015, we had 1.9 million original issue shares of our common stock available for issuance through Invest Direct, our direct stock purchase and dividend reinvestment plan, and 4.0 million original issue shares of common stock available for issuance through a distribution agreement with Lampert Capital Markets, Inc. (See </w:t>
      </w:r>
      <w:r>
        <w:rPr>
          <w:rFonts w:ascii="Arial" w:cs="Arial" w:eastAsia="Arial" w:hAnsi="Arial"/>
          <w:sz w:val="17"/>
          <w:szCs w:val="17"/>
          <w:i w:val="1"/>
          <w:iCs w:val="1"/>
          <w:color w:val="auto"/>
        </w:rPr>
        <w:t>Securities.</w:t>
      </w:r>
      <w:r>
        <w:rPr>
          <w:rFonts w:ascii="Arial" w:cs="Arial" w:eastAsia="Arial" w:hAnsi="Arial"/>
          <w:sz w:val="17"/>
          <w:szCs w:val="17"/>
          <w:color w:val="auto"/>
        </w:rPr>
        <w:t>) The amount and timing of future sales of our securities will depend upon market conditions and our specific needs.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entered into a distribution agreement with Lampert Capital Markets, Inc., in 2008, as amended most recently in February 2015,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and sale of up to an aggregate of 13.6 million shares of our common stock, without par value, of which 4.0 million remain available for issuance. For the nine months ended September 30, 2015, 1.3 million shares of common stock were issued under this agreement, resulting in net proceeds of $69.9 million (0.6 million shares were issued for the nine months ended September 30, 2014, resulting in net proceeds of $26.9 million). The shares issued in 2015 were offered and sold pursuant to Registration Statement No. 333-190335.</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2015, we issued 0.3 million shares of common stock through Invest Direct, the Employee Stock Purchase Plan, and the Retirement Savings and Stock Ownership Plan, resulting in net proceeds of $19.9 million (0.3 million shares were issued for the nine months ended September 30, 2014, resulting in net proceeds of $16.8 million). These shares of common stock were registered under Registration Statement Nos. 333-188315, 333-183051 and 333-162890.</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2014, ALLETE entered into a confirmation of forward sale agreement (Agreement) with a forward counterparty in connection with a public offering of 2.8 million shares of ALLETE common stock. Pursuant to the Agreement, the forward counterparty (or its affiliate) borrowed 2.8 million shares of ALLETE common stock from third parties and sold them to the underwriters. The forward sale price was $48.01 per share, subject to adjustment as provided in the Agreement. In September 2014, ALLETE physically settled a portion of its obligations under the Agreement by delivering approximately 1.4 million shares of common stock in exchange for cash proceeds of $65.0 million, and on February 4, 2015, ALLETE physically settled the remaining portion of its obligation under the Agreement by delivering approximately 1.4 million shares of common stock in exchange for cash proceeds of $65.4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20"/>
          </w:cols>
          <w:pgMar w:left="240" w:top="36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public offering of the 2.8 million shares, ALLETE granted the underwriters an option to purchase up to an additional 0.4 million shares of ALLETE common stock (the option shares). The underwriters exercised the option in full and in March 2014, the Company issued and sold the option shares to the underwriters at a price to ALLETE equal to the initial forward sale price for proceeds of $20.2 million.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25, 2015, the Company entered into a $125 million Term Loan Agreement with JPMorgan Chase Bank, N.A., as a lender and administrative agent, and Bank of America, N.A., as a lender (Term Loan). Proceeds from the Term Loan will be used for general corporate purposes, including the refinancing of the $75 million Term Loan Agreement due August 25, 2015. (See Note 9. Short-Term and Long-Term Debt.)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24, 2015, we issued $100 million of ALLETE first mortgage bonds (Bonds) in the private placement market in two series. The Company intends to use the proceeds from the sale of the Bonds to fund utility capital expenditures and/or for general corporate purposes. (See Note 9. Short-Term and Long-Term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9. Short-Term and Long-Term Debt for information regarding our financial covenants.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We do not expect to make any contributions to our defined benefit pension plan or our other postretirement benefit plan in 2015. (See Note 14. Pension and Other Postretirement Benefit Plans.)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2014 Form 10-K, with additional disclosure in Note 15.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2015 are expected to be approximately $280 million. For the nine months ended September 30, 2015,</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totaled $184.9 million ($467.6 million for the nine months ended September 30, 2014). The expenditures were primarily made in the Regulated Operations segment.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Environmental Matters are summarized in our 2014 Form 10-K, with additional disclosure in Note 15. Commitments, Guarantees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and SWL&amp;P have an aggregate of 562 employees who are members of the International Brotherhood of Electrical Workers (IBEW) Local 31. The current labor agreements with IBEW Local 31 expire on January 31, 2018.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Coal has 173 employees, of which 127 are members of IBEW Local 1593. The current labor agreement with IBEW Local 1593 expires on March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36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At September 30, 2015, our available-for-sale securities portfolio consisted primarily of securities held in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fund employee benefits. (See Note 3.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power marketing activities consist of: (1) purchasing energy in the wholesale market to serve our regulated service territory when 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September 30, 2015, and assuming no other changes to our financial structure, an increase of 100 basis points in interest rates would impact the amount of pre-tax interest expense by $1.9 million. This amount was determined by considering the impact of a hypothetical 100 basis point increase to the average variable interest rate on the variable rate debt outstanding as of September 30, 2015.</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September 30, 2015, evaluations were performed, under the supervision and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20"/>
          </w:cols>
          <w:pgMar w:left="240" w:top="36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5. Regulatory Matters and Note 12. Commitments, Guarantees and Contingencies to our Consolidated Financial Statements in the 2014 Form 10-K and Note 7. Regulatory Matters and Note 15. Commitments, Guarantees and Contingencies herein. Such information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2014 Form 10-K includes a detailed discussion of our risk factors. The information presented below updates, and should be read in conjunction with, the risk factors and information disclosed in our 2014 Form 10-K.</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ALLETE has a significant goodwill and intangible asset balance related to its acquisition of U.S. Water Services. A determination that goodwill or intangible assets have been impaired could result in a significant non-cash charge to earnings.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approximately $213 million of goodwill and intangible assets recorded on our Consolidated Balance Sheet as of September 30, 2015, primarily relating to our acquisition of U.S. Water Services on February 10, 2015. If we make changes in our business strategy or if market or other conditions adversely affect operations of our Energy Infrastructure and Related Services businesses, we may be required to record an impairment charge. Declines in projected operating cash flows at certain of our reported units may result in goodwill impairments. Depending on the amount of the impairment, an impairment could have a material adverse effect on our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36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jc w:val="both"/>
        <w:ind w:left="1300" w:right="20" w:hanging="659"/>
        <w:spacing w:after="0" w:line="277" w:lineRule="auto"/>
        <w:tabs>
          <w:tab w:leader="none" w:pos="1280" w:val="left"/>
        </w:tabs>
        <w:rPr>
          <w:sz w:val="20"/>
          <w:szCs w:val="20"/>
          <w:color w:val="auto"/>
        </w:rPr>
      </w:pPr>
      <w:r>
        <w:rPr>
          <w:rFonts w:ascii="Arial" w:cs="Arial" w:eastAsia="Arial" w:hAnsi="Arial"/>
          <w:sz w:val="18"/>
          <w:szCs w:val="18"/>
          <w:color w:val="auto"/>
        </w:rPr>
        <w:t>4(a)</w:t>
      </w:r>
      <w:r>
        <w:rPr>
          <w:sz w:val="20"/>
          <w:szCs w:val="20"/>
          <w:color w:val="auto"/>
        </w:rPr>
        <w:tab/>
      </w:r>
      <w:r>
        <w:rPr>
          <w:rFonts w:ascii="Arial" w:cs="Arial" w:eastAsia="Arial" w:hAnsi="Arial"/>
          <w:sz w:val="18"/>
          <w:szCs w:val="18"/>
          <w:color w:val="auto"/>
        </w:rPr>
        <w:t>Thirty-eighth Supplemental Indenture, dated as of September 1, 2015, between ALLETE, Inc. and The Bank of New York Mellon, as corporate trustee, and Andres Serrano, as co-trustee.</w:t>
      </w:r>
    </w:p>
    <w:p>
      <w:pPr>
        <w:spacing w:after="0" w:line="8" w:lineRule="exact"/>
        <w:rPr>
          <w:sz w:val="20"/>
          <w:szCs w:val="20"/>
          <w:color w:val="auto"/>
        </w:rPr>
      </w:pPr>
    </w:p>
    <w:p>
      <w:pPr>
        <w:jc w:val="both"/>
        <w:ind w:left="1300" w:right="20" w:hanging="679"/>
        <w:spacing w:after="0" w:line="264" w:lineRule="auto"/>
        <w:tabs>
          <w:tab w:leader="none" w:pos="1280" w:val="left"/>
        </w:tabs>
        <w:rPr>
          <w:sz w:val="20"/>
          <w:szCs w:val="20"/>
          <w:color w:val="auto"/>
        </w:rPr>
      </w:pPr>
      <w:r>
        <w:rPr>
          <w:rFonts w:ascii="Arial" w:cs="Arial" w:eastAsia="Arial" w:hAnsi="Arial"/>
          <w:sz w:val="18"/>
          <w:szCs w:val="18"/>
          <w:color w:val="auto"/>
        </w:rPr>
        <w:t>4(b)</w:t>
      </w:r>
      <w:r>
        <w:rPr>
          <w:sz w:val="20"/>
          <w:szCs w:val="20"/>
          <w:color w:val="auto"/>
        </w:rPr>
        <w:tab/>
      </w:r>
      <w:r>
        <w:rPr>
          <w:rFonts w:ascii="Arial" w:cs="Arial" w:eastAsia="Arial" w:hAnsi="Arial"/>
          <w:sz w:val="18"/>
          <w:szCs w:val="18"/>
          <w:color w:val="auto"/>
        </w:rPr>
        <w:t>Term Loan Agreement dated as of August 25, 2015, among ALLETE, Inc., as Borrower, the Lenders party hereto, JPMorgan Chase Bank, N.A., as Administrative Agent, and J.P. Morgan Securities LLC, as Sole Lead Arranger and Sole Book Runner (filed as Exhibit 4 to the August 28, 2015, Form 8-K,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540"/>
        <w:spacing w:after="0"/>
        <w:tabs>
          <w:tab w:leader="none" w:pos="1280" w:val="left"/>
        </w:tabs>
        <w:rPr>
          <w:sz w:val="20"/>
          <w:szCs w:val="20"/>
          <w:color w:val="auto"/>
        </w:rPr>
      </w:pPr>
      <w:r>
        <w:rPr>
          <w:rFonts w:ascii="Arial" w:cs="Arial" w:eastAsia="Arial" w:hAnsi="Arial"/>
          <w:sz w:val="17"/>
          <w:szCs w:val="17"/>
          <w:color w:val="auto"/>
        </w:rPr>
        <w:t>31(a)</w:t>
      </w:r>
      <w:r>
        <w:rPr>
          <w:sz w:val="20"/>
          <w:szCs w:val="20"/>
          <w:color w:val="auto"/>
        </w:rPr>
        <w:tab/>
      </w:r>
      <w:r>
        <w:rPr>
          <w:rFonts w:ascii="Arial" w:cs="Arial" w:eastAsia="Arial" w:hAnsi="Arial"/>
          <w:sz w:val="17"/>
          <w:szCs w:val="17"/>
          <w:color w:val="auto"/>
        </w:rPr>
        <w:t>Rule 13a-14(a)/15d-14(a) Certification by the Chief Executive Officer Pursuant to Section 302 of the Sarbanes-Oxley Act of 2002.</w:t>
      </w:r>
    </w:p>
    <w:p>
      <w:pPr>
        <w:spacing w:after="0" w:line="75"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31(b)</w:t>
      </w:r>
      <w:r>
        <w:rPr>
          <w:sz w:val="20"/>
          <w:szCs w:val="20"/>
          <w:color w:val="auto"/>
        </w:rPr>
        <w:tab/>
      </w:r>
      <w:r>
        <w:rPr>
          <w:rFonts w:ascii="Arial" w:cs="Arial" w:eastAsia="Arial" w:hAnsi="Arial"/>
          <w:sz w:val="17"/>
          <w:szCs w:val="17"/>
          <w:color w:val="auto"/>
        </w:rPr>
        <w:t>Rule 13a-14(a)/15d-14(a) Certification by the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5" w:lineRule="exact"/>
        <w:rPr>
          <w:sz w:val="20"/>
          <w:szCs w:val="20"/>
          <w:color w:val="auto"/>
        </w:rPr>
      </w:pPr>
    </w:p>
    <w:p>
      <w:pPr>
        <w:ind w:left="1300" w:right="20" w:hanging="55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8"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Mine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39" w:lineRule="exact"/>
        <w:rPr>
          <w:sz w:val="20"/>
          <w:szCs w:val="20"/>
          <w:color w:val="auto"/>
        </w:rPr>
      </w:pPr>
    </w:p>
    <w:p>
      <w:pPr>
        <w:jc w:val="both"/>
        <w:ind w:left="1300" w:right="40" w:hanging="554"/>
        <w:spacing w:after="0" w:line="307"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ALLETE News Release dated November 3, 2015, announcing 2015 third quarter earnings. </w:t>
      </w:r>
      <w:r>
        <w:rPr>
          <w:rFonts w:ascii="Arial" w:cs="Arial" w:eastAsia="Arial" w:hAnsi="Arial"/>
          <w:sz w:val="16"/>
          <w:szCs w:val="16"/>
          <w:b w:val="1"/>
          <w:bCs w:val="1"/>
          <w:color w:val="auto"/>
        </w:rPr>
        <w:t>(This exhibit has been furnished and shall not</w:t>
      </w:r>
      <w:r>
        <w:rPr>
          <w:rFonts w:ascii="Arial" w:cs="Arial" w:eastAsia="Arial" w:hAnsi="Arial"/>
          <w:sz w:val="16"/>
          <w:szCs w:val="16"/>
          <w:color w:val="auto"/>
        </w:rPr>
        <w:t xml:space="preserve"> </w:t>
      </w:r>
      <w:r>
        <w:rPr>
          <w:rFonts w:ascii="Arial" w:cs="Arial" w:eastAsia="Arial" w:hAnsi="Arial"/>
          <w:sz w:val="16"/>
          <w:szCs w:val="16"/>
          <w:b w:val="1"/>
          <w:bCs w:val="1"/>
          <w:color w:val="auto"/>
        </w:rPr>
        <w:t>be 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0" w:type="dxa"/>
        <w:tblCellMar>
          <w:top w:w="0" w:type="dxa"/>
          <w:left w:w="0" w:type="dxa"/>
          <w:bottom w:w="0" w:type="dxa"/>
          <w:right w:w="0" w:type="dxa"/>
        </w:tblCellMar>
      </w:tblPr>
      <w:tr>
        <w:trPr>
          <w:trHeight w:val="230"/>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10320" w:type="dxa"/>
            <w:vAlign w:val="bottom"/>
          </w:tcPr>
          <w:p>
            <w:pPr>
              <w:ind w:left="200"/>
              <w:spacing w:after="0"/>
              <w:rPr>
                <w:sz w:val="20"/>
                <w:szCs w:val="20"/>
                <w:color w:val="auto"/>
              </w:rPr>
            </w:pPr>
            <w:r>
              <w:rPr>
                <w:rFonts w:ascii="Arial" w:cs="Arial" w:eastAsia="Arial" w:hAnsi="Arial"/>
                <w:sz w:val="18"/>
                <w:szCs w:val="18"/>
                <w:color w:val="auto"/>
              </w:rPr>
              <w:t>XBRL Instance</w:t>
            </w:r>
          </w:p>
        </w:tc>
      </w:tr>
      <w:tr>
        <w:trPr>
          <w:trHeight w:val="27"/>
        </w:trPr>
        <w:tc>
          <w:tcPr>
            <w:tcW w:w="110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101.SCH</w:t>
            </w:r>
          </w:p>
        </w:tc>
        <w:tc>
          <w:tcPr>
            <w:tcW w:w="10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Schema</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101.CAL</w:t>
            </w:r>
          </w:p>
        </w:tc>
        <w:tc>
          <w:tcPr>
            <w:tcW w:w="10320" w:type="dxa"/>
            <w:vAlign w:val="bottom"/>
          </w:tcPr>
          <w:p>
            <w:pPr>
              <w:ind w:left="200"/>
              <w:spacing w:after="0"/>
              <w:rPr>
                <w:sz w:val="20"/>
                <w:szCs w:val="20"/>
                <w:color w:val="auto"/>
              </w:rPr>
            </w:pPr>
            <w:r>
              <w:rPr>
                <w:rFonts w:ascii="Arial" w:cs="Arial" w:eastAsia="Arial" w:hAnsi="Arial"/>
                <w:sz w:val="18"/>
                <w:szCs w:val="18"/>
                <w:color w:val="auto"/>
              </w:rPr>
              <w:t>XBRL Calculation</w:t>
            </w:r>
          </w:p>
        </w:tc>
      </w:tr>
      <w:tr>
        <w:trPr>
          <w:trHeight w:val="27"/>
        </w:trPr>
        <w:tc>
          <w:tcPr>
            <w:tcW w:w="110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101.DEF</w:t>
            </w:r>
          </w:p>
        </w:tc>
        <w:tc>
          <w:tcPr>
            <w:tcW w:w="10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Definition</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101.LAB</w:t>
            </w:r>
          </w:p>
        </w:tc>
        <w:tc>
          <w:tcPr>
            <w:tcW w:w="10320" w:type="dxa"/>
            <w:vAlign w:val="bottom"/>
          </w:tcPr>
          <w:p>
            <w:pPr>
              <w:ind w:left="200"/>
              <w:spacing w:after="0"/>
              <w:rPr>
                <w:sz w:val="20"/>
                <w:szCs w:val="20"/>
                <w:color w:val="auto"/>
              </w:rPr>
            </w:pPr>
            <w:r>
              <w:rPr>
                <w:rFonts w:ascii="Arial" w:cs="Arial" w:eastAsia="Arial" w:hAnsi="Arial"/>
                <w:sz w:val="18"/>
                <w:szCs w:val="18"/>
                <w:color w:val="auto"/>
              </w:rPr>
              <w:t>XBRL Label</w:t>
            </w:r>
          </w:p>
        </w:tc>
      </w:tr>
      <w:tr>
        <w:trPr>
          <w:trHeight w:val="27"/>
        </w:trPr>
        <w:tc>
          <w:tcPr>
            <w:tcW w:w="110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43"/>
        </w:trPr>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101.PRE</w:t>
            </w:r>
          </w:p>
        </w:tc>
        <w:tc>
          <w:tcPr>
            <w:tcW w:w="10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Presentation</w:t>
            </w:r>
          </w:p>
        </w:tc>
      </w:tr>
      <w:tr>
        <w:trPr>
          <w:trHeight w:val="27"/>
        </w:trPr>
        <w:tc>
          <w:tcPr>
            <w:tcW w:w="1100" w:type="dxa"/>
            <w:vAlign w:val="bottom"/>
            <w:shd w:val="clear" w:color="auto" w:fill="CCEEFF"/>
          </w:tcPr>
          <w:p>
            <w:pPr>
              <w:spacing w:after="0"/>
              <w:rPr>
                <w:sz w:val="2"/>
                <w:szCs w:val="2"/>
                <w:color w:val="auto"/>
              </w:rPr>
            </w:pPr>
          </w:p>
        </w:tc>
        <w:tc>
          <w:tcPr>
            <w:tcW w:w="10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364"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November 3, 2015</w:t>
            </w:r>
          </w:p>
        </w:tc>
        <w:tc>
          <w:tcPr>
            <w:tcW w:w="5800" w:type="dxa"/>
            <w:vAlign w:val="bottom"/>
          </w:tcPr>
          <w:p>
            <w:pPr>
              <w:jc w:val="center"/>
              <w:spacing w:after="0"/>
              <w:rPr>
                <w:sz w:val="20"/>
                <w:szCs w:val="20"/>
                <w:color w:val="auto"/>
              </w:rPr>
            </w:pPr>
            <w:r>
              <w:rPr>
                <w:rFonts w:ascii="Arial" w:cs="Arial" w:eastAsia="Arial" w:hAnsi="Arial"/>
                <w:sz w:val="18"/>
                <w:szCs w:val="18"/>
                <w:color w:val="auto"/>
                <w:w w:val="90"/>
              </w:rPr>
              <w:t>/s/ Steven Q. DeVinck</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Q. DeVinck</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November 3, 2015</w:t>
            </w:r>
          </w:p>
        </w:tc>
        <w:tc>
          <w:tcPr>
            <w:tcW w:w="274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7"/>
        </w:trPr>
        <w:tc>
          <w:tcPr>
            <w:tcW w:w="2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r>
      <w:tr>
        <w:trPr>
          <w:trHeight w:val="270"/>
        </w:trPr>
        <w:tc>
          <w:tcPr>
            <w:tcW w:w="28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4"/>
              </w:rPr>
              <w:t>Controller</w:t>
            </w:r>
          </w:p>
        </w:tc>
      </w:tr>
      <w:tr>
        <w:trPr>
          <w:trHeight w:val="588"/>
        </w:trPr>
        <w:tc>
          <w:tcPr>
            <w:tcW w:w="2840" w:type="dxa"/>
            <w:vAlign w:val="bottom"/>
          </w:tcPr>
          <w:p>
            <w:pPr>
              <w:spacing w:after="0"/>
              <w:rPr>
                <w:sz w:val="24"/>
                <w:szCs w:val="24"/>
                <w:color w:val="auto"/>
              </w:rPr>
            </w:pPr>
          </w:p>
        </w:tc>
        <w:tc>
          <w:tcPr>
            <w:tcW w:w="8540" w:type="dxa"/>
            <w:vAlign w:val="bottom"/>
            <w:gridSpan w:val="2"/>
          </w:tcPr>
          <w:p>
            <w:pPr>
              <w:ind w:left="1500"/>
              <w:spacing w:after="0"/>
              <w:rPr>
                <w:sz w:val="20"/>
                <w:szCs w:val="20"/>
                <w:color w:val="auto"/>
              </w:rPr>
            </w:pPr>
            <w:r>
              <w:rPr>
                <w:rFonts w:ascii="Arial" w:cs="Arial" w:eastAsia="Arial" w:hAnsi="Arial"/>
                <w:sz w:val="14"/>
                <w:szCs w:val="14"/>
                <w:color w:val="auto"/>
              </w:rPr>
              <w:t>ALLETE, Inc. Third Quarter 2015 Form 10-Q</w:t>
            </w:r>
          </w:p>
        </w:tc>
      </w:tr>
    </w:tbl>
    <w:p>
      <w:pPr>
        <w:jc w:val="right"/>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36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20"/>
          <w:szCs w:val="20"/>
          <w:color w:val="auto"/>
        </w:rPr>
        <w:t>Exhibit 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478155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ALLETE, Inc.</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(formerly Minnesota Power &amp; Light Company</w:t>
      </w:r>
    </w:p>
    <w:p>
      <w:pPr>
        <w:spacing w:after="0" w:line="86"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and formerly Minnesota Power, Inc.)</w:t>
      </w:r>
    </w:p>
    <w:p>
      <w:pPr>
        <w:spacing w:after="0" w:line="108"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auto"/>
        </w:rPr>
        <w:t>TO</w:t>
      </w:r>
    </w:p>
    <w:p>
      <w:pPr>
        <w:spacing w:after="0" w:line="108"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THE BANK OF NEW YORK MELLON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(formerly The Bank of New York</w:t>
      </w:r>
    </w:p>
    <w:p>
      <w:pPr>
        <w:ind w:left="3060"/>
        <w:spacing w:after="0"/>
        <w:rPr>
          <w:sz w:val="20"/>
          <w:szCs w:val="20"/>
          <w:color w:val="auto"/>
        </w:rPr>
      </w:pPr>
      <w:r>
        <w:rPr>
          <w:rFonts w:ascii="Arial" w:cs="Arial" w:eastAsia="Arial" w:hAnsi="Arial"/>
          <w:sz w:val="20"/>
          <w:szCs w:val="20"/>
          <w:b w:val="1"/>
          <w:bCs w:val="1"/>
          <w:color w:val="auto"/>
        </w:rPr>
        <w:t>(formerly Irving Trust Company))</w:t>
      </w:r>
    </w:p>
    <w:p>
      <w:pPr>
        <w:spacing w:after="0" w:line="86"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AND</w:t>
      </w:r>
    </w:p>
    <w:p>
      <w:pPr>
        <w:spacing w:after="0" w:line="108"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ANDRES SERRANO</w:t>
      </w:r>
    </w:p>
    <w:p>
      <w:pPr>
        <w:spacing w:after="0" w:line="22" w:lineRule="exact"/>
        <w:rPr>
          <w:sz w:val="20"/>
          <w:szCs w:val="20"/>
          <w:color w:val="auto"/>
        </w:rPr>
      </w:pPr>
    </w:p>
    <w:p>
      <w:pPr>
        <w:jc w:val="center"/>
        <w:ind w:left="560" w:right="460"/>
        <w:spacing w:after="0" w:line="244" w:lineRule="auto"/>
        <w:rPr>
          <w:sz w:val="20"/>
          <w:szCs w:val="20"/>
          <w:color w:val="auto"/>
        </w:rPr>
      </w:pPr>
      <w:r>
        <w:rPr>
          <w:rFonts w:ascii="Arial" w:cs="Arial" w:eastAsia="Arial" w:hAnsi="Arial"/>
          <w:sz w:val="20"/>
          <w:szCs w:val="20"/>
          <w:b w:val="1"/>
          <w:bCs w:val="1"/>
          <w:color w:val="auto"/>
        </w:rPr>
        <w:t>(successor to Richard H. West, J. A. Austin, E. J. McCabe, D. W. May, J. A. Vaughan, W. T. Cunningham, Douglas J. MacInnes, Ming Ryan and Philip L. Watson)</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as Trustees under ALLETE, Inc.’s Mortgage and Deed of Trust dated as of September 1, 1945</w:t>
      </w:r>
    </w:p>
    <w:p>
      <w:pPr>
        <w:spacing w:after="0" w:line="324"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Thirty-eighth Supplemental Indenture</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Providing, among other things, for</w:t>
      </w:r>
    </w:p>
    <w:p>
      <w:pPr>
        <w:spacing w:after="0" w:line="200" w:lineRule="exact"/>
        <w:rPr>
          <w:sz w:val="20"/>
          <w:szCs w:val="20"/>
          <w:color w:val="auto"/>
        </w:rPr>
      </w:pPr>
    </w:p>
    <w:p>
      <w:pPr>
        <w:spacing w:after="0" w:line="23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First Mortgage Bonds, 2.80% Series due September 15, 2020</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(Fifty-fifth Series),</w:t>
      </w:r>
    </w:p>
    <w:p>
      <w:pPr>
        <w:spacing w:after="0" w:line="10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First Mortgage Bonds, 3.86% Series due September 16, 2030</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(Fifty-sixth Series),</w:t>
      </w:r>
    </w:p>
    <w:p>
      <w:pPr>
        <w:spacing w:after="0" w:line="200" w:lineRule="exact"/>
        <w:rPr>
          <w:sz w:val="20"/>
          <w:szCs w:val="20"/>
          <w:color w:val="auto"/>
        </w:rPr>
      </w:pPr>
    </w:p>
    <w:p>
      <w:pPr>
        <w:spacing w:after="0" w:line="216" w:lineRule="exact"/>
        <w:rPr>
          <w:sz w:val="20"/>
          <w:szCs w:val="20"/>
          <w:color w:val="auto"/>
        </w:rPr>
      </w:pPr>
    </w:p>
    <w:p>
      <w:pPr>
        <w:ind w:left="3280"/>
        <w:spacing w:after="0"/>
        <w:rPr>
          <w:sz w:val="20"/>
          <w:szCs w:val="20"/>
          <w:color w:val="auto"/>
        </w:rPr>
      </w:pPr>
      <w:r>
        <w:rPr>
          <w:rFonts w:ascii="Arial" w:cs="Arial" w:eastAsia="Arial" w:hAnsi="Arial"/>
          <w:sz w:val="20"/>
          <w:szCs w:val="20"/>
          <w:b w:val="1"/>
          <w:bCs w:val="1"/>
          <w:i w:val="1"/>
          <w:iCs w:val="1"/>
          <w:color w:val="auto"/>
        </w:rPr>
        <w:t>Dated as of September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760730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582"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THIRTY-EIGHTH SUPPLEMENTAL INDENTURE</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THIS INDENTURE, </w:t>
      </w:r>
      <w:r>
        <w:rPr>
          <w:rFonts w:ascii="Arial" w:cs="Arial" w:eastAsia="Arial" w:hAnsi="Arial"/>
          <w:sz w:val="19"/>
          <w:szCs w:val="19"/>
          <w:color w:val="auto"/>
        </w:rPr>
        <w:t>dated as of September 1, 2015, by and between ALLETE, Inc. (formerly Minnesota Power &amp; Light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formerly Minnesota Power, Inc.), a corporation of the State of Minnesota, whose post office address is 30 West Superior Street, Duluth, Minnesota 55802 (hereinafter sometimes called the “Company”), and The Bank of New York Mellon (formerly The Bank of New York (formerly Irving Trust Company)), a corporation of the State of New York, whose post office address is 101 Barclay Street, New York, New York 10286 (hereinafter sometimes called the “Corporate Trustee”), and Andres Serrano (successor to Richard H. West, J. A. Austin, E. J. McCabe, D. W. May, J. A. Vaughan, W. T. Cunningham, Douglas J. MacInnes, Ming Ryan and Philip L. Watson), whose post office address is c/o The Bank of New York Mellon, 101 Barclay Street, New York, New York 10286 (said Andres Serrano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“Thirty-eighth Supplemental Indenture”) being supplemental thereto:</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Mortgage was filed and recorded in various official records in the State of Minnesota; and</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3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under the Sixth Supplemental Indenture, dated as of August 1, 1975, to which reference is hereinafter made, D. W. May in turn succeeded E. J. McCabe as Co-Trustee under the Mortgage; and</w:t>
      </w:r>
    </w:p>
    <w:p>
      <w:pPr>
        <w:spacing w:after="0" w:line="177" w:lineRule="exact"/>
        <w:rPr>
          <w:sz w:val="20"/>
          <w:szCs w:val="20"/>
          <w:color w:val="auto"/>
        </w:rPr>
      </w:pPr>
    </w:p>
    <w:p>
      <w:pPr>
        <w:jc w:val="both"/>
        <w:ind w:right="20" w:firstLine="648"/>
        <w:spacing w:after="0" w:line="386" w:lineRule="auto"/>
        <w:rPr>
          <w:sz w:val="20"/>
          <w:szCs w:val="20"/>
          <w:color w:val="auto"/>
        </w:rPr>
      </w:pPr>
      <w:r>
        <w:rPr>
          <w:rFonts w:ascii="Arial" w:cs="Arial" w:eastAsia="Arial" w:hAnsi="Arial"/>
          <w:sz w:val="16"/>
          <w:szCs w:val="16"/>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on May 8, 2001, the Company filed Amended and Restated Articles of Incorporation with the Secretary of State of the State of Minnesota changing its name from Minnesota Power, Inc. to ALLETE, Inc.; and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under the Thirty-second Supplemental Indenture, dated as of August 1, 2010, to which reference is hereinafter made, Ming Ryan in turn succeeded Douglas J. MacInnes as Co-Trustee under the Mortgage; and</w:t>
      </w:r>
    </w:p>
    <w:p>
      <w:pPr>
        <w:sectPr>
          <w:pgSz w:w="11900" w:h="16838" w:orient="portrait"/>
          <w:cols w:equalWidth="0" w:num="1">
            <w:col w:w="11420"/>
          </w:cols>
          <w:pgMar w:left="240" w:top="576" w:right="239" w:bottom="1440" w:gutter="0" w:footer="0" w:header="0"/>
        </w:sectPr>
      </w:pPr>
    </w:p>
    <w:bookmarkStart w:id="68" w:name="page69"/>
    <w:bookmarkEnd w:id="68"/>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August 1, 2012, was executed and delivered under which Philip L. Watson in turn succeeded Ming Ryan as Co-Trustee under the Mortgage effective at the close of business on August 6, 2012, and such instrument was filed and recorded in various official records in the State of Minnesota; and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July 31, 2015, was executed and delivered under which Andres Serrano in turn succeeded Philip L. Watson as Co-Trustee under the Mortgage effective at the close of business on July 31, 2015, and such instrument was filed and recorded in various official records in the State of Minnesota; and</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for said purposes, among others, the Company executed and delivered the following indentures supplemental to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Mortgage:</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5"/>
              </w:rPr>
              <w:t>Designation</w:t>
            </w:r>
          </w:p>
        </w:tc>
        <w:tc>
          <w:tcPr>
            <w:tcW w:w="616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7"/>
              </w:rPr>
              <w:t>Dated as of</w:t>
            </w:r>
          </w:p>
        </w:tc>
        <w:tc>
          <w:tcPr>
            <w:tcW w:w="540" w:type="dxa"/>
            <w:vAlign w:val="bottom"/>
          </w:tcPr>
          <w:p>
            <w:pPr>
              <w:spacing w:after="0"/>
              <w:rPr>
                <w:sz w:val="19"/>
                <w:szCs w:val="19"/>
                <w:color w:val="auto"/>
              </w:rPr>
            </w:pPr>
          </w:p>
        </w:tc>
      </w:tr>
      <w:tr>
        <w:trPr>
          <w:trHeight w:val="308"/>
        </w:trPr>
        <w:tc>
          <w:tcPr>
            <w:tcW w:w="7160" w:type="dxa"/>
            <w:vAlign w:val="bottom"/>
            <w:gridSpan w:val="2"/>
          </w:tcPr>
          <w:p>
            <w:pPr>
              <w:spacing w:after="0"/>
              <w:rPr>
                <w:sz w:val="20"/>
                <w:szCs w:val="20"/>
                <w:color w:val="auto"/>
              </w:rPr>
            </w:pPr>
            <w:r>
              <w:rPr>
                <w:rFonts w:ascii="Arial" w:cs="Arial" w:eastAsia="Arial" w:hAnsi="Arial"/>
                <w:sz w:val="20"/>
                <w:szCs w:val="20"/>
                <w:color w:val="auto"/>
              </w:rPr>
              <w:t>First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1949</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Second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1951</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1957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Fourth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January 1, 1968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Fifth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1971</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Sixth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1975</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1976</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Eighth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1977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Ninth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1978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1978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Eleventh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December 1, 1982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Twelfth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1987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Fourteenth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June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Fifteenth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Sixteenth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Seventeenth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1993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Eighteenth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Nineteenth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1997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Twentieth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November 1, 1997</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Twenty-first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October 1, 2000</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Twenty-second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2003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Twenty-third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2004</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Twenty-fourth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2005</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Twenty-fifth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December 1, 2005</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Twenty-sixth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October 1, 2006</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Twenty-seventh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2008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Twenty-eighth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May 1, 2008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Twenty-ninth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November 1, 2008</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Thirtieth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January 1, 2009</w:t>
            </w:r>
          </w:p>
        </w:tc>
      </w:tr>
    </w:tbl>
    <w:p>
      <w:pPr>
        <w:sectPr>
          <w:pgSz w:w="11900" w:h="16838" w:orient="portrait"/>
          <w:cols w:equalWidth="0" w:num="1">
            <w:col w:w="11420"/>
          </w:cols>
          <w:pgMar w:left="240" w:top="582" w:right="239" w:bottom="1440" w:gutter="0" w:footer="0" w:header="0"/>
        </w:sectPr>
      </w:pPr>
    </w:p>
    <w:bookmarkStart w:id="69" w:name="page70"/>
    <w:bookmarkEnd w:id="6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5"/>
              </w:rPr>
              <w:t>Designation</w:t>
            </w:r>
          </w:p>
        </w:tc>
        <w:tc>
          <w:tcPr>
            <w:tcW w:w="616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7"/>
              </w:rPr>
              <w:t>Dated as of</w:t>
            </w:r>
          </w:p>
        </w:tc>
        <w:tc>
          <w:tcPr>
            <w:tcW w:w="540" w:type="dxa"/>
            <w:vAlign w:val="bottom"/>
          </w:tcPr>
          <w:p>
            <w:pPr>
              <w:spacing w:after="0"/>
              <w:rPr>
                <w:sz w:val="19"/>
                <w:szCs w:val="19"/>
                <w:color w:val="auto"/>
              </w:rPr>
            </w:pPr>
          </w:p>
        </w:tc>
      </w:tr>
      <w:tr>
        <w:trPr>
          <w:trHeight w:val="308"/>
        </w:trPr>
        <w:tc>
          <w:tcPr>
            <w:tcW w:w="7160" w:type="dxa"/>
            <w:vAlign w:val="bottom"/>
            <w:gridSpan w:val="2"/>
          </w:tcPr>
          <w:p>
            <w:pPr>
              <w:spacing w:after="0"/>
              <w:rPr>
                <w:sz w:val="20"/>
                <w:szCs w:val="20"/>
                <w:color w:val="auto"/>
              </w:rPr>
            </w:pPr>
            <w:r>
              <w:rPr>
                <w:rFonts w:ascii="Arial" w:cs="Arial" w:eastAsia="Arial" w:hAnsi="Arial"/>
                <w:sz w:val="20"/>
                <w:szCs w:val="20"/>
                <w:color w:val="auto"/>
              </w:rPr>
              <w:t>Thirty-first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2010</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Thirty-second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2010</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Thirty-third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July 1, 2012</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Thirty-fourth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2013</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Thirty-fifth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2014</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Thirty-sixth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rPr>
              <w:t>June 1, 2014</w:t>
            </w:r>
          </w:p>
        </w:tc>
      </w:tr>
      <w:tr>
        <w:trPr>
          <w:trHeight w:val="284"/>
        </w:trPr>
        <w:tc>
          <w:tcPr>
            <w:tcW w:w="7160" w:type="dxa"/>
            <w:vAlign w:val="bottom"/>
            <w:gridSpan w:val="2"/>
          </w:tcPr>
          <w:p>
            <w:pPr>
              <w:spacing w:after="0"/>
              <w:rPr>
                <w:sz w:val="20"/>
                <w:szCs w:val="20"/>
                <w:color w:val="auto"/>
              </w:rPr>
            </w:pPr>
            <w:r>
              <w:rPr>
                <w:rFonts w:ascii="Arial" w:cs="Arial" w:eastAsia="Arial" w:hAnsi="Arial"/>
                <w:sz w:val="20"/>
                <w:szCs w:val="20"/>
                <w:color w:val="auto"/>
              </w:rPr>
              <w:t>Thirty-seventh Supplemental Indenture</w:t>
            </w: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2014</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which supplemental indentures were filed and recorded in various official records in the State of Minnesota; and</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has heretofore issued, in accordance with the provisions of the Mortgage, as heretofore supplemented, the following series of First Mortgage Bonds:</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4100" w:type="dxa"/>
            <w:vAlign w:val="bottom"/>
            <w:gridSpan w:val="3"/>
          </w:tcPr>
          <w:p>
            <w:pPr>
              <w:jc w:val="center"/>
              <w:ind w:left="1421"/>
              <w:spacing w:after="0"/>
              <w:rPr>
                <w:sz w:val="20"/>
                <w:szCs w:val="20"/>
                <w:color w:val="auto"/>
              </w:rPr>
            </w:pPr>
            <w:r>
              <w:rPr>
                <w:rFonts w:ascii="Arial" w:cs="Arial" w:eastAsia="Arial" w:hAnsi="Arial"/>
                <w:sz w:val="20"/>
                <w:szCs w:val="20"/>
                <w:b w:val="1"/>
                <w:bCs w:val="1"/>
                <w:color w:val="auto"/>
                <w:w w:val="92"/>
              </w:rPr>
              <w:t>Principal</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Principal</w:t>
            </w:r>
          </w:p>
        </w:tc>
      </w:tr>
      <w:tr>
        <w:trPr>
          <w:trHeight w:val="230"/>
        </w:trPr>
        <w:tc>
          <w:tcPr>
            <w:tcW w:w="5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20"/>
                <w:szCs w:val="20"/>
                <w:b w:val="1"/>
                <w:bCs w:val="1"/>
                <w:color w:val="auto"/>
                <w:w w:val="92"/>
              </w:rPr>
              <w:t>Amount</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Amount</w:t>
            </w:r>
          </w:p>
        </w:tc>
      </w:tr>
      <w:tr>
        <w:trPr>
          <w:trHeight w:val="212"/>
        </w:trPr>
        <w:tc>
          <w:tcPr>
            <w:tcW w:w="578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rPr>
              <w:t>Series</w:t>
            </w:r>
          </w:p>
        </w:tc>
        <w:tc>
          <w:tcPr>
            <w:tcW w:w="2440" w:type="dxa"/>
            <w:vAlign w:val="bottom"/>
          </w:tcPr>
          <w:p>
            <w:pPr>
              <w:spacing w:after="0"/>
              <w:rPr>
                <w:sz w:val="18"/>
                <w:szCs w:val="18"/>
                <w:color w:val="auto"/>
              </w:rPr>
            </w:pPr>
          </w:p>
        </w:tc>
        <w:tc>
          <w:tcPr>
            <w:tcW w:w="1660" w:type="dxa"/>
            <w:vAlign w:val="bottom"/>
            <w:gridSpan w:val="2"/>
          </w:tcPr>
          <w:p>
            <w:pPr>
              <w:jc w:val="center"/>
              <w:ind w:right="920"/>
              <w:spacing w:after="0" w:line="212" w:lineRule="exact"/>
              <w:rPr>
                <w:sz w:val="20"/>
                <w:szCs w:val="20"/>
                <w:color w:val="auto"/>
              </w:rPr>
            </w:pPr>
            <w:r>
              <w:rPr>
                <w:rFonts w:ascii="Arial" w:cs="Arial" w:eastAsia="Arial" w:hAnsi="Arial"/>
                <w:sz w:val="20"/>
                <w:szCs w:val="20"/>
                <w:b w:val="1"/>
                <w:bCs w:val="1"/>
                <w:color w:val="auto"/>
                <w:w w:val="85"/>
              </w:rPr>
              <w:t>Issued</w:t>
            </w:r>
          </w:p>
        </w:tc>
        <w:tc>
          <w:tcPr>
            <w:tcW w:w="106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w w:val="89"/>
              </w:rPr>
              <w:t>Outstanding</w:t>
            </w:r>
          </w:p>
        </w:tc>
      </w:tr>
      <w:tr>
        <w:trPr>
          <w:trHeight w:val="20"/>
        </w:trPr>
        <w:tc>
          <w:tcPr>
            <w:tcW w:w="5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308"/>
        </w:trPr>
        <w:tc>
          <w:tcPr>
            <w:tcW w:w="5780" w:type="dxa"/>
            <w:vAlign w:val="bottom"/>
            <w:gridSpan w:val="2"/>
          </w:tcPr>
          <w:p>
            <w:pPr>
              <w:spacing w:after="0"/>
              <w:rPr>
                <w:sz w:val="20"/>
                <w:szCs w:val="20"/>
                <w:color w:val="auto"/>
              </w:rPr>
            </w:pPr>
            <w:r>
              <w:rPr>
                <w:rFonts w:ascii="Arial" w:cs="Arial" w:eastAsia="Arial" w:hAnsi="Arial"/>
                <w:sz w:val="20"/>
                <w:szCs w:val="20"/>
                <w:color w:val="auto"/>
              </w:rPr>
              <w:t>3-1/8% Series due 1975</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$26,000,000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3-1/8% Series due 1979</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4,000,000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3-5/8% Series due 1981</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4-3/4% Series due 1987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12,000,000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6-1/2% Series due 1998</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18,000,000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line="230" w:lineRule="exact"/>
              <w:rPr>
                <w:sz w:val="20"/>
                <w:szCs w:val="20"/>
                <w:color w:val="auto"/>
              </w:rPr>
            </w:pPr>
            <w:r>
              <w:rPr>
                <w:rFonts w:ascii="Arial" w:cs="Arial" w:eastAsia="Arial" w:hAnsi="Arial"/>
                <w:sz w:val="20"/>
                <w:szCs w:val="20"/>
                <w:color w:val="auto"/>
              </w:rPr>
              <w:t>8</w:t>
            </w:r>
            <w:r>
              <w:rPr>
                <w:rFonts w:ascii="MS PGothic" w:cs="MS PGothic" w:eastAsia="MS PGothic" w:hAnsi="MS PGothic"/>
                <w:sz w:val="20"/>
                <w:szCs w:val="20"/>
                <w:color w:val="auto"/>
              </w:rPr>
              <w:t>‑</w:t>
            </w:r>
            <w:r>
              <w:rPr>
                <w:rFonts w:ascii="Arial" w:cs="Arial" w:eastAsia="Arial" w:hAnsi="Arial"/>
                <w:sz w:val="20"/>
                <w:szCs w:val="20"/>
                <w:color w:val="auto"/>
              </w:rPr>
              <w:t>1/8% Series due 2001</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23,000,000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line="230" w:lineRule="exact"/>
              <w:rPr>
                <w:sz w:val="20"/>
                <w:szCs w:val="20"/>
                <w:color w:val="auto"/>
              </w:rPr>
            </w:pPr>
            <w:r>
              <w:rPr>
                <w:rFonts w:ascii="Arial" w:cs="Arial" w:eastAsia="Arial" w:hAnsi="Arial"/>
                <w:sz w:val="20"/>
                <w:szCs w:val="20"/>
                <w:color w:val="auto"/>
              </w:rPr>
              <w:t>10</w:t>
            </w:r>
            <w:r>
              <w:rPr>
                <w:rFonts w:ascii="MS PGothic" w:cs="MS PGothic" w:eastAsia="MS PGothic" w:hAnsi="MS PGothic"/>
                <w:sz w:val="20"/>
                <w:szCs w:val="20"/>
                <w:color w:val="auto"/>
              </w:rPr>
              <w:t>‑</w:t>
            </w:r>
            <w:r>
              <w:rPr>
                <w:rFonts w:ascii="Arial" w:cs="Arial" w:eastAsia="Arial" w:hAnsi="Arial"/>
                <w:sz w:val="20"/>
                <w:szCs w:val="20"/>
                <w:color w:val="auto"/>
              </w:rPr>
              <w:t>1/2% Series due 2005</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8.70% Series due 2006</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8.35% Series due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9-1/4% Series due 2008</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Pollution Control Series A</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111,000,000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Industrial Development Series A</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Industrial Development Series B</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1,800,000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Industrial Development Series C</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1,150,000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Pollution Control Series B</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13,500,000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Pollution Control Series C</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Pollution Control Series D</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3,600,000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7-3/4% Series due 1994</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7-3/8% Series due March 1, 1997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7-3/4% Series due June 1,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7-1/2% Series due August 1,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Pollution Control Series E</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111,000,000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7% Series due March 1, 2008</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6-1/4% Series due July 1, 2003</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7% Series due February 15,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6.68% Series due November 15,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Floating Rate Series due October 20, 2003</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Collateral Series A</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Pollution Control Series F</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111,000,000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5.28% Series due August 1, 2020</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35,000,000</w:t>
            </w:r>
          </w:p>
        </w:tc>
      </w:tr>
      <w:tr>
        <w:trPr>
          <w:trHeight w:val="284"/>
        </w:trPr>
        <w:tc>
          <w:tcPr>
            <w:tcW w:w="5780" w:type="dxa"/>
            <w:vAlign w:val="bottom"/>
            <w:gridSpan w:val="2"/>
          </w:tcPr>
          <w:p>
            <w:pPr>
              <w:spacing w:after="0"/>
              <w:rPr>
                <w:sz w:val="20"/>
                <w:szCs w:val="20"/>
                <w:color w:val="auto"/>
              </w:rPr>
            </w:pPr>
            <w:r>
              <w:rPr>
                <w:rFonts w:ascii="Arial" w:cs="Arial" w:eastAsia="Arial" w:hAnsi="Arial"/>
                <w:sz w:val="20"/>
                <w:szCs w:val="20"/>
                <w:color w:val="auto"/>
              </w:rPr>
              <w:t>5.69% Series due March 1, 2036</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50,000,000</w:t>
            </w:r>
          </w:p>
        </w:tc>
      </w:tr>
    </w:tbl>
    <w:p>
      <w:pPr>
        <w:sectPr>
          <w:pgSz w:w="11900" w:h="16838" w:orient="portrait"/>
          <w:cols w:equalWidth="0" w:num="1">
            <w:col w:w="11400"/>
          </w:cols>
          <w:pgMar w:left="240" w:top="720" w:right="259" w:bottom="1440" w:gutter="0" w:footer="0" w:header="0"/>
        </w:sectPr>
      </w:pPr>
    </w:p>
    <w:bookmarkStart w:id="70" w:name="page71"/>
    <w:bookmarkEnd w:id="7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4280" w:type="dxa"/>
            <w:vAlign w:val="bottom"/>
            <w:gridSpan w:val="3"/>
          </w:tcPr>
          <w:p>
            <w:pPr>
              <w:jc w:val="center"/>
              <w:ind w:left="1601"/>
              <w:spacing w:after="0"/>
              <w:rPr>
                <w:sz w:val="20"/>
                <w:szCs w:val="20"/>
                <w:color w:val="auto"/>
              </w:rPr>
            </w:pPr>
            <w:r>
              <w:rPr>
                <w:rFonts w:ascii="Arial" w:cs="Arial" w:eastAsia="Arial" w:hAnsi="Arial"/>
                <w:sz w:val="20"/>
                <w:szCs w:val="20"/>
                <w:b w:val="1"/>
                <w:bCs w:val="1"/>
                <w:color w:val="auto"/>
                <w:w w:val="92"/>
              </w:rPr>
              <w:t>Principal</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Principal</w:t>
            </w:r>
          </w:p>
        </w:tc>
      </w:tr>
      <w:tr>
        <w:trPr>
          <w:trHeight w:val="230"/>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20"/>
                <w:szCs w:val="20"/>
                <w:b w:val="1"/>
                <w:bCs w:val="1"/>
                <w:color w:val="auto"/>
                <w:w w:val="92"/>
              </w:rPr>
              <w:t>Amount</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Amount</w:t>
            </w:r>
          </w:p>
        </w:tc>
      </w:tr>
      <w:tr>
        <w:trPr>
          <w:trHeight w:val="212"/>
        </w:trPr>
        <w:tc>
          <w:tcPr>
            <w:tcW w:w="54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w w:val="86"/>
              </w:rPr>
              <w:t>Series</w:t>
            </w:r>
          </w:p>
        </w:tc>
        <w:tc>
          <w:tcPr>
            <w:tcW w:w="5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60" w:type="dxa"/>
            <w:vAlign w:val="bottom"/>
            <w:gridSpan w:val="2"/>
          </w:tcPr>
          <w:p>
            <w:pPr>
              <w:jc w:val="center"/>
              <w:ind w:right="920"/>
              <w:spacing w:after="0" w:line="212" w:lineRule="exact"/>
              <w:rPr>
                <w:sz w:val="20"/>
                <w:szCs w:val="20"/>
                <w:color w:val="auto"/>
              </w:rPr>
            </w:pPr>
            <w:r>
              <w:rPr>
                <w:rFonts w:ascii="Arial" w:cs="Arial" w:eastAsia="Arial" w:hAnsi="Arial"/>
                <w:sz w:val="20"/>
                <w:szCs w:val="20"/>
                <w:b w:val="1"/>
                <w:bCs w:val="1"/>
                <w:color w:val="auto"/>
                <w:w w:val="85"/>
              </w:rPr>
              <w:t>Issued</w:t>
            </w:r>
          </w:p>
        </w:tc>
        <w:tc>
          <w:tcPr>
            <w:tcW w:w="106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w w:val="89"/>
              </w:rPr>
              <w:t>Outstanding</w:t>
            </w:r>
          </w:p>
        </w:tc>
      </w:tr>
      <w:tr>
        <w:trPr>
          <w:trHeight w:val="20"/>
        </w:trPr>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308"/>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5.99%</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February 1, 2027</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60,000,000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4.86%</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April 1, 2013</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ind w:left="340"/>
              <w:spacing w:after="0"/>
              <w:rPr>
                <w:sz w:val="20"/>
                <w:szCs w:val="20"/>
                <w:color w:val="auto"/>
              </w:rPr>
            </w:pPr>
            <w:r>
              <w:rPr>
                <w:rFonts w:ascii="Arial" w:cs="Arial" w:eastAsia="Arial" w:hAnsi="Arial"/>
                <w:sz w:val="20"/>
                <w:szCs w:val="20"/>
                <w:color w:val="auto"/>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6.02%</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May 1, 2023</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75,000,000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75,000,000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6.94%</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January 15, 2014</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18,000,000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7.70%</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January 15, 2016</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20,000,000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20,000,000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8.17%</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January 15, 2019</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42,000,000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42,000,000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4.85%</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April 15, 2021</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15,000,000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15,000,000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5.10%</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April 15, 2025</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30,000,000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30,000,000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6.00%</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35,000,000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4.90%</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October 15, 2025</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30,000,000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30,000,000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5.82%</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45,000,000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3.20%</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July 15, 2026</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75,000,000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75,000,000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4.08%</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July 15, 2042</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85,000,000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85,000,000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1.83%</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April 15, 2018</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50,000,000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3.30%</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October 15, 2028</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40,000,000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4.21%</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October 15, 2043</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60,000,000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3.69%</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March 15, 2024</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60,000,000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4.95%</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March 15, 2044</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40,000,000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3.40%</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July 15, 2022</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75,000,000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75,000,000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5.05%</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July 15, 2044</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40,000,000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3.02%</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September 15, 2021</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60,000,000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3.74%</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September 15, 2029</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50,000,000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4.39%</w:t>
            </w:r>
          </w:p>
        </w:tc>
        <w:tc>
          <w:tcPr>
            <w:tcW w:w="5060" w:type="dxa"/>
            <w:vAlign w:val="bottom"/>
          </w:tcPr>
          <w:p>
            <w:pPr>
              <w:ind w:left="20"/>
              <w:spacing w:after="0"/>
              <w:rPr>
                <w:sz w:val="20"/>
                <w:szCs w:val="20"/>
                <w:color w:val="auto"/>
              </w:rPr>
            </w:pPr>
            <w:r>
              <w:rPr>
                <w:rFonts w:ascii="Arial" w:cs="Arial" w:eastAsia="Arial" w:hAnsi="Arial"/>
                <w:sz w:val="20"/>
                <w:szCs w:val="20"/>
                <w:color w:val="auto"/>
              </w:rPr>
              <w:t>Series due September 15, 2044</w:t>
            </w:r>
          </w:p>
        </w:tc>
        <w:tc>
          <w:tcPr>
            <w:tcW w:w="428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50,000,000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which bonds are also hereinafter sometimes called bonds of the First through Fifty-fourth Series, respectively; and</w:t>
      </w:r>
    </w:p>
    <w:p>
      <w:pPr>
        <w:spacing w:after="0" w:line="216"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96" w:lineRule="exact"/>
        <w:rPr>
          <w:sz w:val="20"/>
          <w:szCs w:val="20"/>
          <w:color w:val="auto"/>
        </w:rPr>
      </w:pPr>
    </w:p>
    <w:p>
      <w:pPr>
        <w:jc w:val="both"/>
        <w:ind w:firstLine="608"/>
        <w:spacing w:after="0" w:line="273" w:lineRule="auto"/>
        <w:rPr>
          <w:sz w:val="20"/>
          <w:szCs w:val="20"/>
          <w:color w:val="auto"/>
        </w:rPr>
      </w:pPr>
      <w:r>
        <w:rPr>
          <w:rFonts w:ascii="Arial" w:cs="Arial" w:eastAsia="Arial" w:hAnsi="Arial"/>
          <w:sz w:val="18"/>
          <w:szCs w:val="18"/>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ectPr>
          <w:pgSz w:w="11900" w:h="16838" w:orient="portrait"/>
          <w:cols w:equalWidth="0" w:num="1">
            <w:col w:w="11420"/>
          </w:cols>
          <w:pgMar w:left="240" w:top="738" w:right="239" w:bottom="1440" w:gutter="0" w:footer="0" w:header="0"/>
        </w:sectPr>
      </w:pPr>
    </w:p>
    <w:bookmarkStart w:id="71" w:name="page72"/>
    <w:bookmarkEnd w:id="71"/>
    <w:p>
      <w:pPr>
        <w:jc w:val="both"/>
        <w:ind w:firstLine="608"/>
        <w:spacing w:after="0" w:line="246" w:lineRule="auto"/>
        <w:rPr>
          <w:sz w:val="20"/>
          <w:szCs w:val="20"/>
          <w:color w:val="auto"/>
        </w:rPr>
      </w:pPr>
      <w:r>
        <w:rPr>
          <w:rFonts w:ascii="Arial" w:cs="Arial" w:eastAsia="Arial" w:hAnsi="Arial"/>
          <w:sz w:val="20"/>
          <w:szCs w:val="20"/>
          <w:color w:val="auto"/>
        </w:rPr>
        <w:t>WHEREAS, the Company now desires to create two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WHEREAS, the Company also now desires to amend Section 102 of the Mortgage to cure an ambiguity; and</w:t>
      </w:r>
    </w:p>
    <w:p>
      <w:pPr>
        <w:spacing w:after="0" w:line="216"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WHEREAS, the execution and delivery by the Company of this Thirty-eighth Supplemental Indenture, and the terms of the bonds of the Fifty-fifth Series and the Fifty-sixth Series, hereinafter referred to, have been duly authorized by the Board of Directors of the Company by appropriate resolutions of said Board of Directors;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NOW, THEREFORE, THIS INDENTURE WITNESSETH:</w:t>
      </w:r>
    </w:p>
    <w:p>
      <w:pPr>
        <w:spacing w:after="0" w:line="216" w:lineRule="exact"/>
        <w:rPr>
          <w:sz w:val="20"/>
          <w:szCs w:val="20"/>
          <w:color w:val="auto"/>
        </w:rPr>
      </w:pPr>
    </w:p>
    <w:p>
      <w:pPr>
        <w:jc w:val="both"/>
        <w:ind w:firstLine="608"/>
        <w:spacing w:after="0" w:line="268" w:lineRule="auto"/>
        <w:rPr>
          <w:sz w:val="20"/>
          <w:szCs w:val="20"/>
          <w:color w:val="auto"/>
        </w:rPr>
      </w:pPr>
      <w:r>
        <w:rPr>
          <w:rFonts w:ascii="Arial" w:cs="Arial" w:eastAsia="Arial" w:hAnsi="Arial"/>
          <w:sz w:val="18"/>
          <w:szCs w:val="18"/>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Mellon and Andres Serrano,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Thirty-eighth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173"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ectPr>
          <w:pgSz w:w="11900" w:h="16838" w:orient="portrait"/>
          <w:cols w:equalWidth="0" w:num="1">
            <w:col w:w="11420"/>
          </w:cols>
          <w:pgMar w:left="240" w:top="582" w:right="239" w:bottom="1440" w:gutter="0" w:footer="0" w:header="0"/>
        </w:sectPr>
      </w:pPr>
    </w:p>
    <w:bookmarkStart w:id="72" w:name="page73"/>
    <w:bookmarkEnd w:id="72"/>
    <w:p>
      <w:pPr>
        <w:jc w:val="both"/>
        <w:ind w:firstLine="608"/>
        <w:spacing w:after="0" w:line="243" w:lineRule="auto"/>
        <w:rPr>
          <w:sz w:val="20"/>
          <w:szCs w:val="20"/>
          <w:color w:val="auto"/>
        </w:rPr>
      </w:pPr>
      <w:r>
        <w:rPr>
          <w:rFonts w:ascii="Arial" w:cs="Arial" w:eastAsia="Arial" w:hAnsi="Arial"/>
          <w:sz w:val="20"/>
          <w:szCs w:val="20"/>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197" w:lineRule="exact"/>
        <w:rPr>
          <w:sz w:val="20"/>
          <w:szCs w:val="20"/>
          <w:color w:val="auto"/>
        </w:rPr>
      </w:pPr>
    </w:p>
    <w:p>
      <w:pPr>
        <w:jc w:val="both"/>
        <w:ind w:firstLine="608"/>
        <w:spacing w:after="0" w:line="269" w:lineRule="auto"/>
        <w:rPr>
          <w:sz w:val="20"/>
          <w:szCs w:val="20"/>
          <w:color w:val="auto"/>
        </w:rPr>
      </w:pPr>
      <w:r>
        <w:rPr>
          <w:rFonts w:ascii="Arial" w:cs="Arial" w:eastAsia="Arial" w:hAnsi="Arial"/>
          <w:sz w:val="18"/>
          <w:szCs w:val="18"/>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Thirty-eighth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provided, however, that the property and rights expressly excepted from the lien and operation of this Thirty-eighth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175" w:lineRule="exact"/>
        <w:rPr>
          <w:sz w:val="20"/>
          <w:szCs w:val="20"/>
          <w:color w:val="auto"/>
        </w:rPr>
      </w:pPr>
    </w:p>
    <w:p>
      <w:pPr>
        <w:jc w:val="both"/>
        <w:ind w:right="20" w:firstLine="608"/>
        <w:spacing w:after="0" w:line="250" w:lineRule="auto"/>
        <w:rPr>
          <w:sz w:val="20"/>
          <w:szCs w:val="20"/>
          <w:color w:val="auto"/>
        </w:rPr>
      </w:pPr>
      <w:r>
        <w:rPr>
          <w:rFonts w:ascii="Arial" w:cs="Arial" w:eastAsia="Arial" w:hAnsi="Arial"/>
          <w:sz w:val="20"/>
          <w:szCs w:val="20"/>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186"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IN TRUST NEVERTHELESS, for the same purposes and upon the same terms, trusts and conditions and subject to and with the same provisos and covenants as are set forth in the Mortgage, as supplemented, this Thirty-eighth Supplemental Indenture being supplemental thereto.</w:t>
      </w:r>
    </w:p>
    <w:p>
      <w:pPr>
        <w:spacing w:after="0" w:line="186"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AND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ectPr>
          <w:pgSz w:w="11900" w:h="16838" w:orient="portrait"/>
          <w:cols w:equalWidth="0" w:num="1">
            <w:col w:w="11420"/>
          </w:cols>
          <w:pgMar w:left="240" w:top="582" w:right="239" w:bottom="1440" w:gutter="0" w:footer="0" w:header="0"/>
        </w:sectPr>
      </w:pPr>
    </w:p>
    <w:bookmarkStart w:id="73" w:name="page74"/>
    <w:bookmarkEnd w:id="73"/>
    <w:p>
      <w:pPr>
        <w:ind w:left="620"/>
        <w:spacing w:after="0"/>
        <w:rPr>
          <w:sz w:val="20"/>
          <w:szCs w:val="20"/>
          <w:color w:val="auto"/>
        </w:rPr>
      </w:pPr>
      <w:r>
        <w:rPr>
          <w:rFonts w:ascii="Arial" w:cs="Arial" w:eastAsia="Arial" w:hAnsi="Arial"/>
          <w:sz w:val="18"/>
          <w:szCs w:val="18"/>
          <w:color w:val="auto"/>
        </w:rPr>
        <w:t>The Company further covenants and agrees to and with the Trustees and their successors in said trust under the Mortgage as follows: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Fifty-fifth Series of Bonds</w:t>
      </w:r>
    </w:p>
    <w:p>
      <w:pPr>
        <w:spacing w:after="0" w:line="200" w:lineRule="exact"/>
        <w:rPr>
          <w:sz w:val="20"/>
          <w:szCs w:val="20"/>
          <w:color w:val="auto"/>
        </w:rPr>
      </w:pPr>
    </w:p>
    <w:p>
      <w:pPr>
        <w:spacing w:after="0" w:line="216" w:lineRule="exact"/>
        <w:rPr>
          <w:sz w:val="20"/>
          <w:szCs w:val="20"/>
          <w:color w:val="auto"/>
        </w:rPr>
      </w:pPr>
    </w:p>
    <w:p>
      <w:pPr>
        <w:jc w:val="both"/>
        <w:ind w:firstLine="608"/>
        <w:spacing w:after="0" w:line="271" w:lineRule="auto"/>
        <w:rPr>
          <w:sz w:val="20"/>
          <w:szCs w:val="20"/>
          <w:color w:val="auto"/>
        </w:rPr>
      </w:pPr>
      <w:r>
        <w:rPr>
          <w:rFonts w:ascii="Arial" w:cs="Arial" w:eastAsia="Arial" w:hAnsi="Arial"/>
          <w:sz w:val="18"/>
          <w:szCs w:val="18"/>
          <w:color w:val="auto"/>
        </w:rPr>
        <w:t>SECTION 1. There shall be a series of bonds designated “2.80% Series due September 15, 2020” (herein sometimes referred to as the “Fifty-fifth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Fifty-fifth Series shall be dated as in Section 10 of the Mortgage provided, mature on September 15, 2020 (the “Fifty-fifth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September 24, 2015 (computed on the basis of a 360-day year of twelve thirty-day months) at the rate of 2.80% per annum, payable semi-annually on March 15 and September 15 of each year, commencing March 15, 2016,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75"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Any payment of principal of or interest on any bond of the Fifty-fifth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Fifty-fifth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75" w:lineRule="exact"/>
        <w:rPr>
          <w:sz w:val="20"/>
          <w:szCs w:val="20"/>
          <w:color w:val="auto"/>
        </w:rPr>
      </w:pPr>
    </w:p>
    <w:p>
      <w:pPr>
        <w:jc w:val="both"/>
        <w:ind w:firstLine="616"/>
        <w:spacing w:after="0" w:line="269" w:lineRule="auto"/>
        <w:tabs>
          <w:tab w:leader="none" w:pos="1026"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 </w:t>
      </w:r>
      <w:r>
        <w:rPr>
          <w:rFonts w:ascii="Arial" w:cs="Arial" w:eastAsia="Arial" w:hAnsi="Arial"/>
          <w:sz w:val="18"/>
          <w:szCs w:val="18"/>
          <w:color w:val="auto"/>
        </w:rPr>
        <w:t>The Company may, at its option, upon notice as provided below, prepay at any time all, or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any part of, the bonds of the Fifty-fifth Series at 100% of the principal amount so prepaid, and the Make-Whole Amount determined for the Settlement Date specified by the Company in such notice with respect to such principal amount. The Company will give each registered owner of bonds of the Fifty-fifth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Fifty-fifth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Fifty-fifth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The bonds of the Fifty-fifth Series are not otherwise subject to voluntary or optional prepayment.</w:t>
      </w:r>
    </w:p>
    <w:p>
      <w:pPr>
        <w:spacing w:after="0" w:line="172" w:lineRule="exact"/>
        <w:rPr>
          <w:rFonts w:ascii="Arial" w:cs="Arial" w:eastAsia="Arial" w:hAnsi="Arial"/>
          <w:sz w:val="18"/>
          <w:szCs w:val="18"/>
          <w:color w:val="auto"/>
        </w:rPr>
      </w:pPr>
    </w:p>
    <w:p>
      <w:pPr>
        <w:jc w:val="both"/>
        <w:ind w:firstLine="656"/>
        <w:spacing w:after="0" w:line="248" w:lineRule="auto"/>
        <w:tabs>
          <w:tab w:leader="none" w:pos="1146" w:val="left"/>
        </w:tabs>
        <w:numPr>
          <w:ilvl w:val="1"/>
          <w:numId w:val="30"/>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Fifty-fifth Series, the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the bonds of the Fifty-fifth Series to be prepaid shall be allocated by the Company among all of the bonds of the Fifty-fifth Series at the time outstanding in proportion, as nearly as practicable, to the respective unpaid principal amounts thereof not theretofore called for prepayment.</w:t>
      </w:r>
    </w:p>
    <w:p>
      <w:pPr>
        <w:sectPr>
          <w:pgSz w:w="11900" w:h="16838" w:orient="portrait"/>
          <w:cols w:equalWidth="0" w:num="1">
            <w:col w:w="11420"/>
          </w:cols>
          <w:pgMar w:left="240" w:top="582" w:right="239" w:bottom="1440" w:gutter="0" w:footer="0" w:header="0"/>
        </w:sectPr>
      </w:pPr>
    </w:p>
    <w:bookmarkStart w:id="74" w:name="page75"/>
    <w:bookmarkEnd w:id="74"/>
    <w:p>
      <w:pPr>
        <w:jc w:val="both"/>
        <w:ind w:firstLine="656"/>
        <w:spacing w:after="0" w:line="269" w:lineRule="auto"/>
        <w:tabs>
          <w:tab w:leader="none" w:pos="1207"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Maturity; Surrender, Etc. </w:t>
      </w:r>
      <w:r>
        <w:rPr>
          <w:rFonts w:ascii="Arial" w:cs="Arial" w:eastAsia="Arial" w:hAnsi="Arial"/>
          <w:sz w:val="18"/>
          <w:szCs w:val="18"/>
          <w:color w:val="auto"/>
        </w:rPr>
        <w:t>In the case of each notice of prepayment of bonds of the Fifty-fifth Series pursuant to this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Fifty-fifth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22"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“Make-Whole Amount” means, with respect to any bond of the Fifty-fifth Series, an amount equal to the excess, if any, of the Discounted Value of the Remaining Scheduled Payments with respect to the Called Principal of such bond of the Fifty-fifth Series over the amount of such Called Principal, provided that the Make-Whole Amount may in no event be less than zero. For the purposes of determining the Make-Whole Amount, the following terms have the following meanings:</w:t>
      </w:r>
    </w:p>
    <w:p>
      <w:pPr>
        <w:spacing w:after="0" w:line="192"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7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“Called Principal” means, with respect to any bond of the Fifty-fifth Series, the principal of such bond that is to be prepaid pursuant to subsection (I) of this section.</w:t>
      </w:r>
    </w:p>
    <w:p>
      <w:pPr>
        <w:spacing w:after="0" w:line="177"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“Discounted Value” means, with respect to the Called Principal of any bond of the Fifty-fifth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Fifty-fifth Series is payable) equal to the Reinvestment Yield with respect to such Called Principal.</w:t>
      </w:r>
    </w:p>
    <w:p>
      <w:pPr>
        <w:sectPr>
          <w:pgSz w:w="11900" w:h="16838" w:orient="portrait"/>
          <w:cols w:equalWidth="0" w:num="1">
            <w:col w:w="11420"/>
          </w:cols>
          <w:pgMar w:left="240" w:top="576" w:right="239" w:bottom="1440" w:gutter="0" w:footer="0" w:header="0"/>
        </w:sectPr>
      </w:pPr>
    </w:p>
    <w:bookmarkStart w:id="75" w:name="page76"/>
    <w:bookmarkEnd w:id="75"/>
    <w:p>
      <w:pPr>
        <w:jc w:val="both"/>
        <w:ind w:firstLine="608"/>
        <w:spacing w:after="0" w:line="269" w:lineRule="auto"/>
        <w:rPr>
          <w:sz w:val="20"/>
          <w:szCs w:val="20"/>
          <w:color w:val="auto"/>
        </w:rPr>
      </w:pPr>
      <w:r>
        <w:rPr>
          <w:rFonts w:ascii="Arial" w:cs="Arial" w:eastAsia="Arial" w:hAnsi="Arial"/>
          <w:sz w:val="18"/>
          <w:szCs w:val="18"/>
          <w:color w:val="auto"/>
        </w:rPr>
        <w:t>“Reinvestment Yield” means, with respect to the Called Principal of any bond of the Fifty-fifth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Fifty-fifth Series.</w:t>
      </w:r>
    </w:p>
    <w:p>
      <w:pPr>
        <w:spacing w:after="0" w:line="180"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95"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“Remaining Scheduled Payments” means, with respect to the Called Principal of any Bond of the Fifty-fifth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Fifty-fifth Series, then the amount of the next succeeding scheduled interest payment will be reduced by the amount of interest accrued to such Settlement Date and required to be paid on such Settlement Date pursuant to subsection (I) of this section.</w:t>
      </w:r>
    </w:p>
    <w:p>
      <w:pPr>
        <w:spacing w:after="0" w:line="19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“Settlement Date” means, with respect to the Called Principal of any Bond of the Fifty-fifth Series, the date on which such Called Principal is to be prepaid pursuant to subsection (I) of this section.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“Senior Financial Officer” means the chief financial officer, principal accounting officer, treasurer or comptroller of the Company.</w:t>
      </w:r>
    </w:p>
    <w:p>
      <w:pPr>
        <w:spacing w:after="0" w:line="227" w:lineRule="exact"/>
        <w:rPr>
          <w:sz w:val="20"/>
          <w:szCs w:val="20"/>
          <w:color w:val="auto"/>
        </w:rPr>
      </w:pPr>
    </w:p>
    <w:p>
      <w:pPr>
        <w:jc w:val="both"/>
        <w:ind w:firstLine="616"/>
        <w:spacing w:after="0" w:line="282" w:lineRule="auto"/>
        <w:tabs>
          <w:tab w:leader="none" w:pos="110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the option of the registered owner, any bonds of the Fifty-fifth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62" w:lineRule="exact"/>
        <w:rPr>
          <w:sz w:val="20"/>
          <w:szCs w:val="20"/>
          <w:color w:val="auto"/>
        </w:rPr>
      </w:pPr>
    </w:p>
    <w:p>
      <w:pPr>
        <w:jc w:val="both"/>
        <w:ind w:firstLine="608"/>
        <w:spacing w:after="0" w:line="282" w:lineRule="auto"/>
        <w:rPr>
          <w:sz w:val="20"/>
          <w:szCs w:val="20"/>
          <w:color w:val="auto"/>
        </w:rPr>
      </w:pPr>
      <w:r>
        <w:rPr>
          <w:rFonts w:ascii="Arial" w:cs="Arial" w:eastAsia="Arial" w:hAnsi="Arial"/>
          <w:sz w:val="18"/>
          <w:szCs w:val="18"/>
          <w:color w:val="auto"/>
        </w:rPr>
        <w:t>Bonds of the Fifty-fifth Series shall be transferable (subject to the provisions of Section 12 of the Mortgage) at the office or agency of the Company in the Borough of Manhattan, The City of New York. The Company shall not be required to make transfers or exchanges of bonds of the Fifty-fifth Series for a period of ten (10) days next preceding any designation of bonds of said series to be prepaid, and the Company shall not be required to make transfers or exchanges of any bonds of said series designated in whole or in part for prepayment.</w:t>
      </w:r>
    </w:p>
    <w:p>
      <w:pPr>
        <w:sectPr>
          <w:pgSz w:w="11900" w:h="16838" w:orient="portrait"/>
          <w:cols w:equalWidth="0" w:num="1">
            <w:col w:w="11420"/>
          </w:cols>
          <w:pgMar w:left="240" w:top="582" w:right="239" w:bottom="1440" w:gutter="0" w:footer="0" w:header="0"/>
        </w:sectPr>
      </w:pPr>
    </w:p>
    <w:bookmarkStart w:id="76" w:name="page77"/>
    <w:bookmarkEnd w:id="76"/>
    <w:p>
      <w:pPr>
        <w:jc w:val="both"/>
        <w:ind w:firstLine="608"/>
        <w:spacing w:after="0" w:line="250" w:lineRule="auto"/>
        <w:rPr>
          <w:sz w:val="20"/>
          <w:szCs w:val="20"/>
          <w:color w:val="auto"/>
        </w:rPr>
      </w:pPr>
      <w:r>
        <w:rPr>
          <w:rFonts w:ascii="Arial" w:cs="Arial" w:eastAsia="Arial" w:hAnsi="Arial"/>
          <w:sz w:val="20"/>
          <w:szCs w:val="20"/>
          <w:color w:val="auto"/>
        </w:rPr>
        <w:t>Upon any exchange or transfer of bonds of the Fifty-fifth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Fifty-fifth Series.</w:t>
      </w:r>
    </w:p>
    <w:p>
      <w:pPr>
        <w:spacing w:after="0" w:line="186"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After the delivery of this Thirty-eighth Supplemental Indenture and upon compliance with the applicable provisions of the Mortgage and receipt of consideration therefor by the Company, there shall be an initial issue of bonds of the Fifty-fifth Series for the aggregate principal amount of $40,000,000.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Fifty-sixth Series of Bonds</w:t>
      </w:r>
    </w:p>
    <w:p>
      <w:pPr>
        <w:spacing w:after="0" w:line="199" w:lineRule="exact"/>
        <w:rPr>
          <w:sz w:val="20"/>
          <w:szCs w:val="20"/>
          <w:color w:val="auto"/>
        </w:rPr>
      </w:pPr>
    </w:p>
    <w:p>
      <w:pPr>
        <w:jc w:val="both"/>
        <w:ind w:firstLine="608"/>
        <w:spacing w:after="0" w:line="271" w:lineRule="auto"/>
        <w:rPr>
          <w:sz w:val="20"/>
          <w:szCs w:val="20"/>
          <w:color w:val="auto"/>
        </w:rPr>
      </w:pPr>
      <w:r>
        <w:rPr>
          <w:rFonts w:ascii="Arial" w:cs="Arial" w:eastAsia="Arial" w:hAnsi="Arial"/>
          <w:sz w:val="18"/>
          <w:szCs w:val="18"/>
          <w:color w:val="auto"/>
        </w:rPr>
        <w:t>SECTION 1. There shall be a series of bonds designated “3.86% Series due September 16, 2030” (herein sometimes referred to as the “Fifty-sixth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Fifty-sixth Series shall be dated as in Section 10 of the Mortgage provided, mature on September 16, 2030 (the “Fifty-sixth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September 24, 2015 (computed on the basis of a 360-day year of twelve thirty-day months) at the rate of 3.86% per annum, payable semi-annually on March 15 and September 15 of each year, commencing March 15, 2016,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75"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Any payment of principal of or interest on any bond of the Fifty-sixth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Fifty-sixth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75" w:lineRule="exact"/>
        <w:rPr>
          <w:sz w:val="20"/>
          <w:szCs w:val="20"/>
          <w:color w:val="auto"/>
        </w:rPr>
      </w:pPr>
    </w:p>
    <w:p>
      <w:pPr>
        <w:jc w:val="both"/>
        <w:ind w:firstLine="616"/>
        <w:spacing w:after="0" w:line="269" w:lineRule="auto"/>
        <w:tabs>
          <w:tab w:leader="none" w:pos="1094"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 </w:t>
      </w:r>
      <w:r>
        <w:rPr>
          <w:rFonts w:ascii="Arial" w:cs="Arial" w:eastAsia="Arial" w:hAnsi="Arial"/>
          <w:sz w:val="18"/>
          <w:szCs w:val="18"/>
          <w:color w:val="auto"/>
        </w:rPr>
        <w:t>At any time prior to March 16, 2030 (six months prior to the Fifty-sixth Series Stated Maturity)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at its option, upon notice as provided below, prepay at any time all, or from time to time any part of, the bonds of the Fifty-sixth Series at 100% of the principal amount so prepaid, and the Make-Whole Amount determined for the Settlement Date specified by the Company in such notice with respect to such principal amount. The Company will give each registered owner of bonds of the Fifty-sixth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Fifty-sixth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Fifty-sixth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w:t>
      </w:r>
    </w:p>
    <w:p>
      <w:pPr>
        <w:sectPr>
          <w:pgSz w:w="11900" w:h="16838" w:orient="portrait"/>
          <w:cols w:equalWidth="0" w:num="1">
            <w:col w:w="11420"/>
          </w:cols>
          <w:pgMar w:left="240" w:top="582" w:right="239" w:bottom="1440" w:gutter="0" w:footer="0" w:header="0"/>
        </w:sectPr>
      </w:pPr>
    </w:p>
    <w:bookmarkStart w:id="77" w:name="page78"/>
    <w:bookmarkEnd w:id="77"/>
    <w:p>
      <w:pPr>
        <w:jc w:val="both"/>
        <w:spacing w:after="0" w:line="244" w:lineRule="auto"/>
        <w:rPr>
          <w:sz w:val="20"/>
          <w:szCs w:val="20"/>
          <w:color w:val="auto"/>
        </w:rPr>
      </w:pPr>
      <w:r>
        <w:rPr>
          <w:rFonts w:ascii="Arial" w:cs="Arial" w:eastAsia="Arial" w:hAnsi="Arial"/>
          <w:sz w:val="20"/>
          <w:szCs w:val="20"/>
          <w:color w:val="auto"/>
        </w:rPr>
        <w:t>be fully protected in relying upon the information set forth in any such notice or certificate. At any time on or after March 16, 2030, the bonds of the Fifty-sixth series will be redeemable at the option of the Company, in whole or in part, on not less than 30 nor more than 60 days’ notice prior to the Settlement Date, at a redemption price equal to 100% of the principal amount of the bonds of the Fifty-sixth Series to be redeemed, plus accrued and unpaid interest thereon to the Settlement Date. The bonds of the Fifty-sixth Series are not otherwise subject to voluntary or optional prepayment.</w:t>
      </w:r>
    </w:p>
    <w:p>
      <w:pPr>
        <w:spacing w:after="0" w:line="189" w:lineRule="exact"/>
        <w:rPr>
          <w:sz w:val="20"/>
          <w:szCs w:val="20"/>
          <w:color w:val="auto"/>
        </w:rPr>
      </w:pPr>
    </w:p>
    <w:p>
      <w:pPr>
        <w:jc w:val="both"/>
        <w:ind w:firstLine="656"/>
        <w:spacing w:after="0" w:line="248" w:lineRule="auto"/>
        <w:tabs>
          <w:tab w:leader="none" w:pos="1132"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Fifty-sixth Series, the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the bonds of the Fifty-sixth Series to be prepaid shall be allocated by the Company among all of the bonds of the Fifty-sixth Series at the time outstanding in proportion, as nearly as practicable, to the respective unpaid principal amounts thereof not theretofore called for prepayment.</w:t>
      </w:r>
    </w:p>
    <w:p>
      <w:pPr>
        <w:spacing w:after="0" w:line="184" w:lineRule="exact"/>
        <w:rPr>
          <w:sz w:val="20"/>
          <w:szCs w:val="20"/>
          <w:color w:val="auto"/>
        </w:rPr>
      </w:pPr>
    </w:p>
    <w:p>
      <w:pPr>
        <w:jc w:val="both"/>
        <w:ind w:firstLine="656"/>
        <w:spacing w:after="0" w:line="269" w:lineRule="auto"/>
        <w:tabs>
          <w:tab w:leader="none" w:pos="1207"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Maturity; Surrender, Etc. </w:t>
      </w:r>
      <w:r>
        <w:rPr>
          <w:rFonts w:ascii="Arial" w:cs="Arial" w:eastAsia="Arial" w:hAnsi="Arial"/>
          <w:sz w:val="18"/>
          <w:szCs w:val="18"/>
          <w:color w:val="auto"/>
        </w:rPr>
        <w:t>In the case of each notice of prepayment of bonds of the Fifty-sixth Series pursuant to this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Fifty-sixth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22"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“Make-Whole Amount” means, with respect to any bond of the Fifty-sixth Series, an amount equal to the excess, if any, of the Discounted Value of the Remaining Scheduled Payments with respect to the Called Principal of such bond of the Fifty-sixth Series over the amount of such Called Principal, provided that the Make-Whole Amount may in no event be less than zero. For the purposes of determining the Make-Whole Amount, the following terms have the following meanings:</w:t>
      </w:r>
    </w:p>
    <w:p>
      <w:pPr>
        <w:spacing w:after="0" w:line="192"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7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“Called Principal” means, with respect to any bond of the Fifty-sixth Series, the principal of such bond that is to be prepaid pursuant to subsection (I) of this section.</w:t>
      </w:r>
    </w:p>
    <w:p>
      <w:pPr>
        <w:spacing w:after="0" w:line="177"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“Discounted Value” means, with respect to the Called Principal of any bond of the Fifty-sixth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Fifty-sixth Series is payable) equal to the Reinvestment Yield with respect to such Called Principal.</w:t>
      </w:r>
    </w:p>
    <w:p>
      <w:pPr>
        <w:sectPr>
          <w:pgSz w:w="11900" w:h="16838" w:orient="portrait"/>
          <w:cols w:equalWidth="0" w:num="1">
            <w:col w:w="11420"/>
          </w:cols>
          <w:pgMar w:left="240" w:top="582" w:right="239" w:bottom="1440" w:gutter="0" w:footer="0" w:header="0"/>
        </w:sectPr>
      </w:pPr>
    </w:p>
    <w:bookmarkStart w:id="78" w:name="page79"/>
    <w:bookmarkEnd w:id="78"/>
    <w:p>
      <w:pPr>
        <w:jc w:val="both"/>
        <w:ind w:firstLine="608"/>
        <w:spacing w:after="0" w:line="269" w:lineRule="auto"/>
        <w:rPr>
          <w:sz w:val="20"/>
          <w:szCs w:val="20"/>
          <w:color w:val="auto"/>
        </w:rPr>
      </w:pPr>
      <w:r>
        <w:rPr>
          <w:rFonts w:ascii="Arial" w:cs="Arial" w:eastAsia="Arial" w:hAnsi="Arial"/>
          <w:sz w:val="18"/>
          <w:szCs w:val="18"/>
          <w:color w:val="auto"/>
        </w:rPr>
        <w:t>“Reinvestment Yield” means, with respect to the Called Principal of any bond of the Fifty-sixth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Fifty-sixth Series.</w:t>
      </w:r>
    </w:p>
    <w:p>
      <w:pPr>
        <w:spacing w:after="0" w:line="180"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95"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“Remaining Scheduled Payments” means, with respect to the Called Principal of any Bond of the Fifty-sixth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Fifty-sixth Series, then the amount of the next succeeding scheduled interest payment will be reduced by the amount of interest accrued to such Settlement Date and required to be paid on such Settlement Date pursuant to subsection (I) of this section.</w:t>
      </w:r>
    </w:p>
    <w:p>
      <w:pPr>
        <w:spacing w:after="0" w:line="196"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“Settlement Date” means, with respect to the Called Principal of any Bond of the Fifty-sixth Series, the date on which such Called Principal is to be prepaid pursuant to subsection (I) of this section.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“Senior Financial Officer” means the chief financial officer, principal accounting officer, treasurer or comptroller of the Company.</w:t>
      </w:r>
    </w:p>
    <w:p>
      <w:pPr>
        <w:spacing w:after="0" w:line="227" w:lineRule="exact"/>
        <w:rPr>
          <w:sz w:val="20"/>
          <w:szCs w:val="20"/>
          <w:color w:val="auto"/>
        </w:rPr>
      </w:pPr>
    </w:p>
    <w:p>
      <w:pPr>
        <w:jc w:val="both"/>
        <w:ind w:firstLine="616"/>
        <w:spacing w:after="0" w:line="282" w:lineRule="auto"/>
        <w:tabs>
          <w:tab w:leader="none" w:pos="10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the option of the registered owner, any bonds of the Fifty-sixth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62" w:lineRule="exact"/>
        <w:rPr>
          <w:sz w:val="20"/>
          <w:szCs w:val="20"/>
          <w:color w:val="auto"/>
        </w:rPr>
      </w:pPr>
    </w:p>
    <w:p>
      <w:pPr>
        <w:jc w:val="both"/>
        <w:ind w:firstLine="608"/>
        <w:spacing w:after="0" w:line="282" w:lineRule="auto"/>
        <w:rPr>
          <w:sz w:val="20"/>
          <w:szCs w:val="20"/>
          <w:color w:val="auto"/>
        </w:rPr>
      </w:pPr>
      <w:r>
        <w:rPr>
          <w:rFonts w:ascii="Arial" w:cs="Arial" w:eastAsia="Arial" w:hAnsi="Arial"/>
          <w:sz w:val="18"/>
          <w:szCs w:val="18"/>
          <w:color w:val="auto"/>
        </w:rPr>
        <w:t>Bonds of the Fifty-sixth Series shall be transferable (subject to the provisions of Section 12 of the Mortgage) at the office or agency of the Company in the Borough of Manhattan, The City of New York. The Company shall not be required to make transfers or exchanges of bonds of the Fifty-sixth Series for a period of ten (10) days next preceding any designation of bonds of said series to be prepaid, and the Company shall not be required to make transfers or exchanges of any bonds of said series designated in whole or in part for prepayment.</w:t>
      </w:r>
    </w:p>
    <w:p>
      <w:pPr>
        <w:sectPr>
          <w:pgSz w:w="11900" w:h="16838" w:orient="portrait"/>
          <w:cols w:equalWidth="0" w:num="1">
            <w:col w:w="11420"/>
          </w:cols>
          <w:pgMar w:left="240" w:top="582" w:right="239" w:bottom="1440" w:gutter="0" w:footer="0" w:header="0"/>
        </w:sectPr>
      </w:pPr>
    </w:p>
    <w:bookmarkStart w:id="79" w:name="page80"/>
    <w:bookmarkEnd w:id="79"/>
    <w:p>
      <w:pPr>
        <w:jc w:val="both"/>
        <w:ind w:right="20" w:firstLine="608"/>
        <w:spacing w:after="0" w:line="250" w:lineRule="auto"/>
        <w:rPr>
          <w:sz w:val="20"/>
          <w:szCs w:val="20"/>
          <w:color w:val="auto"/>
        </w:rPr>
      </w:pPr>
      <w:r>
        <w:rPr>
          <w:rFonts w:ascii="Arial" w:cs="Arial" w:eastAsia="Arial" w:hAnsi="Arial"/>
          <w:sz w:val="20"/>
          <w:szCs w:val="20"/>
          <w:color w:val="auto"/>
        </w:rPr>
        <w:t>Upon any exchange or transfer of bonds of the Fifty-sixth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Fifty-sixth Series.</w:t>
      </w:r>
    </w:p>
    <w:p>
      <w:pPr>
        <w:spacing w:after="0" w:line="186"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After the delivery of this Thirty-eighth Supplemental Indenture and upon compliance with the applicable provisions of the Mortgage and receipt of consideration therefor by the Company, there shall be an initial issue of bonds of the Fifty-sixth Series for the aggregate principal amount of $60,000,000.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to Amendments</w:t>
      </w:r>
    </w:p>
    <w:p>
      <w:pPr>
        <w:spacing w:after="0" w:line="200" w:lineRule="exact"/>
        <w:rPr>
          <w:sz w:val="20"/>
          <w:szCs w:val="20"/>
          <w:color w:val="auto"/>
        </w:rPr>
      </w:pPr>
    </w:p>
    <w:p>
      <w:pPr>
        <w:spacing w:after="0" w:line="216" w:lineRule="exact"/>
        <w:rPr>
          <w:sz w:val="20"/>
          <w:szCs w:val="20"/>
          <w:color w:val="auto"/>
        </w:rPr>
      </w:pPr>
    </w:p>
    <w:p>
      <w:pPr>
        <w:jc w:val="both"/>
        <w:ind w:firstLine="608"/>
        <w:spacing w:after="0" w:line="27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Consent to Amendments</w:t>
      </w:r>
      <w:r>
        <w:rPr>
          <w:rFonts w:ascii="Arial" w:cs="Arial" w:eastAsia="Arial" w:hAnsi="Arial"/>
          <w:sz w:val="18"/>
          <w:szCs w:val="18"/>
          <w:color w:val="auto"/>
        </w:rPr>
        <w:t xml:space="preserve"> Each initial and future holder of bonds of the Fifty-fifth Series and the Fifty-sixth Series, by its acquisition of an interest in such bonds, irrevocably (a) consents to the amendments set forth in Article IV of the Thirty-first Supplemental Indenture, dated as of February 1, 2010, without any other or further action by any holder of such bonds, and (b) designates the Corporate Trustee, and its successors, as its proxy with irrevocable instructions to vote and deliver written consents on behalf of such holder in favor of such amendments at any bondholder meeting, in lieu of any bondholder meeting, in any consent solicitation or otherwise.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Reservation of Right to Amend Sections 35(a) and 101 of the Mortgage</w:t>
      </w:r>
    </w:p>
    <w:p>
      <w:pPr>
        <w:jc w:val="center"/>
        <w:spacing w:after="0"/>
        <w:rPr>
          <w:sz w:val="20"/>
          <w:szCs w:val="20"/>
          <w:color w:val="auto"/>
        </w:rPr>
      </w:pPr>
      <w:r>
        <w:rPr>
          <w:rFonts w:ascii="Arial" w:cs="Arial" w:eastAsia="Arial" w:hAnsi="Arial"/>
          <w:sz w:val="20"/>
          <w:szCs w:val="20"/>
          <w:b w:val="1"/>
          <w:bCs w:val="1"/>
          <w:color w:val="auto"/>
        </w:rPr>
        <w:t>and Amendment to Section 102 of the Mortgage</w:t>
      </w:r>
    </w:p>
    <w:p>
      <w:pPr>
        <w:spacing w:after="0" w:line="200" w:lineRule="exact"/>
        <w:rPr>
          <w:sz w:val="20"/>
          <w:szCs w:val="20"/>
          <w:color w:val="auto"/>
        </w:rPr>
      </w:pPr>
    </w:p>
    <w:p>
      <w:pPr>
        <w:spacing w:after="0" w:line="216" w:lineRule="exact"/>
        <w:rPr>
          <w:sz w:val="20"/>
          <w:szCs w:val="20"/>
          <w:color w:val="auto"/>
        </w:rPr>
      </w:pPr>
    </w:p>
    <w:p>
      <w:pPr>
        <w:jc w:val="both"/>
        <w:ind w:firstLine="608"/>
        <w:spacing w:after="0" w:line="287" w:lineRule="auto"/>
        <w:rPr>
          <w:sz w:val="20"/>
          <w:szCs w:val="20"/>
          <w:color w:val="auto"/>
        </w:rPr>
      </w:pPr>
      <w:r>
        <w:rPr>
          <w:rFonts w:ascii="Arial" w:cs="Arial" w:eastAsia="Arial" w:hAnsi="Arial"/>
          <w:sz w:val="19"/>
          <w:szCs w:val="19"/>
          <w:color w:val="auto"/>
        </w:rPr>
        <w:t>SECTION 1. The Company reserves the right, without any vote, consent or other action by the holders of bonds of the Fifty-fifth Series, the Fifty-sixth Series, or any subsequent series, to amend the Mortgage, as herein or heretofore supplemented as follows:</w:t>
      </w:r>
    </w:p>
    <w:p>
      <w:pPr>
        <w:spacing w:after="0" w:line="153" w:lineRule="exact"/>
        <w:rPr>
          <w:sz w:val="20"/>
          <w:szCs w:val="20"/>
          <w:color w:val="auto"/>
        </w:rPr>
      </w:pPr>
    </w:p>
    <w:p>
      <w:pPr>
        <w:ind w:firstLine="1305"/>
        <w:spacing w:after="0" w:line="260" w:lineRule="auto"/>
        <w:tabs>
          <w:tab w:leader="none" w:pos="1629" w:val="left"/>
        </w:tabs>
        <w:numPr>
          <w:ilvl w:val="0"/>
          <w:numId w:val="37"/>
        </w:numPr>
        <w:rPr>
          <w:rFonts w:ascii="Arial" w:cs="Arial" w:eastAsia="Arial" w:hAnsi="Arial"/>
          <w:sz w:val="20"/>
          <w:szCs w:val="20"/>
          <w:color w:val="auto"/>
        </w:rPr>
      </w:pPr>
      <w:r>
        <w:rPr>
          <w:rFonts w:ascii="Arial" w:cs="Arial" w:eastAsia="Arial" w:hAnsi="Arial"/>
          <w:sz w:val="20"/>
          <w:szCs w:val="20"/>
          <w:color w:val="auto"/>
        </w:rPr>
        <w:t>By deleting from Section 35(a) the phrase “having its principal office and place of business in the Borough of Manhattan, The City of New York” and the word “such” at the location in said Section 35(a) at which such word first appears.</w:t>
      </w:r>
    </w:p>
    <w:p>
      <w:pPr>
        <w:spacing w:after="0" w:line="393" w:lineRule="exact"/>
        <w:rPr>
          <w:rFonts w:ascii="Arial" w:cs="Arial" w:eastAsia="Arial" w:hAnsi="Arial"/>
          <w:sz w:val="20"/>
          <w:szCs w:val="20"/>
          <w:color w:val="auto"/>
        </w:rPr>
      </w:pPr>
    </w:p>
    <w:p>
      <w:pPr>
        <w:ind w:left="1620" w:hanging="315"/>
        <w:spacing w:after="0"/>
        <w:tabs>
          <w:tab w:leader="none" w:pos="16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By adding the following at the end of the first sentence of Section 101:</w:t>
      </w:r>
    </w:p>
    <w:p>
      <w:pPr>
        <w:spacing w:after="0" w:line="200" w:lineRule="exact"/>
        <w:rPr>
          <w:sz w:val="20"/>
          <w:szCs w:val="20"/>
          <w:color w:val="auto"/>
        </w:rPr>
      </w:pPr>
    </w:p>
    <w:p>
      <w:pPr>
        <w:spacing w:after="0" w:line="232"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 provided however, that if all of the bonds at that time Outstanding are registered as to principal and interest or as to principal only, such notice shall be sufficiently given if mailed, postage prepaid to each such registered owner of bonds at his/her last address appearing on the registry books, on or before the date of on which the first publication of such notice would otherwise have been required.”</w:t>
      </w:r>
    </w:p>
    <w:p>
      <w:pPr>
        <w:sectPr>
          <w:pgSz w:w="11900" w:h="16838" w:orient="portrait"/>
          <w:cols w:equalWidth="0" w:num="1">
            <w:col w:w="11420"/>
          </w:cols>
          <w:pgMar w:left="240" w:top="582" w:right="239" w:bottom="1440" w:gutter="0" w:footer="0" w:header="0"/>
        </w:sectPr>
      </w:pPr>
    </w:p>
    <w:bookmarkStart w:id="80" w:name="page81"/>
    <w:bookmarkEnd w:id="80"/>
    <w:p>
      <w:pPr>
        <w:ind w:firstLine="608"/>
        <w:spacing w:after="0" w:line="260" w:lineRule="auto"/>
        <w:rPr>
          <w:sz w:val="20"/>
          <w:szCs w:val="20"/>
          <w:color w:val="auto"/>
        </w:rPr>
      </w:pPr>
      <w:r>
        <w:rPr>
          <w:rFonts w:ascii="Arial" w:cs="Arial" w:eastAsia="Arial" w:hAnsi="Arial"/>
          <w:sz w:val="20"/>
          <w:szCs w:val="20"/>
          <w:color w:val="auto"/>
        </w:rPr>
        <w:t>SECTION 2. Section 102 of Article XVII of the Mortgage, as heretofore supplemented, is hereby modified by adding the following sentence at the end of such Section:</w:t>
      </w:r>
    </w:p>
    <w:p>
      <w:pPr>
        <w:spacing w:after="0" w:line="177" w:lineRule="exact"/>
        <w:rPr>
          <w:sz w:val="20"/>
          <w:szCs w:val="20"/>
          <w:color w:val="auto"/>
        </w:rPr>
      </w:pPr>
    </w:p>
    <w:p>
      <w:pPr>
        <w:jc w:val="both"/>
        <w:ind w:left="1300"/>
        <w:spacing w:after="0" w:line="273" w:lineRule="auto"/>
        <w:rPr>
          <w:sz w:val="20"/>
          <w:szCs w:val="20"/>
          <w:color w:val="auto"/>
        </w:rPr>
      </w:pPr>
      <w:r>
        <w:rPr>
          <w:rFonts w:ascii="Arial" w:cs="Arial" w:eastAsia="Arial" w:hAnsi="Arial"/>
          <w:sz w:val="18"/>
          <w:szCs w:val="18"/>
          <w:color w:val="auto"/>
        </w:rPr>
        <w:t>The phrase “instrument executed by order of its Board of Directors” as used in this Section means an instrument executed by an officer of the Company pursuant to a resolution of the Company’s Board of Directors authorizing one or more officers of the Company, whether by name or by title, to execute, for and on behalf of the Company, one or more instruments appointing one or more individuals or entities as Trustee to fill any vacancies in the office of Corporate Trustee or any Co-Trustee, whether such vacancies exist at the time of such resolution or thereafter arise, which resolution may (1) appoint one or more individuals or entities to fill any of such vacancies or (2) authorize one or more officers of the Company to select and appoint, for and on behalf of the Company, the individuals or entities to fill any of such vacancies or any future vacancies in the office of Corporate Trustee or any Co-Trustee, subject to any conditions specified in such resolution.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 Provisions</w:t>
      </w:r>
    </w:p>
    <w:p>
      <w:pPr>
        <w:spacing w:after="0" w:line="200" w:lineRule="exact"/>
        <w:rPr>
          <w:sz w:val="20"/>
          <w:szCs w:val="20"/>
          <w:color w:val="auto"/>
        </w:rPr>
      </w:pPr>
    </w:p>
    <w:p>
      <w:pPr>
        <w:spacing w:after="0" w:line="216" w:lineRule="exact"/>
        <w:rPr>
          <w:sz w:val="20"/>
          <w:szCs w:val="20"/>
          <w:color w:val="auto"/>
        </w:rPr>
      </w:pPr>
    </w:p>
    <w:p>
      <w:pPr>
        <w:jc w:val="both"/>
        <w:ind w:right="20" w:firstLine="608"/>
        <w:spacing w:after="0" w:line="316" w:lineRule="auto"/>
        <w:rPr>
          <w:sz w:val="20"/>
          <w:szCs w:val="20"/>
          <w:color w:val="auto"/>
        </w:rPr>
      </w:pPr>
      <w:r>
        <w:rPr>
          <w:rFonts w:ascii="Arial" w:cs="Arial" w:eastAsia="Arial" w:hAnsi="Arial"/>
          <w:sz w:val="18"/>
          <w:szCs w:val="18"/>
          <w:color w:val="auto"/>
        </w:rPr>
        <w:t>SECTION 1. Section 126 of the Mortgage, as heretofore amended, is hereby further amended by adding the words “and September 15, 2020 and September 16, 2030” after the words “and September 15, 2021, September 15, 2029, and September 15, 2044.”</w:t>
      </w:r>
    </w:p>
    <w:p>
      <w:pPr>
        <w:spacing w:after="0" w:line="130"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SECTION 2. Subject to the amendments provided for in this Thirty-eighth Supplemental Indenture, the terms defined in the Mortgage, as heretofore supplemented, shall, for all purposes of this Thirty-eighth Supplemental Indenture, have the meanings specified in the Mortgage, as heretofore supplemented.</w:t>
      </w:r>
    </w:p>
    <w:p>
      <w:pPr>
        <w:spacing w:after="0" w:line="186"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SECTION 3. The holders of bonds of the Fifty-fifth Series and the Fifty-sixth Series consent that the Company may, but shall not be obligated to, fix a record date for the purpose of determining the holders of bonds of the Fifty-fifth Series and the Fifty-sixth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96" w:lineRule="exact"/>
        <w:rPr>
          <w:sz w:val="20"/>
          <w:szCs w:val="20"/>
          <w:color w:val="auto"/>
        </w:rPr>
      </w:pPr>
    </w:p>
    <w:p>
      <w:pPr>
        <w:jc w:val="both"/>
        <w:ind w:firstLine="608"/>
        <w:spacing w:after="0" w:line="287" w:lineRule="auto"/>
        <w:rPr>
          <w:sz w:val="20"/>
          <w:szCs w:val="20"/>
          <w:color w:val="auto"/>
        </w:rPr>
      </w:pPr>
      <w:r>
        <w:rPr>
          <w:rFonts w:ascii="Arial" w:cs="Arial" w:eastAsia="Arial" w:hAnsi="Arial"/>
          <w:sz w:val="19"/>
          <w:szCs w:val="19"/>
          <w:color w:val="auto"/>
        </w:rPr>
        <w:t>SECTION 4. The Trustees hereby accept the trusts herein declared, provided, created or supplemented and agree to perform the same upon the terms and conditions herein and in the Mortgage set forth and upon the following terms and conditions:</w:t>
      </w:r>
    </w:p>
    <w:p>
      <w:pPr>
        <w:spacing w:after="0" w:line="153"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The Trustees shall not be responsible in any manner whatsoever for or in respect of the validity or sufficiency of this Thirty-eighth Supplemental Indenture or for or in respect of the recitals contained herein, all of which recitals are made by the Company solely. In general, each and every term and condition contained in Article XVII of the Mortgage shall apply to and form part of this Thirty-eighth Supplemental Indenture with the same force and effect as if the same were herein set forth in full with such omissions, variations and insertions, if any, as may be appropriate to make the same conform to the provisions of this Thirty-eighth Supplemental Indenture.</w:t>
      </w:r>
    </w:p>
    <w:p>
      <w:pPr>
        <w:spacing w:after="0" w:line="181"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SECTION 5. Whenever in this Thirty-eighth Supplemental Indenture any party hereto is named or referred to, this shall, subject to the provisions of Articles XVI and XVII of the Mortgage, as heretofore supplemented, be deemed to include the successors or assigns of such party, and all the covenants and agreements in this Thirty-eighth Supplemental Indenture contained by or on behalf of the Company, or by or on behalf of the Trustees shall, subject as aforesaid, bind and inure to the benefit of the respective successors and assigns of such party whether so expressed or not.</w:t>
      </w:r>
    </w:p>
    <w:p>
      <w:pPr>
        <w:sectPr>
          <w:pgSz w:w="11900" w:h="16838" w:orient="portrait"/>
          <w:cols w:equalWidth="0" w:num="1">
            <w:col w:w="11420"/>
          </w:cols>
          <w:pgMar w:left="240" w:top="582" w:right="239" w:bottom="1440" w:gutter="0" w:footer="0" w:header="0"/>
        </w:sectPr>
      </w:pPr>
    </w:p>
    <w:bookmarkStart w:id="81" w:name="page82"/>
    <w:bookmarkEnd w:id="81"/>
    <w:p>
      <w:pPr>
        <w:jc w:val="both"/>
        <w:ind w:firstLine="608"/>
        <w:spacing w:after="0" w:line="259" w:lineRule="auto"/>
        <w:rPr>
          <w:sz w:val="20"/>
          <w:szCs w:val="20"/>
          <w:color w:val="auto"/>
        </w:rPr>
      </w:pPr>
      <w:r>
        <w:rPr>
          <w:rFonts w:ascii="Arial" w:cs="Arial" w:eastAsia="Arial" w:hAnsi="Arial"/>
          <w:sz w:val="19"/>
          <w:szCs w:val="19"/>
          <w:color w:val="auto"/>
        </w:rPr>
        <w:t>SECTION 6. Nothing in this Thirty-eighth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Thirty-eighth Supplemental Indenture or any covenant, condition, stipulation, promise or agreement hereof, and all the covenants, conditions, stipulations, promises and agreements in this Thirty-eighth Supplemental Indenture contained by and on behalf of the Company shall be for the sole and exclusive benefit of the parties hereto, and of the holders of the bonds and of the coupons Outstanding under the Mortgage.</w:t>
      </w:r>
    </w:p>
    <w:p>
      <w:pPr>
        <w:spacing w:after="0" w:line="179" w:lineRule="exact"/>
        <w:rPr>
          <w:sz w:val="20"/>
          <w:szCs w:val="20"/>
          <w:color w:val="auto"/>
        </w:rPr>
      </w:pPr>
    </w:p>
    <w:p>
      <w:pPr>
        <w:jc w:val="both"/>
        <w:ind w:right="20" w:firstLine="608"/>
        <w:spacing w:after="0" w:line="260" w:lineRule="auto"/>
        <w:rPr>
          <w:sz w:val="20"/>
          <w:szCs w:val="20"/>
          <w:color w:val="auto"/>
        </w:rPr>
      </w:pPr>
      <w:r>
        <w:rPr>
          <w:rFonts w:ascii="Arial" w:cs="Arial" w:eastAsia="Arial" w:hAnsi="Arial"/>
          <w:sz w:val="20"/>
          <w:szCs w:val="20"/>
          <w:color w:val="auto"/>
        </w:rPr>
        <w:t>SECTION 7. This Thirty-eighth Supplemental Indenture shall be executed in several counterparts, each of which shall be an original and all of which shall constitute but one and the same instrument.</w:t>
      </w:r>
    </w:p>
    <w:p>
      <w:pPr>
        <w:spacing w:after="0" w:line="177"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SECTION 8. The Company, the mortgagor named herein, by its execution hereof acknowledges receipt of a full, true and complete copy of this Thirty-eighth Supplemental Indenture.</w:t>
      </w:r>
    </w:p>
    <w:p>
      <w:pPr>
        <w:sectPr>
          <w:pgSz w:w="11900" w:h="16838" w:orient="portrait"/>
          <w:cols w:equalWidth="0" w:num="1">
            <w:col w:w="11420"/>
          </w:cols>
          <w:pgMar w:left="240" w:top="582" w:right="239" w:bottom="1440" w:gutter="0" w:footer="0" w:header="0"/>
        </w:sectPr>
      </w:pPr>
    </w:p>
    <w:bookmarkStart w:id="82" w:name="page83"/>
    <w:bookmarkEnd w:id="82"/>
    <w:p>
      <w:pPr>
        <w:jc w:val="both"/>
        <w:ind w:firstLine="648"/>
        <w:spacing w:after="0" w:line="276" w:lineRule="auto"/>
        <w:rPr>
          <w:sz w:val="20"/>
          <w:szCs w:val="20"/>
          <w:color w:val="auto"/>
        </w:rPr>
      </w:pPr>
      <w:r>
        <w:rPr>
          <w:rFonts w:ascii="Arial" w:cs="Arial" w:eastAsia="Arial" w:hAnsi="Arial"/>
          <w:sz w:val="18"/>
          <w:szCs w:val="18"/>
          <w:color w:val="auto"/>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Andres Serrano has hereunto set his hand and affixed his seal, all in The City of New York, as of the day and year first above written.</w:t>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ALLETE, Inc.</w:t>
      </w:r>
    </w:p>
    <w:p>
      <w:pPr>
        <w:spacing w:after="0" w:line="394" w:lineRule="exact"/>
        <w:rPr>
          <w:sz w:val="20"/>
          <w:szCs w:val="20"/>
          <w:color w:val="auto"/>
        </w:rPr>
      </w:pPr>
    </w:p>
    <w:p>
      <w:pPr>
        <w:ind w:left="3860"/>
        <w:spacing w:after="0"/>
        <w:tabs>
          <w:tab w:leader="none" w:pos="4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31750</wp:posOffset>
            </wp:positionV>
            <wp:extent cx="19812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6"/>
          <w:szCs w:val="16"/>
          <w:color w:val="auto"/>
        </w:rPr>
        <w:t>/s/ Deborah A. Amberg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Deborah A. Amberg</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Senior Vice President, General Counsel</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Trustees’ Signature Page Follows</w:t>
      </w:r>
    </w:p>
    <w:p>
      <w:pPr>
        <w:sectPr>
          <w:pgSz w:w="11900" w:h="16838" w:orient="portrait"/>
          <w:cols w:equalWidth="0" w:num="1">
            <w:col w:w="11420"/>
          </w:cols>
          <w:pgMar w:left="240" w:top="582" w:right="239" w:bottom="1440" w:gutter="0" w:footer="0" w:header="0"/>
        </w:sectPr>
      </w:pPr>
    </w:p>
    <w:bookmarkStart w:id="83" w:name="page84"/>
    <w:bookmarkEnd w:id="83"/>
    <w:p>
      <w:pPr>
        <w:spacing w:after="0" w:line="2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THE BANK OF NEW YORK MELLON,</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as Trustee</w:t>
      </w:r>
    </w:p>
    <w:p>
      <w:pPr>
        <w:spacing w:after="0" w:line="148" w:lineRule="exact"/>
        <w:rPr>
          <w:sz w:val="20"/>
          <w:szCs w:val="20"/>
          <w:color w:val="auto"/>
        </w:rPr>
      </w:pPr>
    </w:p>
    <w:tbl>
      <w:tblPr>
        <w:tblLayout w:type="fixed"/>
        <w:tblInd w:w="61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Pr>
          <w:p>
            <w:pPr>
              <w:ind w:left="40"/>
              <w:spacing w:after="0"/>
              <w:rPr>
                <w:sz w:val="20"/>
                <w:szCs w:val="20"/>
                <w:color w:val="auto"/>
              </w:rPr>
            </w:pPr>
            <w:r>
              <w:rPr>
                <w:rFonts w:ascii="Arial" w:cs="Arial" w:eastAsia="Arial" w:hAnsi="Arial"/>
                <w:sz w:val="18"/>
                <w:szCs w:val="18"/>
                <w:color w:val="auto"/>
              </w:rPr>
              <w:t>/s/ Francine Kincaid</w:t>
            </w:r>
          </w:p>
        </w:tc>
      </w:tr>
      <w:tr>
        <w:trPr>
          <w:trHeight w:val="27"/>
        </w:trPr>
        <w:tc>
          <w:tcPr>
            <w:tcW w:w="62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3120" w:type="dxa"/>
            <w:vAlign w:val="bottom"/>
          </w:tcPr>
          <w:p>
            <w:pPr>
              <w:ind w:left="40"/>
              <w:spacing w:after="0"/>
              <w:rPr>
                <w:sz w:val="20"/>
                <w:szCs w:val="20"/>
                <w:color w:val="auto"/>
              </w:rPr>
            </w:pPr>
            <w:r>
              <w:rPr>
                <w:rFonts w:ascii="Arial" w:cs="Arial" w:eastAsia="Arial" w:hAnsi="Arial"/>
                <w:sz w:val="18"/>
                <w:szCs w:val="18"/>
                <w:color w:val="auto"/>
              </w:rPr>
              <w:t>Francine Kincaid</w:t>
            </w:r>
          </w:p>
        </w:tc>
      </w:tr>
      <w:tr>
        <w:trPr>
          <w:trHeight w:val="270"/>
        </w:trPr>
        <w:tc>
          <w:tcPr>
            <w:tcW w:w="620" w:type="dxa"/>
            <w:vAlign w:val="bottom"/>
          </w:tcPr>
          <w:p>
            <w:pPr>
              <w:spacing w:after="0"/>
              <w:rPr>
                <w:sz w:val="23"/>
                <w:szCs w:val="23"/>
                <w:color w:val="auto"/>
              </w:rPr>
            </w:pPr>
          </w:p>
        </w:tc>
        <w:tc>
          <w:tcPr>
            <w:tcW w:w="31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6"/>
          <w:szCs w:val="16"/>
          <w:color w:val="auto"/>
        </w:rPr>
        <w:t>/s/ Ignazio Tamburello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Ignazio Tamburello</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6100" w:type="dxa"/>
        <w:tblCellMar>
          <w:top w:w="0" w:type="dxa"/>
          <w:left w:w="0" w:type="dxa"/>
          <w:bottom w:w="0" w:type="dxa"/>
          <w:right w:w="0" w:type="dxa"/>
        </w:tblCellMar>
      </w:tblP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/s/ Andres Serrano</w:t>
            </w:r>
          </w:p>
        </w:tc>
        <w:tc>
          <w:tcPr>
            <w:tcW w:w="1380" w:type="dxa"/>
            <w:vAlign w:val="bottom"/>
          </w:tcPr>
          <w:p>
            <w:pPr>
              <w:ind w:left="760"/>
              <w:spacing w:after="0"/>
              <w:rPr>
                <w:sz w:val="20"/>
                <w:szCs w:val="20"/>
                <w:color w:val="auto"/>
              </w:rPr>
            </w:pPr>
            <w:r>
              <w:rPr>
                <w:rFonts w:ascii="Arial" w:cs="Arial" w:eastAsia="Arial" w:hAnsi="Arial"/>
                <w:sz w:val="18"/>
                <w:szCs w:val="18"/>
                <w:color w:val="auto"/>
              </w:rPr>
              <w:t>L.S.</w:t>
            </w:r>
          </w:p>
        </w:tc>
      </w:tr>
      <w:tr>
        <w:trPr>
          <w:trHeight w:val="27"/>
        </w:trPr>
        <w:tc>
          <w:tcPr>
            <w:tcW w:w="2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ind w:left="20"/>
              <w:spacing w:after="0"/>
              <w:rPr>
                <w:sz w:val="20"/>
                <w:szCs w:val="20"/>
                <w:color w:val="auto"/>
              </w:rPr>
            </w:pPr>
            <w:r>
              <w:rPr>
                <w:rFonts w:ascii="Arial" w:cs="Arial" w:eastAsia="Arial" w:hAnsi="Arial"/>
                <w:sz w:val="18"/>
                <w:szCs w:val="18"/>
                <w:color w:val="auto"/>
              </w:rPr>
              <w:t>ANDRES SERRANO</w:t>
            </w:r>
          </w:p>
        </w:tc>
        <w:tc>
          <w:tcPr>
            <w:tcW w:w="13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Executed, sealed and delivered by THE BANK OF NEW</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YORK MELLON and ANDRES SERRANO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Stacey Poindexter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Thomas 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Thirty-eighth Supplemental Indenture dated as of September 1, 2015</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To Mortgage and Deed of Trust dated as of September 1, 1945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Trustees’ Signature Page</w:t>
      </w:r>
    </w:p>
    <w:p>
      <w:pPr>
        <w:sectPr>
          <w:pgSz w:w="11900" w:h="16838" w:orient="portrait"/>
          <w:cols w:equalWidth="0" w:num="1">
            <w:col w:w="10219"/>
          </w:cols>
          <w:pgMar w:left="240" w:top="1440" w:right="1440" w:bottom="1440" w:gutter="0" w:footer="0" w:header="0"/>
        </w:sectPr>
      </w:pPr>
    </w:p>
    <w:bookmarkStart w:id="84" w:name="page85"/>
    <w:bookmarkEnd w:id="84"/>
    <w:p>
      <w:pPr>
        <w:spacing w:after="0"/>
        <w:rPr>
          <w:sz w:val="20"/>
          <w:szCs w:val="20"/>
          <w:color w:val="auto"/>
        </w:rPr>
      </w:pPr>
      <w:r>
        <w:rPr>
          <w:rFonts w:ascii="Arial" w:cs="Arial" w:eastAsia="Arial" w:hAnsi="Arial"/>
          <w:sz w:val="20"/>
          <w:szCs w:val="20"/>
          <w:color w:val="auto"/>
        </w:rPr>
        <w:t>STATE OF MINNESOTA )</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ST. LOUIS )</w:t>
      </w:r>
    </w:p>
    <w:p>
      <w:pPr>
        <w:spacing w:after="0" w:line="200" w:lineRule="exact"/>
        <w:rPr>
          <w:sz w:val="20"/>
          <w:szCs w:val="20"/>
          <w:color w:val="auto"/>
        </w:rPr>
      </w:pPr>
    </w:p>
    <w:p>
      <w:pPr>
        <w:spacing w:after="0" w:line="216" w:lineRule="exact"/>
        <w:rPr>
          <w:sz w:val="20"/>
          <w:szCs w:val="20"/>
          <w:color w:val="auto"/>
        </w:rPr>
      </w:pPr>
    </w:p>
    <w:p>
      <w:pPr>
        <w:ind w:right="80" w:firstLine="648"/>
        <w:spacing w:after="0" w:line="232" w:lineRule="auto"/>
        <w:rPr>
          <w:sz w:val="20"/>
          <w:szCs w:val="20"/>
          <w:color w:val="auto"/>
        </w:rPr>
      </w:pPr>
      <w:r>
        <w:rPr>
          <w:rFonts w:ascii="Arial" w:cs="Arial" w:eastAsia="Arial" w:hAnsi="Arial"/>
          <w:sz w:val="19"/>
          <w:szCs w:val="19"/>
          <w:color w:val="auto"/>
        </w:rPr>
        <w:t>On this 18</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September, 2015, the foregoing instrument was acknowledged before me by Steven Q. DeVinck, Senior Vice President and Chief Financial Officer of ALLETE, Inc., a Minnesota corporation, on behalf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Jodi M.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9723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Jodi M. Nash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Notary Public - Minnesota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My Commission Expires Jan. 31, 2020</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STATE OF MINNESOTA )</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ST. LOUIS )</w:t>
      </w:r>
    </w:p>
    <w:p>
      <w:pPr>
        <w:spacing w:after="0" w:line="200" w:lineRule="exact"/>
        <w:rPr>
          <w:sz w:val="20"/>
          <w:szCs w:val="20"/>
          <w:color w:val="auto"/>
        </w:rPr>
      </w:pPr>
    </w:p>
    <w:p>
      <w:pPr>
        <w:spacing w:after="0" w:line="216" w:lineRule="exact"/>
        <w:rPr>
          <w:sz w:val="20"/>
          <w:szCs w:val="20"/>
          <w:color w:val="auto"/>
        </w:rPr>
      </w:pPr>
    </w:p>
    <w:p>
      <w:pPr>
        <w:ind w:firstLine="648"/>
        <w:spacing w:after="0" w:line="232" w:lineRule="auto"/>
        <w:rPr>
          <w:sz w:val="20"/>
          <w:szCs w:val="20"/>
          <w:color w:val="auto"/>
        </w:rPr>
      </w:pPr>
      <w:r>
        <w:rPr>
          <w:rFonts w:ascii="Arial" w:cs="Arial" w:eastAsia="Arial" w:hAnsi="Arial"/>
          <w:sz w:val="19"/>
          <w:szCs w:val="19"/>
          <w:color w:val="auto"/>
        </w:rPr>
        <w:t>On this 18</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September, 2015, the foregoing instrument was acknowledged before me by Deborah A. Amberg, Senior Vice President, General Counsel and Secretary of ALLETE, Inc., a Minnesota corporation, on behalf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39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Jodi M.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19723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Jodi M. Nash</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 - Minnesota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My Commission Expires Jan. 31, 2020</w:t>
      </w:r>
    </w:p>
    <w:p>
      <w:pPr>
        <w:sectPr>
          <w:pgSz w:w="11900" w:h="16838" w:orient="portrait"/>
          <w:cols w:equalWidth="0" w:num="1">
            <w:col w:w="10900"/>
          </w:cols>
          <w:pgMar w:left="240" w:top="811" w:right="759" w:bottom="1440" w:gutter="0" w:footer="0" w:header="0"/>
        </w:sectPr>
      </w:pPr>
    </w:p>
    <w:bookmarkStart w:id="85" w:name="page86"/>
    <w:bookmarkEnd w:id="85"/>
    <w:p>
      <w:pPr>
        <w:spacing w:after="0"/>
        <w:tabs>
          <w:tab w:leader="none" w:pos="2160" w:val="left"/>
        </w:tabs>
        <w:rPr>
          <w:sz w:val="20"/>
          <w:szCs w:val="20"/>
          <w:color w:val="auto"/>
        </w:rPr>
      </w:pPr>
      <w:r>
        <w:rPr>
          <w:rFonts w:ascii="Arial" w:cs="Arial" w:eastAsia="Arial" w:hAnsi="Arial"/>
          <w:sz w:val="20"/>
          <w:szCs w:val="20"/>
          <w:color w:val="auto"/>
        </w:rPr>
        <w:t>STATE OF NEW YORK</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SS:</w:t>
      </w:r>
    </w:p>
    <w:p>
      <w:pPr>
        <w:spacing w:after="0"/>
        <w:tabs>
          <w:tab w:leader="none" w:pos="2200" w:val="left"/>
        </w:tabs>
        <w:rPr>
          <w:sz w:val="20"/>
          <w:szCs w:val="20"/>
          <w:color w:val="auto"/>
        </w:rPr>
      </w:pPr>
      <w:r>
        <w:rPr>
          <w:rFonts w:ascii="Arial" w:cs="Arial" w:eastAsia="Arial" w:hAnsi="Arial"/>
          <w:sz w:val="18"/>
          <w:szCs w:val="18"/>
          <w:color w:val="auto"/>
        </w:rPr>
        <w:t>COUNTY OF NEW YORK</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jc w:val="both"/>
        <w:ind w:firstLine="608"/>
        <w:spacing w:after="0" w:line="227" w:lineRule="auto"/>
        <w:rPr>
          <w:sz w:val="20"/>
          <w:szCs w:val="20"/>
          <w:color w:val="auto"/>
        </w:rPr>
      </w:pPr>
      <w:r>
        <w:rPr>
          <w:rFonts w:ascii="Arial" w:cs="Arial" w:eastAsia="Arial" w:hAnsi="Arial"/>
          <w:sz w:val="20"/>
          <w:szCs w:val="20"/>
          <w:color w:val="auto"/>
        </w:rPr>
        <w:t>On this 17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September, 2015, the foregoing instrument was acknowledged before me by Francine Kincaid and Ignazio Tamburello, the Vice President and Vice President, respectively, of The Bank of New York Mellon, the corporation named in the foregoing instrument.</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17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September, 2015.</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Christopher J. Traina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058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Christopher J. Traina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 - State of New York</w:t>
      </w:r>
    </w:p>
    <w:p>
      <w:pPr>
        <w:spacing w:after="0" w:line="27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 01TR6297825</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Qualified in Queens County</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Commission Expires March 03, 2018</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Certified in New York County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2160" w:val="left"/>
        </w:tabs>
        <w:rPr>
          <w:sz w:val="20"/>
          <w:szCs w:val="20"/>
          <w:color w:val="auto"/>
        </w:rPr>
      </w:pPr>
      <w:r>
        <w:rPr>
          <w:rFonts w:ascii="Arial" w:cs="Arial" w:eastAsia="Arial" w:hAnsi="Arial"/>
          <w:sz w:val="20"/>
          <w:szCs w:val="20"/>
          <w:color w:val="auto"/>
        </w:rPr>
        <w:t>STATE OF NEW YORK</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SS:</w:t>
      </w:r>
    </w:p>
    <w:p>
      <w:pPr>
        <w:spacing w:after="0"/>
        <w:tabs>
          <w:tab w:leader="none" w:pos="2200" w:val="left"/>
        </w:tabs>
        <w:rPr>
          <w:sz w:val="20"/>
          <w:szCs w:val="20"/>
          <w:color w:val="auto"/>
        </w:rPr>
      </w:pPr>
      <w:r>
        <w:rPr>
          <w:rFonts w:ascii="Arial" w:cs="Arial" w:eastAsia="Arial" w:hAnsi="Arial"/>
          <w:sz w:val="18"/>
          <w:szCs w:val="18"/>
          <w:color w:val="auto"/>
        </w:rPr>
        <w:t>COUNTY OF NEW YORK</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608"/>
        <w:spacing w:after="0" w:line="222" w:lineRule="auto"/>
        <w:rPr>
          <w:sz w:val="20"/>
          <w:szCs w:val="20"/>
          <w:color w:val="auto"/>
        </w:rPr>
      </w:pPr>
      <w:r>
        <w:rPr>
          <w:rFonts w:ascii="Arial" w:cs="Arial" w:eastAsia="Arial" w:hAnsi="Arial"/>
          <w:sz w:val="20"/>
          <w:szCs w:val="20"/>
          <w:color w:val="auto"/>
        </w:rPr>
        <w:t>On this 18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September, 2015, the foregoing instrument was acknowledged before me by Andres Serrano, the person described in and who executed the foregoing instrument.</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18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September,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Christopher J. Traina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058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Christopher J. Traina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 - State of New York</w:t>
      </w:r>
    </w:p>
    <w:p>
      <w:pPr>
        <w:spacing w:after="0" w:line="27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 01TR6297825</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Qualified in Queens County</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Commission Expires March 03, 2018</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Certified in New York County</w:t>
      </w:r>
    </w:p>
    <w:p>
      <w:pPr>
        <w:sectPr>
          <w:pgSz w:w="11900" w:h="16838" w:orient="portrait"/>
          <w:cols w:equalWidth="0" w:num="1">
            <w:col w:w="11420"/>
          </w:cols>
          <w:pgMar w:left="240" w:top="582"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2015,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color w:val="auto"/>
        </w:rPr>
        <w:t>Date: November 3, 2015</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Steven Q. DeVinck, of ALLETE, Inc. (ALLETE), certify that:</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2015,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November 3, 2015</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September 30, 2015,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3, 2015</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3, 2015</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89" w:name="page90"/>
    <w:bookmarkEnd w:id="89"/>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pacing w:after="0" w:line="29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the quarter ended September 30, 2015, BNI Coal, owner of Center Mine, received no significant and substantial (S&amp;S) citations under Section 104(a) of the Mine Safety Act. In 2013, BNI Coal had a S&amp;S citation under Section 104(a) of the Mine and Safety Act for which the Mine Safety and Health Administration proposed a penalty of $52,500; a hearing case has been filed in relation to this penalty. For the quarter ended September 30, 2015,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80" w:right="219" w:bottom="1440" w:gutter="0" w:footer="0" w:header="0"/>
        </w:sectPr>
      </w:pPr>
    </w:p>
    <w:bookmarkStart w:id="90" w:name="page91"/>
    <w:bookmarkEnd w:id="90"/>
    <w:p>
      <w:pPr>
        <w:ind w:left="10600"/>
        <w:spacing w:after="0"/>
        <w:rPr>
          <w:sz w:val="20"/>
          <w:szCs w:val="20"/>
          <w:color w:val="auto"/>
        </w:rPr>
      </w:pPr>
      <w:r>
        <w:rPr>
          <w:rFonts w:ascii="Arial" w:cs="Arial" w:eastAsia="Arial" w:hAnsi="Arial"/>
          <w:sz w:val="15"/>
          <w:szCs w:val="15"/>
          <w:color w:val="auto"/>
        </w:rPr>
        <w:t>Exhibit 99</w:t>
      </w:r>
    </w:p>
    <w:p>
      <w:pPr>
        <w:sectPr>
          <w:pgSz w:w="11900" w:h="16838" w:orient="portrait"/>
          <w:cols w:equalWidth="0" w:num="1">
            <w:col w:w="11400"/>
          </w:cols>
          <w:pgMar w:left="240" w:top="845" w:right="259" w:bottom="1440" w:gutter="0" w:footer="0" w:header="0"/>
        </w:sectPr>
      </w:pPr>
    </w:p>
    <w:p>
      <w:pPr>
        <w:spacing w:after="0" w:line="8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-26670</wp:posOffset>
            </wp:positionV>
            <wp:extent cx="1655445" cy="7543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55445" cy="754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November 3, 2015</w:t>
      </w:r>
    </w:p>
    <w:p>
      <w:pPr>
        <w:spacing w:after="0" w:line="96" w:lineRule="exact"/>
        <w:rPr>
          <w:sz w:val="20"/>
          <w:szCs w:val="20"/>
          <w:color w:val="auto"/>
        </w:rPr>
      </w:pPr>
    </w:p>
    <w:p>
      <w:pPr>
        <w:sectPr>
          <w:pgSz w:w="11900" w:h="16838" w:orient="portrait"/>
          <w:cols w:equalWidth="0" w:num="2">
            <w:col w:w="7940" w:space="720"/>
            <w:col w:w="2740"/>
          </w:cols>
          <w:pgMar w:left="240" w:top="845" w:right="259" w:bottom="1440" w:gutter="0" w:footer="0" w:header="0"/>
          <w:type w:val="continuous"/>
        </w:sectPr>
      </w:pPr>
    </w:p>
    <w:p>
      <w:pPr>
        <w:ind w:left="686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Vince Meyer</w:t>
      </w:r>
    </w:p>
    <w:p>
      <w:pPr>
        <w:spacing w:after="0" w:line="98" w:lineRule="exact"/>
        <w:rPr>
          <w:sz w:val="20"/>
          <w:szCs w:val="20"/>
          <w:color w:val="auto"/>
        </w:rPr>
      </w:pPr>
    </w:p>
    <w:p>
      <w:pPr>
        <w:sectPr>
          <w:pgSz w:w="11900" w:h="16838" w:orient="portrait"/>
          <w:cols w:equalWidth="0" w:num="2">
            <w:col w:w="8000" w:space="660"/>
            <w:col w:w="2740"/>
          </w:cols>
          <w:pgMar w:left="240" w:top="845" w:right="259" w:bottom="1440" w:gutter="0" w:footer="0" w:header="0"/>
          <w:type w:val="continuous"/>
        </w:sectPr>
      </w:pPr>
    </w:p>
    <w:p>
      <w:pPr>
        <w:ind w:left="8660"/>
        <w:spacing w:after="0"/>
        <w:rPr>
          <w:sz w:val="20"/>
          <w:szCs w:val="20"/>
          <w:color w:val="auto"/>
        </w:rPr>
      </w:pPr>
      <w:r>
        <w:rPr>
          <w:rFonts w:ascii="Arial" w:cs="Arial" w:eastAsia="Arial" w:hAnsi="Arial"/>
          <w:sz w:val="16"/>
          <w:szCs w:val="16"/>
          <w:color w:val="auto"/>
        </w:rPr>
        <w:t>218-723-3952</w:t>
      </w:r>
    </w:p>
    <w:p>
      <w:pPr>
        <w:spacing w:after="0" w:line="86"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vmeyer@allete.com</w:t>
      </w:r>
    </w:p>
    <w:p>
      <w:pPr>
        <w:sectPr>
          <w:pgSz w:w="11900" w:h="16838" w:orient="portrait"/>
          <w:cols w:equalWidth="0" w:num="1">
            <w:col w:w="11400"/>
          </w:cols>
          <w:pgMar w:left="240" w:top="84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Arial" w:cs="Arial" w:eastAsia="Arial" w:hAnsi="Arial"/>
          <w:sz w:val="40"/>
          <w:szCs w:val="40"/>
          <w:b w:val="1"/>
          <w:bCs w:val="1"/>
          <w:i w:val="1"/>
          <w:iCs w:val="1"/>
          <w:color w:val="auto"/>
        </w:rPr>
        <w:t>NEWS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third quarter earnings of $1.23 per share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Full-year earnings guidance increased to $3.35-$3.50 per share</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DULUTH, Minn. - ALLETE, Inc. (NYSE: ALE) today reported third quarter 2015 earnings of $1.23 per share on net income of $60.4 million and operating revenue of $462.5 million. Earnings for the third quarter of 2014 were 97 cents per share on net income of $41.6 million and operating revenue of $288.9 million. This quarter’s results included acquisition transaction fees amounting to two cents per share.</w:t>
      </w:r>
    </w:p>
    <w:p>
      <w:pPr>
        <w:spacing w:after="0" w:line="1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ALLETE’s Regulated Operations segment, which includes Minnesota Power, Superior Water, Light and Power, and the Company’s investment in the American Transmission Co., recorded net income of $43.8 million, an increase of $2.9 million over 2014 third quarter net income. Increases in production tax credits and power marketing margins were partially offset by increased depreciation and interest expense.</w:t>
      </w:r>
    </w:p>
    <w:p>
      <w:pPr>
        <w:spacing w:after="0" w:line="1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ALLETE’s Energy Infrastructure and Related Services businesses, which include the ALLETE Clean Energy and U.S. Water Services segments, recorded net income of $13.2 million and $1.0 million, respectively. Earnings at ALLETE Clean Energy increased due to recent acquisitions and fees earned for the development of a wind facility for Montana-Dakota Utilities (MDU); the MDU development fee recognized by ALLETE Clean Energy in the third quarter was $12.3 million after-tax, or $0.25 per share. Earnings at U.S. Water Services reflect the Company’s results for the quarter with ALLETE’s acquisition of the company on February 10, 2015.</w:t>
      </w:r>
    </w:p>
    <w:p>
      <w:pPr>
        <w:spacing w:after="0" w:line="14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Corporate and Other segment, which includes BNI Coal and ALLETE Properties, posted net income of $2.4 million, compared to third quarter net income of $200,000 a year ago. Earnings from the segment were up primarily due to lower state income tax expense than in 2014.</w:t>
      </w:r>
    </w:p>
    <w:p>
      <w:pPr>
        <w:spacing w:after="0" w:line="106"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“I am pleased to share these financial results; we have strong momentum going into the end of the year which supports our decision to increase earnings guidance. Our successful growth strategy is clearly evident as we realize the value and benefits of our broadened energy businesses,” said ALLETE Chairman, President and CEO Al Hodnik. “I believe ALLETE offers compelling shareholder value and I am excited about our future.”</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ALLETE’s 2015 full-year guidance has been adjusted upward to a range of $3.35 to $3.50 per share, from previous guidance of $3.20 to $3.40 per share, to reflect stronger project management performance in ALLETE Clean Energy’s development of a wind facility for MDU and Minnesota Power’s success in reducing operating and maintenance expenses through an active cost reduction program. The company estimates the fee earned for developing the MDU wind project will net approximately $18 million, after-tax, and is expected to close in December 2015. The 2015 guidance excludes acquisition-related transaction fees and the impact, if any, of pending regulatory outcomes. Additional details about earnings guidance for the year will be discussed in our conference call scheduled for today.</w:t>
      </w:r>
    </w:p>
    <w:p>
      <w:pPr>
        <w:spacing w:after="0" w:line="15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Interested parties may listen to the conference live by calling (877) 303-5852, or by accessing the webcast on ALLETE’s Web site, </w:t>
      </w:r>
      <w:r>
        <w:rPr>
          <w:rFonts w:ascii="Arial" w:cs="Arial" w:eastAsia="Arial" w:hAnsi="Arial"/>
          <w:sz w:val="18"/>
          <w:szCs w:val="18"/>
          <w:u w:val="single" w:color="auto"/>
          <w:color w:val="0000FF"/>
        </w:rPr>
        <w:t>www.allete.com</w:t>
      </w:r>
      <w:r>
        <w:rPr>
          <w:rFonts w:ascii="Arial" w:cs="Arial" w:eastAsia="Arial" w:hAnsi="Arial"/>
          <w:sz w:val="18"/>
          <w:szCs w:val="18"/>
          <w:color w:val="auto"/>
        </w:rPr>
        <w:t xml:space="preserve">. A replay of the call will be available through November 5, 2015 by dialing (855) 859-2056, pass code 55507369. The webcast will be accessible for one year at </w:t>
      </w:r>
      <w:r>
        <w:rPr>
          <w:rFonts w:ascii="Arial" w:cs="Arial" w:eastAsia="Arial" w:hAnsi="Arial"/>
          <w:sz w:val="18"/>
          <w:szCs w:val="18"/>
          <w:u w:val="single" w:color="auto"/>
          <w:color w:val="0000FF"/>
        </w:rPr>
        <w:t>www.allete.com</w:t>
      </w:r>
      <w:r>
        <w:rPr>
          <w:rFonts w:ascii="Arial" w:cs="Arial" w:eastAsia="Arial" w:hAnsi="Arial"/>
          <w:sz w:val="18"/>
          <w:szCs w:val="18"/>
          <w:color w:val="000000"/>
        </w:rPr>
        <w: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ALLETE is an energy company headquartered in Duluth, Minn. In addition to its electric utilities, Minnesota Power and Superior Water, Light and</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Power of Wisconsin, ALLETE owns ALLETE Clean Energy, based in Duluth, U.S. Water Services headquartered in St. Michael, Minn., BNI Coal in Center, N.D., and has an eight percent equity interest in the American Transmission Co. More information about ALLETE is available at </w:t>
      </w:r>
      <w:r>
        <w:rPr>
          <w:rFonts w:ascii="Arial" w:cs="Arial" w:eastAsia="Arial" w:hAnsi="Arial"/>
          <w:sz w:val="18"/>
          <w:szCs w:val="18"/>
          <w:u w:val="single" w:color="auto"/>
          <w:color w:val="0000FF"/>
        </w:rPr>
        <w:t>www.allete.com</w:t>
      </w:r>
      <w:r>
        <w:rPr>
          <w:rFonts w:ascii="Arial" w:cs="Arial" w:eastAsia="Arial" w:hAnsi="Arial"/>
          <w:sz w:val="18"/>
          <w:szCs w:val="18"/>
          <w:color w:val="auto"/>
        </w:rPr>
        <w:t xml:space="preserve">. </w:t>
      </w:r>
      <w:r>
        <w:rPr>
          <w:rFonts w:ascii="Arial" w:cs="Arial" w:eastAsia="Arial" w:hAnsi="Arial"/>
          <w:sz w:val="18"/>
          <w:szCs w:val="18"/>
          <w:i w:val="1"/>
          <w:iCs w:val="1"/>
          <w:color w:val="auto"/>
        </w:rPr>
        <w:t>ALE-CORP</w:t>
      </w:r>
    </w:p>
    <w:p>
      <w:pPr>
        <w:sectPr>
          <w:pgSz w:w="11900" w:h="16838" w:orient="portrait"/>
          <w:cols w:equalWidth="0" w:num="1">
            <w:col w:w="11400"/>
          </w:cols>
          <w:pgMar w:left="240" w:top="845" w:right="259" w:bottom="1440" w:gutter="0" w:footer="0" w:header="0"/>
          <w:type w:val="continuous"/>
        </w:sectPr>
      </w:pPr>
    </w:p>
    <w:bookmarkStart w:id="91" w:name="page92"/>
    <w:bookmarkEnd w:id="91"/>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665" w:right="27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342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1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900" w:type="dxa"/>
            <w:vAlign w:val="bottom"/>
          </w:tcPr>
          <w:p>
            <w:pPr>
              <w:spacing w:after="0"/>
              <w:rPr>
                <w:sz w:val="23"/>
                <w:szCs w:val="23"/>
                <w:color w:val="auto"/>
              </w:rPr>
            </w:pPr>
          </w:p>
        </w:tc>
        <w:tc>
          <w:tcPr>
            <w:tcW w:w="342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1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900" w:type="dxa"/>
            <w:vAlign w:val="bottom"/>
          </w:tcPr>
          <w:p>
            <w:pPr>
              <w:spacing w:after="0"/>
              <w:rPr>
                <w:sz w:val="23"/>
                <w:szCs w:val="23"/>
                <w:color w:val="auto"/>
              </w:rPr>
            </w:pPr>
          </w:p>
        </w:tc>
        <w:tc>
          <w:tcPr>
            <w:tcW w:w="2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960" w:type="dxa"/>
            <w:vAlign w:val="bottom"/>
          </w:tcPr>
          <w:p>
            <w:pPr>
              <w:ind w:left="220"/>
              <w:spacing w:after="0"/>
              <w:rPr>
                <w:sz w:val="20"/>
                <w:szCs w:val="20"/>
                <w:color w:val="auto"/>
              </w:rPr>
            </w:pPr>
            <w:r>
              <w:rPr>
                <w:rFonts w:ascii="Arial" w:cs="Arial" w:eastAsia="Arial" w:hAnsi="Arial"/>
                <w:sz w:val="18"/>
                <w:szCs w:val="18"/>
                <w:b w:val="1"/>
                <w:bCs w:val="1"/>
                <w:color w:val="auto"/>
              </w:rPr>
              <w:t>2014</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5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$462.5</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$288.9</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$1,105.8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$846.1</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76.8</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88.9</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242.9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268.7</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Transmission Services</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13.9</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11.9</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40.1</w:t>
            </w:r>
          </w:p>
        </w:tc>
        <w:tc>
          <w:tcPr>
            <w:tcW w:w="960" w:type="dxa"/>
            <w:vAlign w:val="bottom"/>
          </w:tcPr>
          <w:p>
            <w:pPr>
              <w:ind w:left="540"/>
              <w:spacing w:after="0"/>
              <w:rPr>
                <w:sz w:val="20"/>
                <w:szCs w:val="20"/>
                <w:color w:val="auto"/>
              </w:rPr>
            </w:pPr>
            <w:r>
              <w:rPr>
                <w:rFonts w:ascii="Arial" w:cs="Arial" w:eastAsia="Arial" w:hAnsi="Arial"/>
                <w:sz w:val="18"/>
                <w:szCs w:val="18"/>
                <w:color w:val="auto"/>
              </w:rPr>
              <w:t>33.2</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149.8</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16.8</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233.3</w:t>
            </w:r>
          </w:p>
        </w:tc>
        <w:tc>
          <w:tcPr>
            <w:tcW w:w="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59.2</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81.3</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65.7</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246.4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214.3</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43.2</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33.4</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123.5</w:t>
            </w:r>
          </w:p>
        </w:tc>
        <w:tc>
          <w:tcPr>
            <w:tcW w:w="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99.5</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12.3</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11.4</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38.5</w:t>
            </w:r>
          </w:p>
        </w:tc>
        <w:tc>
          <w:tcPr>
            <w:tcW w:w="960" w:type="dxa"/>
            <w:vAlign w:val="bottom"/>
          </w:tcPr>
          <w:p>
            <w:pPr>
              <w:ind w:left="540"/>
              <w:spacing w:after="0"/>
              <w:rPr>
                <w:sz w:val="20"/>
                <w:szCs w:val="20"/>
                <w:color w:val="auto"/>
              </w:rPr>
            </w:pPr>
            <w:r>
              <w:rPr>
                <w:rFonts w:ascii="Arial" w:cs="Arial" w:eastAsia="Arial" w:hAnsi="Arial"/>
                <w:sz w:val="18"/>
                <w:szCs w:val="18"/>
                <w:color w:val="auto"/>
              </w:rPr>
              <w:t>33.9</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377.3</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228.1</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924.7</w:t>
            </w: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3"/>
              </w:rPr>
              <w:t>708.8</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85.2</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60.8</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181.1</w:t>
            </w:r>
          </w:p>
        </w:tc>
        <w:tc>
          <w:tcPr>
            <w:tcW w:w="960" w:type="dxa"/>
            <w:vAlign w:val="bottom"/>
          </w:tcPr>
          <w:p>
            <w:pPr>
              <w:ind w:left="520"/>
              <w:spacing w:after="0"/>
              <w:rPr>
                <w:sz w:val="20"/>
                <w:szCs w:val="20"/>
                <w:color w:val="auto"/>
              </w:rPr>
            </w:pPr>
            <w:r>
              <w:rPr>
                <w:rFonts w:ascii="Arial" w:cs="Arial" w:eastAsia="Arial" w:hAnsi="Arial"/>
                <w:sz w:val="18"/>
                <w:szCs w:val="18"/>
                <w:color w:val="auto"/>
                <w:w w:val="93"/>
              </w:rPr>
              <w:t>137.3</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(17.7)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(13.2)</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(49.0)</w:t>
            </w:r>
          </w:p>
        </w:tc>
        <w:tc>
          <w:tcPr>
            <w:tcW w:w="96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5.5</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5.3</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14.1</w:t>
            </w:r>
          </w:p>
        </w:tc>
        <w:tc>
          <w:tcPr>
            <w:tcW w:w="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15.6</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Other</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1.7</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(10.5)</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74.7</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55.0</w:t>
            </w: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149.7</w:t>
            </w:r>
          </w:p>
        </w:tc>
        <w:tc>
          <w:tcPr>
            <w:tcW w:w="96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88"/>
              </w:rPr>
              <w:t>119.4</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14.4</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13.4</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60.3</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41.6</w:t>
            </w: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122.7</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3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$60.4</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$41.6</w:t>
            </w: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$122.8</w:t>
            </w:r>
          </w:p>
        </w:tc>
        <w:tc>
          <w:tcPr>
            <w:tcW w:w="9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93"/>
              </w:rPr>
              <w:t>$91.9</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Basic</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48.8</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42.9</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48.0</w:t>
            </w:r>
          </w:p>
        </w:tc>
        <w:tc>
          <w:tcPr>
            <w:tcW w:w="960" w:type="dxa"/>
            <w:vAlign w:val="bottom"/>
          </w:tcPr>
          <w:p>
            <w:pPr>
              <w:ind w:left="540"/>
              <w:spacing w:after="0"/>
              <w:rPr>
                <w:sz w:val="20"/>
                <w:szCs w:val="20"/>
                <w:color w:val="auto"/>
              </w:rPr>
            </w:pPr>
            <w:r>
              <w:rPr>
                <w:rFonts w:ascii="Arial" w:cs="Arial" w:eastAsia="Arial" w:hAnsi="Arial"/>
                <w:sz w:val="18"/>
                <w:szCs w:val="18"/>
                <w:color w:val="auto"/>
              </w:rPr>
              <w:t>42.1</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48.9</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42.9</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48.1</w:t>
            </w:r>
          </w:p>
        </w:tc>
        <w:tc>
          <w:tcPr>
            <w:tcW w:w="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42.3</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3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$1.24</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$0.97</w:t>
            </w: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$2.56</w:t>
            </w:r>
          </w:p>
        </w:tc>
        <w:tc>
          <w:tcPr>
            <w:tcW w:w="9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93"/>
              </w:rPr>
              <w:t>$2.18</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$1.23</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$0.97</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$2.55</w:t>
            </w: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3"/>
              </w:rPr>
              <w:t>$2.17</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$0.505</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$0.49</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$1.515</w:t>
            </w:r>
          </w:p>
        </w:tc>
        <w:tc>
          <w:tcPr>
            <w:tcW w:w="960" w:type="dxa"/>
            <w:vAlign w:val="bottom"/>
          </w:tcPr>
          <w:p>
            <w:pPr>
              <w:ind w:left="520"/>
              <w:spacing w:after="0"/>
              <w:rPr>
                <w:sz w:val="20"/>
                <w:szCs w:val="20"/>
                <w:color w:val="auto"/>
              </w:rPr>
            </w:pPr>
            <w:r>
              <w:rPr>
                <w:rFonts w:ascii="Arial" w:cs="Arial" w:eastAsia="Arial" w:hAnsi="Arial"/>
                <w:sz w:val="18"/>
                <w:szCs w:val="18"/>
                <w:color w:val="auto"/>
                <w:w w:val="93"/>
              </w:rPr>
              <w:t>$1.47</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Sep. 30,</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384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Sep.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08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3840" w:type="dxa"/>
            <w:vAlign w:val="bottom"/>
          </w:tcPr>
          <w:p>
            <w:pPr>
              <w:spacing w:after="0"/>
              <w:rPr>
                <w:sz w:val="23"/>
                <w:szCs w:val="23"/>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$103.0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$145.8</w:t>
            </w:r>
          </w:p>
        </w:tc>
        <w:tc>
          <w:tcPr>
            <w:tcW w:w="384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380" w:type="dxa"/>
            <w:vAlign w:val="bottom"/>
          </w:tcPr>
          <w:p>
            <w:pPr>
              <w:jc w:val="right"/>
              <w:spacing w:after="0"/>
              <w:rPr>
                <w:sz w:val="20"/>
                <w:szCs w:val="20"/>
                <w:color w:val="auto"/>
              </w:rPr>
            </w:pPr>
            <w:r>
              <w:rPr>
                <w:rFonts w:ascii="Arial" w:cs="Arial" w:eastAsia="Arial" w:hAnsi="Arial"/>
                <w:sz w:val="18"/>
                <w:szCs w:val="18"/>
                <w:color w:val="auto"/>
              </w:rPr>
              <w:t>$317.7</w:t>
            </w:r>
          </w:p>
        </w:tc>
        <w:tc>
          <w:tcPr>
            <w:tcW w:w="840" w:type="dxa"/>
            <w:vAlign w:val="bottom"/>
          </w:tcPr>
          <w:p>
            <w:pPr>
              <w:jc w:val="right"/>
              <w:spacing w:after="0"/>
              <w:rPr>
                <w:sz w:val="20"/>
                <w:szCs w:val="20"/>
                <w:color w:val="auto"/>
              </w:rPr>
            </w:pPr>
            <w:r>
              <w:rPr>
                <w:rFonts w:ascii="Arial" w:cs="Arial" w:eastAsia="Arial" w:hAnsi="Arial"/>
                <w:sz w:val="18"/>
                <w:szCs w:val="18"/>
                <w:color w:val="auto"/>
              </w:rPr>
              <w:t>$416.0</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273.0</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1,272.8</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3,639.1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3,284.8</w:t>
            </w:r>
          </w:p>
        </w:tc>
        <w:tc>
          <w:tcPr>
            <w:tcW w:w="384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spacing w:after="0"/>
              <w:rPr>
                <w:sz w:val="20"/>
                <w:szCs w:val="20"/>
                <w:color w:val="auto"/>
              </w:rPr>
            </w:pPr>
            <w:r>
              <w:rPr>
                <w:rFonts w:ascii="Arial" w:cs="Arial" w:eastAsia="Arial" w:hAnsi="Arial"/>
                <w:sz w:val="18"/>
                <w:szCs w:val="18"/>
                <w:color w:val="auto"/>
              </w:rPr>
              <w:t>593.6</w:t>
            </w:r>
          </w:p>
        </w:tc>
        <w:tc>
          <w:tcPr>
            <w:tcW w:w="840" w:type="dxa"/>
            <w:vAlign w:val="bottom"/>
          </w:tcPr>
          <w:p>
            <w:pPr>
              <w:jc w:val="right"/>
              <w:spacing w:after="0"/>
              <w:rPr>
                <w:sz w:val="20"/>
                <w:szCs w:val="20"/>
                <w:color w:val="auto"/>
              </w:rPr>
            </w:pPr>
            <w:r>
              <w:rPr>
                <w:rFonts w:ascii="Arial" w:cs="Arial" w:eastAsia="Arial" w:hAnsi="Arial"/>
                <w:sz w:val="18"/>
                <w:szCs w:val="18"/>
                <w:color w:val="auto"/>
              </w:rPr>
              <w:t>510.7</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126.0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121.1</w:t>
            </w:r>
          </w:p>
        </w:tc>
        <w:tc>
          <w:tcPr>
            <w:tcW w:w="3840" w:type="dxa"/>
            <w:vAlign w:val="bottom"/>
          </w:tcPr>
          <w:p>
            <w:pPr>
              <w:ind w:left="80"/>
              <w:spacing w:after="0"/>
              <w:rPr>
                <w:sz w:val="20"/>
                <w:szCs w:val="20"/>
                <w:color w:val="auto"/>
              </w:rPr>
            </w:pPr>
            <w:r>
              <w:rPr>
                <w:rFonts w:ascii="Arial" w:cs="Arial" w:eastAsia="Arial" w:hAnsi="Arial"/>
                <w:sz w:val="18"/>
                <w:szCs w:val="18"/>
                <w:color w:val="auto"/>
              </w:rPr>
              <w:t>Defined Benefit Pension &amp; 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189.6</w:t>
            </w:r>
          </w:p>
        </w:tc>
        <w:tc>
          <w:tcPr>
            <w:tcW w:w="840" w:type="dxa"/>
            <w:vAlign w:val="bottom"/>
          </w:tcPr>
          <w:p>
            <w:pPr>
              <w:jc w:val="right"/>
              <w:spacing w:after="0"/>
              <w:rPr>
                <w:sz w:val="20"/>
                <w:szCs w:val="20"/>
                <w:color w:val="auto"/>
              </w:rPr>
            </w:pPr>
            <w:r>
              <w:rPr>
                <w:rFonts w:ascii="Arial" w:cs="Arial" w:eastAsia="Arial" w:hAnsi="Arial"/>
                <w:sz w:val="18"/>
                <w:szCs w:val="18"/>
                <w:color w:val="auto"/>
              </w:rPr>
              <w:t>190.9</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Goodwill and Intangibles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212.9</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384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380" w:type="dxa"/>
            <w:vAlign w:val="bottom"/>
          </w:tcPr>
          <w:p>
            <w:pPr>
              <w:jc w:val="right"/>
              <w:spacing w:after="0"/>
              <w:rPr>
                <w:sz w:val="20"/>
                <w:szCs w:val="20"/>
                <w:color w:val="auto"/>
              </w:rPr>
            </w:pPr>
            <w:r>
              <w:rPr>
                <w:rFonts w:ascii="Arial" w:cs="Arial" w:eastAsia="Arial" w:hAnsi="Arial"/>
                <w:sz w:val="18"/>
                <w:szCs w:val="18"/>
                <w:color w:val="auto"/>
              </w:rPr>
              <w:t>1,823.4</w:t>
            </w:r>
          </w:p>
        </w:tc>
        <w:tc>
          <w:tcPr>
            <w:tcW w:w="840" w:type="dxa"/>
            <w:vAlign w:val="bottom"/>
          </w:tcPr>
          <w:p>
            <w:pPr>
              <w:jc w:val="right"/>
              <w:spacing w:after="0"/>
              <w:rPr>
                <w:sz w:val="20"/>
                <w:szCs w:val="20"/>
                <w:color w:val="auto"/>
              </w:rPr>
            </w:pPr>
            <w:r>
              <w:rPr>
                <w:rFonts w:ascii="Arial" w:cs="Arial" w:eastAsia="Arial" w:hAnsi="Arial"/>
                <w:sz w:val="18"/>
                <w:szCs w:val="18"/>
                <w:color w:val="auto"/>
              </w:rPr>
              <w:t>1,611.2</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38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$4,931.8</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$4,360.8</w:t>
            </w:r>
          </w:p>
        </w:tc>
        <w:tc>
          <w:tcPr>
            <w:tcW w:w="38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$4,931.8</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$4,360.8</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64"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90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Quarter Ended</w:t>
            </w:r>
          </w:p>
        </w:tc>
        <w:tc>
          <w:tcPr>
            <w:tcW w:w="314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Pr>
          <w:p>
            <w:pPr>
              <w:spacing w:after="0"/>
              <w:rPr>
                <w:sz w:val="23"/>
                <w:szCs w:val="23"/>
                <w:color w:val="auto"/>
              </w:rPr>
            </w:pP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540" w:type="dxa"/>
            <w:vAlign w:val="bottom"/>
          </w:tcPr>
          <w:p>
            <w:pPr>
              <w:jc w:val="right"/>
              <w:ind w:right="1070"/>
              <w:spacing w:after="0"/>
              <w:rPr>
                <w:sz w:val="20"/>
                <w:szCs w:val="20"/>
                <w:color w:val="auto"/>
              </w:rPr>
            </w:pPr>
            <w:r>
              <w:rPr>
                <w:rFonts w:ascii="Arial" w:cs="Arial" w:eastAsia="Arial" w:hAnsi="Arial"/>
                <w:sz w:val="18"/>
                <w:szCs w:val="18"/>
                <w:b w:val="1"/>
                <w:bCs w:val="1"/>
                <w:color w:val="auto"/>
              </w:rPr>
              <w:t>2015</w:t>
            </w:r>
          </w:p>
        </w:tc>
        <w:tc>
          <w:tcPr>
            <w:tcW w:w="1360" w:type="dxa"/>
            <w:vAlign w:val="bottom"/>
          </w:tcPr>
          <w:p>
            <w:pPr>
              <w:jc w:val="right"/>
              <w:ind w:right="890"/>
              <w:spacing w:after="0"/>
              <w:rPr>
                <w:sz w:val="20"/>
                <w:szCs w:val="20"/>
                <w:color w:val="auto"/>
              </w:rPr>
            </w:pPr>
            <w:r>
              <w:rPr>
                <w:rFonts w:ascii="Arial" w:cs="Arial" w:eastAsia="Arial" w:hAnsi="Arial"/>
                <w:sz w:val="18"/>
                <w:szCs w:val="18"/>
                <w:b w:val="1"/>
                <w:bCs w:val="1"/>
                <w:color w:val="auto"/>
                <w:w w:val="89"/>
              </w:rPr>
              <w:t>2014</w:t>
            </w:r>
          </w:p>
        </w:tc>
        <w:tc>
          <w:tcPr>
            <w:tcW w:w="2000" w:type="dxa"/>
            <w:vAlign w:val="bottom"/>
          </w:tcPr>
          <w:p>
            <w:pPr>
              <w:jc w:val="right"/>
              <w:ind w:right="1250"/>
              <w:spacing w:after="0"/>
              <w:rPr>
                <w:sz w:val="20"/>
                <w:szCs w:val="20"/>
                <w:color w:val="auto"/>
              </w:rPr>
            </w:pPr>
            <w:r>
              <w:rPr>
                <w:rFonts w:ascii="Arial" w:cs="Arial" w:eastAsia="Arial" w:hAnsi="Arial"/>
                <w:sz w:val="18"/>
                <w:szCs w:val="18"/>
                <w:b w:val="1"/>
                <w:bCs w:val="1"/>
                <w:color w:val="auto"/>
              </w:rPr>
              <w:t>2015</w:t>
            </w:r>
          </w:p>
        </w:tc>
        <w:tc>
          <w:tcPr>
            <w:tcW w:w="11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2014</w:t>
            </w:r>
          </w:p>
        </w:tc>
      </w:tr>
      <w:tr>
        <w:trPr>
          <w:trHeight w:val="27"/>
        </w:trPr>
        <w:tc>
          <w:tcPr>
            <w:tcW w:w="43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Millions</w:t>
            </w:r>
          </w:p>
        </w:tc>
        <w:tc>
          <w:tcPr>
            <w:tcW w:w="2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5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$43.8</w:t>
            </w:r>
          </w:p>
        </w:tc>
        <w:tc>
          <w:tcPr>
            <w:tcW w:w="13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$40.9</w:t>
            </w:r>
          </w:p>
        </w:tc>
        <w:tc>
          <w:tcPr>
            <w:tcW w:w="2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$108.1</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$91.6</w:t>
            </w:r>
          </w:p>
        </w:tc>
      </w:tr>
      <w:tr>
        <w:trPr>
          <w:trHeight w:val="216"/>
        </w:trPr>
        <w:tc>
          <w:tcPr>
            <w:tcW w:w="43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4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Energy Infrastructure and Related Services</w:t>
            </w:r>
          </w:p>
        </w:tc>
        <w:tc>
          <w:tcPr>
            <w:tcW w:w="25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438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ALLETE Clean Energy</w:t>
            </w:r>
          </w:p>
        </w:tc>
        <w:tc>
          <w:tcPr>
            <w:tcW w:w="2540" w:type="dxa"/>
            <w:vAlign w:val="bottom"/>
          </w:tcPr>
          <w:p>
            <w:pPr>
              <w:jc w:val="right"/>
              <w:ind w:right="590"/>
              <w:spacing w:after="0"/>
              <w:rPr>
                <w:sz w:val="20"/>
                <w:szCs w:val="20"/>
                <w:color w:val="auto"/>
              </w:rPr>
            </w:pPr>
            <w:r>
              <w:rPr>
                <w:rFonts w:ascii="Arial" w:cs="Arial" w:eastAsia="Arial" w:hAnsi="Arial"/>
                <w:sz w:val="18"/>
                <w:szCs w:val="18"/>
                <w:color w:val="auto"/>
              </w:rPr>
              <w:t>13.2</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0.5</w:t>
            </w:r>
          </w:p>
        </w:tc>
        <w:tc>
          <w:tcPr>
            <w:tcW w:w="2000" w:type="dxa"/>
            <w:vAlign w:val="bottom"/>
          </w:tcPr>
          <w:p>
            <w:pPr>
              <w:jc w:val="right"/>
              <w:ind w:right="870"/>
              <w:spacing w:after="0"/>
              <w:rPr>
                <w:sz w:val="20"/>
                <w:szCs w:val="20"/>
                <w:color w:val="auto"/>
              </w:rPr>
            </w:pPr>
            <w:r>
              <w:rPr>
                <w:rFonts w:ascii="Arial" w:cs="Arial" w:eastAsia="Arial" w:hAnsi="Arial"/>
                <w:sz w:val="18"/>
                <w:szCs w:val="18"/>
                <w:color w:val="auto"/>
              </w:rPr>
              <w:t>18.7</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1.2</w:t>
            </w:r>
          </w:p>
        </w:tc>
      </w:tr>
      <w:tr>
        <w:trPr>
          <w:trHeight w:val="27"/>
        </w:trPr>
        <w:tc>
          <w:tcPr>
            <w:tcW w:w="4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Water Services</w:t>
            </w:r>
          </w:p>
        </w:tc>
        <w:tc>
          <w:tcPr>
            <w:tcW w:w="254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1.0</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1.5</w:t>
            </w:r>
          </w:p>
        </w:tc>
        <w:tc>
          <w:tcPr>
            <w:tcW w:w="11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5"/>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5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2.4</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0.2</w:t>
            </w:r>
          </w:p>
        </w:tc>
        <w:tc>
          <w:tcPr>
            <w:tcW w:w="2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(5.5)</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(0.9)</w:t>
            </w:r>
          </w:p>
        </w:tc>
      </w:tr>
      <w:tr>
        <w:trPr>
          <w:trHeight w:val="237"/>
        </w:trPr>
        <w:tc>
          <w:tcPr>
            <w:tcW w:w="43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Attributable to ALLETE</w:t>
            </w:r>
          </w:p>
        </w:tc>
        <w:tc>
          <w:tcPr>
            <w:tcW w:w="25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$60.4</w:t>
            </w:r>
          </w:p>
        </w:tc>
        <w:tc>
          <w:tcPr>
            <w:tcW w:w="13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$41.6</w:t>
            </w:r>
          </w:p>
        </w:tc>
        <w:tc>
          <w:tcPr>
            <w:tcW w:w="2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$122.8</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$91.9</w:t>
            </w:r>
          </w:p>
        </w:tc>
      </w:tr>
      <w:tr>
        <w:trPr>
          <w:trHeight w:val="27"/>
        </w:trPr>
        <w:tc>
          <w:tcPr>
            <w:tcW w:w="43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5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$1.23</w:t>
            </w:r>
          </w:p>
        </w:tc>
        <w:tc>
          <w:tcPr>
            <w:tcW w:w="13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$0.97</w:t>
            </w:r>
          </w:p>
        </w:tc>
        <w:tc>
          <w:tcPr>
            <w:tcW w:w="2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$2.55</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$2.17</w:t>
            </w:r>
          </w:p>
        </w:tc>
      </w:tr>
      <w:tr>
        <w:trPr>
          <w:trHeight w:val="588"/>
        </w:trPr>
        <w:tc>
          <w:tcPr>
            <w:tcW w:w="4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25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
        </w:trPr>
        <w:tc>
          <w:tcPr>
            <w:tcW w:w="43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600"/>
              <w:spacing w:after="0"/>
              <w:rPr>
                <w:sz w:val="20"/>
                <w:szCs w:val="20"/>
                <w:color w:val="auto"/>
              </w:rPr>
            </w:pPr>
            <w:r>
              <w:rPr>
                <w:rFonts w:ascii="Arial" w:cs="Arial" w:eastAsia="Arial" w:hAnsi="Arial"/>
                <w:sz w:val="18"/>
                <w:szCs w:val="18"/>
                <w:color w:val="auto"/>
              </w:rPr>
              <w:t>High</w:t>
            </w:r>
          </w:p>
        </w:tc>
        <w:tc>
          <w:tcPr>
            <w:tcW w:w="2540" w:type="dxa"/>
            <w:vAlign w:val="bottom"/>
          </w:tcPr>
          <w:p>
            <w:pPr>
              <w:jc w:val="right"/>
              <w:ind w:right="470"/>
              <w:spacing w:after="0"/>
              <w:rPr>
                <w:sz w:val="20"/>
                <w:szCs w:val="20"/>
                <w:color w:val="auto"/>
              </w:rPr>
            </w:pPr>
            <w:r>
              <w:rPr>
                <w:rFonts w:ascii="Arial" w:cs="Arial" w:eastAsia="Arial" w:hAnsi="Arial"/>
                <w:sz w:val="18"/>
                <w:szCs w:val="18"/>
                <w:color w:val="auto"/>
              </w:rPr>
              <w:t>$52.49</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$51.56</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$59.73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$52.73</w:t>
            </w:r>
          </w:p>
        </w:tc>
      </w:tr>
      <w:tr>
        <w:trPr>
          <w:trHeight w:val="27"/>
        </w:trPr>
        <w:tc>
          <w:tcPr>
            <w:tcW w:w="4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5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$45.29</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$44.39</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$45.29</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$44.39</w:t>
            </w:r>
          </w:p>
        </w:tc>
      </w:tr>
      <w:tr>
        <w:trPr>
          <w:trHeight w:val="243"/>
        </w:trPr>
        <w:tc>
          <w:tcPr>
            <w:tcW w:w="4380" w:type="dxa"/>
            <w:vAlign w:val="bottom"/>
          </w:tcPr>
          <w:p>
            <w:pPr>
              <w:ind w:left="600"/>
              <w:spacing w:after="0"/>
              <w:rPr>
                <w:sz w:val="20"/>
                <w:szCs w:val="20"/>
                <w:color w:val="auto"/>
              </w:rPr>
            </w:pPr>
            <w:r>
              <w:rPr>
                <w:rFonts w:ascii="Arial" w:cs="Arial" w:eastAsia="Arial" w:hAnsi="Arial"/>
                <w:sz w:val="18"/>
                <w:szCs w:val="18"/>
                <w:color w:val="auto"/>
              </w:rPr>
              <w:t>Close</w:t>
            </w:r>
          </w:p>
        </w:tc>
        <w:tc>
          <w:tcPr>
            <w:tcW w:w="2540" w:type="dxa"/>
            <w:vAlign w:val="bottom"/>
          </w:tcPr>
          <w:p>
            <w:pPr>
              <w:jc w:val="right"/>
              <w:ind w:right="470"/>
              <w:spacing w:after="0"/>
              <w:rPr>
                <w:sz w:val="20"/>
                <w:szCs w:val="20"/>
                <w:color w:val="auto"/>
              </w:rPr>
            </w:pPr>
            <w:r>
              <w:rPr>
                <w:rFonts w:ascii="Arial" w:cs="Arial" w:eastAsia="Arial" w:hAnsi="Arial"/>
                <w:sz w:val="18"/>
                <w:szCs w:val="18"/>
                <w:color w:val="auto"/>
              </w:rPr>
              <w:t>$50.49</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$44.39</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$50.49</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$44.39</w:t>
            </w:r>
          </w:p>
        </w:tc>
      </w:tr>
      <w:tr>
        <w:trPr>
          <w:trHeight w:val="27"/>
        </w:trPr>
        <w:tc>
          <w:tcPr>
            <w:tcW w:w="4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5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$37.20</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$34.37</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$37.20</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$34.37</w:t>
            </w:r>
          </w:p>
        </w:tc>
      </w:tr>
      <w:tr>
        <w:trPr>
          <w:trHeight w:val="594"/>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43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Millions</w:t>
            </w:r>
          </w:p>
        </w:tc>
        <w:tc>
          <w:tcPr>
            <w:tcW w:w="2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2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5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250</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244</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833</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891</w:t>
            </w:r>
          </w:p>
        </w:tc>
      </w:tr>
      <w:tr>
        <w:trPr>
          <w:trHeight w:val="243"/>
        </w:trPr>
        <w:tc>
          <w:tcPr>
            <w:tcW w:w="438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540" w:type="dxa"/>
            <w:vAlign w:val="bottom"/>
          </w:tcPr>
          <w:p>
            <w:pPr>
              <w:jc w:val="right"/>
              <w:ind w:right="470"/>
              <w:spacing w:after="0"/>
              <w:rPr>
                <w:sz w:val="20"/>
                <w:szCs w:val="20"/>
                <w:color w:val="auto"/>
              </w:rPr>
            </w:pPr>
            <w:r>
              <w:rPr>
                <w:rFonts w:ascii="Arial" w:cs="Arial" w:eastAsia="Arial" w:hAnsi="Arial"/>
                <w:sz w:val="18"/>
                <w:szCs w:val="18"/>
                <w:color w:val="auto"/>
              </w:rPr>
              <w:t>391</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369</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1,106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1,097</w:t>
            </w:r>
          </w:p>
        </w:tc>
      </w:tr>
      <w:tr>
        <w:trPr>
          <w:trHeight w:val="27"/>
        </w:trPr>
        <w:tc>
          <w:tcPr>
            <w:tcW w:w="4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25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209</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203</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629</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643</w:t>
            </w:r>
          </w:p>
        </w:tc>
      </w:tr>
      <w:tr>
        <w:trPr>
          <w:trHeight w:val="243"/>
        </w:trPr>
        <w:tc>
          <w:tcPr>
            <w:tcW w:w="438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540" w:type="dxa"/>
            <w:vAlign w:val="bottom"/>
          </w:tcPr>
          <w:p>
            <w:pPr>
              <w:jc w:val="right"/>
              <w:ind w:right="470"/>
              <w:spacing w:after="0"/>
              <w:rPr>
                <w:sz w:val="20"/>
                <w:szCs w:val="20"/>
                <w:color w:val="auto"/>
              </w:rPr>
            </w:pPr>
            <w:r>
              <w:rPr>
                <w:rFonts w:ascii="Arial" w:cs="Arial" w:eastAsia="Arial" w:hAnsi="Arial"/>
                <w:sz w:val="18"/>
                <w:szCs w:val="18"/>
                <w:color w:val="auto"/>
              </w:rPr>
              <w:t>1,538</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1,911</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5,063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5,515</w:t>
            </w:r>
          </w:p>
        </w:tc>
      </w:tr>
      <w:tr>
        <w:trPr>
          <w:trHeight w:val="27"/>
        </w:trPr>
        <w:tc>
          <w:tcPr>
            <w:tcW w:w="43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5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2,388</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2,727</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7,631</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8,146</w:t>
            </w:r>
          </w:p>
        </w:tc>
      </w:tr>
      <w:tr>
        <w:trPr>
          <w:trHeight w:val="243"/>
        </w:trPr>
        <w:tc>
          <w:tcPr>
            <w:tcW w:w="438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540" w:type="dxa"/>
            <w:vAlign w:val="bottom"/>
          </w:tcPr>
          <w:p>
            <w:pPr>
              <w:jc w:val="right"/>
              <w:ind w:right="470"/>
              <w:spacing w:after="0"/>
              <w:rPr>
                <w:sz w:val="20"/>
                <w:szCs w:val="20"/>
                <w:color w:val="auto"/>
              </w:rPr>
            </w:pPr>
            <w:r>
              <w:rPr>
                <w:rFonts w:ascii="Arial" w:cs="Arial" w:eastAsia="Arial" w:hAnsi="Arial"/>
                <w:sz w:val="18"/>
                <w:szCs w:val="18"/>
                <w:color w:val="auto"/>
              </w:rPr>
              <w:t>1,052</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751</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3,056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2,082</w:t>
            </w:r>
          </w:p>
        </w:tc>
      </w:tr>
      <w:tr>
        <w:trPr>
          <w:trHeight w:val="27"/>
        </w:trPr>
        <w:tc>
          <w:tcPr>
            <w:tcW w:w="43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25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3,440</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3,478</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10,687</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10,228</w:t>
            </w: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Non-regulated Energy Operations</w:t>
            </w:r>
          </w:p>
        </w:tc>
        <w:tc>
          <w:tcPr>
            <w:tcW w:w="2540" w:type="dxa"/>
            <w:vAlign w:val="bottom"/>
          </w:tcPr>
          <w:p>
            <w:pPr>
              <w:jc w:val="right"/>
              <w:ind w:right="470"/>
              <w:spacing w:after="0"/>
              <w:rPr>
                <w:sz w:val="20"/>
                <w:szCs w:val="20"/>
                <w:color w:val="auto"/>
              </w:rPr>
            </w:pPr>
            <w:r>
              <w:rPr>
                <w:rFonts w:ascii="Arial" w:cs="Arial" w:eastAsia="Arial" w:hAnsi="Arial"/>
                <w:sz w:val="18"/>
                <w:szCs w:val="18"/>
                <w:color w:val="auto"/>
              </w:rPr>
              <w:t>30</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28</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90</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92</w:t>
            </w:r>
          </w:p>
        </w:tc>
      </w:tr>
      <w:tr>
        <w:trPr>
          <w:trHeight w:val="27"/>
        </w:trPr>
        <w:tc>
          <w:tcPr>
            <w:tcW w:w="43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Kilowatt-hours Sold</w:t>
            </w:r>
          </w:p>
        </w:tc>
        <w:tc>
          <w:tcPr>
            <w:tcW w:w="25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3,470</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3,506</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10,777</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10,320</w:t>
            </w:r>
          </w:p>
        </w:tc>
      </w:tr>
      <w:tr>
        <w:trPr>
          <w:trHeight w:val="588"/>
        </w:trPr>
        <w:tc>
          <w:tcPr>
            <w:tcW w:w="4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5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
        </w:trPr>
        <w:tc>
          <w:tcPr>
            <w:tcW w:w="43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Millions</w:t>
            </w:r>
          </w:p>
        </w:tc>
        <w:tc>
          <w:tcPr>
            <w:tcW w:w="2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2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2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5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$27.2</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$26.8</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$86.3</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$92.4</w:t>
            </w:r>
          </w:p>
        </w:tc>
      </w:tr>
      <w:tr>
        <w:trPr>
          <w:trHeight w:val="243"/>
        </w:trPr>
        <w:tc>
          <w:tcPr>
            <w:tcW w:w="438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540" w:type="dxa"/>
            <w:vAlign w:val="bottom"/>
          </w:tcPr>
          <w:p>
            <w:pPr>
              <w:jc w:val="right"/>
              <w:ind w:right="470"/>
              <w:spacing w:after="0"/>
              <w:rPr>
                <w:sz w:val="20"/>
                <w:szCs w:val="20"/>
                <w:color w:val="auto"/>
              </w:rPr>
            </w:pPr>
            <w:r>
              <w:rPr>
                <w:rFonts w:ascii="Arial" w:cs="Arial" w:eastAsia="Arial" w:hAnsi="Arial"/>
                <w:sz w:val="18"/>
                <w:szCs w:val="18"/>
                <w:color w:val="auto"/>
              </w:rPr>
              <w:t>34.7</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34.8</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99.8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100.8</w:t>
            </w:r>
          </w:p>
        </w:tc>
      </w:tr>
      <w:tr>
        <w:trPr>
          <w:trHeight w:val="27"/>
        </w:trPr>
        <w:tc>
          <w:tcPr>
            <w:tcW w:w="4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25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16.4</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14.6</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46.9</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45.6</w:t>
            </w:r>
          </w:p>
        </w:tc>
      </w:tr>
      <w:tr>
        <w:trPr>
          <w:trHeight w:val="243"/>
        </w:trPr>
        <w:tc>
          <w:tcPr>
            <w:tcW w:w="438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540" w:type="dxa"/>
            <w:vAlign w:val="bottom"/>
          </w:tcPr>
          <w:p>
            <w:pPr>
              <w:jc w:val="right"/>
              <w:ind w:right="470"/>
              <w:spacing w:after="0"/>
              <w:rPr>
                <w:sz w:val="20"/>
                <w:szCs w:val="20"/>
                <w:color w:val="auto"/>
              </w:rPr>
            </w:pPr>
            <w:r>
              <w:rPr>
                <w:rFonts w:ascii="Arial" w:cs="Arial" w:eastAsia="Arial" w:hAnsi="Arial"/>
                <w:sz w:val="18"/>
                <w:szCs w:val="18"/>
                <w:color w:val="auto"/>
              </w:rPr>
              <w:t>101.8</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117.4</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320.7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337.7</w:t>
            </w:r>
          </w:p>
        </w:tc>
      </w:tr>
      <w:tr>
        <w:trPr>
          <w:trHeight w:val="27"/>
        </w:trPr>
        <w:tc>
          <w:tcPr>
            <w:tcW w:w="43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Municipals</w:t>
            </w:r>
          </w:p>
        </w:tc>
        <w:tc>
          <w:tcPr>
            <w:tcW w:w="25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180.1</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193.6</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553.7</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576.5</w:t>
            </w:r>
          </w:p>
        </w:tc>
      </w:tr>
      <w:tr>
        <w:trPr>
          <w:trHeight w:val="243"/>
        </w:trPr>
        <w:tc>
          <w:tcPr>
            <w:tcW w:w="438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540" w:type="dxa"/>
            <w:vAlign w:val="bottom"/>
          </w:tcPr>
          <w:p>
            <w:pPr>
              <w:jc w:val="right"/>
              <w:ind w:right="470"/>
              <w:spacing w:after="0"/>
              <w:rPr>
                <w:sz w:val="20"/>
                <w:szCs w:val="20"/>
                <w:color w:val="auto"/>
              </w:rPr>
            </w:pPr>
            <w:r>
              <w:rPr>
                <w:rFonts w:ascii="Arial" w:cs="Arial" w:eastAsia="Arial" w:hAnsi="Arial"/>
                <w:sz w:val="18"/>
                <w:szCs w:val="18"/>
                <w:color w:val="auto"/>
              </w:rPr>
              <w:t>39.5</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31.3</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110.8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84.9</w:t>
            </w:r>
          </w:p>
        </w:tc>
      </w:tr>
      <w:tr>
        <w:trPr>
          <w:trHeight w:val="27"/>
        </w:trPr>
        <w:tc>
          <w:tcPr>
            <w:tcW w:w="4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30.6</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30.9</w:t>
            </w:r>
          </w:p>
        </w:tc>
        <w:tc>
          <w:tcPr>
            <w:tcW w:w="2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78.5</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88.2</w:t>
            </w:r>
          </w:p>
        </w:tc>
      </w:tr>
      <w:tr>
        <w:trPr>
          <w:trHeight w:val="237"/>
        </w:trPr>
        <w:tc>
          <w:tcPr>
            <w:tcW w:w="43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25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$250.2</w:t>
            </w: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$255.8</w:t>
            </w:r>
          </w:p>
        </w:tc>
        <w:tc>
          <w:tcPr>
            <w:tcW w:w="20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$743.0</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$749.6</w:t>
            </w:r>
          </w:p>
        </w:tc>
      </w:tr>
      <w:tr>
        <w:trPr>
          <w:trHeight w:val="27"/>
        </w:trPr>
        <w:tc>
          <w:tcPr>
            <w:tcW w:w="43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lowerLetter"/>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4"/>
    </w:lvl>
  </w:abstractNum>
  <w:abstractNum w:abstractNumId="23">
    <w:nsid w:val="6CEAF087"/>
    <w:multiLevelType w:val="hybridMultilevel"/>
    <w:lvl w:ilvl="0">
      <w:lvlJc w:val="left"/>
      <w:lvlText w:val="%1."/>
      <w:numFmt w:val="decimal"/>
      <w:start w:val="4"/>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decimal"/>
      <w:start w:val="32"/>
    </w:lvl>
  </w:abstractNum>
  <w:abstractNum w:abstractNumId="28">
    <w:nsid w:val="419AC241"/>
    <w:multiLevelType w:val="hybridMultilevel"/>
    <w:lvl w:ilvl="0">
      <w:lvlJc w:val="left"/>
      <w:lvlText w:val="%1"/>
      <w:numFmt w:val="decimal"/>
      <w:start w:val="99"/>
    </w:lvl>
  </w:abstractNum>
  <w:abstractNum w:abstractNumId="29">
    <w:nsid w:val="5577F8E1"/>
    <w:multiLevelType w:val="hybridMultilevel"/>
    <w:lvl w:ilvl="0">
      <w:lvlJc w:val="left"/>
      <w:lvlText w:val="(%1)"/>
      <w:numFmt w:val="upperLetter"/>
      <w:start w:val="9"/>
    </w:lvl>
    <w:lvl w:ilvl="1">
      <w:lvlJc w:val="left"/>
      <w:lvlText w:val="(%2)"/>
      <w:numFmt w:val="upperLetter"/>
      <w:start w:val="35"/>
    </w:lvl>
  </w:abstractNum>
  <w:abstractNum w:abstractNumId="30">
    <w:nsid w:val="440BADFC"/>
    <w:multiLevelType w:val="hybridMultilevel"/>
    <w:lvl w:ilvl="0">
      <w:lvlJc w:val="left"/>
      <w:lvlText w:val="(%1)"/>
      <w:numFmt w:val="upperLetter"/>
      <w:start w:val="61"/>
    </w:lvl>
  </w:abstractNum>
  <w:abstractNum w:abstractNumId="31">
    <w:nsid w:val="5072367"/>
    <w:multiLevelType w:val="hybridMultilevel"/>
    <w:lvl w:ilvl="0">
      <w:lvlJc w:val="left"/>
      <w:lvlText w:val="(%1)"/>
      <w:numFmt w:val="upperLetter"/>
      <w:start w:val="22"/>
    </w:lvl>
  </w:abstractNum>
  <w:abstractNum w:abstractNumId="32">
    <w:nsid w:val="3804823E"/>
    <w:multiLevelType w:val="hybridMultilevel"/>
    <w:lvl w:ilvl="0">
      <w:lvlJc w:val="left"/>
      <w:lvlText w:val="(%1)"/>
      <w:numFmt w:val="upperLetter"/>
      <w:start w:val="9"/>
    </w:lvl>
  </w:abstractNum>
  <w:abstractNum w:abstractNumId="33">
    <w:nsid w:val="77465F01"/>
    <w:multiLevelType w:val="hybridMultilevel"/>
    <w:lvl w:ilvl="0">
      <w:lvlJc w:val="left"/>
      <w:lvlText w:val="(%1)"/>
      <w:numFmt w:val="upperLetter"/>
      <w:start w:val="35"/>
    </w:lvl>
  </w:abstractNum>
  <w:abstractNum w:abstractNumId="34">
    <w:nsid w:val="7724C67E"/>
    <w:multiLevelType w:val="hybridMultilevel"/>
    <w:lvl w:ilvl="0">
      <w:lvlJc w:val="left"/>
      <w:lvlText w:val="(%1)"/>
      <w:numFmt w:val="upperLetter"/>
      <w:start w:val="61"/>
    </w:lvl>
  </w:abstractNum>
  <w:abstractNum w:abstractNumId="35">
    <w:nsid w:val="5C482A97"/>
    <w:multiLevelType w:val="hybridMultilevel"/>
    <w:lvl w:ilvl="0">
      <w:lvlJc w:val="left"/>
      <w:lvlText w:val="(%1)"/>
      <w:numFmt w:val="upperLetter"/>
      <w:start w:val="22"/>
    </w:lvl>
  </w:abstractNum>
  <w:abstractNum w:abstractNumId="36">
    <w:nsid w:val="2463B9EA"/>
    <w:multiLevelType w:val="hybridMultilevel"/>
    <w:lvl w:ilvl="0">
      <w:lvlJc w:val="left"/>
      <w:lvlText w:val="(%1)"/>
      <w:numFmt w:val="upp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2019-12-29T15:47:16Z</dcterms:created>
  <dcterms:modified xsi:type="dcterms:W3CDTF">2019-12-29T15:47:16Z</dcterms:modified>
</cp:coreProperties>
</file>