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2018</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1148" w:right="239" w:bottom="1440" w:gutter="0" w:footer="0" w:header="0"/>
        </w:sectPr>
      </w:pPr>
    </w:p>
    <w:p>
      <w:pPr>
        <w:spacing w:after="0" w:line="255"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114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1148"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1148"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1148" w:right="239" w:bottom="1440" w:gutter="0" w:footer="0" w:header="0"/>
          <w:type w:val="continuous"/>
        </w:sectPr>
      </w:pPr>
    </w:p>
    <w:p>
      <w:pPr>
        <w:spacing w:after="0" w:line="343"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1148"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6240" w:space="720"/>
            <w:col w:w="4460"/>
          </w:cols>
          <w:pgMar w:left="240" w:top="1148" w:right="239" w:bottom="1440" w:gutter="0" w:footer="0" w:header="0"/>
          <w:type w:val="continuous"/>
        </w:sect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148" w:right="239" w:bottom="1440" w:gutter="0" w:footer="0" w:header="0"/>
          <w:type w:val="continuous"/>
        </w:sectPr>
      </w:pPr>
    </w:p>
    <w:p>
      <w:pPr>
        <w:spacing w:after="0" w:line="29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51,360,616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June 30, 2018</w:t>
      </w:r>
    </w:p>
    <w:p>
      <w:pPr>
        <w:sectPr>
          <w:pgSz w:w="11900" w:h="16838" w:orient="portrait"/>
          <w:cols w:equalWidth="0" w:num="1">
            <w:col w:w="11420"/>
          </w:cols>
          <w:pgMar w:left="240" w:top="114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11"/>
          </w:tcPr>
          <w:p>
            <w:pPr>
              <w:ind w:left="20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8"/>
        </w:trPr>
        <w:tc>
          <w:tcPr>
            <w:tcW w:w="840" w:type="dxa"/>
            <w:vAlign w:val="bottom"/>
            <w:gridSpan w:val="5"/>
          </w:tcPr>
          <w:p>
            <w:pPr>
              <w:ind w:left="4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20" w:type="dxa"/>
            <w:vAlign w:val="bottom"/>
            <w:gridSpan w:val="50"/>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0380" w:type="dxa"/>
            <w:vAlign w:val="bottom"/>
            <w:gridSpan w:val="45"/>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3400" w:type="dxa"/>
            <w:vAlign w:val="bottom"/>
            <w:tcBorders>
              <w:bottom w:val="single" w:sz="8" w:color="0000EE"/>
            </w:tcBorders>
            <w:gridSpan w:val="30"/>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Financial Statements - Unaudited</w:t>
              </w:r>
            </w:hyperlink>
          </w:p>
        </w:tc>
        <w:tc>
          <w:tcPr>
            <w:tcW w:w="5940" w:type="dxa"/>
            <w:vAlign w:val="bottom"/>
            <w:tcBorders>
              <w:bottom w:val="single" w:sz="8" w:color="CCEEFF"/>
            </w:tcBorders>
            <w:gridSpan w:val="1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Balance Sheet</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 of Comprehensive Income</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 of Shareholders’ Equity</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8"/>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 1. Operations and Significant Accounting Policies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0000EE"/>
            </w:tcBorders>
            <w:gridSpan w:val="10"/>
            <w:shd w:val="clear" w:color="auto" w:fill="CCEEFF"/>
          </w:tcPr>
          <w:p>
            <w:pPr>
              <w:spacing w:after="0" w:line="202"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Note 2. Investments</w:t>
              </w:r>
            </w:hyperlink>
          </w:p>
        </w:tc>
        <w:tc>
          <w:tcPr>
            <w:tcW w:w="7440" w:type="dxa"/>
            <w:vAlign w:val="bottom"/>
            <w:tcBorders>
              <w:bottom w:val="single" w:sz="8" w:color="CCEEFF"/>
            </w:tcBorders>
            <w:gridSpan w:val="28"/>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8"/>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Note 3. Acquisitions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8"/>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Note 4. Goodwill and Intangible Assets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40" w:type="dxa"/>
            <w:vAlign w:val="bottom"/>
            <w:tcBorders>
              <w:top w:val="single" w:sz="8" w:color="0000EE"/>
            </w:tcBorders>
            <w:gridSpan w:val="24"/>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Note 5. Fair Value</w:t>
              </w:r>
            </w:hyperlink>
          </w:p>
        </w:tc>
        <w:tc>
          <w:tcPr>
            <w:tcW w:w="6040" w:type="dxa"/>
            <w:vAlign w:val="bottom"/>
            <w:tcBorders>
              <w:top w:val="single" w:sz="8" w:color="CCEEFF"/>
            </w:tcBorders>
            <w:gridSpan w:val="1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8"/>
            <w:shd w:val="clear" w:color="auto" w:fill="CCEEFF"/>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Note 6. Regulatory Matters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960" w:type="dxa"/>
            <w:vAlign w:val="bottom"/>
            <w:tcBorders>
              <w:top w:val="single" w:sz="8" w:color="0000EE"/>
            </w:tcBorders>
            <w:gridSpan w:val="16"/>
          </w:tcPr>
          <w:p>
            <w:pPr>
              <w:spacing w:after="0" w:line="202"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Note 7. Investment in ATC</w:t>
              </w:r>
            </w:hyperlink>
          </w:p>
        </w:tc>
        <w:tc>
          <w:tcPr>
            <w:tcW w:w="6920" w:type="dxa"/>
            <w:vAlign w:val="bottom"/>
            <w:tcBorders>
              <w:top w:val="single" w:sz="8" w:color="CCEEFF"/>
            </w:tcBorders>
            <w:gridSpan w:val="2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EE"/>
            </w:tcBorders>
            <w:gridSpan w:val="27"/>
            <w:shd w:val="clear" w:color="auto" w:fill="CCEEFF"/>
          </w:tcPr>
          <w:p>
            <w:pPr>
              <w:spacing w:after="0" w:line="202"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Note 8. Short-Term and Long-Term Debt</w:t>
              </w:r>
            </w:hyperlink>
          </w:p>
        </w:tc>
        <w:tc>
          <w:tcPr>
            <w:tcW w:w="5920" w:type="dxa"/>
            <w:vAlign w:val="bottom"/>
            <w:tcBorders>
              <w:bottom w:val="single" w:sz="8" w:color="CCEEFF"/>
            </w:tcBorders>
            <w:gridSpan w:val="11"/>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8"/>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Note 9. Income Tax Expense</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8"/>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Note 10. Reclassifications out of Accumulated Other Comprehensive Loss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360" w:type="dxa"/>
            <w:vAlign w:val="bottom"/>
            <w:tcBorders>
              <w:top w:val="single" w:sz="8" w:color="0000EE"/>
            </w:tcBorders>
            <w:gridSpan w:val="36"/>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Note 11. Earnings Per Share and Common Stock</w:t>
              </w:r>
            </w:hyperlink>
          </w:p>
        </w:tc>
        <w:tc>
          <w:tcPr>
            <w:tcW w:w="352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0000EE"/>
            </w:tcBorders>
            <w:gridSpan w:val="35"/>
            <w:shd w:val="clear" w:color="auto" w:fill="CCEEFF"/>
          </w:tcPr>
          <w:p>
            <w:pPr>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Note 12. Pension and Other Postretirement Benefit Plans</w:t>
              </w:r>
            </w:hyperlink>
          </w:p>
        </w:tc>
        <w:tc>
          <w:tcPr>
            <w:tcW w:w="478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8"/>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Note 13. Commitments, Guarantees and Contingencies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80" w:type="dxa"/>
            <w:vAlign w:val="bottom"/>
            <w:gridSpan w:val="38"/>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Note 14. Business Segments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9340" w:type="dxa"/>
            <w:vAlign w:val="bottom"/>
            <w:gridSpan w:val="42"/>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Comparison of Quarters Ended</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Comparison of the Six Months Ended</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Critical Accounting Policies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Outlook</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42"/>
            <w:shd w:val="clear" w:color="auto" w:fill="CCEEFF"/>
          </w:tcPr>
          <w:p>
            <w:pPr>
              <w:ind w:left="2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Liquidity and Capital Resources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2"/>
          </w:tcPr>
          <w:p>
            <w:pPr>
              <w:ind w:left="2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Other</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3.</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42"/>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4.</w:t>
              </w:r>
            </w:hyperlink>
          </w:p>
        </w:tc>
        <w:tc>
          <w:tcPr>
            <w:tcW w:w="520" w:type="dxa"/>
            <w:vAlign w:val="bottom"/>
            <w:tcBorders>
              <w:top w:val="single" w:sz="8" w:color="CCEEFF"/>
            </w:tcBorders>
            <w:gridSpan w:val="2"/>
          </w:tcPr>
          <w:p>
            <w:pPr>
              <w:spacing w:after="0"/>
              <w:rPr>
                <w:sz w:val="17"/>
                <w:szCs w:val="17"/>
                <w:color w:val="auto"/>
              </w:rPr>
            </w:pPr>
          </w:p>
        </w:tc>
        <w:tc>
          <w:tcPr>
            <w:tcW w:w="4300" w:type="dxa"/>
            <w:vAlign w:val="bottom"/>
            <w:tcBorders>
              <w:top w:val="single" w:sz="8" w:color="0000EE"/>
            </w:tcBorders>
            <w:gridSpan w:val="35"/>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5040" w:type="dxa"/>
            <w:vAlign w:val="bottom"/>
            <w:tcBorders>
              <w:top w:val="single" w:sz="8" w:color="CCEEFF"/>
            </w:tcBorders>
            <w:gridSpan w:val="7"/>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Part II.</w:t>
              </w:r>
            </w:hyperlink>
          </w:p>
        </w:tc>
        <w:tc>
          <w:tcPr>
            <w:tcW w:w="10380" w:type="dxa"/>
            <w:vAlign w:val="bottom"/>
            <w:gridSpan w:val="45"/>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1.</w:t>
              </w:r>
            </w:hyperlink>
          </w:p>
        </w:tc>
        <w:tc>
          <w:tcPr>
            <w:tcW w:w="9340" w:type="dxa"/>
            <w:vAlign w:val="bottom"/>
            <w:gridSpan w:val="42"/>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1A.</w:t>
              </w:r>
            </w:hyperlink>
          </w:p>
        </w:tc>
        <w:tc>
          <w:tcPr>
            <w:tcW w:w="9340" w:type="dxa"/>
            <w:vAlign w:val="bottom"/>
            <w:gridSpan w:val="42"/>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2.</w:t>
              </w:r>
            </w:hyperlink>
          </w:p>
        </w:tc>
        <w:tc>
          <w:tcPr>
            <w:tcW w:w="400" w:type="dxa"/>
            <w:vAlign w:val="bottom"/>
          </w:tcPr>
          <w:p>
            <w:pPr>
              <w:spacing w:after="0"/>
              <w:rPr>
                <w:sz w:val="17"/>
                <w:szCs w:val="17"/>
                <w:color w:val="auto"/>
              </w:rPr>
            </w:pPr>
          </w:p>
        </w:tc>
        <w:tc>
          <w:tcPr>
            <w:tcW w:w="9340" w:type="dxa"/>
            <w:vAlign w:val="bottom"/>
            <w:gridSpan w:val="42"/>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3.</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232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Defaults Upon Senior Securities</w:t>
              </w:r>
            </w:hyperlink>
          </w:p>
        </w:tc>
        <w:tc>
          <w:tcPr>
            <w:tcW w:w="7020" w:type="dxa"/>
            <w:vAlign w:val="bottom"/>
            <w:tcBorders>
              <w:bottom w:val="single" w:sz="8" w:color="CCEEFF"/>
            </w:tcBorders>
            <w:gridSpan w:val="2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4.</w:t>
              </w:r>
            </w:hyperlink>
          </w:p>
        </w:tc>
        <w:tc>
          <w:tcPr>
            <w:tcW w:w="9340" w:type="dxa"/>
            <w:vAlign w:val="bottom"/>
            <w:gridSpan w:val="42"/>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5.</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42"/>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6.</w:t>
              </w:r>
            </w:hyperlink>
          </w:p>
        </w:tc>
        <w:tc>
          <w:tcPr>
            <w:tcW w:w="520" w:type="dxa"/>
            <w:vAlign w:val="bottom"/>
            <w:tcBorders>
              <w:top w:val="single" w:sz="8" w:color="CCEEFF"/>
            </w:tcBorders>
            <w:gridSpan w:val="2"/>
          </w:tcPr>
          <w:p>
            <w:pPr>
              <w:spacing w:after="0"/>
              <w:rPr>
                <w:sz w:val="17"/>
                <w:szCs w:val="17"/>
                <w:color w:val="auto"/>
              </w:rPr>
            </w:pPr>
          </w:p>
        </w:tc>
        <w:tc>
          <w:tcPr>
            <w:tcW w:w="1300" w:type="dxa"/>
            <w:vAlign w:val="bottom"/>
            <w:tcBorders>
              <w:top w:val="single" w:sz="8" w:color="0000EE"/>
            </w:tcBorders>
            <w:gridSpan w:val="10"/>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8040" w:type="dxa"/>
            <w:vAlign w:val="bottom"/>
            <w:tcBorders>
              <w:top w:val="single" w:sz="8" w:color="CCEEFF"/>
            </w:tcBorders>
            <w:gridSpan w:val="3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Signatures</w:t>
              </w:r>
            </w:hyperlink>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04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Allowance for Funds Used During Construction – the cost of both debt and equity funds used to finance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gridSpan w:val="2"/>
          </w:tcPr>
          <w:p>
            <w:pPr>
              <w:spacing w:after="0"/>
              <w:rPr>
                <w:sz w:val="20"/>
                <w:szCs w:val="20"/>
                <w:color w:val="auto"/>
              </w:rPr>
            </w:pPr>
            <w:r>
              <w:rPr>
                <w:rFonts w:ascii="Arial" w:cs="Arial" w:eastAsia="Arial" w:hAnsi="Arial"/>
                <w:sz w:val="18"/>
                <w:szCs w:val="18"/>
                <w:color w:val="auto"/>
              </w:rPr>
              <w:t>Camp Ripley Solar Array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Carbon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CIP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Conservation Improvement Program</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gridSpan w:val="2"/>
          </w:tcPr>
          <w:p>
            <w:pPr>
              <w:spacing w:after="0"/>
              <w:rPr>
                <w:sz w:val="20"/>
                <w:szCs w:val="20"/>
                <w:color w:val="auto"/>
              </w:rPr>
            </w:pPr>
            <w:r>
              <w:rPr>
                <w:rFonts w:ascii="Arial" w:cs="Arial" w:eastAsia="Arial" w:hAnsi="Arial"/>
                <w:sz w:val="18"/>
                <w:szCs w:val="18"/>
                <w:color w:val="auto"/>
              </w:rPr>
              <w:t>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DC</w:t>
            </w:r>
          </w:p>
        </w:tc>
        <w:tc>
          <w:tcPr>
            <w:tcW w:w="818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EITE</w:t>
            </w:r>
          </w:p>
        </w:tc>
        <w:tc>
          <w:tcPr>
            <w:tcW w:w="8180" w:type="dxa"/>
            <w:vAlign w:val="bottom"/>
            <w:gridSpan w:val="2"/>
          </w:tcPr>
          <w:p>
            <w:pPr>
              <w:spacing w:after="0"/>
              <w:rPr>
                <w:sz w:val="20"/>
                <w:szCs w:val="20"/>
                <w:color w:val="auto"/>
              </w:rPr>
            </w:pPr>
            <w:r>
              <w:rPr>
                <w:rFonts w:ascii="Arial" w:cs="Arial" w:eastAsia="Arial" w:hAnsi="Arial"/>
                <w:sz w:val="18"/>
                <w:szCs w:val="18"/>
                <w:color w:val="auto"/>
              </w:rPr>
              <w:t>Energy-Intensive Trade-Exposed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ERP Iron Ore</w:t>
            </w:r>
          </w:p>
        </w:tc>
        <w:tc>
          <w:tcPr>
            <w:tcW w:w="8180" w:type="dxa"/>
            <w:vAlign w:val="bottom"/>
            <w:gridSpan w:val="2"/>
          </w:tcPr>
          <w:p>
            <w:pPr>
              <w:spacing w:after="0"/>
              <w:rPr>
                <w:sz w:val="20"/>
                <w:szCs w:val="20"/>
                <w:color w:val="auto"/>
              </w:rPr>
            </w:pPr>
            <w:r>
              <w:rPr>
                <w:rFonts w:ascii="Arial" w:cs="Arial" w:eastAsia="Arial" w:hAnsi="Arial"/>
                <w:sz w:val="18"/>
                <w:szCs w:val="18"/>
                <w:color w:val="auto"/>
              </w:rPr>
              <w:t>ERP Iron Ore,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18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18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18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IRP</w:t>
            </w:r>
          </w:p>
        </w:tc>
        <w:tc>
          <w:tcPr>
            <w:tcW w:w="818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Magnetation,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Mesabi Metallics</w:t>
            </w:r>
          </w:p>
        </w:tc>
        <w:tc>
          <w:tcPr>
            <w:tcW w:w="8180" w:type="dxa"/>
            <w:vAlign w:val="bottom"/>
            <w:gridSpan w:val="2"/>
          </w:tcPr>
          <w:p>
            <w:pPr>
              <w:spacing w:after="0"/>
              <w:rPr>
                <w:sz w:val="20"/>
                <w:szCs w:val="20"/>
                <w:color w:val="auto"/>
              </w:rPr>
            </w:pPr>
            <w:r>
              <w:rPr>
                <w:rFonts w:ascii="Arial" w:cs="Arial" w:eastAsia="Arial" w:hAnsi="Arial"/>
                <w:sz w:val="18"/>
                <w:szCs w:val="18"/>
                <w:color w:val="auto"/>
              </w:rPr>
              <w:t>Mesabi Metallics Company, LLC (formerly Essar Steel Minnesota,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680"/>
              <w:spacing w:after="0"/>
              <w:rPr>
                <w:sz w:val="20"/>
                <w:szCs w:val="20"/>
                <w:color w:val="auto"/>
              </w:rPr>
            </w:pPr>
            <w:r>
              <w:rPr>
                <w:rFonts w:ascii="Arial" w:cs="Arial" w:eastAsia="Arial" w:hAnsi="Arial"/>
                <w:sz w:val="14"/>
                <w:szCs w:val="14"/>
                <w:color w:val="auto"/>
              </w:rPr>
              <w:t>ALLETE, Inc. Second Quarter 2018 Form 10-Q</w:t>
            </w:r>
          </w:p>
        </w:tc>
      </w:tr>
    </w:tbl>
    <w:p>
      <w:pPr>
        <w:spacing w:after="0" w:line="1" w:lineRule="exact"/>
        <w:rPr>
          <w:sz w:val="20"/>
          <w:szCs w:val="20"/>
          <w:color w:val="auto"/>
        </w:rPr>
      </w:pPr>
    </w:p>
    <w:p>
      <w:pPr>
        <w:sectPr>
          <w:pgSz w:w="11900" w:h="16838" w:orient="portrait"/>
          <w:cols w:equalWidth="0" w:num="1">
            <w:col w:w="11420"/>
          </w:cols>
          <w:pgMar w:left="240" w:top="1040"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04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NTEC</w:t>
            </w:r>
          </w:p>
        </w:tc>
        <w:tc>
          <w:tcPr>
            <w:tcW w:w="8180" w:type="dxa"/>
            <w:vAlign w:val="bottom"/>
            <w:gridSpan w:val="2"/>
          </w:tcPr>
          <w:p>
            <w:pPr>
              <w:spacing w:after="0"/>
              <w:rPr>
                <w:sz w:val="20"/>
                <w:szCs w:val="20"/>
                <w:color w:val="auto"/>
              </w:rPr>
            </w:pPr>
            <w:r>
              <w:rPr>
                <w:rFonts w:ascii="Arial" w:cs="Arial" w:eastAsia="Arial" w:hAnsi="Arial"/>
                <w:sz w:val="18"/>
                <w:szCs w:val="18"/>
                <w:color w:val="auto"/>
              </w:rPr>
              <w:t>Nemadji Trail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 / PSA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1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TCJA</w:t>
            </w:r>
          </w:p>
        </w:tc>
        <w:tc>
          <w:tcPr>
            <w:tcW w:w="8180" w:type="dxa"/>
            <w:vAlign w:val="bottom"/>
            <w:gridSpan w:val="2"/>
          </w:tcPr>
          <w:p>
            <w:pPr>
              <w:spacing w:after="0"/>
              <w:rPr>
                <w:sz w:val="20"/>
                <w:szCs w:val="20"/>
                <w:color w:val="auto"/>
              </w:rPr>
            </w:pPr>
            <w:r>
              <w:rPr>
                <w:rFonts w:ascii="Arial" w:cs="Arial" w:eastAsia="Arial" w:hAnsi="Arial"/>
                <w:sz w:val="18"/>
                <w:szCs w:val="18"/>
                <w:color w:val="auto"/>
              </w:rPr>
              <w:t>Tax Cuts and Job Act of 2017 (Public Law 115-97)</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Tenaska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Tenaska Energy, Inc. and Tenaska Energy Holdings,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Tonka Water</w:t>
            </w:r>
          </w:p>
        </w:tc>
        <w:tc>
          <w:tcPr>
            <w:tcW w:w="8180" w:type="dxa"/>
            <w:vAlign w:val="bottom"/>
            <w:gridSpan w:val="2"/>
          </w:tcPr>
          <w:p>
            <w:pPr>
              <w:spacing w:after="0"/>
              <w:rPr>
                <w:sz w:val="20"/>
                <w:szCs w:val="20"/>
                <w:color w:val="auto"/>
              </w:rPr>
            </w:pPr>
            <w:r>
              <w:rPr>
                <w:rFonts w:ascii="Arial" w:cs="Arial" w:eastAsia="Arial" w:hAnsi="Arial"/>
                <w:sz w:val="18"/>
                <w:szCs w:val="18"/>
                <w:color w:val="auto"/>
              </w:rPr>
              <w:t>Tonka Equipment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UPM Blandin</w:t>
            </w:r>
          </w:p>
        </w:tc>
        <w:tc>
          <w:tcPr>
            <w:tcW w:w="8180" w:type="dxa"/>
            <w:vAlign w:val="bottom"/>
            <w:gridSpan w:val="2"/>
          </w:tcPr>
          <w:p>
            <w:pPr>
              <w:spacing w:after="0"/>
              <w:rPr>
                <w:sz w:val="20"/>
                <w:szCs w:val="20"/>
                <w:color w:val="auto"/>
              </w:rPr>
            </w:pPr>
            <w:r>
              <w:rPr>
                <w:rFonts w:ascii="Arial" w:cs="Arial" w:eastAsia="Arial" w:hAnsi="Arial"/>
                <w:sz w:val="18"/>
                <w:szCs w:val="18"/>
                <w:color w:val="auto"/>
              </w:rPr>
              <w:t>UPM, Blandin Paper Mill owned by UPM-Kymmene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gridSpan w:val="2"/>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WTG</w:t>
            </w:r>
          </w:p>
        </w:tc>
        <w:tc>
          <w:tcPr>
            <w:tcW w:w="8180" w:type="dxa"/>
            <w:vAlign w:val="bottom"/>
            <w:gridSpan w:val="2"/>
          </w:tcPr>
          <w:p>
            <w:pPr>
              <w:spacing w:after="0"/>
              <w:rPr>
                <w:sz w:val="20"/>
                <w:szCs w:val="20"/>
                <w:color w:val="auto"/>
              </w:rPr>
            </w:pPr>
            <w:r>
              <w:rPr>
                <w:rFonts w:ascii="Arial" w:cs="Arial" w:eastAsia="Arial" w:hAnsi="Arial"/>
                <w:sz w:val="18"/>
                <w:szCs w:val="18"/>
                <w:color w:val="auto"/>
              </w:rPr>
              <w:t>Wind Turbine Generator</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680"/>
              <w:spacing w:after="0"/>
              <w:rPr>
                <w:sz w:val="20"/>
                <w:szCs w:val="20"/>
                <w:color w:val="auto"/>
              </w:rPr>
            </w:pPr>
            <w:r>
              <w:rPr>
                <w:rFonts w:ascii="Arial" w:cs="Arial" w:eastAsia="Arial" w:hAnsi="Arial"/>
                <w:sz w:val="14"/>
                <w:szCs w:val="14"/>
                <w:color w:val="auto"/>
              </w:rPr>
              <w:t>ALLETE, Inc. Second Quarter 2018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18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4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Forward-Looking Statements (Continued)</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ALLETE’s 2017 Form 10-K, and in Part II, Item 1A. Risk Factors in this Form 10</w:t>
      </w:r>
      <w:r>
        <w:rPr>
          <w:rFonts w:ascii="MS PGothic" w:cs="MS PGothic" w:eastAsia="MS PGothic" w:hAnsi="MS PGothic"/>
          <w:sz w:val="17"/>
          <w:szCs w:val="17"/>
          <w:color w:val="auto"/>
        </w:rPr>
        <w:t>‑</w:t>
      </w:r>
      <w:r>
        <w:rPr>
          <w:rFonts w:ascii="Arial" w:cs="Arial" w:eastAsia="Arial" w:hAnsi="Arial"/>
          <w:sz w:val="17"/>
          <w:szCs w:val="17"/>
          <w:color w:val="auto"/>
        </w:rPr>
        <w:t>Q.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4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8460" w:type="dxa"/>
            <w:vAlign w:val="bottom"/>
          </w:tcPr>
          <w:p>
            <w:pPr>
              <w:jc w:val="center"/>
              <w:ind w:left="2870"/>
              <w:spacing w:after="0"/>
              <w:rPr>
                <w:sz w:val="20"/>
                <w:szCs w:val="20"/>
                <w:color w:val="auto"/>
              </w:rPr>
            </w:pPr>
            <w:r>
              <w:rPr>
                <w:rFonts w:ascii="Arial" w:cs="Arial" w:eastAsia="Arial" w:hAnsi="Arial"/>
                <w:sz w:val="18"/>
                <w:szCs w:val="18"/>
                <w:b w:val="1"/>
                <w:bCs w:val="1"/>
                <w:color w:val="auto"/>
              </w:rPr>
              <w:t>ALLETE</w:t>
            </w: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8460" w:type="dxa"/>
            <w:vAlign w:val="bottom"/>
          </w:tcPr>
          <w:p>
            <w:pPr>
              <w:jc w:val="center"/>
              <w:ind w:left="2870"/>
              <w:spacing w:after="0"/>
              <w:rPr>
                <w:sz w:val="20"/>
                <w:szCs w:val="20"/>
                <w:color w:val="auto"/>
              </w:rPr>
            </w:pPr>
            <w:r>
              <w:rPr>
                <w:rFonts w:ascii="Arial" w:cs="Arial" w:eastAsia="Arial" w:hAnsi="Arial"/>
                <w:sz w:val="18"/>
                <w:szCs w:val="18"/>
                <w:b w:val="1"/>
                <w:bCs w:val="1"/>
                <w:color w:val="auto"/>
                <w:w w:val="99"/>
              </w:rPr>
              <w:t>CONSOLIDATED BALANCE SHEET</w:t>
            </w: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8460" w:type="dxa"/>
            <w:vAlign w:val="bottom"/>
          </w:tcPr>
          <w:p>
            <w:pPr>
              <w:jc w:val="center"/>
              <w:ind w:left="2870"/>
              <w:spacing w:after="0"/>
              <w:rPr>
                <w:sz w:val="20"/>
                <w:szCs w:val="20"/>
                <w:color w:val="auto"/>
              </w:rPr>
            </w:pPr>
            <w:r>
              <w:rPr>
                <w:rFonts w:ascii="Arial" w:cs="Arial" w:eastAsia="Arial" w:hAnsi="Arial"/>
                <w:sz w:val="18"/>
                <w:szCs w:val="18"/>
                <w:b w:val="1"/>
                <w:bCs w:val="1"/>
                <w:color w:val="auto"/>
                <w:w w:val="93"/>
              </w:rPr>
              <w:t>Unaudited</w:t>
            </w: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8460" w:type="dxa"/>
            <w:vAlign w:val="bottom"/>
          </w:tcPr>
          <w:p>
            <w:pPr>
              <w:spacing w:after="0"/>
              <w:rPr>
                <w:sz w:val="24"/>
                <w:szCs w:val="24"/>
                <w:color w:val="auto"/>
              </w:rPr>
            </w:pP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6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$121.9</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Accounts Receivable (Less Allowance of $2.3 and $2.1)</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132.4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135.1</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145.4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24.3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37.6</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424.0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3,809.3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3,822.4</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374.5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123.6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118.7</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225.8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225.9</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105.0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$5,114.7</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$5,080.0</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$105.0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$136.3</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42.0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18.0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Other</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128.5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83.2</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350.2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1,462.2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1,439.2</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228.5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516.0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532.0</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175.2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274.4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267.1</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3,006.5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3,011.8</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w w:val="96"/>
              </w:rPr>
              <w:t>Common Stock Without Par Value, 80.0 Shares Authorized, 51.4 and 51.1 Shares Issued and Outstanding</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1,415.4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1,401.4</w:t>
            </w:r>
          </w:p>
        </w:tc>
      </w:tr>
      <w:tr>
        <w:trPr>
          <w:trHeight w:val="27"/>
        </w:trPr>
        <w:tc>
          <w:tcPr>
            <w:tcW w:w="8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720.4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689.4</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2,108.2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2,068.2</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$5,114.7</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$5,080.0</w:t>
            </w:r>
          </w:p>
        </w:tc>
      </w:tr>
      <w:tr>
        <w:trPr>
          <w:trHeight w:val="27"/>
        </w:trPr>
        <w:tc>
          <w:tcPr>
            <w:tcW w:w="8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460" w:type="dxa"/>
            <w:vAlign w:val="bottom"/>
          </w:tcPr>
          <w:p>
            <w:pPr>
              <w:jc w:val="center"/>
              <w:ind w:left="287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04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9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500" w:type="dxa"/>
            <w:vAlign w:val="bottom"/>
          </w:tcPr>
          <w:p>
            <w:pPr>
              <w:spacing w:after="0"/>
              <w:rPr>
                <w:sz w:val="23"/>
                <w:szCs w:val="23"/>
                <w:color w:val="auto"/>
              </w:rPr>
            </w:pP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3"/>
                <w:szCs w:val="23"/>
                <w:color w:val="auto"/>
              </w:rPr>
            </w:pPr>
          </w:p>
        </w:tc>
        <w:tc>
          <w:tcPr>
            <w:tcW w:w="20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5500" w:type="dxa"/>
            <w:vAlign w:val="bottom"/>
          </w:tcPr>
          <w:p>
            <w:pPr>
              <w:spacing w:after="0"/>
              <w:rPr>
                <w:sz w:val="23"/>
                <w:szCs w:val="23"/>
                <w:color w:val="auto"/>
              </w:rPr>
            </w:pPr>
          </w:p>
        </w:tc>
        <w:tc>
          <w:tcPr>
            <w:tcW w:w="29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490"/>
              <w:spacing w:after="0"/>
              <w:rPr>
                <w:sz w:val="20"/>
                <w:szCs w:val="20"/>
                <w:color w:val="auto"/>
              </w:rPr>
            </w:pPr>
            <w:r>
              <w:rPr>
                <w:rFonts w:ascii="Arial" w:cs="Arial" w:eastAsia="Arial" w:hAnsi="Arial"/>
                <w:sz w:val="18"/>
                <w:szCs w:val="18"/>
                <w:b w:val="1"/>
                <w:bCs w:val="1"/>
                <w:color w:val="auto"/>
                <w:w w:val="84"/>
              </w:rPr>
              <w:t>2017</w:t>
            </w: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9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Contracts with Customers – Utility</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$257.8</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$264.9</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$528.0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$546.5</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Customers – Non-utility</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80.4</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82.5</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 – Non-utility</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5.9</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Revenue</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344.1</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353.3</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702.3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718.9</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9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96.5</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93.1</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197.4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Transmission Services – Utility</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16.8</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17.6</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35.2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 Non-utility</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37.0</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38.4</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86.8</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85.9</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173.3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170.3</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56.1</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50.1</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101.9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14.4</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14.2</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30.7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307.6</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299.3</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608.4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593.3</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36.5</w:t>
            </w: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54.0</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93.9</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9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980" w:type="dxa"/>
            <w:vAlign w:val="bottom"/>
          </w:tcPr>
          <w:p>
            <w:pPr>
              <w:jc w:val="right"/>
              <w:ind w:right="310"/>
              <w:spacing w:after="0"/>
              <w:rPr>
                <w:sz w:val="20"/>
                <w:szCs w:val="20"/>
                <w:color w:val="auto"/>
              </w:rPr>
            </w:pPr>
            <w:r>
              <w:rPr>
                <w:rFonts w:ascii="Arial" w:cs="Arial" w:eastAsia="Arial" w:hAnsi="Arial"/>
                <w:sz w:val="18"/>
                <w:szCs w:val="18"/>
                <w:color w:val="auto"/>
              </w:rPr>
              <w:t>(17.1)</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(16.7)</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(34.0)</w:t>
            </w: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4.3</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5.3</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Other Expense</w:t>
            </w:r>
          </w:p>
        </w:tc>
        <w:tc>
          <w:tcPr>
            <w:tcW w:w="2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(10.6)</w:t>
            </w: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(9.8)</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25.9</w:t>
            </w: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44.2</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73.2</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106.3</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(5.4)</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7.3</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$31.3</w:t>
            </w: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$36.9</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$82.3</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w:t>
            </w:r>
          </w:p>
        </w:tc>
      </w:tr>
      <w:tr>
        <w:trPr>
          <w:trHeight w:val="27"/>
        </w:trPr>
        <w:tc>
          <w:tcPr>
            <w:tcW w:w="55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9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Basic</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51.3</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50.9</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51.2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50.5</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51.5</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51.1</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$0.61</w:t>
            </w: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$0.73</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$1.61</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5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$0.61</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$0.72</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$0.56</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$0.535</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0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3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06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6060" w:type="dxa"/>
            <w:vAlign w:val="bottom"/>
          </w:tcPr>
          <w:p>
            <w:pPr>
              <w:spacing w:after="0"/>
              <w:rPr>
                <w:sz w:val="23"/>
                <w:szCs w:val="23"/>
                <w:color w:val="auto"/>
              </w:rPr>
            </w:pPr>
          </w:p>
        </w:tc>
        <w:tc>
          <w:tcPr>
            <w:tcW w:w="23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2017</w:t>
            </w:r>
          </w:p>
        </w:tc>
        <w:tc>
          <w:tcPr>
            <w:tcW w:w="13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$31.3</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$36.9</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$82.3</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 (Loss) on Securities</w:t>
            </w:r>
          </w:p>
        </w:tc>
        <w:tc>
          <w:tcPr>
            <w:tcW w:w="2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 Expense of $–, $0.2, $– and $0.5</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 Expense of $0.1, $0.2, $0.2 and $0.3</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0.3</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Comprehensive Income</w:t>
            </w:r>
          </w:p>
        </w:tc>
        <w:tc>
          <w:tcPr>
            <w:tcW w:w="23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0.3</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0.4</w:t>
            </w:r>
          </w:p>
        </w:tc>
        <w:tc>
          <w:tcPr>
            <w:tcW w:w="13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0.6</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$31.6</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$37.3</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$82.9</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0"/>
        </w:trPr>
        <w:tc>
          <w:tcPr>
            <w:tcW w:w="60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0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2600" w:type="dxa"/>
            <w:vAlign w:val="bottom"/>
            <w:gridSpan w:val="2"/>
          </w:tcPr>
          <w:p>
            <w:pPr>
              <w:jc w:val="right"/>
              <w:ind w:right="315"/>
              <w:spacing w:after="0"/>
              <w:rPr>
                <w:sz w:val="20"/>
                <w:szCs w:val="20"/>
                <w:color w:val="auto"/>
              </w:rPr>
            </w:pPr>
            <w:r>
              <w:rPr>
                <w:rFonts w:ascii="Arial" w:cs="Arial" w:eastAsia="Arial" w:hAnsi="Arial"/>
                <w:sz w:val="17"/>
                <w:szCs w:val="17"/>
                <w:b w:val="1"/>
                <w:bCs w:val="1"/>
                <w:color w:val="auto"/>
              </w:rPr>
              <w:t>Six Months Ended</w:t>
            </w:r>
          </w:p>
        </w:tc>
      </w:tr>
      <w:tr>
        <w:trPr>
          <w:trHeight w:val="270"/>
        </w:trPr>
        <w:tc>
          <w:tcPr>
            <w:tcW w:w="88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720" w:type="dxa"/>
            <w:vAlign w:val="bottom"/>
          </w:tcPr>
          <w:p>
            <w:pPr>
              <w:spacing w:after="0"/>
              <w:rPr>
                <w:sz w:val="23"/>
                <w:szCs w:val="23"/>
                <w:color w:val="auto"/>
              </w:rPr>
            </w:pPr>
          </w:p>
        </w:tc>
      </w:tr>
      <w:tr>
        <w:trPr>
          <w:trHeight w:val="270"/>
        </w:trPr>
        <w:tc>
          <w:tcPr>
            <w:tcW w:w="8820" w:type="dxa"/>
            <w:vAlign w:val="bottom"/>
          </w:tcPr>
          <w:p>
            <w:pPr>
              <w:spacing w:after="0"/>
              <w:rPr>
                <w:sz w:val="23"/>
                <w:szCs w:val="23"/>
                <w:color w:val="auto"/>
              </w:rPr>
            </w:pPr>
          </w:p>
        </w:tc>
        <w:tc>
          <w:tcPr>
            <w:tcW w:w="1880" w:type="dxa"/>
            <w:vAlign w:val="bottom"/>
          </w:tcPr>
          <w:p>
            <w:pPr>
              <w:jc w:val="right"/>
              <w:ind w:right="655"/>
              <w:spacing w:after="0"/>
              <w:rPr>
                <w:sz w:val="20"/>
                <w:szCs w:val="20"/>
                <w:color w:val="auto"/>
              </w:rPr>
            </w:pPr>
            <w:r>
              <w:rPr>
                <w:rFonts w:ascii="Arial" w:cs="Arial" w:eastAsia="Arial" w:hAnsi="Arial"/>
                <w:sz w:val="17"/>
                <w:szCs w:val="17"/>
                <w:b w:val="1"/>
                <w:bCs w:val="1"/>
                <w:color w:val="auto"/>
              </w:rPr>
              <w:t>2018</w:t>
            </w:r>
          </w:p>
        </w:tc>
        <w:tc>
          <w:tcPr>
            <w:tcW w:w="720" w:type="dxa"/>
            <w:vAlign w:val="bottom"/>
          </w:tcPr>
          <w:p>
            <w:pPr>
              <w:jc w:val="right"/>
              <w:ind w:right="255"/>
              <w:spacing w:after="0"/>
              <w:rPr>
                <w:sz w:val="20"/>
                <w:szCs w:val="20"/>
                <w:color w:val="auto"/>
              </w:rPr>
            </w:pPr>
            <w:r>
              <w:rPr>
                <w:rFonts w:ascii="Arial" w:cs="Arial" w:eastAsia="Arial" w:hAnsi="Arial"/>
                <w:sz w:val="17"/>
                <w:szCs w:val="17"/>
                <w:b w:val="1"/>
                <w:bCs w:val="1"/>
                <w:color w:val="auto"/>
                <w:w w:val="95"/>
              </w:rPr>
              <w:t>2017</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3"/>
        </w:trPr>
        <w:tc>
          <w:tcPr>
            <w:tcW w:w="8820" w:type="dxa"/>
            <w:vAlign w:val="bottom"/>
          </w:tcPr>
          <w:p>
            <w:pPr>
              <w:ind w:left="40"/>
              <w:spacing w:after="0"/>
              <w:rPr>
                <w:sz w:val="20"/>
                <w:szCs w:val="20"/>
                <w:color w:val="auto"/>
              </w:rPr>
            </w:pPr>
            <w:r>
              <w:rPr>
                <w:rFonts w:ascii="Arial" w:cs="Arial" w:eastAsia="Arial" w:hAnsi="Arial"/>
                <w:sz w:val="17"/>
                <w:szCs w:val="17"/>
                <w:b w:val="1"/>
                <w:bCs w:val="1"/>
                <w:color w:val="auto"/>
              </w:rPr>
              <w:t>Millions</w:t>
            </w:r>
          </w:p>
        </w:tc>
        <w:tc>
          <w:tcPr>
            <w:tcW w:w="1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$82.3</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$85.9</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AFUDC – Equity</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(0.4)</w:t>
            </w:r>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 in Fair Value of Contingent Consideration</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99.2</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97.9</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PSAs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(11.9)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5.0</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5.3</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 Expense</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(9.5)</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Share-Based and ESOP Compensation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3.3</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3.3</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4.3</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Provision for Interim Rate Refund</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8.8</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Provision for Tax Reform Refund</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6.7</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Bad Debt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0.7</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1.7</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2.4</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Inventories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(3.2)</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0.8</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Prepayments and Other</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2.8</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4.3</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Payable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8.1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Other Current Liabilities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(1.3)</w:t>
            </w:r>
          </w:p>
        </w:tc>
        <w:tc>
          <w:tcPr>
            <w:tcW w:w="72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Contributions to Defined Benefit Pension Plans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(15.0)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5.8</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6.7</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7.5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Operating Activities</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194.4</w:t>
            </w: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184.4</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7.2</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1.0</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(9.8)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Investment in ATC</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(3.9)</w:t>
            </w: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(133.4)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(81.1)</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Other Investing Activities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1.4</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2.0</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Investing Activities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(138.5)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8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10.7</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72.0</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86.2</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Repayments of Long-Term Debt</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(57.9)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(57.4)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Other Financing Activities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(0.6)</w:t>
            </w: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Financing Activities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(33.2)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(41.5)</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22.7</w:t>
            </w: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58.2</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110.1</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38.3</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$132.8</w:t>
            </w: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$96.5</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882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40" w:right="239" w:bottom="1052"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1040" w:right="239" w:bottom="1052"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Accumulated</w:t>
            </w:r>
          </w:p>
        </w:tc>
        <w:tc>
          <w:tcPr>
            <w:tcW w:w="11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Other</w:t>
            </w:r>
          </w:p>
        </w:tc>
        <w:tc>
          <w:tcPr>
            <w:tcW w:w="11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w w:val="93"/>
              </w:rPr>
              <w:t>Total Shareholders’</w:t>
            </w:r>
          </w:p>
        </w:tc>
        <w:tc>
          <w:tcPr>
            <w:tcW w:w="1400" w:type="dxa"/>
            <w:vAlign w:val="bottom"/>
          </w:tcPr>
          <w:p>
            <w:pPr>
              <w:jc w:val="right"/>
              <w:ind w:right="332"/>
              <w:spacing w:after="0"/>
              <w:rPr>
                <w:sz w:val="20"/>
                <w:szCs w:val="20"/>
                <w:color w:val="auto"/>
              </w:rPr>
            </w:pPr>
            <w:r>
              <w:rPr>
                <w:rFonts w:ascii="Arial" w:cs="Arial" w:eastAsia="Arial" w:hAnsi="Arial"/>
                <w:sz w:val="16"/>
                <w:szCs w:val="16"/>
                <w:b w:val="1"/>
                <w:bCs w:val="1"/>
                <w:color w:val="auto"/>
              </w:rPr>
              <w:t>Retained</w:t>
            </w: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Comprehensive</w:t>
            </w: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Common</w:t>
            </w:r>
          </w:p>
        </w:tc>
      </w:tr>
      <w:tr>
        <w:trPr>
          <w:trHeight w:val="210"/>
        </w:trPr>
        <w:tc>
          <w:tcPr>
            <w:tcW w:w="5800" w:type="dxa"/>
            <w:vAlign w:val="bottom"/>
          </w:tcPr>
          <w:p>
            <w:pPr>
              <w:spacing w:after="0"/>
              <w:rPr>
                <w:sz w:val="18"/>
                <w:szCs w:val="18"/>
                <w:color w:val="auto"/>
              </w:rPr>
            </w:pPr>
          </w:p>
        </w:tc>
        <w:tc>
          <w:tcPr>
            <w:tcW w:w="1460" w:type="dxa"/>
            <w:vAlign w:val="bottom"/>
          </w:tcPr>
          <w:p>
            <w:pPr>
              <w:jc w:val="right"/>
              <w:ind w:right="411"/>
              <w:spacing w:after="0"/>
              <w:rPr>
                <w:sz w:val="20"/>
                <w:szCs w:val="20"/>
                <w:color w:val="auto"/>
              </w:rPr>
            </w:pPr>
            <w:r>
              <w:rPr>
                <w:rFonts w:ascii="Arial" w:cs="Arial" w:eastAsia="Arial" w:hAnsi="Arial"/>
                <w:sz w:val="16"/>
                <w:szCs w:val="16"/>
                <w:b w:val="1"/>
                <w:bCs w:val="1"/>
                <w:color w:val="auto"/>
              </w:rPr>
              <w:t>Equity</w:t>
            </w:r>
          </w:p>
        </w:tc>
        <w:tc>
          <w:tcPr>
            <w:tcW w:w="1400" w:type="dxa"/>
            <w:vAlign w:val="bottom"/>
          </w:tcPr>
          <w:p>
            <w:pPr>
              <w:jc w:val="right"/>
              <w:ind w:right="312"/>
              <w:spacing w:after="0"/>
              <w:rPr>
                <w:sz w:val="20"/>
                <w:szCs w:val="20"/>
                <w:color w:val="auto"/>
              </w:rPr>
            </w:pPr>
            <w:r>
              <w:rPr>
                <w:rFonts w:ascii="Arial" w:cs="Arial" w:eastAsia="Arial" w:hAnsi="Arial"/>
                <w:sz w:val="16"/>
                <w:szCs w:val="16"/>
                <w:b w:val="1"/>
                <w:bCs w:val="1"/>
                <w:color w:val="auto"/>
              </w:rPr>
              <w:t>Earnings</w:t>
            </w:r>
          </w:p>
        </w:tc>
        <w:tc>
          <w:tcPr>
            <w:tcW w:w="1600" w:type="dxa"/>
            <w:vAlign w:val="bottom"/>
          </w:tcPr>
          <w:p>
            <w:pPr>
              <w:jc w:val="center"/>
              <w:ind w:right="33"/>
              <w:spacing w:after="0"/>
              <w:rPr>
                <w:sz w:val="20"/>
                <w:szCs w:val="20"/>
                <w:color w:val="auto"/>
              </w:rPr>
            </w:pPr>
            <w:r>
              <w:rPr>
                <w:rFonts w:ascii="Arial" w:cs="Arial" w:eastAsia="Arial" w:hAnsi="Arial"/>
                <w:sz w:val="16"/>
                <w:szCs w:val="16"/>
                <w:b w:val="1"/>
                <w:bCs w:val="1"/>
                <w:color w:val="auto"/>
                <w:w w:val="85"/>
              </w:rPr>
              <w:t>Loss</w:t>
            </w: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Stock</w:t>
            </w:r>
          </w:p>
        </w:tc>
      </w:tr>
      <w:tr>
        <w:trPr>
          <w:trHeight w:val="33"/>
        </w:trPr>
        <w:tc>
          <w:tcPr>
            <w:tcW w:w="5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$2,068.2</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$689.4</w:t>
            </w:r>
          </w:p>
        </w:tc>
        <w:tc>
          <w:tcPr>
            <w:tcW w:w="16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$(22.6)</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$1,401.4</w:t>
            </w:r>
          </w:p>
        </w:tc>
      </w:tr>
      <w:tr>
        <w:trPr>
          <w:trHeight w:val="243"/>
        </w:trPr>
        <w:tc>
          <w:tcPr>
            <w:tcW w:w="5800" w:type="dxa"/>
            <w:vAlign w:val="bottom"/>
          </w:tcPr>
          <w:p>
            <w:pPr>
              <w:ind w:left="180"/>
              <w:spacing w:after="0"/>
              <w:rPr>
                <w:sz w:val="20"/>
                <w:szCs w:val="20"/>
                <w:color w:val="auto"/>
              </w:rPr>
            </w:pPr>
            <w:r>
              <w:rPr>
                <w:rFonts w:ascii="Arial" w:cs="Arial" w:eastAsia="Arial" w:hAnsi="Arial"/>
                <w:sz w:val="18"/>
                <w:szCs w:val="18"/>
                <w:color w:val="auto"/>
              </w:rPr>
              <w:t xml:space="preserve">Adjustments to Opening Balance – Net of Income Taxes </w:t>
            </w:r>
            <w:r>
              <w:rPr>
                <w:rFonts w:ascii="Arial" w:cs="Arial" w:eastAsia="Arial" w:hAnsi="Arial"/>
                <w:sz w:val="16"/>
                <w:szCs w:val="16"/>
                <w:i w:val="1"/>
                <w:iCs w:val="1"/>
                <w:color w:val="auto"/>
              </w:rPr>
              <w:t>(a)</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6.1</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(5.6)</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2,068.7</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695.5</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(28.2)</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1,401.4</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82.3</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82.3</w:t>
            </w:r>
          </w:p>
        </w:tc>
        <w:tc>
          <w:tcPr>
            <w:tcW w:w="16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180"/>
              <w:spacing w:after="0"/>
              <w:rPr>
                <w:sz w:val="20"/>
                <w:szCs w:val="20"/>
                <w:color w:val="auto"/>
              </w:rPr>
            </w:pPr>
            <w:r>
              <w:rPr>
                <w:rFonts w:ascii="Arial" w:cs="Arial" w:eastAsia="Arial" w:hAnsi="Arial"/>
                <w:sz w:val="18"/>
                <w:szCs w:val="18"/>
                <w:color w:val="auto"/>
              </w:rPr>
              <w:t>Other Comprehensive Income – Net of Income Taxes</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Debt Securities</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Defined Benefit Pension and Other Postretirement Plans</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0.7</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3"/>
              <w:spacing w:after="0"/>
              <w:rPr>
                <w:sz w:val="20"/>
                <w:szCs w:val="20"/>
                <w:color w:val="auto"/>
              </w:rPr>
            </w:pPr>
            <w:r>
              <w:rPr>
                <w:rFonts w:ascii="Arial" w:cs="Arial" w:eastAsia="Arial" w:hAnsi="Arial"/>
                <w:sz w:val="18"/>
                <w:szCs w:val="18"/>
                <w:color w:val="auto"/>
              </w:rPr>
              <w:t>0.7</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82.9</w:t>
            </w:r>
          </w:p>
        </w:tc>
        <w:tc>
          <w:tcPr>
            <w:tcW w:w="1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14.0</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14.0</w:t>
            </w:r>
          </w:p>
        </w:tc>
      </w:tr>
      <w:tr>
        <w:trPr>
          <w:trHeight w:val="27"/>
        </w:trPr>
        <w:tc>
          <w:tcPr>
            <w:tcW w:w="5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(57.4)</w:t>
            </w: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(57.4)</w:t>
            </w:r>
          </w:p>
        </w:tc>
        <w:tc>
          <w:tcPr>
            <w:tcW w:w="16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June 30, 2018</w:t>
            </w:r>
          </w:p>
        </w:tc>
        <w:tc>
          <w:tcPr>
            <w:tcW w:w="14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$2,108.2</w:t>
            </w:r>
          </w:p>
        </w:tc>
        <w:tc>
          <w:tcPr>
            <w:tcW w:w="140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$720.4</w:t>
            </w:r>
          </w:p>
        </w:tc>
        <w:tc>
          <w:tcPr>
            <w:tcW w:w="1600" w:type="dxa"/>
            <w:vAlign w:val="bottom"/>
            <w:tcBorders>
              <w:top w:val="single" w:sz="8" w:color="auto"/>
            </w:tcBorders>
          </w:tcPr>
          <w:p>
            <w:pPr>
              <w:jc w:val="right"/>
              <w:ind w:right="273"/>
              <w:spacing w:after="0"/>
              <w:rPr>
                <w:sz w:val="20"/>
                <w:szCs w:val="20"/>
                <w:color w:val="auto"/>
              </w:rPr>
            </w:pPr>
            <w:r>
              <w:rPr>
                <w:rFonts w:ascii="Arial" w:cs="Arial" w:eastAsia="Arial" w:hAnsi="Arial"/>
                <w:sz w:val="18"/>
                <w:szCs w:val="18"/>
                <w:color w:val="auto"/>
              </w:rPr>
              <w:t>$(27.6)</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impacts associated with the adoption of accounting standards concerning Financial Instruments, Revenue from Contracts with Customers and the Reclassification of Certain Tax Effects from Accumulated Other Comprehensive Income. (See Note 1. Operations and Significant Accounting Policies.)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04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2017,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six months ended June 30, 2018, are not necessarily indicative of results that may be expected for any other interim period or for the year ending December 31, 2018. For further information, refer to the Consolidated Financial Statements and notes included in our 2017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Cash, Cash Equivalents and Restricted Cash. </w:t>
      </w:r>
      <w:r>
        <w:rPr>
          <w:rFonts w:ascii="Arial" w:cs="Arial" w:eastAsia="Arial" w:hAnsi="Arial"/>
          <w:sz w:val="16"/>
          <w:szCs w:val="16"/>
          <w:color w:val="auto"/>
        </w:rPr>
        <w:t>We consider all investments purchased with original maturities of three months or less to be cash equivalents.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Restricted cash amounts included in Prepayments and Other on the Consolidated Balance Sheet include collateral deposits required under an ALLETE Clean Energy loan agreement and U.S. Water Service’s standby letters of credit. The restricted cash amounts included in Other Non-Current Assets represent collateral deposits required under an ALLETE Clean Energy loan agreement and PSAs, and deposits from a SWL&amp;P customer in aid of future capital expenditures. The following table provides a reconciliation of cash, cash equivalents and restricted cash reported within the Consolidated Balance Sheet that aggregate to the amount presented in the Consolidated Statement of Cash Flows. During the first quarter of 2018, the Company updated the presentation of its Consolidated Statement of Cash Flows to include restricted cash with cash and cash equivalents when reconciling the beginning-of-period and end-of-period total amounts shown on the Consolidated Statement of Cash Flows. (See </w:t>
      </w:r>
      <w:r>
        <w:rPr>
          <w:rFonts w:ascii="Arial" w:cs="Arial" w:eastAsia="Arial" w:hAnsi="Arial"/>
          <w:sz w:val="16"/>
          <w:szCs w:val="16"/>
          <w:i w:val="1"/>
          <w:iCs w:val="1"/>
          <w:color w:val="auto"/>
        </w:rPr>
        <w:t>Recently Adopted Pronouncements - Statement of Cash Flows: Restricted Cash</w:t>
      </w:r>
      <w:r>
        <w:rPr>
          <w:rFonts w:ascii="Arial" w:cs="Arial" w:eastAsia="Arial" w:hAnsi="Arial"/>
          <w:sz w:val="16"/>
          <w:szCs w:val="16"/>
          <w:color w:val="auto"/>
        </w:rPr>
        <w:t>.)</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74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$121.9</w:t>
            </w:r>
          </w:p>
        </w:tc>
        <w:tc>
          <w:tcPr>
            <w:tcW w:w="1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$98.9</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$84.2</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2.6</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w:t>
            </w:r>
          </w:p>
        </w:tc>
        <w:tc>
          <w:tcPr>
            <w:tcW w:w="1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8.6</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22"/>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on the Consolidated</w:t>
            </w:r>
          </w:p>
        </w:tc>
        <w:tc>
          <w:tcPr>
            <w:tcW w:w="15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Statement of Cash Flows</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$132.8</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$110.1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$96.5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5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U.S. Water Services and ALLETE Clean Energy segments, and Corporate and Other businesses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398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Inventories – Net</w:t>
            </w:r>
          </w:p>
        </w:tc>
        <w:tc>
          <w:tcPr>
            <w:tcW w:w="39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0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3980" w:type="dxa"/>
            <w:vAlign w:val="bottom"/>
          </w:tcPr>
          <w:p>
            <w:pPr>
              <w:jc w:val="right"/>
              <w:ind w:right="170"/>
              <w:spacing w:after="0"/>
              <w:rPr>
                <w:sz w:val="20"/>
                <w:szCs w:val="20"/>
                <w:color w:val="auto"/>
              </w:rPr>
            </w:pPr>
            <w:r>
              <w:rPr>
                <w:rFonts w:ascii="Arial" w:cs="Arial" w:eastAsia="Arial" w:hAnsi="Arial"/>
                <w:sz w:val="18"/>
                <w:szCs w:val="18"/>
                <w:color w:val="auto"/>
              </w:rPr>
              <w:t>44.3</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6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Construction of Wind Energy Facility </w:t>
            </w:r>
            <w:r>
              <w:rPr>
                <w:rFonts w:ascii="Arial" w:cs="Arial" w:eastAsia="Arial" w:hAnsi="Arial"/>
                <w:sz w:val="16"/>
                <w:szCs w:val="16"/>
                <w:i w:val="1"/>
                <w:iCs w:val="1"/>
                <w:color w:val="auto"/>
              </w:rPr>
              <w:t>(b)</w:t>
            </w:r>
          </w:p>
        </w:tc>
        <w:tc>
          <w:tcPr>
            <w:tcW w:w="3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54.1</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398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6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Progress</w:t>
            </w:r>
          </w:p>
        </w:tc>
        <w:tc>
          <w:tcPr>
            <w:tcW w:w="3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980" w:type="dxa"/>
            <w:vAlign w:val="bottom"/>
          </w:tcPr>
          <w:p>
            <w:pPr>
              <w:jc w:val="right"/>
              <w:ind w:right="170"/>
              <w:spacing w:after="0"/>
              <w:rPr>
                <w:sz w:val="20"/>
                <w:szCs w:val="20"/>
                <w:color w:val="auto"/>
              </w:rPr>
            </w:pPr>
            <w:r>
              <w:rPr>
                <w:rFonts w:ascii="Arial" w:cs="Arial" w:eastAsia="Arial" w:hAnsi="Arial"/>
                <w:sz w:val="18"/>
                <w:szCs w:val="18"/>
                <w:color w:val="auto"/>
              </w:rPr>
              <w:t>9.1</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60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Obsolescence</w:t>
            </w:r>
          </w:p>
        </w:tc>
        <w:tc>
          <w:tcPr>
            <w:tcW w:w="3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Inventories – Net</w:t>
            </w:r>
          </w:p>
        </w:tc>
        <w:tc>
          <w:tcPr>
            <w:tcW w:w="3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$145.4</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340" w:hanging="332"/>
        <w:spacing w:after="0" w:line="290" w:lineRule="auto"/>
        <w:tabs>
          <w:tab w:leader="none" w:pos="34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On February 28, 2018, Montana-Dakota Utilities exercised its option to purchase the Thunder Spirit II wind energy facility upon completion, resulting in a reclassification of the project costs from Property, Plant and Equipment – Net to Inventories – Net as ALLETE Clean Energy will not own the facility upon completion.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04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1"/>
        </w:trPr>
        <w:tc>
          <w:tcPr>
            <w:tcW w:w="7920" w:type="dxa"/>
            <w:vAlign w:val="bottom"/>
          </w:tcPr>
          <w:p>
            <w:pPr>
              <w:spacing w:after="0"/>
              <w:rPr>
                <w:sz w:val="24"/>
                <w:szCs w:val="24"/>
                <w:color w:val="auto"/>
              </w:rPr>
            </w:pP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92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9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7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$30.9</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Finance Receivable</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10.9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7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63.2</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r>
      <w:tr>
        <w:trPr>
          <w:trHeight w:val="23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Assets</w:t>
            </w:r>
          </w:p>
        </w:tc>
        <w:tc>
          <w:tcPr>
            <w:tcW w:w="2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$105.0</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7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include payments made to customers as an incentive to execute or extend service agreements. The contract payments are being amortized over the term of the respective agreements as a reduction to revenue.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408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0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8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(a)</w:t>
            </w:r>
          </w:p>
        </w:tc>
        <w:tc>
          <w:tcPr>
            <w:tcW w:w="4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16"/>
                <w:szCs w:val="16"/>
                <w:i w:val="1"/>
                <w:iCs w:val="1"/>
                <w:color w:val="auto"/>
              </w:rPr>
              <w:t>(b)</w:t>
            </w:r>
          </w:p>
        </w:tc>
        <w:tc>
          <w:tcPr>
            <w:tcW w:w="4080" w:type="dxa"/>
            <w:vAlign w:val="bottom"/>
          </w:tcPr>
          <w:p>
            <w:pPr>
              <w:jc w:val="right"/>
              <w:ind w:right="150"/>
              <w:spacing w:after="0"/>
              <w:rPr>
                <w:sz w:val="20"/>
                <w:szCs w:val="20"/>
                <w:color w:val="auto"/>
              </w:rPr>
            </w:pPr>
            <w:r>
              <w:rPr>
                <w:rFonts w:ascii="Arial" w:cs="Arial" w:eastAsia="Arial" w:hAnsi="Arial"/>
                <w:sz w:val="18"/>
                <w:szCs w:val="18"/>
                <w:color w:val="auto"/>
              </w:rPr>
              <w:t>24.3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5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PSAs</w:t>
            </w:r>
          </w:p>
        </w:tc>
        <w:tc>
          <w:tcPr>
            <w:tcW w:w="4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4080" w:type="dxa"/>
            <w:vAlign w:val="bottom"/>
          </w:tcPr>
          <w:p>
            <w:pPr>
              <w:jc w:val="right"/>
              <w:ind w:right="150"/>
              <w:spacing w:after="0"/>
              <w:rPr>
                <w:sz w:val="20"/>
                <w:szCs w:val="20"/>
                <w:color w:val="auto"/>
              </w:rPr>
            </w:pPr>
            <w:r>
              <w:rPr>
                <w:rFonts w:ascii="Arial" w:cs="Arial" w:eastAsia="Arial" w:hAnsi="Arial"/>
                <w:sz w:val="18"/>
                <w:szCs w:val="18"/>
                <w:color w:val="auto"/>
              </w:rPr>
              <w:t>6.7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(d)</w:t>
            </w:r>
          </w:p>
        </w:tc>
        <w:tc>
          <w:tcPr>
            <w:tcW w:w="4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Other</w:t>
            </w:r>
          </w:p>
        </w:tc>
        <w:tc>
          <w:tcPr>
            <w:tcW w:w="4080" w:type="dxa"/>
            <w:vAlign w:val="bottom"/>
          </w:tcPr>
          <w:p>
            <w:pPr>
              <w:jc w:val="right"/>
              <w:ind w:right="150"/>
              <w:spacing w:after="0"/>
              <w:rPr>
                <w:sz w:val="20"/>
                <w:szCs w:val="20"/>
                <w:color w:val="auto"/>
              </w:rPr>
            </w:pPr>
            <w:r>
              <w:rPr>
                <w:rFonts w:ascii="Arial" w:cs="Arial" w:eastAsia="Arial" w:hAnsi="Arial"/>
                <w:sz w:val="18"/>
                <w:szCs w:val="18"/>
                <w:color w:val="auto"/>
              </w:rPr>
              <w:t>41.0</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8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4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$128.5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0"/>
        </w:trPr>
        <w:tc>
          <w:tcPr>
            <w:tcW w:w="588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jc w:val="both"/>
        <w:ind w:left="340" w:hanging="332"/>
        <w:spacing w:after="0" w:line="248"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Interim Rate Refund is expected to be refunded to Minnesota Power’s regulated retail customers in the first quarter of 2019 and includes $16.7 million of discounts provided to EITE customers that will be offset against interim rate refunds as of June 30, 2018 ($8.6 million as of December 31, 2017). (See Note 6. Regulatory Matters.)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Contract Liabilities include deposits received as a result of entering into contracts with our customers prior to completing our performance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is deferred as a regulatory liability pending the outcome of regulatory proceedings with the MPUC and PSCW. (See Note 6. Regulatory Matters.)</w:t>
      </w:r>
    </w:p>
    <w:p>
      <w:pPr>
        <w:ind w:left="340" w:hanging="332"/>
        <w:spacing w:after="0"/>
        <w:tabs>
          <w:tab w:leader="none" w:pos="3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5. Fair Value.)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414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$143.2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PSAs</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83.1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89.5</w:t>
            </w: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48.1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$274.4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0"/>
        </w:trPr>
        <w:tc>
          <w:tcPr>
            <w:tcW w:w="582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5. Fair Value.)</w:t>
      </w:r>
    </w:p>
    <w:p>
      <w:pPr>
        <w:spacing w:after="0" w:line="252" w:lineRule="exact"/>
        <w:rPr>
          <w:rFonts w:ascii="Arial" w:cs="Arial" w:eastAsia="Arial" w:hAnsi="Arial"/>
          <w:sz w:val="14"/>
          <w:szCs w:val="14"/>
          <w:i w:val="1"/>
          <w:iCs w:val="1"/>
          <w:color w:val="auto"/>
        </w:rPr>
      </w:pPr>
    </w:p>
    <w:p>
      <w:pPr>
        <w:ind w:left="4320"/>
        <w:spacing w:after="0"/>
        <w:rPr>
          <w:rFonts w:ascii="Arial" w:cs="Arial" w:eastAsia="Arial" w:hAnsi="Arial"/>
          <w:sz w:val="14"/>
          <w:szCs w:val="14"/>
          <w:i w:val="1"/>
          <w:iCs w:val="1"/>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04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04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3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80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 Net of Amounts Capitalized</w:t>
            </w:r>
          </w:p>
        </w:tc>
        <w:tc>
          <w:tcPr>
            <w:tcW w:w="2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$33.0</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3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$(39.4)</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(a)</w:t>
            </w:r>
          </w:p>
        </w:tc>
        <w:tc>
          <w:tcPr>
            <w:tcW w:w="2380" w:type="dxa"/>
            <w:vAlign w:val="bottom"/>
          </w:tcPr>
          <w:p>
            <w:pPr>
              <w:jc w:val="right"/>
              <w:ind w:right="270"/>
              <w:spacing w:after="0"/>
              <w:rPr>
                <w:sz w:val="20"/>
                <w:szCs w:val="20"/>
                <w:color w:val="auto"/>
              </w:rPr>
            </w:pPr>
            <w:r>
              <w:rPr>
                <w:rFonts w:ascii="Arial" w:cs="Arial" w:eastAsia="Arial" w:hAnsi="Arial"/>
                <w:sz w:val="18"/>
                <w:szCs w:val="18"/>
                <w:color w:val="auto"/>
              </w:rPr>
              <w:t>$46.3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380" w:type="dxa"/>
            <w:vAlign w:val="bottom"/>
          </w:tcPr>
          <w:p>
            <w:pPr>
              <w:jc w:val="right"/>
              <w:ind w:right="270"/>
              <w:spacing w:after="0"/>
              <w:rPr>
                <w:sz w:val="20"/>
                <w:szCs w:val="20"/>
                <w:color w:val="auto"/>
              </w:rPr>
            </w:pPr>
            <w:r>
              <w:rPr>
                <w:rFonts w:ascii="Arial" w:cs="Arial" w:eastAsia="Arial" w:hAnsi="Arial"/>
                <w:sz w:val="18"/>
                <w:szCs w:val="18"/>
                <w:color w:val="auto"/>
              </w:rPr>
              <w:t>$0.5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80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Plans</w:t>
            </w:r>
          </w:p>
        </w:tc>
        <w:tc>
          <w:tcPr>
            <w:tcW w:w="2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0"/>
        </w:trPr>
        <w:tc>
          <w:tcPr>
            <w:tcW w:w="804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ind w:left="340" w:hanging="332"/>
        <w:spacing w:after="0" w:line="296" w:lineRule="auto"/>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On February 28, 2018, Montana-Dakota Utilities exercised its option to purchase the Thunder Spirit II wind energy facility upon completion, resulting in a reclassification of the project costs from Property, Plant and Equipment – Net to Inventories – Net as ALLETE Clean Energy will not own the facility upon completion.</w:t>
      </w:r>
    </w:p>
    <w:p>
      <w:pPr>
        <w:spacing w:after="0" w:line="15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Utility </w:t>
      </w:r>
      <w:r>
        <w:rPr>
          <w:rFonts w:ascii="Arial" w:cs="Arial" w:eastAsia="Arial" w:hAnsi="Arial"/>
          <w:sz w:val="18"/>
          <w:szCs w:val="18"/>
          <w:color w:val="auto"/>
        </w:rPr>
        <w:t>includes sales from our regulated operations for generation, transmission and distribution of electric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water and gas services to our customers. Also included is an immaterial amount of regulated steam generation that is used by customers in the production of paper and pulp.</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includes sales of goods and services to customers from ALLETE Clean Energy, U.S. Water Services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Other businesses.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is the non-cash adjustments to revenue recognized by ALLETE Clean Energy for the amortization of differences between contract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estimated market prices for PSAs that were assumed during the acquisition of various wind energy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is recognized upon transfer of control of promised goods or services to our customers in an amount that reflects the consideration we expect to receive in exchange for those products or services. Revenue is recognized net of allowance for returns and any taxes collected from customers, which are subsequently remitted to the appropriate governmental authorities. We account for shipping and handling activities that occur after the customer obtains control of goods as a cost rather than an additional performance obligation thereby recognizing revenue at time of shipment and accruing shipping and handling costs when control transfers to our customers. We have a right to consideration from our customers in an amount that corresponds directly with the value to the customer for our performance completed to date; therefore, we may recognize revenue in the amount to which we have a right to invoice.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Revenue Streams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Residential and Commercial </w:t>
      </w:r>
      <w:r>
        <w:rPr>
          <w:rFonts w:ascii="Arial" w:cs="Arial" w:eastAsia="Arial" w:hAnsi="Arial"/>
          <w:sz w:val="18"/>
          <w:szCs w:val="18"/>
          <w:color w:val="auto"/>
        </w:rPr>
        <w:t>includes sales for electric, gas or water service to customers, who have implied contracts with the utility, under rates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MPUC, PSCW or FERC. Customers are billed on a monthly cycle basis and revenue is recognized for electric, gas or water service delivered during the billing period. Revenue is accrued for service provided but not yet billed at period end. Performance obligations with these customers are satisfied at time of delivery to customer meters and simultaneously consumed.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0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Municipal </w:t>
      </w:r>
      <w:r>
        <w:rPr>
          <w:rFonts w:ascii="Arial" w:cs="Arial" w:eastAsia="Arial" w:hAnsi="Arial"/>
          <w:sz w:val="18"/>
          <w:szCs w:val="18"/>
          <w:color w:val="auto"/>
        </w:rPr>
        <w:t>includes sales to 16 non-affiliated municipal customers in Minnesota under long-term wholesale electric contracts. All wholesale electric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 termination clause requiring a three-year notice to terminate. These contracts have termination dates ranging from 2019 through at least 2032, with a majority of contracts effective through at least 2024. Performance obligations with these customers are satisfied at the time energy is delivered to an agreed upon municipal substation or meter.</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includes sales recognized from contracts with customers in the taconite mining, iron concentrate, paper, pulp and secondary wood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and other industries. Industrial sales accounted for approximately 49 percent of total regulated utility kWh sales for the six months ended June 30, 2018. Within industrial revenue, Minnesota Power has 9 Large Power Customer contracts, each serving requirements of 10 MW or more of customer load. These contracts automatically renew past the contract term unless a four-year advanced written notice is given. Large Power Customer contracts have earliest termination dates ranging from 2022 through 2026. We satisfy our performance obligations for these customers at the time energy is delivered to an agreed upon customer substation. Revenue is accrued for energy provided but not yet billed at period end. Based on current contracts with industrial customers, we expect to recognize minimum revenue for the fixed contract components of approximately $70 million per annum through 2019, $50 million in 2020 and 2021, $30 million in 2022 and $30 million for aggregate years thereafter, which reflects the termination notice period in these contracts. When determining minimum revenue, we assume that customer contracts will continue under the contract renewal provision; however, if long-term contracts are renegotiated and subsequently approved by the MPUC or there are changes within our industrial customer class, these amounts may be impacted. Contracts with customers that contain variable pricing or quantity components are excluded from the expected minimum revenue amounts.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Other Power Suppliers </w:t>
      </w:r>
      <w:r>
        <w:rPr>
          <w:rFonts w:ascii="Arial" w:cs="Arial" w:eastAsia="Arial" w:hAnsi="Arial"/>
          <w:sz w:val="17"/>
          <w:szCs w:val="17"/>
          <w:color w:val="auto"/>
        </w:rPr>
        <w:t>includes the sale of energy under long-term PSAs with two customers as well as MISO market and liquidation sales. Expiration dates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these PSAs range from 2020 through 2026. Performance obligations with these customers are satisfied at the time energy is delivered to an agreed upon delivery point defined in the contract (generally the MISO pricing node). Based on current contracts with two customers, we expect to recognize minimum revenue for fixed contract components of approximately $10 million per annum through 2019. Other power supplier contracts that extend beyond 2020 contain variable pricing components that prevent us from estimating future minimum revenue, and therefore are not included.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includes all remaining individually immaterial revenue streams for Minnesota Power and SWL&amp;P, and is comprised of steam sales to paper</w:t>
      </w:r>
      <w:r>
        <w:rPr>
          <w:rFonts w:ascii="Arial" w:cs="Arial" w:eastAsia="Arial" w:hAnsi="Arial"/>
          <w:sz w:val="18"/>
          <w:szCs w:val="18"/>
          <w:i w:val="1"/>
          <w:iCs w:val="1"/>
          <w:color w:val="auto"/>
        </w:rPr>
        <w:t xml:space="preserve"> </w:t>
      </w:r>
      <w:r>
        <w:rPr>
          <w:rFonts w:ascii="Arial" w:cs="Arial" w:eastAsia="Arial" w:hAnsi="Arial"/>
          <w:sz w:val="18"/>
          <w:szCs w:val="18"/>
          <w:color w:val="auto"/>
        </w:rPr>
        <w:t>and pulp mills, wheeling revenue and other sources. Revenue for steam sales to customers is recognized at the time steam is delivered and simultaneously consumed. Revenue is recognized at the time each performance obligation is satisfied.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Alternative Programs </w:t>
      </w:r>
      <w:r>
        <w:rPr>
          <w:rFonts w:ascii="Arial" w:cs="Arial" w:eastAsia="Arial" w:hAnsi="Arial"/>
          <w:sz w:val="18"/>
          <w:szCs w:val="18"/>
          <w:color w:val="auto"/>
        </w:rPr>
        <w:t>includes revenue that is driven by factors outside of our regulated entities’ control or as a result of the achievement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such as CIP financial incentives. This revenue is accounted for in accordance with the accounting standards for alternative revenue programs which allow for the recognition of revenue under an alternative revenue program if the program is established by an order from the utility’s regulatory commission, the order allows for automatic adjustment of future rates, the amount of revenue recognized is objectively determinable and probable of recovery, and the revenue will be collected within 24 months following the end of the annual period in which it is recognized. CIP financial incentives are recognized in the period in which the MPUC approves the filing, which is typically mid-year.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Non-utility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ALLETE Clean Energy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Long-term PSA </w:t>
      </w:r>
      <w:r>
        <w:rPr>
          <w:rFonts w:ascii="Arial" w:cs="Arial" w:eastAsia="Arial" w:hAnsi="Arial"/>
          <w:sz w:val="16"/>
          <w:szCs w:val="16"/>
          <w:color w:val="auto"/>
        </w:rPr>
        <w:t>revenue includes all sales recognized under long-term contracts for production, curtailment, capacity and associated renewable energy credits</w:t>
      </w:r>
      <w:r>
        <w:rPr>
          <w:rFonts w:ascii="Arial" w:cs="Arial" w:eastAsia="Arial" w:hAnsi="Arial"/>
          <w:sz w:val="16"/>
          <w:szCs w:val="16"/>
          <w:i w:val="1"/>
          <w:iCs w:val="1"/>
          <w:color w:val="auto"/>
        </w:rPr>
        <w:t xml:space="preserve"> </w:t>
      </w:r>
      <w:r>
        <w:rPr>
          <w:rFonts w:ascii="Arial" w:cs="Arial" w:eastAsia="Arial" w:hAnsi="Arial"/>
          <w:sz w:val="16"/>
          <w:szCs w:val="16"/>
          <w:color w:val="auto"/>
        </w:rPr>
        <w:t>from ALLETE Clean Energy wind energy facilities. Expiration dates of these PSAs range from 2018 through 2032. Performance obligations for these contracts are satisfied at the time energy is delivered to an agreed upon point, or production is curtailed at the request of the customer, at specified prices. Revenue from the sale of renewable energy credits is recognized at the same time the related energy is delivered to the customer when sold to the same party.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is the non-cash adjustments to revenue recognized by ALLETE Clean Energy for the amortization of differences between contract prices and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0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Water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Point-in-time </w:t>
      </w:r>
      <w:r>
        <w:rPr>
          <w:rFonts w:ascii="Arial" w:cs="Arial" w:eastAsia="Arial" w:hAnsi="Arial"/>
          <w:sz w:val="17"/>
          <w:szCs w:val="17"/>
          <w:color w:val="auto"/>
        </w:rPr>
        <w:t>revenue is recognized for purchases by customers for chemicals, consumable equipment (e.g. filters, pumps and valves) or related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repair services as the customer’s usage and needs change over time. These goods and services are purchased on an as-needed basis by the customers and therefore revenue can be variable. Products are shipped to the customer in accordance with the terms of the purchase order, and performance obligations are satisfied at the time of shipment of goods or when services are rendered to the customer.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Contract </w:t>
      </w:r>
      <w:r>
        <w:rPr>
          <w:rFonts w:ascii="Arial" w:cs="Arial" w:eastAsia="Arial" w:hAnsi="Arial"/>
          <w:sz w:val="18"/>
          <w:szCs w:val="18"/>
          <w:color w:val="auto"/>
        </w:rPr>
        <w:t>includes monthly revenue from contracts with customers to provide chemicals, consumable equipment and services to meet customer needs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contract period. As agreed with the customer, a fixed amount is invoiced based on the goods and services to be provided under the contract. The duration of these contracts generally range in length from three months to five years and automatically renew. A 30-day notice is required to terminate such contracts without penalty after contract execution. Performance obligations are satisfied during the period as goods and service are delivered in accordance with the terms of the contract.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Capital Project </w:t>
      </w:r>
      <w:r>
        <w:rPr>
          <w:rFonts w:ascii="Arial" w:cs="Arial" w:eastAsia="Arial" w:hAnsi="Arial"/>
          <w:sz w:val="18"/>
          <w:szCs w:val="18"/>
          <w:color w:val="auto"/>
        </w:rPr>
        <w:t>includes the sale of equipment and other components assembled to create a water treatment system for the customer. These projects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contracts at an agreed upon price to meet a customer's specifications and typically take less than one year to complete. In general, progress payments are received throughout the project period and are recorded as contract liabilities until performance obligations are satisfied at the time the equipment and other components are delivered to the customer’s site.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Long-term Contract </w:t>
      </w:r>
      <w:r>
        <w:rPr>
          <w:rFonts w:ascii="Arial" w:cs="Arial" w:eastAsia="Arial" w:hAnsi="Arial"/>
          <w:sz w:val="17"/>
          <w:szCs w:val="17"/>
          <w:color w:val="auto"/>
        </w:rPr>
        <w:t>encompasses the sale and delivery of coal to customer generation facilities. Revenue is recognized on a monthly basis at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plus a specified profit per ton of coal delivered to the customer. Coal sales are secured under long-term coal supply agreements extending through 2037. Performance obligations are satisfied during the period as coal is delivered to customer generation facilities.</w:t>
      </w:r>
    </w:p>
    <w:p>
      <w:pPr>
        <w:spacing w:after="0" w:line="179" w:lineRule="exact"/>
        <w:rPr>
          <w:sz w:val="20"/>
          <w:szCs w:val="20"/>
          <w:color w:val="auto"/>
        </w:rPr>
      </w:pPr>
    </w:p>
    <w:p>
      <w:pPr>
        <w:jc w:val="both"/>
        <w:ind w:right="20"/>
        <w:spacing w:after="0" w:line="232" w:lineRule="exact"/>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primarily includes revenue from BNI Energy unrelated to coal, the sale of real estate from ALLETE Properties, and non</w:t>
      </w:r>
      <w:r>
        <w:rPr>
          <w:rFonts w:ascii="MS PGothic" w:cs="MS PGothic" w:eastAsia="MS PGothic" w:hAnsi="MS PGothic"/>
          <w:sz w:val="17"/>
          <w:szCs w:val="17"/>
          <w:color w:val="auto"/>
        </w:rPr>
        <w:t>‑</w:t>
      </w:r>
      <w:r>
        <w:rPr>
          <w:rFonts w:ascii="Arial" w:cs="Arial" w:eastAsia="Arial" w:hAnsi="Arial"/>
          <w:sz w:val="17"/>
          <w:szCs w:val="17"/>
          <w:color w:val="auto"/>
        </w:rPr>
        <w:t>rate base steam generation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sold for use during production of paper and pulp. Performance obligations are satisfied when control transfers to the customer</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Payment terms and conditions vary across our businesses. Aside from taconite-producing Large Power Customers, payment terms generally require payment to be made within 15 to 30 days from the end of the period that the service has been rendered or goods provided. In the case of its taconite-producing Large Power Customers, as permitted by the MPUC, Minnesota Power requires weekly payments for electric usage based on monthly energy usage estimates. These customers receive estimated bills based on Minnesota Power’s estimate of the customers’ energy usage, forecasted energy prices and fuel adjustment clause estimates. Minnesota Power’s taconite-producing Large Power Customers have generally predictable energy usage on a weekly basis and any differences that occur are trued-up the following month. Due to the timing difference of revenue recognition from the timing of invoicing and payment, the customer receives credit for the time value of money; however, we have determined that our contracts do not include a significant financing component as the period between when we transfer the service to the customer and when they pay for such service is minimal.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Recognized From the Costs to Obtain a Contract with a Customer</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as an asset the incremental costs of obtaining a contract with a customer if we expect the benefit of those costs to be longer than one year. We expense incremental costs when the asset that would have resulted from capitalizing these costs would have been amortized in one year or less. As of June 30, 2018, we have $30.9 million of assets recognized for costs incurred to obtain contracts with our customers ($31.6 million as of December 31, 2017). Management determined the amount of costs to be recognized as assets based on actual costs incurred and paid to obtain and fulfill these contracts to provide goods and services to our customers. Assets recognized to obtain contracts are amortized on a straight-line basis over the contract term as a non-cash reduction to revenue. For the six months ended June 30, 2018, and 2017, we recognized $1.3 million of non-cash amortization.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0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Reclassification of Certain Tax Effects from Accumulated Other Comprehensive Income. </w:t>
      </w:r>
      <w:r>
        <w:rPr>
          <w:rFonts w:ascii="Arial" w:cs="Arial" w:eastAsia="Arial" w:hAnsi="Arial"/>
          <w:sz w:val="17"/>
          <w:szCs w:val="17"/>
          <w:color w:val="auto"/>
        </w:rPr>
        <w:t>In February 2018, the FASB issued an update allowing for a one-time reclassification from accumulated other comprehensive income to retained earnings for stranded tax effects resulting from the enactment of the TCJA. With the enactment of the new federal tax rates in 2017, entities were required to adjust deferred tax assets and liabilities to reflect the lower federal rate with the effect of this reduction impacting income from continuing operations in the period of enactment, even in instances where the related income tax effects of items were originally recognized in other comprehensive income. As such, companies were left with stranded tax effects in accumulated other comprehensive income that did not reflect the appropriate tax rate. This guidance is effective in the first quarter of 2019 with early adoption permitted. The Company elected to early adopt this guidance in the first quarter of 2018 which resulted in a reduction of $5.7 million to Accumulated Other Comprehensive Loss and a corresponding increase to Retained Earnings for the reclassification of the stranded income tax effects.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Improving the Presentation of Net Periodic Pension Cost and Net Periodic Postretirement Benefit Cost. </w:t>
      </w:r>
      <w:r>
        <w:rPr>
          <w:rFonts w:ascii="Arial" w:cs="Arial" w:eastAsia="Arial" w:hAnsi="Arial"/>
          <w:sz w:val="17"/>
          <w:szCs w:val="17"/>
          <w:color w:val="auto"/>
        </w:rPr>
        <w:t>In March 2017, the FASB issued an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update to improve the presentation of net periodic pension and postretirement benefit costs. Under the guidance, an entity is required to present the service cost component of the net periodic benefit cost in the same income statement line as other employee compensation costs arising from services rendered during the period. The guidance also allows only the service cost component of the periodic cost to be eligible for capitalization on a prospective basis. The other components of net periodic expense must be presented separately from the line item that includes the service cost and must be excluded from the operating income subtotal. The Company adopted the guidance in the first quarter of 2018 and retrospectively adjusted the presentation of the service cost component and the other components of net periodic costs in the Consolidated Statement of Income. The retrospective adjustments for the quarter and six months ended June 30, 2017, were as follows: Operating and Maintenance increased $1.0 million and $2.1 million, respectively, Cost of Sales – Non-utility remained unchanged and decreased $0.1 million, respectively, resulting in an increase of $1.0 million and $2.0 million, respectively to Other Income (Expense) – Other. There was no impact to net income as a result of adoption.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Financial Instruments</w:t>
      </w:r>
      <w:r>
        <w:rPr>
          <w:rFonts w:ascii="Arial" w:cs="Arial" w:eastAsia="Arial" w:hAnsi="Arial"/>
          <w:sz w:val="17"/>
          <w:szCs w:val="17"/>
          <w:color w:val="auto"/>
        </w:rPr>
        <w:t>. In 2016, the FASB issued an accounting standard update which requires entities to measure equity investments at fair value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any changes in fair value in net income unless the investments qualify for the practicability exception. The practicability exception will be available for equity investments that do not have readily determinable fair values. The update was adopted by the Company in the first quarter of 2018 which resulted in a cumulative-effect transition adjustment reducing Retained Earnings by $0.1 million, including the tax effect, for the previously unrealized loss on available-for-sale equity securities in Accumulated Other Comprehensive Loss as of December 31, 2017.</w:t>
      </w:r>
    </w:p>
    <w:p>
      <w:pPr>
        <w:spacing w:after="0" w:line="17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Classification of Certain Cash Receipts and Cash Payments. </w:t>
      </w:r>
      <w:r>
        <w:rPr>
          <w:rFonts w:ascii="Arial" w:cs="Arial" w:eastAsia="Arial" w:hAnsi="Arial"/>
          <w:sz w:val="17"/>
          <w:szCs w:val="17"/>
          <w:color w:val="auto"/>
        </w:rPr>
        <w:t>In 2016, the FASB issued an accounting standard update which addressed the following eight</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cash flow issues: debt prepayment or debt extinguishment costs; settlement of zero</w:t>
      </w:r>
      <w:r>
        <w:rPr>
          <w:rFonts w:ascii="MS PGothic" w:cs="MS PGothic" w:eastAsia="MS PGothic" w:hAnsi="MS PGothic"/>
          <w:sz w:val="17"/>
          <w:szCs w:val="17"/>
          <w:color w:val="auto"/>
        </w:rPr>
        <w:t>‑</w:t>
      </w:r>
      <w:r>
        <w:rPr>
          <w:rFonts w:ascii="Arial" w:cs="Arial" w:eastAsia="Arial" w:hAnsi="Arial"/>
          <w:sz w:val="17"/>
          <w:szCs w:val="17"/>
          <w:color w:val="auto"/>
        </w:rPr>
        <w:t>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amendments of this update were adopted by the Company in the first quarter of 2018. There was no impact to the Consolidated Statement of Cash Flows as a result of adoption.</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Statement of Cash Flows: Restricted Cash. </w:t>
      </w:r>
      <w:r>
        <w:rPr>
          <w:rFonts w:ascii="Arial" w:cs="Arial" w:eastAsia="Arial" w:hAnsi="Arial"/>
          <w:sz w:val="16"/>
          <w:szCs w:val="16"/>
          <w:color w:val="auto"/>
        </w:rPr>
        <w:t>In 2016, the FASB issued an accounting standard update related to the presentation of restricted cash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Consolidated Statement of Cash Flows. The update requires that the Consolidated Statement of Cash Flows explain the change during the period in cash, cash equivalents and restricted cash. Restricted cash should be included with cash and cash equivalents when reconciling the beginning-of-period and end-of-period total amounts shown on the Consolidated Statement of Cash Flows. This guidance update was adopted by the Company in the first quarter of 2018 and was applied retrospectively to the periods presented in the Consolidated Statement of Cash Flows which resulted in a net increase in cash from financing activities of $1.5 million for the six months ended June 30, 2017. Additional disclosure, including a reconciliation of the beginning-of-period and end-of-period cash on hand to the statement of cash flows, is included in this note. (See </w:t>
      </w:r>
      <w:r>
        <w:rPr>
          <w:rFonts w:ascii="Arial" w:cs="Arial" w:eastAsia="Arial" w:hAnsi="Arial"/>
          <w:sz w:val="16"/>
          <w:szCs w:val="16"/>
          <w:i w:val="1"/>
          <w:iCs w:val="1"/>
          <w:color w:val="auto"/>
        </w:rPr>
        <w:t>Cash, Cash Equivalents and Restricted Cash</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04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2014, the FASB issued amended revenue recognition guidance that clarifies the principles for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by providing a single comprehensive model to determine the measurement of revenue and timing of recognition. The guidance requires an entity to recognize revenue in a manner that depicts the transfer of goods or services to customers in an amount that reflects the consideration to which an entity expects to be entitled to in exchange for those goods or services. The guidance requires expanded disclosures relating to the nature, amount, timing, and uncertainty of revenue and cash flows arising from contracts with customers. Additionally, qualitative and quantitative disclosures regarding customer contracts, significant judgments and changes in those judgments, and the assets recognized from the costs to obtain or fulfill a contract are required. The Company adopted this accounting guidance in the first quarter of 2018 and elected to apply the modified retrospective method of adoption to all contracts as of the date of initial application. The financial impact to the consolidated financial statements as a result of adoption of the new standard is immaterial. Based on the nature of the contracts with our customers and our related performance obligations which transfer control, a $0.5 million after-tax cumulative</w:t>
      </w:r>
      <w:r>
        <w:rPr>
          <w:rFonts w:ascii="MS PGothic" w:cs="MS PGothic" w:eastAsia="MS PGothic" w:hAnsi="MS PGothic"/>
          <w:sz w:val="17"/>
          <w:szCs w:val="17"/>
          <w:color w:val="auto"/>
        </w:rPr>
        <w:t>‑</w:t>
      </w:r>
      <w:r>
        <w:rPr>
          <w:rFonts w:ascii="Arial" w:cs="Arial" w:eastAsia="Arial" w:hAnsi="Arial"/>
          <w:sz w:val="17"/>
          <w:szCs w:val="17"/>
          <w:color w:val="auto"/>
        </w:rPr>
        <w:t xml:space="preserve">effect transition adjustment was made to increase the opening balance of Retained Earnings. We have included additional disclosures in the notes to the consolidated financial statements including additional information on the Company’s revenue streams and related performance obligations required to be satisfied in order to recognize revenue. (See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practical expedients were used by the Company as part of the adoption of the new revenue recognition guidance:</w:t>
      </w:r>
    </w:p>
    <w:p>
      <w:pPr>
        <w:spacing w:after="0" w:line="23" w:lineRule="exact"/>
        <w:rPr>
          <w:sz w:val="20"/>
          <w:szCs w:val="20"/>
          <w:color w:val="auto"/>
        </w:rPr>
      </w:pPr>
    </w:p>
    <w:p>
      <w:pPr>
        <w:ind w:left="660" w:hanging="328"/>
        <w:spacing w:after="0" w:line="250"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We have a right to consideration from our customers in an amount that corresponds directly with the value to such customer for performance completed to date; therefore, we may recognize revenue in the amount to which we have a right to invoice.</w:t>
      </w: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adjust the promised amount of consideration for the effects of a significant financing component as at contract inception we expect that the period between when we transfer a promised good or service to a customer and when the customer pays for that good or service will be one year or less.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 applicable, we adopted this guidance using the portfolio approach in which contracts that have similar characteristics were reviewed as a portfolio. The effects on the financial statements of applying this guidance to the portfolio would not differ materially from applying the guidance to each individual contract.</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recognize the incremental costs of obtaining a contract as an expense when incurred if the amortization period of the asset that would otherwise have been recognized is one year or 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Simplifying the Test for Goodwill Impairmen</w:t>
      </w:r>
      <w:r>
        <w:rPr>
          <w:rFonts w:ascii="Arial" w:cs="Arial" w:eastAsia="Arial" w:hAnsi="Arial"/>
          <w:sz w:val="18"/>
          <w:szCs w:val="18"/>
          <w:color w:val="auto"/>
        </w:rPr>
        <w:t>t. In January 2017, the FASB issued updated guidance which simplifies the measurement of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by removing step two of the goodwill impairment test that requires the determination of the fair value of individual assets and liabilities of a reporting unit. The updated guidance requires goodwill impairment to be measured as the amount by which a reporting unit’s carrying value exceeds its fair value; however, the loss recognized should not exceed the total amount of goodwill allocated to that reporting unit. This guidance is effective for the Company beginning in the first quarter of 2020, with early adoption permitted on a prospective basis.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2016, the FASB issued an accounting standard update which revises the existing guidance for leases. Under the revised guidance, lessees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new guidance. We expect to make approximately $80 million in minimum lease payments due in future years (undiscounted). The revised guidance is effective for the Company beginning in the first quarter of 2019 with early adoption permitted. We are currently evaluating the impact of the revised lease guidance on our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04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Under SEC Staff Accounting Bulletin 118 (SAB 118), which was issued in December 2017, companies are allowed up to one year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the required analyses and accounting for the TCJA. SAB 118 requires companies to disclose which tax positions are considered complete, which tax positions are considered provisional and which tax provisions reflect prior law. At December 31, 2017, we were reasonably able to estimate the effects of the TCJA, and therefore recorded provisional amounts associated with the changes under the TCJA. The provisional amounts incorporate assumptions made based upon the Company’s interpretation of the TCJA, and may change as the Company receives additional clarification and implementation guidance. We have not made any adjustments to our accounting to date, although the accounting is still considered provisional while we complete our analysis. Any adjustments recorded to the provisional amounts in 2018 will be included in income from operations as an adjustment to income tax expense.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June 30, 2018, the investment portfolio included the legacy real estate assets of ALLETE Properties, debt and equity securities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securities held in other postretirement plans to fund employee benefits, the cash equivalents within these plans and other assets consisting primarily of land in Minnesota.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3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3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6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(a)</w:t>
            </w:r>
          </w:p>
        </w:tc>
        <w:tc>
          <w:tcPr>
            <w:tcW w:w="4300" w:type="dxa"/>
            <w:vAlign w:val="bottom"/>
          </w:tcPr>
          <w:p>
            <w:pPr>
              <w:jc w:val="right"/>
              <w:ind w:right="210"/>
              <w:spacing w:after="0"/>
              <w:rPr>
                <w:sz w:val="20"/>
                <w:szCs w:val="20"/>
                <w:color w:val="auto"/>
              </w:rPr>
            </w:pPr>
            <w:r>
              <w:rPr>
                <w:rFonts w:ascii="Arial" w:cs="Arial" w:eastAsia="Arial" w:hAnsi="Arial"/>
                <w:sz w:val="18"/>
                <w:szCs w:val="18"/>
                <w:color w:val="auto"/>
              </w:rPr>
              <w:t>21.4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56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430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6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$52.5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0"/>
        </w:trPr>
        <w:tc>
          <w:tcPr>
            <w:tcW w:w="56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As of June 30, 2018, the aggregate amount of available-for-sale corporate and governmental debt securities maturing in one year or less was $1.1 million, in one year to less than three years was $3.9 million, in three years to less than five years was $2.5 million and in five or more years was $1.1 million.</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We account for our available-for-sale securities portfolio in accordance with the guidance for certain investments in debt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equity securities. Our available-for-sale securities portfolio consisted primarily of securities held in other postretirement plans to fund employee benefits. Gross realized and unrealized gains and losses on our available-for-sale securities were immaterial for the quarter and six months ended June 30, 2018, and 2017.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acquisition is consistent with ALLETE’s stated strategy of investing in energy infrastructure and related services businesses to complement its regulated businesses, balance exposure to business cycles and changing demand, and provide potential long-term earnings growth. The pro forma impact of the following acquisitions was not significant, either individually or in the aggregate, to the results of the Company for the six months ended June 30, 2018, and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Tonka Water. </w:t>
      </w:r>
      <w:r>
        <w:rPr>
          <w:rFonts w:ascii="Arial" w:cs="Arial" w:eastAsia="Arial" w:hAnsi="Arial"/>
          <w:sz w:val="18"/>
          <w:szCs w:val="18"/>
          <w:color w:val="auto"/>
        </w:rPr>
        <w:t>In September 2017, U.S. Water Services acquired 100 percent of Tonka Water. Total consideration for the transaction was $19.2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working capital adjustment. Consideration of $19.0 million was paid in cash on the acquisition date and a working capital adjustment of $0.2 million was paid in the fourth quarter of 2017. Tonka Water is a supplier of municipal and industrial water treatment systems and will expand U.S. Water Services’ geographic and customer markets.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04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2018, is reflected in the following table. Fair value measurements were valued primarily using the discounted cash flow method and replacement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 Acquired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52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7"/>
        </w:trPr>
        <w:tc>
          <w:tcPr>
            <w:tcW w:w="684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 xml:space="preserve">Trade Names </w:t>
            </w:r>
            <w:r>
              <w:rPr>
                <w:rFonts w:ascii="Arial" w:cs="Arial" w:eastAsia="Arial" w:hAnsi="Arial"/>
                <w:sz w:val="16"/>
                <w:szCs w:val="16"/>
                <w:i w:val="1"/>
                <w:iCs w:val="1"/>
                <w:color w:val="auto"/>
              </w:rPr>
              <w:t>(a)</w:t>
            </w:r>
          </w:p>
        </w:tc>
        <w:tc>
          <w:tcPr>
            <w:tcW w:w="452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7"/>
        </w:trPr>
        <w:tc>
          <w:tcPr>
            <w:tcW w:w="684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52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68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69"/>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r>
      <w:tr>
        <w:trPr>
          <w:trHeight w:val="237"/>
        </w:trPr>
        <w:tc>
          <w:tcPr>
            <w:tcW w:w="6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Liabilities Assumed</w:t>
            </w:r>
          </w:p>
        </w:tc>
        <w:tc>
          <w:tcPr>
            <w:tcW w:w="4520" w:type="dxa"/>
            <w:vAlign w:val="bottom"/>
            <w:tcBorders>
              <w:top w:val="single" w:sz="8" w:color="auto"/>
            </w:tcBorders>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37"/>
        </w:trPr>
        <w:tc>
          <w:tcPr>
            <w:tcW w:w="68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Liabilities Assumed</w:t>
            </w:r>
          </w:p>
        </w:tc>
        <w:tc>
          <w:tcPr>
            <w:tcW w:w="4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27"/>
        </w:trPr>
        <w:tc>
          <w:tcPr>
            <w:tcW w:w="68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Identifiable Assets Acquired</w:t>
            </w:r>
          </w:p>
        </w:tc>
        <w:tc>
          <w:tcPr>
            <w:tcW w:w="4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r>
      <w:tr>
        <w:trPr>
          <w:trHeight w:val="20"/>
        </w:trPr>
        <w:tc>
          <w:tcPr>
            <w:tcW w:w="684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4. Goodwill and Intangible Assets.)</w:t>
      </w:r>
    </w:p>
    <w:p>
      <w:pPr>
        <w:spacing w:after="0" w:line="22" w:lineRule="exact"/>
        <w:rPr>
          <w:rFonts w:ascii="Arial" w:cs="Arial" w:eastAsia="Arial" w:hAnsi="Arial"/>
          <w:sz w:val="16"/>
          <w:szCs w:val="16"/>
          <w:i w:val="1"/>
          <w:iCs w:val="1"/>
          <w:color w:val="auto"/>
        </w:rPr>
      </w:pPr>
    </w:p>
    <w:p>
      <w:pPr>
        <w:ind w:left="340" w:hanging="332"/>
        <w:spacing w:after="0" w:line="270"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Recognized goodwill is attributable to the assembled workforce and anticipated synergies. For tax purposes, the purchase price allocation resulted in $4.1 million of deductible goodwill.</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immaterial, expensed as incurred during 2017 and recorded in Operating and Maintenance on the Consolidated Statement of Income.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carrying amount of goodwill was $148.5 million as of June 30, 2018, and $148.3 million as of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Balances of intangible assets, net, excluding goodwill as of June 30, 2018,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6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240" w:type="dxa"/>
            <w:vAlign w:val="bottom"/>
          </w:tcPr>
          <w:p>
            <w:pPr>
              <w:spacing w:after="0"/>
              <w:rPr>
                <w:sz w:val="20"/>
                <w:szCs w:val="20"/>
                <w:color w:val="auto"/>
              </w:rPr>
            </w:pPr>
          </w:p>
        </w:tc>
        <w:tc>
          <w:tcPr>
            <w:tcW w:w="26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Additions</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Amortization</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4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2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$54.7</w:t>
            </w:r>
          </w:p>
        </w:tc>
        <w:tc>
          <w:tcPr>
            <w:tcW w:w="1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266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(0.6)</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61.0</w:t>
            </w:r>
          </w:p>
        </w:tc>
        <w:tc>
          <w:tcPr>
            <w:tcW w:w="1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(2.7)</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2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16.6</w:t>
            </w:r>
          </w:p>
        </w:tc>
        <w:tc>
          <w:tcPr>
            <w:tcW w:w="1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26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$77.6</w:t>
            </w:r>
          </w:p>
        </w:tc>
        <w:tc>
          <w:tcPr>
            <w:tcW w:w="15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$2.4</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$(2.7)</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Developed Technology and Other includes patents, non-compete agreements, land easements and trade names with finite lives.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20 years, and developed technology and other have remaining useful lives ranging from approximately 1 year to approximately 11 years (weighted average of approximately 6 years). The weighted average remaining useful life of all definite-lived intangible assets as of June 30, 2018, is approximately 18 years.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03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4. GOODWILL AND INTANGIBLE ASSETS (Continued)</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Amortization expense for intangible assets was $1.3 million and $2.7 million for the quarter and six months ended June 30, 2018, respectively ($1.4 million and $2.8 million for the quarter and six months ended June 30, 2017, respectively). Accumulated amortization was $17.5 million as of June 30, 2018 ($14.8 million as of December 31, 2017). The estimated amortization expense for definite-lived intangible assets for the remainder of 2018 is $2.8 million. Estimated annual amortization expense for 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is $5.2 million in 2019, $5.0 million in 2020, $4.9 million in 2021, $4.6 million in 2022 and $38.2 million thereafter.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2017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June 30, 2018, and December 31, 2017.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5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2"/>
              </w:rPr>
              <w:t>Fair Value as of June 30, 2018</w:t>
            </w:r>
          </w:p>
        </w:tc>
        <w:tc>
          <w:tcPr>
            <w:tcW w:w="90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$8.6</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6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$8.6</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r>
      <w:tr>
        <w:trPr>
          <w:trHeight w:val="27"/>
        </w:trPr>
        <w:tc>
          <w:tcPr>
            <w:tcW w:w="6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61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$20.5</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U.S. Water Services Contingent Consideration </w:t>
            </w:r>
            <w:r>
              <w:rPr>
                <w:rFonts w:ascii="Arial" w:cs="Arial" w:eastAsia="Arial" w:hAnsi="Arial"/>
                <w:sz w:val="16"/>
                <w:szCs w:val="16"/>
                <w:i w:val="1"/>
                <w:iCs w:val="1"/>
                <w:color w:val="auto"/>
              </w:rPr>
              <w:t>(c)</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$20.5</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$(11.9)</w:t>
            </w:r>
          </w:p>
        </w:tc>
        <w:tc>
          <w:tcPr>
            <w:tcW w:w="11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$(5.6)</w:t>
            </w:r>
          </w:p>
        </w:tc>
        <w:tc>
          <w:tcPr>
            <w:tcW w:w="9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Current Liabilities on the 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20"/>
          </w:cols>
          <w:pgMar w:left="240" w:top="104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59"/>
        </w:trPr>
        <w:tc>
          <w:tcPr>
            <w:tcW w:w="6160" w:type="dxa"/>
            <w:vAlign w:val="bottom"/>
          </w:tcPr>
          <w:p>
            <w:pPr>
              <w:spacing w:after="0"/>
              <w:rPr>
                <w:sz w:val="24"/>
                <w:szCs w:val="24"/>
                <w:color w:val="auto"/>
              </w:rPr>
            </w:pPr>
          </w:p>
        </w:tc>
        <w:tc>
          <w:tcPr>
            <w:tcW w:w="444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December 31, 2017</w:t>
            </w:r>
          </w:p>
        </w:tc>
        <w:tc>
          <w:tcPr>
            <w:tcW w:w="800" w:type="dxa"/>
            <w:vAlign w:val="bottom"/>
          </w:tcPr>
          <w:p>
            <w:pPr>
              <w:spacing w:after="0"/>
              <w:rPr>
                <w:sz w:val="24"/>
                <w:szCs w:val="24"/>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$8.9</w:t>
            </w:r>
          </w:p>
        </w:tc>
        <w:tc>
          <w:tcPr>
            <w:tcW w:w="13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6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$5.4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6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$5.4</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$(9.3)</w:t>
            </w:r>
          </w:p>
        </w:tc>
        <w:tc>
          <w:tcPr>
            <w:tcW w:w="13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$(5.4)</w:t>
            </w: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7"/>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Level 3 liability in the preceding tables is the result of the 2015 acquisition of U.S. Water Services. Changes in the U.S. Water Services Contingent Consideration can result from modifications to the shareholder agreement, changes in discount rates, timing of milestones that trigger payment, or the timing and amount of earnings estimates. The following table provides a reconciliation of the beginning and ending balances of the U.S. Water Services Contingent Consideration measured at fair value using Level 3 measurements as of June 30, 2018. Management analyzes the fair value of the contingent liability on a quarterly basis and makes adjustments as appropriate.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wp:posOffset>
            </wp:positionV>
            <wp:extent cx="720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66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4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46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67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2018</w:t>
            </w:r>
          </w:p>
        </w:tc>
        <w:tc>
          <w:tcPr>
            <w:tcW w:w="4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0"/>
        </w:trPr>
        <w:tc>
          <w:tcPr>
            <w:tcW w:w="6700" w:type="dxa"/>
            <w:vAlign w:val="bottom"/>
            <w:shd w:val="clear" w:color="auto" w:fill="000000"/>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2018, and the year ended December 31, 2017, there were no transfers in or out of Levels 1, 2 or 3.</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June 30, 2018</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$1,528.8</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$1,572.8</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2017</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$1,513.3</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$1,627.6</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land inventory, and property, plant and equipment are measured at fair value when there is an indicator of impairment and recorded at fair value only when an impairment is recognized. For the quarter and six months ended June 30, 2018, and the year ended December 31, 2017, there were no triggering events or indicators of impairment for these non-financial assets.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20"/>
          </w:cols>
          <w:pgMar w:left="240" w:top="1040"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REGULATORY MATTERS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Regulatory matters are summarized in Note 4. Regulatory Matters to our Consolidated Financial Statements in our 2017 Form 10</w:t>
      </w:r>
      <w:r>
        <w:rPr>
          <w:rFonts w:ascii="MS PGothic" w:cs="MS PGothic" w:eastAsia="MS PGothic" w:hAnsi="MS PGothic"/>
          <w:sz w:val="18"/>
          <w:szCs w:val="18"/>
          <w:color w:val="auto"/>
        </w:rPr>
        <w:t>‑</w:t>
      </w:r>
      <w:r>
        <w:rPr>
          <w:rFonts w:ascii="Arial" w:cs="Arial" w:eastAsia="Arial" w:hAnsi="Arial"/>
          <w:sz w:val="18"/>
          <w:szCs w:val="18"/>
          <w:color w:val="auto"/>
        </w:rPr>
        <w:t>K, with additional disclosure provided in the following paragraphs.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MPUC, Minnesota Power also recognizes revenue under cost recovery riders for transmission, renewable, and environmental investments and expenditures. (See </w:t>
      </w:r>
      <w:r>
        <w:rPr>
          <w:rFonts w:ascii="Arial" w:cs="Arial" w:eastAsia="Arial" w:hAnsi="Arial"/>
          <w:sz w:val="18"/>
          <w:szCs w:val="18"/>
          <w:i w:val="1"/>
          <w:iCs w:val="1"/>
          <w:color w:val="auto"/>
        </w:rPr>
        <w:t>Transmission Cost Recovery Rider, Renewable Cost Recovery Rider</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Revenue from cost recovery riders was $28.0 million and $52.1 million for the quarter and six months ended June 30, 2018, respectively ($24.4 million and $48.6 million for the quarter and six months ended June 30, 2017, respectively).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which sought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9 percent for retail customers. The rate filing sought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in January 2017.</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2017, Minnesota Power filed an additional request to further reduce its requested interim rate increase. In an April 2017 order, the MPUC approved Minnesota Power’s updated retail rate request resulting in a reduction in the annual interim rate increase to $32.2 million beginning in May 2017. As a result of working with intervenors and further developments as the rate review progressed, Minnesota Power’s final rate request was adjusted to approximately $49 million on an annualized basis. In an order dated March 12, 2018, the MPUC affirmed determinations made at a hearing on January 18, 2018, regarding Minnesota Power’s general rate case including allowing a return on common equity of 9.25 percent and a 53.81 percent equity ratio. Upon commencement of final rates, we expect additional revenue of approximately $13 million on an annualized basis. Final rates are expected to commence in the fourth quarter of 2018; interim rates will be collected through this period which are fully offset by the recognition of a corresponding reserve. Minnesota Power has recorded a reserve for an interim rate refund of $49.2 million as of June 30, 2018 ($32.3 million as of December 31, 2017). The MPUC also disallowed Minnesota Power’s regulatory asset for deferred fuel adjustment clause costs due to the anticipated adoption of a forward-looking fuel adjustment clause methodology resulting in a $19.5 million pre-tax charge to Fuel, Purchased Power and Gas – Utility in the fourth quarter of 2017.</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decision in Minnesota Power’s 2016 general rate case, the MPUC extended the depreciable lives of Boswell Unit 3, Unit 4 and common facilities to 2050 primarily to mitigate rate increases for our customers, and shortened the depreciable lives of Boswell Unit 1 and Unit 2 to 2022, resulting in a net decrease to depreciation expense of approximately $25 million in the fourth quarter of 2017.</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2, 2018, Minnesota Power filed a petition with the MPUC requesting reconsideration of certain decisions in the MPUC’s order dated March 12, 2018, collectively representing approximately $20 million to $25 million in additional revenue on an annualized basis. Minnesota Power’s petition included requesting reconsideration of the allowed return on common equity, recovery of the prepaid pension asset in rate base, certain disallowed expenses, and certain transmission revenue adjustments. In an order dated May 29, 2018, the MPUC denied Minnesota Power’s petition for reconsideration and accepted a Minnesota Department of Commerce request for reconsideration reducing the depreciable lives of Boswell Unit 3, Unit 4 and common facilities to 2035 while utilizing the benefits of the lower federal income tax rate enacted as part of the TCJA to mitigate the impact on customer rates.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Energy-Intensive Trade-Exposed Customer Rates. </w:t>
      </w:r>
      <w:r>
        <w:rPr>
          <w:rFonts w:ascii="Arial" w:cs="Arial" w:eastAsia="Arial" w:hAnsi="Arial"/>
          <w:sz w:val="18"/>
          <w:szCs w:val="18"/>
          <w:color w:val="auto"/>
        </w:rPr>
        <w:t>An EITE customer ratemaking law was enacted in 2015, which established a Minnesota energy policy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In June 2016, Minnesota Power filed a revised EITE petition with the MPUC which included additional information on the net benefits analysis, limits on eligible customers and term lengths for the EITE discount. The rate adjustments were intended to be revenue and cash flow neutral to Minnesota Power. The MPUC approved a reduction in rates for EITE customers in a December 2016 order and subsequently approved cost recovery in an April 2017 order; collection of the discount was subject to the MPUC’s review of Minnesota Power’s compliance filing implementing approval of a recovery mechanism, with the subsequent order issued in October 2017 that modified the April 2017 order. During 2017, Minnesota Power provided discounts of $8.6 million that were recorded as a regulatory asset.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40" w:top="103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2017, Minnesota Power informed its EITE customers that it had suspended the EITE discount due to a concern that it was not revenue and cash flow neutral to Minnesota Power based on an MPUC decision at a hearing in September 2017, as well as the interim rate reduction and decisions in its 2016 general rate case. Based on the MPUC’s decisions at a hearing on January 18, 2018, as part of Minnesota Power’s 2016 general rate case, Minnesota Power reinstated the EITE discount effective January 1, 2018. Minnesota Power expects the discount to EITE customers to be approximately $15 million annually based on EITE customer current operating levels. While interim rates are in effect for Minnesota Power’s 2016 general rate case, discounts provided to EITE customers will offset interim rate refund reserves for non-EITE customers. Minnesota Power provided $3.8 million and $8.1 million of discounts to EITE customers during the quarter and six months ended June 30, 2018, respectively ($3.6 million and $5.9 million for the quarter and six months ended June 30, 2017,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16 non-affiliated municipal customers in Minnesota. SWL&amp;P is a Wisconsin utility and a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of Minnesota Power. All wholesale contracts include a termination clause requiring a three-year notice to terminate.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wholesale electric contract with the Nashwauk Public Utilities Commission is effective through at least December 31, 2032. No termination notice may be given for this contract prior to July 1, 2029. The wholesale electric service contracts with SWL&amp;P and another municipal customer are effective through at least August 31, 2021, and through June 30, 2019, respectively. Under the agreement with SWL&amp;P, no termination notice has been given. The other municipal customer provided termination notice for its contract in 2016. Minnesota Power currently provides approximately 29 MW of average monthly demand to this customer. The rates included in these three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wholesale electric contracts with 14 municipal customers are effective through varying dates ranging from 2024 through 2029 with a majority effective through at least December 31, 2024. No termination notices may be given prior to three years before maturity. These contracts include fixed capacity charges through 2018; beginning in 2019, the capacity charge will be determined using a cost-based formula methodology with limits on the annual change from the previous year’s capacity charge. The base energy charge for each year of the contract term will be set each January 1, subject to monthly adjustment, and will also be determined using a cost-based formula methodology.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for certain transmission investments and expenditures. In a 2016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order, the MPUC approved Minnesota Power’s updated customer billing rates allowing Minnesota Power to charge retail customers on a current basis for the costs of constructing certain transmission facilities plus a return on the capital invested. As a result of the MPUC approval of the certificate of need for the GNTL in 2015, the project is eligible for cost recovery under the existing transmission cost recovery rider. Minnesota Power is funding the construction of the GNTL with a subsidiary of Manitoba Hydro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 and anticipates including its portion of the investments and expenditures for the GNTL in future transmission bill factor filings.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for investments and expenditures related to Bison. The cost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rider allows Minnesota Power to charge retail customers on a current basis for the costs of certain renewable investments plus a return on the capital invested. Updated customer billing rates for the renewable cost recovery rider were approved by the MPUC in a November 2017 order. On June 5, 2018, Minnesota Power made a renewable resources factor filing. Upon approval of the filing, Minnesota Power will be authorized to include updated billing rates on customer bills.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Minnesota Power also has approval for current cost recovery of investments and expenditures related to compliance with the Minnesota Solar Energy Standard. (See </w:t>
      </w:r>
      <w:r>
        <w:rPr>
          <w:rFonts w:ascii="Arial" w:cs="Arial" w:eastAsia="Arial" w:hAnsi="Arial"/>
          <w:sz w:val="18"/>
          <w:szCs w:val="18"/>
          <w:i w:val="1"/>
          <w:iCs w:val="1"/>
          <w:color w:val="auto"/>
        </w:rPr>
        <w:t>Minnesota Solar Energy Standard.</w:t>
      </w:r>
      <w:r>
        <w:rPr>
          <w:rFonts w:ascii="Arial" w:cs="Arial" w:eastAsia="Arial" w:hAnsi="Arial"/>
          <w:sz w:val="18"/>
          <w:szCs w:val="18"/>
          <w:color w:val="auto"/>
        </w:rPr>
        <w:t>) Currently, there is no approved customer billing rate for solar costs.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Environmental Improvement Rider</w:t>
      </w:r>
      <w:r>
        <w:rPr>
          <w:rFonts w:ascii="Arial" w:cs="Arial" w:eastAsia="Arial" w:hAnsi="Arial"/>
          <w:sz w:val="17"/>
          <w:szCs w:val="17"/>
          <w:color w:val="auto"/>
        </w:rPr>
        <w:t>. Minnesota Power has an approved environmental improvement rider for investments and expenditures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of the Boswell Unit 4 mercury emissions reduction plan completed in 2015. Updated customer billing rates for the environmental improvement rider were provisionally approved by the MPUC in an order dated June 20, 2018, subject to further review by the MPUC.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104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Fuel Adjustment Clause Reform</w:t>
      </w:r>
      <w:r>
        <w:rPr>
          <w:rFonts w:ascii="Arial" w:cs="Arial" w:eastAsia="Arial" w:hAnsi="Arial"/>
          <w:sz w:val="18"/>
          <w:szCs w:val="18"/>
          <w:color w:val="auto"/>
        </w:rPr>
        <w:t>. In a December 2017 order, the MPUC adopted a three-year program to implement certain procedural reforms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utilities’ automatic fuel adjustment clause (FAC) for fuel and purchased power. The order will change the method of accounting for all Minnesota electric utilities to a monthly budgeted, forward-looking FAC with an annual prudence review and true-up to actual allowed costs. The MPUC is seeking input from Minnesota electric utilities and other stakeholders on the implementation and transition accounting needed to adopt the change. The three-year program is expected to begin in 2019.</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Tax Cuts and Jobs Act of 2017</w:t>
      </w:r>
      <w:r>
        <w:rPr>
          <w:rFonts w:ascii="Arial" w:cs="Arial" w:eastAsia="Arial" w:hAnsi="Arial"/>
          <w:sz w:val="16"/>
          <w:szCs w:val="16"/>
          <w:color w:val="auto"/>
        </w:rPr>
        <w:t>. In December 2017, the MPUC opened a docket to review the effects of the TCJA on electric and natural gas rates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in Minnesota, including the legislation’s impact on tax rates and utilities’ deferred income tax assets and liabilities. On March 2, 2018, Minnesota Power submitted an initial filing to the MPUC regarding the impacts of the TCJA on Minnesota Power. As part of Minnesota Power’s rate case, in an order dated May 29, 2018, the MPUC directed Minnesota Power to utilize the benefits of lower federal income tax rates enacted as part of the TCJA to offset a reduction in the depreciable lives of Boswell Unit 3, Unit 4 and common facilities to 2035 that would have otherwise resulted in an increase in customer rates. The treatment of the impact of the TCJA on Minnesota Power’s deferred income tax assets and liabilities is still subject to this regulatory proceeding.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On January 10, 2018, the PSCW opened a docket to review the effects of the TCJA and directed Wisconsin utilities to defer its impacts until further direction was provided by the PSCW. On February 9, 2018, SWL&amp;P filed comments with the PSCW regarding the impacts of the TCJA on SWL&amp;P. In this filing, SWL&amp;P proposed deferring the benefits of the TCJA and incorporating any deferred refunds or credits into its next general rate case. In an order dated May 24, 2018, the PSCW directed SWL&amp;P to refund the benefits of the lower federal income tax rates enacted as part of the TCJA on customer bills beginning in July 2018. Any changes in deferred income taxes will be adjusted as part of SWL&amp;P’s rate filing. (See </w:t>
      </w:r>
      <w:r>
        <w:rPr>
          <w:rFonts w:ascii="Arial" w:cs="Arial" w:eastAsia="Arial" w:hAnsi="Arial"/>
          <w:sz w:val="16"/>
          <w:szCs w:val="16"/>
          <w:i w:val="1"/>
          <w:iCs w:val="1"/>
          <w:color w:val="auto"/>
        </w:rPr>
        <w:t>2018 Wisconsin General Rate Case.</w:t>
      </w:r>
      <w:r>
        <w:rPr>
          <w:rFonts w:ascii="Arial" w:cs="Arial" w:eastAsia="Arial" w:hAnsi="Arial"/>
          <w:sz w:val="16"/>
          <w:szCs w:val="16"/>
          <w:color w:val="auto"/>
        </w:rPr>
        <w: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recorded the impact of the remeasurement of deferred income tax assets and liabilities in 2017 resulting from the TCJA for Minnesota Power and SWL&amp;P as regulatory assets and liabilities as the benefits are deferred pending the outcome of regulatory proceedings. Most of the benefits for Minnesota Power and SWL&amp;P are expected to be passed back to customers over time primarily based upon the normalization provisions of the U.S. Internal Revenue Code over the life of the related property, plant and equipment with the remainder expected to be passed back based upon the outcome of regulatory proceedings. We are unable to predict the outcome of these regulatory proceedings.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2017 PSCW retail rate order effective since August 2017 that allows for a</w:t>
      </w:r>
      <w:r>
        <w:rPr>
          <w:rFonts w:ascii="Arial" w:cs="Arial" w:eastAsia="Arial" w:hAnsi="Arial"/>
          <w:sz w:val="18"/>
          <w:szCs w:val="18"/>
          <w:i w:val="1"/>
          <w:iCs w:val="1"/>
          <w:color w:val="auto"/>
        </w:rPr>
        <w:t xml:space="preserve"> </w:t>
      </w:r>
      <w:r>
        <w:rPr>
          <w:rFonts w:ascii="Arial" w:cs="Arial" w:eastAsia="Arial" w:hAnsi="Arial"/>
          <w:sz w:val="18"/>
          <w:szCs w:val="18"/>
          <w:color w:val="auto"/>
        </w:rPr>
        <w:t>10.5 percent return on common equity and a 55 percent equity ratio. SWL&amp;P’s retail rates prior to August 2017 were based on a 2012 PSCW retail rate order that provided for a 10.9 percent return on equity. On an annualized basis, SWL&amp;P expects to collect additional revenue of $2.5 million under the 2017 PSCW retail rate order.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On May 25, 2018, SWL&amp;P filed a rate increase request with the PSCW requesting an average increase of 2.7 percent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customers (2.0 percent increase in electric rates; 2.3 percent increase in natural gas rates; and 8.3 percent increase in water rates). The filing seeks an overall return on equity of 10.5 percent and a 55.41 percent equity ratio. On an annualized basis, this filing is expected to result in additional revenue of approximately $2.4 million.</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Integrated Resource Plan. </w:t>
      </w:r>
      <w:r>
        <w:rPr>
          <w:rFonts w:ascii="Arial" w:cs="Arial" w:eastAsia="Arial" w:hAnsi="Arial"/>
          <w:sz w:val="16"/>
          <w:szCs w:val="16"/>
          <w:color w:val="auto"/>
        </w:rPr>
        <w:t>In 2015, Minnesota Power filed its 2015 IRP with the MPUC, which included an analysis of a variety of existing and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energy resource alternatives and a projection of customer cost impact by class. The 2015 IRP also contained steps in Minnesota Power’s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including the economic idling of Taconite Harbor Units 1 and 2 which occurred in 2016, the ceasing of coal-fired operations at Taconite Harbor in 2020, and the addition of between 200 MW and 300 MW of natural gas-fired generation in the next decade. In a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2016, Minnesota Power announced Boswell Units 1 and 2 will be retired, which is expected to occur in the fourth quarter of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104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Resource Plan (Continued)</w:t>
      </w:r>
    </w:p>
    <w:p>
      <w:pPr>
        <w:spacing w:after="0" w:line="21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July 2017, Minnesota Power submitted a resource package to the MPUC requesting approval of PPAs for the output of a 250 MW wind energy facility and a 10 MW solar energy facility as well as approval of a 250 MW natural gas energy PPA. These agreements are subject to MPUC approval of the construction of NTEC, a 525 MW to 550 MW combined</w:t>
      </w:r>
      <w:r>
        <w:rPr>
          <w:rFonts w:ascii="MS PGothic" w:cs="MS PGothic" w:eastAsia="MS PGothic" w:hAnsi="MS PGothic"/>
          <w:sz w:val="16"/>
          <w:szCs w:val="16"/>
          <w:color w:val="auto"/>
        </w:rPr>
        <w:t>‑</w:t>
      </w:r>
      <w:r>
        <w:rPr>
          <w:rFonts w:ascii="Arial" w:cs="Arial" w:eastAsia="Arial" w:hAnsi="Arial"/>
          <w:sz w:val="16"/>
          <w:szCs w:val="16"/>
          <w:color w:val="auto"/>
        </w:rPr>
        <w:t>cycle natural gas</w:t>
      </w:r>
      <w:r>
        <w:rPr>
          <w:rFonts w:ascii="MS PGothic" w:cs="MS PGothic" w:eastAsia="MS PGothic" w:hAnsi="MS PGothic"/>
          <w:sz w:val="16"/>
          <w:szCs w:val="16"/>
          <w:color w:val="auto"/>
        </w:rPr>
        <w:t>‑</w:t>
      </w:r>
      <w:r>
        <w:rPr>
          <w:rFonts w:ascii="Arial" w:cs="Arial" w:eastAsia="Arial" w:hAnsi="Arial"/>
          <w:sz w:val="16"/>
          <w:szCs w:val="16"/>
          <w:color w:val="auto"/>
        </w:rPr>
        <w:t>fired generating facility which will be jointly owned by Dairyland Power Cooperative and a subsidiary of ALLETE. Minnesota Power would purchase approximately 50 percent of the facility's output starting in 2025. In a September 2017 order, the MPUC approved Minnesota Power’s request to extend the next IRP filing deadline until October 1, 2019, and Minnesota Power’s request that approval for the natural gas energy PPA be decided through a contested case process. On July 2, 2018, an administrative law judge issued a recommendation that the MPUC deny approval of the NTEC agreements; the recommendation is not binding on the MPUC. On July 23, 2018, Minnesota Power filed exceptions to the administrative law judge’s recommendation. The MPUC is expected to hold a hearing in the fourth quarter of 2018 on NTEC. On June 18, 2018, Minnesota Power filed a separate petition for approval of the PPA for the output of a 10 MW solar energy facility located in central Minnesota. The MPUC has not taken any action regarding the wind energy PPA which will be refiled separately from the natural gas energy PPA.</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b w:val="1"/>
          <w:bCs w:val="1"/>
          <w:color w:val="auto"/>
        </w:rPr>
        <w:t>Great Northern Transmission Line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is constructing the GNTL, an approximately 220-mile 500-kV transmission line between Manitoba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Minnesota’s Iron Range that was proposed by Minnesota Power and Manitoba Hydro. 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w:t>
      </w:r>
      <w:r>
        <w:rPr>
          <w:rFonts w:ascii="Arial" w:cs="Arial" w:eastAsia="Arial" w:hAnsi="Arial"/>
          <w:sz w:val="17"/>
          <w:szCs w:val="17"/>
          <w:i w:val="1"/>
          <w:iCs w:val="1"/>
          <w:color w:val="auto"/>
        </w:rPr>
        <w:t>Transmission Cost Recovery Rider</w:t>
      </w:r>
      <w:r>
        <w:rPr>
          <w:rFonts w:ascii="Arial" w:cs="Arial" w:eastAsia="Arial" w:hAnsi="Arial"/>
          <w:sz w:val="17"/>
          <w:szCs w:val="17"/>
          <w:color w:val="auto"/>
        </w:rPr>
        <w:t>.) Also in 2015, the FERC approved our request to recover on construction work in progress related to the GNTL from Minnesota Power’s wholesale customers. In a 2016 order, the MPUC approved the route permit for the GNTL which largely follows Minnesota Power’s preferred route, including the international border crossing, and in 2016, the U.S. Department of Energy issued a presidential permit to cross the U.S.-Canadian border, which was the final major regulatory approval needed before construction in the U.S. could begin. Site clearing and pre</w:t>
      </w:r>
      <w:r>
        <w:rPr>
          <w:rFonts w:ascii="MS PGothic" w:cs="MS PGothic" w:eastAsia="MS PGothic" w:hAnsi="MS PGothic"/>
          <w:sz w:val="17"/>
          <w:szCs w:val="17"/>
          <w:color w:val="auto"/>
        </w:rPr>
        <w:t>‑</w:t>
      </w:r>
      <w:r>
        <w:rPr>
          <w:rFonts w:ascii="Arial" w:cs="Arial" w:eastAsia="Arial" w:hAnsi="Arial"/>
          <w:sz w:val="17"/>
          <w:szCs w:val="17"/>
          <w:color w:val="auto"/>
        </w:rPr>
        <w:t>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$248.8 million have been incurred through June 30, 2018, of which $129.2 million has been recovered from a subsidiary of Manitoba Hydro.</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Manitoba Hydro must obtain regulatory and governmental approvals related to a new transmission line in Canada known as the Manitoba-Minnesota Transmission Project (MMTP) that will connect with the GNTL. In 2015, Manitoba Hydro submitted the final preferred route and EIS for the MMTP to the Manitoba Conservation and Water Stewardship for siting and environmental approval, which remains pending. In 2016, Manitoba Hydro filed an application with the Canadian National Energy Board (NEB) requesting authorization to construct and operate the MMTP. The NEB determined that Manitoba Hydro’s application was complete in December 2017, and held public hearings in June 2018. The NEB is required to make a decision on the MMTP by March 2019, but is not precluded from making a decision prior to that date. Approval of the Canadian federal cabinet is also required.</w:t>
      </w:r>
    </w:p>
    <w:p>
      <w:pPr>
        <w:spacing w:after="0" w:line="17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Arial" w:cs="Arial" w:eastAsia="Arial" w:hAnsi="Arial"/>
          <w:sz w:val="18"/>
          <w:szCs w:val="18"/>
          <w:color w:val="auto"/>
        </w:rPr>
        <w:t>service requirements in PPAs with Minnesota Power, Manitoba Hydro has indicated that it would need to start construction of the MMTP in December 2018.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and transmitted on the MMTP and the GNTL, commenced in 2014 and is anticipated to be in service by early 2021.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0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Conservation Improvement Program. </w:t>
      </w:r>
      <w:r>
        <w:rPr>
          <w:rFonts w:ascii="Arial" w:cs="Arial" w:eastAsia="Arial" w:hAnsi="Arial"/>
          <w:sz w:val="17"/>
          <w:szCs w:val="17"/>
          <w:color w:val="auto"/>
        </w:rPr>
        <w:t>Minnesota requires electric utilities to spend a minimum of 1.5 percent of gross operating revenues,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received from exempt customers, from service provided in the state on energy CIPs each year. On April 2, 2018, Minnesota Power submitted its 2017 CIP consolidated filing, which detailed Minnesota Power’s CIP program results and requested a CIP financial incentive of $3.3 million based upon MPUC procedures. In 2017, the CIP financial incentive of $5.5 million was recognized in the second quarter upon approval by the MPUC of Minnesota Power’s 2016 CIP consolidated filing in a June 2017 order. Approval of Minnesota Power’s 2017 CIP consolidated filing and related financial incentive is expected in the third quarter of 2018. CIP financial incentives are recognized in the period in which the MPUC approves the filing.</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MISO Return on Equity Complaints. </w:t>
      </w:r>
      <w:r>
        <w:rPr>
          <w:rFonts w:ascii="Arial" w:cs="Arial" w:eastAsia="Arial" w:hAnsi="Arial"/>
          <w:sz w:val="18"/>
          <w:szCs w:val="18"/>
          <w:color w:val="auto"/>
        </w:rPr>
        <w:t>MISO transmission owners, including ALLETE and ATC, have an authorized return on equity of 10.32 percent, or</w:t>
      </w:r>
      <w:r>
        <w:rPr>
          <w:rFonts w:ascii="Arial" w:cs="Arial" w:eastAsia="Arial" w:hAnsi="Arial"/>
          <w:sz w:val="18"/>
          <w:szCs w:val="18"/>
          <w:b w:val="1"/>
          <w:bCs w:val="1"/>
          <w:color w:val="auto"/>
        </w:rPr>
        <w:t xml:space="preserve"> </w:t>
      </w:r>
      <w:r>
        <w:rPr>
          <w:rFonts w:ascii="Arial" w:cs="Arial" w:eastAsia="Arial" w:hAnsi="Arial"/>
          <w:sz w:val="18"/>
          <w:szCs w:val="18"/>
          <w:color w:val="auto"/>
        </w:rPr>
        <w:t>10.82 percent including an incentive adder for participation in a regional transmission organization.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which is not expected to have a material impact on our Consolidated Financial Statements.</w:t>
      </w:r>
    </w:p>
    <w:p>
      <w:pPr>
        <w:spacing w:after="0" w:line="14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b w:val="1"/>
          <w:bCs w:val="1"/>
          <w:color w:val="auto"/>
        </w:rPr>
        <w:t xml:space="preserve">Minnesota Solar Energy Standard. </w:t>
      </w:r>
      <w:r>
        <w:rPr>
          <w:rFonts w:ascii="Arial" w:cs="Arial" w:eastAsia="Arial" w:hAnsi="Arial"/>
          <w:sz w:val="17"/>
          <w:szCs w:val="17"/>
          <w:color w:val="auto"/>
        </w:rPr>
        <w:t>Minnesota law requires at least 1.5 percent of total retail electric sales, excluding sales to certain customers, to be</w:t>
      </w:r>
      <w:r>
        <w:rPr>
          <w:rFonts w:ascii="Arial" w:cs="Arial" w:eastAsia="Arial" w:hAnsi="Arial"/>
          <w:sz w:val="17"/>
          <w:szCs w:val="17"/>
          <w:b w:val="1"/>
          <w:bCs w:val="1"/>
          <w:color w:val="auto"/>
        </w:rPr>
        <w:t xml:space="preserve"> </w:t>
      </w:r>
      <w:r>
        <w:rPr>
          <w:rFonts w:ascii="Arial" w:cs="Arial" w:eastAsia="Arial" w:hAnsi="Arial"/>
          <w:sz w:val="17"/>
          <w:szCs w:val="17"/>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 In a 2016 order, the MPUC approved Camp Ripley, a 10 MW utility scale solar project at the Camp Ripley Minnesota Army National Guard base and training facility near Little Falls, Minnesota, as eligible to meet the solar energy standard and for current cost recovery. Camp Ripley was completed in the fourth quarter of 2016. In a 2016 order, the MPUC approved a community solar garden project in northeastern Minnesota, which is comprised of a 1 MW solar array owned and operated by a third party with the output purchased by Minnesota Power and a 40 kW solar array that is owned and operated by Minnesota Power. Minnesota Power believes Camp Ripley and the community solar garden arrays will meet approximately one</w:t>
      </w:r>
      <w:r>
        <w:rPr>
          <w:rFonts w:ascii="MS PGothic" w:cs="MS PGothic" w:eastAsia="MS PGothic" w:hAnsi="MS PGothic"/>
          <w:sz w:val="17"/>
          <w:szCs w:val="17"/>
          <w:color w:val="auto"/>
        </w:rPr>
        <w:t>‑</w:t>
      </w:r>
      <w:r>
        <w:rPr>
          <w:rFonts w:ascii="Arial" w:cs="Arial" w:eastAsia="Arial" w:hAnsi="Arial"/>
          <w:sz w:val="17"/>
          <w:szCs w:val="17"/>
          <w:color w:val="auto"/>
        </w:rPr>
        <w:t>third of the overall mandate. Additionally, in a February 2017 order, the MPUC approved Minnesota Power’s proposal to increase the amount of solar rebates available for customer-sited solar installations and recover costs of the program through Minnesota Power’s renewable cost recovery rider. The proposal to incentivize customer</w:t>
      </w:r>
      <w:r>
        <w:rPr>
          <w:rFonts w:ascii="MS PGothic" w:cs="MS PGothic" w:eastAsia="MS PGothic" w:hAnsi="MS PGothic"/>
          <w:sz w:val="17"/>
          <w:szCs w:val="17"/>
          <w:color w:val="auto"/>
        </w:rPr>
        <w:t>‑</w:t>
      </w:r>
      <w:r>
        <w:rPr>
          <w:rFonts w:ascii="Arial" w:cs="Arial" w:eastAsia="Arial" w:hAnsi="Arial"/>
          <w:sz w:val="17"/>
          <w:szCs w:val="17"/>
          <w:color w:val="auto"/>
        </w:rPr>
        <w:t>sited solar installations and community solar garden subscriptions is expected to meet a portion of the required small scale solar mandate.</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104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NOTE 6. REGULATORY MATTERS (Continued)</w:t>
            </w:r>
          </w:p>
        </w:tc>
        <w:tc>
          <w:tcPr>
            <w:tcW w:w="3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1"/>
        </w:trPr>
        <w:tc>
          <w:tcPr>
            <w:tcW w:w="6860" w:type="dxa"/>
            <w:vAlign w:val="bottom"/>
          </w:tcPr>
          <w:p>
            <w:pPr>
              <w:spacing w:after="0"/>
              <w:rPr>
                <w:sz w:val="24"/>
                <w:szCs w:val="24"/>
                <w:color w:val="auto"/>
              </w:rPr>
            </w:pPr>
          </w:p>
        </w:tc>
        <w:tc>
          <w:tcPr>
            <w:tcW w:w="30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Benefit Plans</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$216.7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$220.3</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109.3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31.0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Manufactured Gas Plant</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4.5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Regulatory Assets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$374.5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r>
      <w:tr>
        <w:trPr>
          <w:trHeight w:val="264"/>
        </w:trPr>
        <w:tc>
          <w:tcPr>
            <w:tcW w:w="686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3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(b)</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$32.5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Liabilities</w:t>
            </w:r>
          </w:p>
        </w:tc>
        <w:tc>
          <w:tcPr>
            <w:tcW w:w="3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39.2</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401.4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$411.2</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Wholesale and Retail Contra AFUDC</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60.2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23.0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Recovery Riders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North Dakota Investment Tax Credits</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14.4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6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(b)</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0.2</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516.0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r>
      <w:tr>
        <w:trPr>
          <w:trHeight w:val="237"/>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Liabilities</w:t>
            </w:r>
          </w:p>
        </w:tc>
        <w:tc>
          <w:tcPr>
            <w:tcW w:w="3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$555.2</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189" w:lineRule="exact"/>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is expected to be refunded to Minnesota Power’s regulated retail customers in the first quarter of 2019 and includes $16.7 million of discounts provided to EITE customers that will be offset against interim rate refunds as of June 30, 2018 ($8.6 million as of December 31, 2017). (See 2016 Minnesota General Rate Case and Energy-Intensive Trade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Exposed Customer Rates.)</w:t>
      </w:r>
    </w:p>
    <w:p>
      <w:pPr>
        <w:spacing w:after="0" w:line="1" w:lineRule="exact"/>
        <w:rPr>
          <w:rFonts w:ascii="Arial" w:cs="Arial" w:eastAsia="Arial" w:hAnsi="Arial"/>
          <w:sz w:val="16"/>
          <w:szCs w:val="16"/>
          <w:i w:val="1"/>
          <w:iCs w:val="1"/>
          <w:color w:val="auto"/>
        </w:rPr>
      </w:pPr>
    </w:p>
    <w:p>
      <w:pPr>
        <w:ind w:left="340" w:hanging="332"/>
        <w:spacing w:after="0" w:line="290" w:lineRule="auto"/>
        <w:tabs>
          <w:tab w:leader="none" w:pos="340"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We have recorded the impact of income tax changes for Minnesota Power and SWL&amp;P resulting from the TCJA in 2018 as regulatory liabilities and a reduction in revenue as the benefits are deferred pending the outcome of regulatory proceedings with the MPUC and PSCW. (See Tax Cuts and Jobs Act of 2017.)</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June 30, 2018, our equity investment in ATC was $123.6 million ($118.7 million at December 31, 2017). In the first six months of 2018, we invested $3.9 million in ATC, and on July 31, 2018, we invested an additional $1.2 million. We expect to make additional investments of $1.3 million in 2018.</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2017</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78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78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75"/>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Amortization of the Remeasurement of Deferred Income Taxes </w:t>
            </w:r>
            <w:r>
              <w:rPr>
                <w:rFonts w:ascii="Arial" w:cs="Arial" w:eastAsia="Arial" w:hAnsi="Arial"/>
                <w:sz w:val="16"/>
                <w:szCs w:val="16"/>
                <w:i w:val="1"/>
                <w:iCs w:val="1"/>
                <w:color w:val="auto"/>
              </w:rPr>
              <w:t>(a)</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7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Equity Investment Balance as of June 30, 2018</w:t>
            </w:r>
          </w:p>
        </w:tc>
        <w:tc>
          <w:tcPr>
            <w:tcW w:w="3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Amortization related to the impact of the remeasurement of deferred income tax assets and liabilities resulting from the TCJA.</w:t>
      </w:r>
    </w:p>
    <w:p>
      <w:pPr>
        <w:spacing w:after="0" w:line="239" w:lineRule="exact"/>
        <w:rPr>
          <w:rFonts w:ascii="Arial" w:cs="Arial" w:eastAsia="Arial" w:hAnsi="Arial"/>
          <w:sz w:val="16"/>
          <w:szCs w:val="16"/>
          <w:i w:val="1"/>
          <w:iCs w:val="1"/>
          <w:color w:val="auto"/>
        </w:rPr>
      </w:pPr>
    </w:p>
    <w:p>
      <w:pPr>
        <w:ind w:left="4320"/>
        <w:spacing w:after="0"/>
        <w:rPr>
          <w:rFonts w:ascii="Arial" w:cs="Arial" w:eastAsia="Arial" w:hAnsi="Arial"/>
          <w:sz w:val="16"/>
          <w:szCs w:val="16"/>
          <w:i w:val="1"/>
          <w:iCs w:val="1"/>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40" w:top="1040"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7. INVESTMENT IN ATC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ATC’s authorized return on equity is 10.32 percent, or 10.82 percent including an incentive adder for participation in a regional transmission organization.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short-term and long-term debt as of June 30, 2018, and December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June 30, 2018</w:t>
            </w:r>
          </w:p>
        </w:tc>
        <w:tc>
          <w:tcPr>
            <w:tcW w:w="370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38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$57.1</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700" w:type="dxa"/>
            <w:vAlign w:val="bottom"/>
          </w:tcPr>
          <w:p>
            <w:pPr>
              <w:jc w:val="right"/>
              <w:ind w:right="270"/>
              <w:spacing w:after="0"/>
              <w:rPr>
                <w:sz w:val="20"/>
                <w:szCs w:val="20"/>
                <w:color w:val="auto"/>
              </w:rPr>
            </w:pPr>
            <w:r>
              <w:rPr>
                <w:rFonts w:ascii="Arial" w:cs="Arial" w:eastAsia="Arial" w:hAnsi="Arial"/>
                <w:sz w:val="18"/>
                <w:szCs w:val="18"/>
                <w:color w:val="auto"/>
              </w:rPr>
              <w:t>1,471.7</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(9.5)</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1,462.2</w:t>
            </w:r>
          </w:p>
        </w:tc>
      </w:tr>
      <w:tr>
        <w:trPr>
          <w:trHeight w:val="27"/>
        </w:trPr>
        <w:tc>
          <w:tcPr>
            <w:tcW w:w="38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$1,528.8</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$(9.9)</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$1,518.9</w:t>
            </w:r>
          </w:p>
        </w:tc>
      </w:tr>
      <w:tr>
        <w:trPr>
          <w:trHeight w:val="20"/>
        </w:trPr>
        <w:tc>
          <w:tcPr>
            <w:tcW w:w="388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35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$64.6</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580" w:type="dxa"/>
            <w:vAlign w:val="bottom"/>
          </w:tcPr>
          <w:p>
            <w:pPr>
              <w:jc w:val="right"/>
              <w:ind w:right="270"/>
              <w:spacing w:after="0"/>
              <w:rPr>
                <w:sz w:val="20"/>
                <w:szCs w:val="20"/>
                <w:color w:val="auto"/>
              </w:rPr>
            </w:pPr>
            <w:r>
              <w:rPr>
                <w:rFonts w:ascii="Arial" w:cs="Arial" w:eastAsia="Arial" w:hAnsi="Arial"/>
                <w:sz w:val="18"/>
                <w:szCs w:val="18"/>
                <w:color w:val="auto"/>
              </w:rPr>
              <w:t>1,448.7</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(9.5)</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1,439.2</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$1,513.3</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$(10.0)</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$1,503.3</w:t>
            </w:r>
          </w:p>
        </w:tc>
      </w:tr>
      <w:tr>
        <w:trPr>
          <w:trHeight w:val="20"/>
        </w:trPr>
        <w:tc>
          <w:tcPr>
            <w:tcW w:w="40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16, 2018, ALLETE issued and sold $60.0 million of its First Mortgage Bonds (the Bonds) that bear interest at 4.07 percent. The Bonds will mature in April 2048 and pay interest semi-annually in April and October of each year, commencing on October 16, 2018. ALLETE has the option to prepay all or a portion of the Bonds at its discretion, subject to a make-whole provision. The Bonds are subject to additional terms and conditions which are customary for these types of transactions. ALLETE intends to use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Our long-term debt arrangements contain customary covenants. In addition, our lines of credit and letters of credit supporting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2018, our ratio was approximately 0.42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June 30, 2018,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04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2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5240" w:type="dxa"/>
            <w:vAlign w:val="bottom"/>
          </w:tcPr>
          <w:p>
            <w:pPr>
              <w:spacing w:after="0"/>
              <w:rPr>
                <w:sz w:val="24"/>
                <w:szCs w:val="24"/>
                <w:color w:val="auto"/>
              </w:rPr>
            </w:pPr>
          </w:p>
        </w:tc>
        <w:tc>
          <w:tcPr>
            <w:tcW w:w="36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5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240" w:type="dxa"/>
            <w:vAlign w:val="bottom"/>
          </w:tcPr>
          <w:p>
            <w:pPr>
              <w:spacing w:after="0"/>
              <w:rPr>
                <w:sz w:val="23"/>
                <w:szCs w:val="23"/>
                <w:color w:val="auto"/>
              </w:rPr>
            </w:pP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3"/>
                <w:szCs w:val="23"/>
                <w:color w:val="auto"/>
              </w:rPr>
            </w:pPr>
          </w:p>
        </w:tc>
      </w:tr>
      <w:tr>
        <w:trPr>
          <w:trHeight w:val="270"/>
        </w:trPr>
        <w:tc>
          <w:tcPr>
            <w:tcW w:w="5240" w:type="dxa"/>
            <w:vAlign w:val="bottom"/>
          </w:tcPr>
          <w:p>
            <w:pPr>
              <w:spacing w:after="0"/>
              <w:rPr>
                <w:sz w:val="23"/>
                <w:szCs w:val="23"/>
                <w:color w:val="auto"/>
              </w:rPr>
            </w:pPr>
          </w:p>
        </w:tc>
        <w:tc>
          <w:tcPr>
            <w:tcW w:w="27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2017</w:t>
            </w:r>
          </w:p>
        </w:tc>
        <w:tc>
          <w:tcPr>
            <w:tcW w:w="17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5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Income Tax Expense (Benefit) </w:t>
            </w:r>
            <w:r>
              <w:rPr>
                <w:rFonts w:ascii="Arial" w:cs="Arial" w:eastAsia="Arial" w:hAnsi="Arial"/>
                <w:sz w:val="16"/>
                <w:szCs w:val="16"/>
                <w:i w:val="1"/>
                <w:iCs w:val="1"/>
                <w:color w:val="auto"/>
              </w:rPr>
              <w:t>(a)</w:t>
            </w:r>
          </w:p>
        </w:tc>
        <w:tc>
          <w:tcPr>
            <w:tcW w:w="2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7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72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$(0.3)</w:t>
            </w: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17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$0.4</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37"/>
        </w:trPr>
        <w:tc>
          <w:tcPr>
            <w:tcW w:w="52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Income Tax Expense (Benefit)</w:t>
            </w:r>
          </w:p>
        </w:tc>
        <w:tc>
          <w:tcPr>
            <w:tcW w:w="272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$(0.3)</w:t>
            </w: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$0.1</w:t>
            </w:r>
          </w:p>
        </w:tc>
        <w:tc>
          <w:tcPr>
            <w:tcW w:w="17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$0.4</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5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 (Benefit)</w:t>
            </w:r>
          </w:p>
        </w:tc>
        <w:tc>
          <w:tcPr>
            <w:tcW w:w="2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2720" w:type="dxa"/>
            <w:vAlign w:val="bottom"/>
          </w:tcPr>
          <w:p>
            <w:pPr>
              <w:jc w:val="right"/>
              <w:ind w:right="750"/>
              <w:spacing w:after="0"/>
              <w:rPr>
                <w:sz w:val="20"/>
                <w:szCs w:val="20"/>
                <w:color w:val="auto"/>
              </w:rPr>
            </w:pPr>
            <w:r>
              <w:rPr>
                <w:rFonts w:ascii="Arial" w:cs="Arial" w:eastAsia="Arial" w:hAnsi="Arial"/>
                <w:sz w:val="18"/>
                <w:szCs w:val="18"/>
                <w:color w:val="auto"/>
              </w:rPr>
              <w:t>$(7.4)</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$3.8</w:t>
            </w:r>
          </w:p>
        </w:tc>
        <w:tc>
          <w:tcPr>
            <w:tcW w:w="1700" w:type="dxa"/>
            <w:vAlign w:val="bottom"/>
          </w:tcPr>
          <w:p>
            <w:pPr>
              <w:jc w:val="right"/>
              <w:ind w:right="810"/>
              <w:spacing w:after="0"/>
              <w:rPr>
                <w:sz w:val="20"/>
                <w:szCs w:val="20"/>
                <w:color w:val="auto"/>
              </w:rPr>
            </w:pPr>
            <w:r>
              <w:rPr>
                <w:rFonts w:ascii="Arial" w:cs="Arial" w:eastAsia="Arial" w:hAnsi="Arial"/>
                <w:sz w:val="18"/>
                <w:szCs w:val="18"/>
                <w:color w:val="auto"/>
              </w:rPr>
              <w:t>$(14.2)</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$11.1</w:t>
            </w:r>
          </w:p>
        </w:tc>
      </w:tr>
      <w:tr>
        <w:trPr>
          <w:trHeight w:val="27"/>
        </w:trPr>
        <w:tc>
          <w:tcPr>
            <w:tcW w:w="52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2.4</w:t>
            </w: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w:t>
            </w:r>
          </w:p>
        </w:tc>
        <w:tc>
          <w:tcPr>
            <w:tcW w:w="17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5.0</w:t>
            </w: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272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(0.3)</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5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Income Tax Expense (Benefit)</w:t>
            </w:r>
          </w:p>
        </w:tc>
        <w:tc>
          <w:tcPr>
            <w:tcW w:w="272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$(5.1)</w:t>
            </w: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$7.2</w:t>
            </w:r>
          </w:p>
        </w:tc>
        <w:tc>
          <w:tcPr>
            <w:tcW w:w="17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$(9.5)</w:t>
            </w: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$20.2</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 (Benefit)</w:t>
            </w:r>
          </w:p>
        </w:tc>
        <w:tc>
          <w:tcPr>
            <w:tcW w:w="272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$(5.4)</w:t>
            </w: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$7.3</w:t>
            </w:r>
          </w:p>
        </w:tc>
        <w:tc>
          <w:tcPr>
            <w:tcW w:w="170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$(9.1)</w:t>
            </w: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92" w:lineRule="auto"/>
        <w:tabs>
          <w:tab w:leader="none" w:pos="3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For the quarter and six months ended June 30, 2018, and 2017, the federal and state current tax expense was minimal due to NOLs which resulted from the bonus depreciation provisions of the Protecting Americans from Tax Hikes Act of 2015, the Tax Increase Prevention Act of 2014 and the American Taxpayer Relief Act of 2012.</w:t>
      </w:r>
    </w:p>
    <w:p>
      <w:pPr>
        <w:ind w:left="340" w:hanging="332"/>
        <w:spacing w:after="0" w:line="257"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six months ended June 30, 2018, the federal tax benefit is primarily due to the reduction of the federal statutory tax rate from 35 percent to 21 percent enacted as part of the TCJA, and production tax credits.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34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3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3"/>
                <w:szCs w:val="23"/>
                <w:color w:val="auto"/>
              </w:rPr>
            </w:pP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2017</w:t>
            </w:r>
          </w:p>
        </w:tc>
        <w:tc>
          <w:tcPr>
            <w:tcW w:w="148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56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5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$25.9</w:t>
            </w:r>
          </w:p>
        </w:tc>
        <w:tc>
          <w:tcPr>
            <w:tcW w:w="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$44.2</w:t>
            </w:r>
          </w:p>
        </w:tc>
        <w:tc>
          <w:tcPr>
            <w:tcW w:w="14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$73.2</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$106.3</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52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21%</w:t>
            </w: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6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Statutory Federal Rate</w:t>
            </w:r>
          </w:p>
        </w:tc>
        <w:tc>
          <w:tcPr>
            <w:tcW w:w="25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$5.4</w:t>
            </w:r>
          </w:p>
        </w:tc>
        <w:tc>
          <w:tcPr>
            <w:tcW w:w="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$15.5</w:t>
            </w:r>
          </w:p>
        </w:tc>
        <w:tc>
          <w:tcPr>
            <w:tcW w:w="14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$15.4</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$37.2</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Increase (Decrease) in Income Tax Due to:</w:t>
            </w:r>
          </w:p>
        </w:tc>
        <w:tc>
          <w:tcPr>
            <w:tcW w:w="2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5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1.6</w:t>
            </w:r>
          </w:p>
        </w:tc>
        <w:tc>
          <w:tcPr>
            <w:tcW w:w="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2.4</w:t>
            </w:r>
          </w:p>
        </w:tc>
        <w:tc>
          <w:tcPr>
            <w:tcW w:w="14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4.2</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(11.2)</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(10.0)</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(25.6)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(23.0)</w:t>
            </w:r>
          </w:p>
        </w:tc>
      </w:tr>
      <w:tr>
        <w:trPr>
          <w:trHeight w:val="27"/>
        </w:trPr>
        <w:tc>
          <w:tcPr>
            <w:tcW w:w="5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(0.6)</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(3.1)</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37"/>
        </w:trPr>
        <w:tc>
          <w:tcPr>
            <w:tcW w:w="5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 (Benefit)</w:t>
            </w:r>
          </w:p>
        </w:tc>
        <w:tc>
          <w:tcPr>
            <w:tcW w:w="25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$(5.4)</w:t>
            </w:r>
          </w:p>
        </w:tc>
        <w:tc>
          <w:tcPr>
            <w:tcW w:w="9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$7.3</w:t>
            </w:r>
          </w:p>
        </w:tc>
        <w:tc>
          <w:tcPr>
            <w:tcW w:w="14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$(9.1)</w:t>
            </w: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$20.4</w:t>
            </w:r>
          </w:p>
        </w:tc>
      </w:tr>
      <w:tr>
        <w:trPr>
          <w:trHeight w:val="27"/>
        </w:trPr>
        <w:tc>
          <w:tcPr>
            <w:tcW w:w="56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2018, the effective tax rate was a benefit of 12.4 percent (expense of 19.2 percent for the six months ended June 30, 2017).</w:t>
      </w: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2018, we had gross unrecognized tax benefits of $1.7 million ($1.7 million as of December 31, 2017).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$0.8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2014, or state examination for years before 2013.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1040"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10. RECLASSIFICATIONS OUT OF ACCUMULATED OTHER COMPREHENSIVE LOSS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unrealized gains and losses on available-for-sale debt securities and defined benefit pension and other postretirement items, consisting of deferred actuarial gains or losses and prior service costs or credits.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 and six months ended June 30, 2018, and 2017, reclassifications out of accumulated other comprehensive loss for the Company were not material. Changes in accumulated other comprehensive loss for the six months ended June 30, 2018, are presented on the Consolidated Statement of Shareholders’ Equity.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and performance share awards granted under our Executive Long-Term Incentive Compensation Plan. For the quarter and six months ended June 30, 2018, and 2017, no options to purchase shares of ALLETE common stock were excluded from the computation of diluted earnings per share.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Dilutive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540" w:type="dxa"/>
            <w:vAlign w:val="bottom"/>
            <w:gridSpan w:val="3"/>
          </w:tcPr>
          <w:p>
            <w:pPr>
              <w:ind w:left="260"/>
              <w:spacing w:after="0"/>
              <w:rPr>
                <w:sz w:val="20"/>
                <w:szCs w:val="20"/>
                <w:color w:val="auto"/>
              </w:rPr>
            </w:pPr>
            <w:r>
              <w:rPr>
                <w:rFonts w:ascii="Arial" w:cs="Arial" w:eastAsia="Arial" w:hAnsi="Arial"/>
                <w:sz w:val="18"/>
                <w:szCs w:val="18"/>
                <w:b w:val="1"/>
                <w:bCs w:val="1"/>
                <w:color w:val="auto"/>
              </w:rPr>
              <w:t>Diluted</w:t>
            </w: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Basic</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Securities</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$31.3</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$36.9</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51.3</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50.9</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$0.61</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$0.73</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$82.3</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$85.9</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51.2</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$1.61</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$1.70</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6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gridSpan w:val="3"/>
          </w:tcPr>
          <w:p>
            <w:pPr>
              <w:ind w:left="880"/>
              <w:spacing w:after="0"/>
              <w:rPr>
                <w:sz w:val="20"/>
                <w:szCs w:val="20"/>
                <w:color w:val="auto"/>
              </w:rPr>
            </w:pPr>
            <w:r>
              <w:rPr>
                <w:rFonts w:ascii="Arial" w:cs="Arial" w:eastAsia="Arial" w:hAnsi="Arial"/>
                <w:sz w:val="18"/>
                <w:szCs w:val="18"/>
                <w:b w:val="1"/>
                <w:bCs w:val="1"/>
                <w:color w:val="auto"/>
                <w:w w:val="91"/>
              </w:rPr>
              <w:t>Pension</w:t>
            </w:r>
          </w:p>
        </w:tc>
        <w:tc>
          <w:tcPr>
            <w:tcW w:w="900" w:type="dxa"/>
            <w:vAlign w:val="bottom"/>
          </w:tcPr>
          <w:p>
            <w:pPr>
              <w:spacing w:after="0"/>
              <w:rPr>
                <w:sz w:val="20"/>
                <w:szCs w:val="20"/>
                <w:color w:val="auto"/>
              </w:rPr>
            </w:pPr>
          </w:p>
        </w:tc>
        <w:tc>
          <w:tcPr>
            <w:tcW w:w="23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2017</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2018</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8.2</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1.8</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(10.6)</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Amortization of Prior Service Credits</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(0.5)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Net Loss</w:t>
            </w:r>
          </w:p>
        </w:tc>
        <w:tc>
          <w:tcPr>
            <w:tcW w:w="1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 (Income)</w:t>
            </w:r>
          </w:p>
        </w:tc>
        <w:tc>
          <w:tcPr>
            <w:tcW w:w="1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$2.6</w:t>
            </w:r>
          </w:p>
        </w:tc>
        <w:tc>
          <w:tcPr>
            <w:tcW w:w="14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$2.5</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16.3</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3.6</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(21.2)</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(5.5)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Credits</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(0.9)</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Amortization of Net Loss</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4.9</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0.4</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$0.1</w:t>
            </w: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18"/>
        </w:numPr>
        <w:rPr>
          <w:rFonts w:ascii="Arial" w:cs="Arial" w:eastAsia="Arial" w:hAnsi="Arial"/>
          <w:sz w:val="15"/>
          <w:szCs w:val="15"/>
          <w:i w:val="1"/>
          <w:iCs w:val="1"/>
          <w:color w:val="auto"/>
        </w:rPr>
      </w:pPr>
      <w:r>
        <w:rPr>
          <w:rFonts w:ascii="Arial" w:cs="Arial" w:eastAsia="Arial" w:hAnsi="Arial"/>
          <w:sz w:val="15"/>
          <w:szCs w:val="15"/>
          <w:i w:val="1"/>
          <w:iCs w:val="1"/>
          <w:color w:val="auto"/>
        </w:rPr>
        <w:t>These components of net periodic benefit cost are included in the line item “Other” under Other Income (Expense) on the Consolidated Statement of Income.</w:t>
      </w:r>
    </w:p>
    <w:p>
      <w:pPr>
        <w:spacing w:after="0" w:line="240" w:lineRule="exact"/>
        <w:rPr>
          <w:rFonts w:ascii="Arial" w:cs="Arial" w:eastAsia="Arial" w:hAnsi="Arial"/>
          <w:sz w:val="15"/>
          <w:szCs w:val="15"/>
          <w:i w:val="1"/>
          <w:iCs w:val="1"/>
          <w:color w:val="auto"/>
        </w:rPr>
      </w:pPr>
    </w:p>
    <w:p>
      <w:pPr>
        <w:ind w:left="4320"/>
        <w:spacing w:after="0"/>
        <w:rPr>
          <w:rFonts w:ascii="Arial" w:cs="Arial" w:eastAsia="Arial" w:hAnsi="Arial"/>
          <w:sz w:val="15"/>
          <w:szCs w:val="15"/>
          <w:i w:val="1"/>
          <w:iCs w:val="1"/>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40" w:right="239" w:bottom="539"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20"/>
          </w:cols>
          <w:pgMar w:left="240" w:top="1040" w:right="239" w:bottom="539"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six months ended June 30, 2018, we contributed $15.0 million in cash to the defined benefit pension plans ($1.7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$13.5 million in ALLETE common stock for the six months ended June 30, 2017); we do not expect to make additional contributions to our defined benefit pension plans in 2018. For the six months ended June 30, 2018, and 2017, we made no contributions to our other postretirement benefit plans; we do not expect to make any contributions to our other postretirement benefit plans in 2018.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11. Commitments, Guarantees and Contingencies to our Consolidated Financial Statements in our 2017 Form 10-K, with additional disclosure provided in the following paragraphs.</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Minnesota Power is obligated to pay its pro rata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Square Butte’s costs based on its entitlement to the output of Square Butte’s 455 MW coal</w:t>
      </w:r>
      <w:r>
        <w:rPr>
          <w:rFonts w:ascii="MS PGothic" w:cs="MS PGothic" w:eastAsia="MS PGothic" w:hAnsi="MS PGothic"/>
          <w:sz w:val="18"/>
          <w:szCs w:val="18"/>
          <w:color w:val="auto"/>
        </w:rPr>
        <w:t>‑</w:t>
      </w:r>
      <w:r>
        <w:rPr>
          <w:rFonts w:ascii="Arial" w:cs="Arial" w:eastAsia="Arial" w:hAnsi="Arial"/>
          <w:sz w:val="18"/>
          <w:szCs w:val="18"/>
          <w:color w:val="auto"/>
        </w:rPr>
        <w:t xml:space="preserve">fired generating unit. Minnesota Power’s output entitlement under the Agreement is 50 percent for the remainder of the Agreement, subject to the provisions of the Minnkota Power PSA. (See </w:t>
      </w:r>
      <w:r>
        <w:rPr>
          <w:rFonts w:ascii="Arial" w:cs="Arial" w:eastAsia="Arial" w:hAnsi="Arial"/>
          <w:sz w:val="18"/>
          <w:szCs w:val="18"/>
          <w:i w:val="1"/>
          <w:iCs w:val="1"/>
          <w:color w:val="auto"/>
        </w:rPr>
        <w:t>Minnkota</w:t>
      </w:r>
      <w:r>
        <w:rPr>
          <w:rFonts w:ascii="Arial" w:cs="Arial" w:eastAsia="Arial" w:hAnsi="Arial"/>
          <w:sz w:val="18"/>
          <w:szCs w:val="18"/>
          <w:color w:val="auto"/>
        </w:rPr>
        <w:t xml:space="preserve"> </w:t>
      </w:r>
      <w:r>
        <w:rPr>
          <w:rFonts w:ascii="Arial" w:cs="Arial" w:eastAsia="Arial" w:hAnsi="Arial"/>
          <w:sz w:val="18"/>
          <w:szCs w:val="18"/>
          <w:i w:val="1"/>
          <w:iCs w:val="1"/>
          <w:color w:val="auto"/>
        </w:rPr>
        <w:t>Power PSA</w:t>
      </w:r>
      <w:r>
        <w:rPr>
          <w:rFonts w:ascii="Arial" w:cs="Arial" w:eastAsia="Arial" w:hAnsi="Arial"/>
          <w:sz w:val="18"/>
          <w:szCs w:val="18"/>
          <w:color w:val="auto"/>
        </w:rPr>
        <w:t>.) Square Butte’s costs consist primarily of debt service, operating and maintenance, depreciation and fuel expenses. As of June 30, 2018, Square</w:t>
      </w:r>
      <w:r>
        <w:rPr>
          <w:rFonts w:ascii="Arial" w:cs="Arial" w:eastAsia="Arial" w:hAnsi="Arial"/>
          <w:sz w:val="18"/>
          <w:szCs w:val="18"/>
          <w:i w:val="1"/>
          <w:iCs w:val="1"/>
          <w:color w:val="auto"/>
        </w:rPr>
        <w:t xml:space="preserve"> </w:t>
      </w:r>
      <w:r>
        <w:rPr>
          <w:rFonts w:ascii="Arial" w:cs="Arial" w:eastAsia="Arial" w:hAnsi="Arial"/>
          <w:sz w:val="18"/>
          <w:szCs w:val="18"/>
          <w:color w:val="auto"/>
        </w:rPr>
        <w:t>Butte had total debt outstanding of $311.4 million. Fuel expenses are recoverable through Minnesota Power’s fuel adjustment clause and include the cost of coal purchased from BNI Energy under a long-term contract.</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Power’s cost of power purchased from Square Butte during the six months ended June 30, 2018, was $37.7 million ($40.7 million for the six months ended June 30, 2017). This reflects Minnesota Power’s pro rata share of total Square Butte costs based on the 50 percent output entitlement. Included in this amount was Minnesota Power’s pro rata share of interest expense of $4.6 million ($4.7 million for the same period in 2017). Minnesota Power’s payments to Square Butte are approved as a purchased power expense for ratemaking purposes by both the MPUC and the FERC.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2018 and in 2017.</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Oconto Electric Cooperative PSA. </w:t>
      </w:r>
      <w:r>
        <w:rPr>
          <w:rFonts w:ascii="Arial" w:cs="Arial" w:eastAsia="Arial" w:hAnsi="Arial"/>
          <w:sz w:val="16"/>
          <w:szCs w:val="16"/>
          <w:color w:val="auto"/>
        </w:rPr>
        <w:t>On March 6, 2018, Minnesota Power entered into a PSA with Oconto Electric Cooperative. The contract begins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2019 and is effective through May 2026. Under the PSA, Minnesota Power expects to provide approximately 25 MW of energy and capacity at fixed prices.</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Minnesota Power has coal supply agreements providing for the purchase of a significant portion of its coal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December 2018 and a portion of its coal requirements through December 2021. Minnesota Power also has coal transportation agreements in place for the delivery of a significant portion of its coal requirements through December 2018. The estimated minimum payments under these supply and transportation agreements is $16.7 million for the remainder of 2018, $1.7 million in 2019, and none thereafter. The costs of fuel and related transportation costs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Energy is obligated to make lease payments for a dragline totaling $2.8 million annually during the lease term, which expires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2027. 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a majority of terms expiring by 2024. The aggregate amount of minimum lease payments for all operating leases is $7.1 million for the remainder of 2018, $12.8 million in 2019, $9.5 million in 2020, $7.3 million in 2021, $6.1 million in 2022 and $30.0 million thereafter.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04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6. Regulatory Matters.) Also in 2015, the FERC approved our request to recover on construction work in progress related to the GNTL from Minnesota Power’s wholesale customers. In a 2016 order, the MPUC approved the route permit for the GNTL which largely follows Minnesota Power’s preferred route, including the international border crossing, and in 2016, the U.S. Department of Energy issued a presidential permit to cross the U.S.</w:t>
      </w:r>
      <w:r>
        <w:rPr>
          <w:rFonts w:ascii="MS PGothic" w:cs="MS PGothic" w:eastAsia="MS PGothic" w:hAnsi="MS PGothic"/>
          <w:sz w:val="17"/>
          <w:szCs w:val="17"/>
          <w:color w:val="auto"/>
        </w:rPr>
        <w:t>‑</w:t>
      </w:r>
      <w:r>
        <w:rPr>
          <w:rFonts w:ascii="Arial" w:cs="Arial" w:eastAsia="Arial" w:hAnsi="Arial"/>
          <w:sz w:val="17"/>
          <w:szCs w:val="17"/>
          <w:color w:val="auto"/>
        </w:rPr>
        <w:t>Canadian border, which was the final major regulatory approval needed before construction in the U.S. could begin. Site clearing and pre</w:t>
      </w:r>
      <w:r>
        <w:rPr>
          <w:rFonts w:ascii="MS PGothic" w:cs="MS PGothic" w:eastAsia="MS PGothic" w:hAnsi="MS PGothic"/>
          <w:sz w:val="17"/>
          <w:szCs w:val="17"/>
          <w:color w:val="auto"/>
        </w:rPr>
        <w:t>‑</w:t>
      </w:r>
      <w:r>
        <w:rPr>
          <w:rFonts w:ascii="Arial" w:cs="Arial" w:eastAsia="Arial" w:hAnsi="Arial"/>
          <w:sz w:val="17"/>
          <w:szCs w:val="17"/>
          <w:color w:val="auto"/>
        </w:rPr>
        <w:t>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$248.8 million have been incurred through June 30, 2018, of which $129.2 million has been recovered from a subsidiary of Manitoba Hydro.</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Manitoba Hydro must obtain regulatory and governmental approvals related to a new transmission line in Canada known as the Manitoba-Minnesota Transmission Project (MMTP) that will connect with the GNTL. In 2015, Manitoba Hydro submitted the final preferred route and EIS for the MMTP to the Manitoba Conservation and Water Stewardship for siting and environmental approval, which remains pending. In 2016, Manitoba Hydro filed an application with the Canadian National Energy Board (NEB) requesting authorization to construct and operate the MMTP. The NEB determined that Manitoba Hydro’s application was complete in December 2017, and held public hearings in June 2018. The NEB is required to make a decision on the MMTP by March 2019, but is not precluded from making a decision prior to that date. Approval of the Canadian federal cabinet is also required.</w:t>
      </w:r>
    </w:p>
    <w:p>
      <w:pPr>
        <w:spacing w:after="0" w:line="17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Arial" w:cs="Arial" w:eastAsia="Arial" w:hAnsi="Arial"/>
          <w:sz w:val="18"/>
          <w:szCs w:val="18"/>
          <w:color w:val="auto"/>
        </w:rPr>
        <w:t>service requirements in PPAs with Minnesota Power, Manitoba Hydro has indicated that it would need to start construction of the MMTP in December 2018.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and transmitted on the MMTP and the GNTL, commenced in 2014 and is anticipated to be in service by early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04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New Source Review (NSR). </w:t>
      </w:r>
      <w:r>
        <w:rPr>
          <w:rFonts w:ascii="Arial" w:cs="Arial" w:eastAsia="Arial" w:hAnsi="Arial"/>
          <w:sz w:val="16"/>
          <w:szCs w:val="16"/>
          <w:color w:val="auto"/>
        </w:rPr>
        <w:t>In 2014, Minnesota Power reached a settlement with the EPA and entered into a Consent Decree regarding certain Notices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Violation received in 2008 and 2011 that asserted violations of the NSR requirements of the Clean Air Act, which was approved by the U.S. District Court for the District of Minnesota. The Consent Decree provided for, among other requirements, more stringent emissions limits at all affected units, the option of refueling, retrofitting or retiring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In 2016, Minnesota Power announced that Boswell Units 1 and 2 will be retired in 2018 as part of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We believe that costs to retire Boswell Units 1 and 2 will be eligible for recovery in rates over time, subject to regulatory approval in a rate proceeding.</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Mercury and Air Toxics Standards (MATS) Rule. </w:t>
      </w:r>
      <w:r>
        <w:rPr>
          <w:rFonts w:ascii="Arial" w:cs="Arial" w:eastAsia="Arial" w:hAnsi="Arial"/>
          <w:sz w:val="17"/>
          <w:szCs w:val="17"/>
          <w:color w:val="auto"/>
        </w:rPr>
        <w:t>Under Section 112 of the Clean Air Act, the EPA is required to set emission standards for hazardous air</w:t>
      </w:r>
      <w:r>
        <w:rPr>
          <w:rFonts w:ascii="Arial" w:cs="Arial" w:eastAsia="Arial" w:hAnsi="Arial"/>
          <w:sz w:val="17"/>
          <w:szCs w:val="17"/>
          <w:i w:val="1"/>
          <w:iCs w:val="1"/>
          <w:color w:val="auto"/>
        </w:rPr>
        <w:t xml:space="preserve"> </w:t>
      </w:r>
      <w:r>
        <w:rPr>
          <w:rFonts w:ascii="Arial" w:cs="Arial" w:eastAsia="Arial" w:hAnsi="Arial"/>
          <w:sz w:val="17"/>
          <w:szCs w:val="17"/>
          <w:color w:val="auto"/>
        </w:rPr>
        <w:t>pollutants (HAPs) for certain source categories. The final MATS rule addressed such emissions from coal-fired utility units greater than 25 MW and established categories of HAPs, including mercury, trace metals other than mercury, and acid gases. The EPA established emission limits for these categories of HAPs and work practice standards for the remaining categories. Construction on the project to implement the Boswell Unit 4 mercury emissions reduction plan to position the unit for MATS compliance was completed in 2015. Investments and compliance work previously completed at Boswell Unit 3, including emission reduction investments completed in 2009, meet the requirements of the MATS rule. The conversion of Laskin Units 1 and 2 to operate on natural gas in 2015 positioned those units for MATS compliance.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Minnesota Power was required to implement a mercury emissions reduction project for Boswell Unit 4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0"/>
          </w:cols>
          <w:pgMar w:left="240" w:top="10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Four NAAQS have either recently been revised or are currently proposed for revision, as described below.</w:t>
      </w:r>
    </w:p>
    <w:p>
      <w:pPr>
        <w:spacing w:after="0" w:line="181" w:lineRule="exact"/>
        <w:rPr>
          <w:sz w:val="20"/>
          <w:szCs w:val="20"/>
          <w:color w:val="auto"/>
        </w:rPr>
      </w:pPr>
    </w:p>
    <w:p>
      <w:pPr>
        <w:jc w:val="both"/>
        <w:ind w:left="660" w:hanging="328"/>
        <w:spacing w:after="0" w:line="286" w:lineRule="auto"/>
        <w:tabs>
          <w:tab w:leader="none" w:pos="66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All areas of Minnesota currently meet the new standard based on the most recent available ambient monitoring data; however, some</w:t>
      </w:r>
      <w:r>
        <w:rPr>
          <w:rFonts w:ascii="Arial" w:cs="Arial" w:eastAsia="Arial" w:hAnsi="Arial"/>
          <w:sz w:val="17"/>
          <w:szCs w:val="17"/>
          <w:i w:val="1"/>
          <w:iCs w:val="1"/>
          <w:color w:val="auto"/>
        </w:rPr>
        <w:t xml:space="preserve"> </w:t>
      </w:r>
      <w:r>
        <w:rPr>
          <w:rFonts w:ascii="Arial" w:cs="Arial" w:eastAsia="Arial" w:hAnsi="Arial"/>
          <w:sz w:val="17"/>
          <w:szCs w:val="17"/>
          <w:color w:val="auto"/>
        </w:rPr>
        <w:t>areas in the metropolitan Twin Cities and southwest portion of the state are close to exceeding the standard. As a result, voluntary efforts to reduce ground-level ozone continue in the state. No additional costs for compliance are anticipated at this time.</w:t>
      </w:r>
    </w:p>
    <w:p>
      <w:pPr>
        <w:spacing w:after="0" w:line="165" w:lineRule="exact"/>
        <w:rPr>
          <w:rFonts w:ascii="Arial" w:cs="Arial" w:eastAsia="Arial" w:hAnsi="Arial"/>
          <w:sz w:val="17"/>
          <w:szCs w:val="17"/>
          <w:i w:val="1"/>
          <w:iCs w:val="1"/>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has designated the entire state of Minnesota as unclassifiable/attainment; however, Minnesota sources may</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be required to reduce their emissions to assist with attainment in neighboring states. In 2016, environmental groups filed a lawsuit against the EPA in the U.S. District Court for the Northern District of California alleging the EPA had failed to fully implement the PM</w:t>
      </w:r>
      <w:r>
        <w:rPr>
          <w:rFonts w:ascii="Arial" w:cs="Arial" w:eastAsia="Arial" w:hAnsi="Arial"/>
          <w:sz w:val="12"/>
          <w:szCs w:val="12"/>
          <w:color w:val="auto"/>
        </w:rPr>
        <w:t>2.5</w:t>
      </w:r>
      <w:r>
        <w:rPr>
          <w:rFonts w:ascii="Arial" w:cs="Arial" w:eastAsia="Arial" w:hAnsi="Arial"/>
          <w:sz w:val="18"/>
          <w:szCs w:val="18"/>
          <w:color w:val="auto"/>
        </w:rPr>
        <w:t xml:space="preserve"> standards in certain states, including Minnesota, by not enforcing states’ submittals of required infrastructure implementation plans for the 2012 PM</w:t>
      </w:r>
      <w:r>
        <w:rPr>
          <w:rFonts w:ascii="Arial" w:cs="Arial" w:eastAsia="Arial" w:hAnsi="Arial"/>
          <w:sz w:val="12"/>
          <w:szCs w:val="12"/>
          <w:color w:val="auto"/>
        </w:rPr>
        <w:t>2.5</w:t>
      </w:r>
      <w:r>
        <w:rPr>
          <w:rFonts w:ascii="Arial" w:cs="Arial" w:eastAsia="Arial" w:hAnsi="Arial"/>
          <w:sz w:val="18"/>
          <w:szCs w:val="18"/>
          <w:color w:val="auto"/>
        </w:rPr>
        <w:t xml:space="preserve"> NAAQS. The outcome of this litigation is uncertain, and as such, any costs for complying with the final Particulate Matter NAAQS cannot be estimated at this time.</w:t>
      </w:r>
    </w:p>
    <w:p>
      <w:pPr>
        <w:spacing w:after="0" w:line="193"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Ambient monitoring data indicates that Minnesota is likely in compliance with the one-hour NAAQS standard for NO</w:t>
      </w:r>
      <w:r>
        <w:rPr>
          <w:rFonts w:ascii="Arial" w:cs="Arial" w:eastAsia="Arial" w:hAnsi="Arial"/>
          <w:sz w:val="12"/>
          <w:szCs w:val="12"/>
          <w:color w:val="auto"/>
        </w:rPr>
        <w:t>2</w:t>
      </w:r>
      <w:r>
        <w:rPr>
          <w:rFonts w:ascii="Arial" w:cs="Arial" w:eastAsia="Arial" w:hAnsi="Arial"/>
          <w:sz w:val="18"/>
          <w:szCs w:val="18"/>
          <w:color w:val="auto"/>
        </w:rPr>
        <w:t>. In July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EPA proposed retaining the current one-hour and annual NO</w:t>
      </w:r>
      <w:r>
        <w:rPr>
          <w:rFonts w:ascii="Arial" w:cs="Arial" w:eastAsia="Arial" w:hAnsi="Arial"/>
          <w:sz w:val="12"/>
          <w:szCs w:val="12"/>
          <w:color w:val="auto"/>
        </w:rPr>
        <w:t>2</w:t>
      </w:r>
      <w:r>
        <w:rPr>
          <w:rFonts w:ascii="Arial" w:cs="Arial" w:eastAsia="Arial" w:hAnsi="Arial"/>
          <w:sz w:val="18"/>
          <w:szCs w:val="18"/>
          <w:color w:val="auto"/>
        </w:rPr>
        <w:t xml:space="preserve"> NAAQS. Additional compliance costs for the one-hour NO</w:t>
      </w:r>
      <w:r>
        <w:rPr>
          <w:rFonts w:ascii="Arial" w:cs="Arial" w:eastAsia="Arial" w:hAnsi="Arial"/>
          <w:sz w:val="12"/>
          <w:szCs w:val="12"/>
          <w:color w:val="auto"/>
        </w:rPr>
        <w:t>2</w:t>
      </w:r>
      <w:r>
        <w:rPr>
          <w:rFonts w:ascii="Arial" w:cs="Arial" w:eastAsia="Arial" w:hAnsi="Arial"/>
          <w:sz w:val="18"/>
          <w:szCs w:val="18"/>
          <w:color w:val="auto"/>
        </w:rPr>
        <w:t xml:space="preserve"> NAAQS are not expected at this time.</w:t>
      </w:r>
    </w:p>
    <w:p>
      <w:pPr>
        <w:spacing w:after="0" w:line="181"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SO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NAAQS. </w:t>
      </w:r>
      <w:r>
        <w:rPr>
          <w:rFonts w:ascii="Arial" w:cs="Arial" w:eastAsia="Arial" w:hAnsi="Arial"/>
          <w:sz w:val="17"/>
          <w:szCs w:val="17"/>
          <w:color w:val="auto"/>
        </w:rPr>
        <w:t>In 2015, the EPA finalized the SO</w:t>
      </w:r>
      <w:r>
        <w:rPr>
          <w:rFonts w:ascii="Arial" w:cs="Arial" w:eastAsia="Arial" w:hAnsi="Arial"/>
          <w:sz w:val="11"/>
          <w:szCs w:val="11"/>
          <w:color w:val="auto"/>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data requirements rule (DRR) for the 2010 one-hour NAAQS to assist the states in implementing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standard. The MPCA initially informed Minnesota Power that compliant SO</w:t>
      </w:r>
      <w:r>
        <w:rPr>
          <w:rFonts w:ascii="Arial" w:cs="Arial" w:eastAsia="Arial" w:hAnsi="Arial"/>
          <w:sz w:val="11"/>
          <w:szCs w:val="11"/>
          <w:color w:val="auto"/>
        </w:rPr>
        <w:t>2</w:t>
      </w:r>
      <w:r>
        <w:rPr>
          <w:rFonts w:ascii="Arial" w:cs="Arial" w:eastAsia="Arial" w:hAnsi="Arial"/>
          <w:sz w:val="17"/>
          <w:szCs w:val="17"/>
          <w:color w:val="auto"/>
        </w:rPr>
        <w:t xml:space="preserve"> modeling completed at Minnesota Power's Boswell and Taconite Harbor facilities would satisfy the DRR obligations and no further modeling would be required; however, the DRR also required facilities have federally-enforceable permit limits at which the one-hour SO</w:t>
      </w:r>
      <w:r>
        <w:rPr>
          <w:rFonts w:ascii="Arial" w:cs="Arial" w:eastAsia="Arial" w:hAnsi="Arial"/>
          <w:sz w:val="11"/>
          <w:szCs w:val="11"/>
          <w:color w:val="auto"/>
        </w:rPr>
        <w:t>2</w:t>
      </w:r>
      <w:r>
        <w:rPr>
          <w:rFonts w:ascii="Arial" w:cs="Arial" w:eastAsia="Arial" w:hAnsi="Arial"/>
          <w:sz w:val="17"/>
          <w:szCs w:val="17"/>
          <w:color w:val="auto"/>
        </w:rPr>
        <w:t xml:space="preserve"> NAAQS compliance was modeled by January 2017. Taconite Harbor was issued an amended air permit in 2016, containing the new modeling limits at that facility. The MPCA did not meet the January 2017, deadline to amend the Boswell permit. The MPCA is in discussions with the EPA on alternate compliance pathways to use existing completed modeling at current limits. On June 8, 2018, the EPA formally proposed in the Federal Register to retain the current primary SO</w:t>
      </w:r>
      <w:r>
        <w:rPr>
          <w:rFonts w:ascii="Arial" w:cs="Arial" w:eastAsia="Arial" w:hAnsi="Arial"/>
          <w:sz w:val="11"/>
          <w:szCs w:val="11"/>
          <w:color w:val="auto"/>
        </w:rPr>
        <w:t>2</w:t>
      </w:r>
      <w:r>
        <w:rPr>
          <w:rFonts w:ascii="Arial" w:cs="Arial" w:eastAsia="Arial" w:hAnsi="Arial"/>
          <w:sz w:val="17"/>
          <w:szCs w:val="17"/>
          <w:color w:val="auto"/>
        </w:rPr>
        <w:t xml:space="preserve"> one-hour NAAQS. Compliance costs for the one-hour SO</w:t>
      </w:r>
      <w:r>
        <w:rPr>
          <w:rFonts w:ascii="Arial" w:cs="Arial" w:eastAsia="Arial" w:hAnsi="Arial"/>
          <w:sz w:val="11"/>
          <w:szCs w:val="11"/>
          <w:color w:val="auto"/>
        </w:rPr>
        <w:t>2</w:t>
      </w:r>
      <w:r>
        <w:rPr>
          <w:rFonts w:ascii="Arial" w:cs="Arial" w:eastAsia="Arial" w:hAnsi="Arial"/>
          <w:sz w:val="17"/>
          <w:szCs w:val="17"/>
          <w:color w:val="auto"/>
        </w:rPr>
        <w:t xml:space="preserve"> NAAQS are not expected to be material.</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renewable power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2010, the EPA issued the Prevention of Significant Deterioration (PSD) and Title V Greenhouse Gas Tailoring Rule</w:t>
      </w:r>
      <w:r>
        <w:rPr>
          <w:rFonts w:ascii="Arial" w:cs="Arial" w:eastAsia="Arial" w:hAnsi="Arial"/>
          <w:sz w:val="18"/>
          <w:szCs w:val="18"/>
          <w:i w:val="1"/>
          <w:iCs w:val="1"/>
          <w:color w:val="auto"/>
        </w:rPr>
        <w:t xml:space="preserve"> </w:t>
      </w:r>
      <w:r>
        <w:rPr>
          <w:rFonts w:ascii="Arial" w:cs="Arial" w:eastAsia="Arial" w:hAnsi="Arial"/>
          <w:sz w:val="18"/>
          <w:szCs w:val="18"/>
          <w:color w:val="auto"/>
        </w:rPr>
        <w:t>(Tailoring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may be added to our existing Title V operating permits by the MPCA as these permits are renewed or amended.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04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U.S. Supreme Court invalidated the aspect of the Tailoring Rule that established higher permitting thresholds for GHG than for other pollutants subject to PSD; however, the court also upheld the EPA’s ability to require best available control technology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2016, the EPA published a proposed rule in the Federal Register to revise its PSD and Title V regulatory provisions concerning GHG emissions. In this proposed rule, the EPA proposes to amend its regulations to clarify that a source’s obligation to obtain a PSD or Title V permit is triggered only by non-GHG pollutants. If the PSD or Title V permitting requirements are triggered by non-GHG, NSR pollutants, then these programs will also apply to the source’s GHG emissions. The proposed rule, as currently written, is not expected to have a material impact on the Title V permitting for current operations.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2014, the EPA announced a proposed rule under Section 111(d) of the Clean Air Act for existing power plants entitled “Carbon Pollution Emission Guidelines for Existing Stationary Sources: Electric Generating Units”, also referred to as the Clean Power Plan (CPP). The EPA issued the final CPP in 2015, together with a proposed federal implementation plan and a model rule for emissions trading. In 2016, the U.S. Supreme Court issued an order staying the effectiveness of the rule until after the appellate court process is complete. In 2016, the U.S. Court of Appeals for the District of Columbia heard oral arguments and is currently deliberating. If the CPP is upheld at the completion of the appellate process, all of the CPP regulatory deadlines are expected to be reset based on the length of time that the appeals process takes. The EPA is precluded from enforcing the CPP while the U.S. Supreme Court stay is in force; however, the MPCA has been holding a series of meetings on the CPP for educational and planning purposes in the interim. Minnesota Power has been actively involved in these MPCA meetings, and is closely monitoring the appeals process.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upheld, the CPP would establish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 The EPA filed a motion with the U.S. Court of Appeals for the District of Columbia Circuit to hold CPP-related litigation in suspension while the EPA is reviewing the rule. In October 2017, the EPA issued a notice of proposed rulemaking, proposing to repeal the CPP. In December 2017, an Advanced Notice of Proposed Rulemaking for a CPP replacement rule was published in the Federal Register.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Minnesota Power is currently evaluating the CPP rescission and recent proposal for a CPP replacement rule as it relates to the state of Minnesota as well as its potential impact on the Company. Minnesota has already initiated several measures consistent with those called for under the CPP. Minnesota Power is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6. Regulatory Matters.)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additional costs through a rate proceeding.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2014, EPA regulations under Section 316(b) of the Clean Water Act setting standards applicable to cooling water</w:t>
      </w:r>
      <w:r>
        <w:rPr>
          <w:rFonts w:ascii="Arial" w:cs="Arial" w:eastAsia="Arial" w:hAnsi="Arial"/>
          <w:sz w:val="17"/>
          <w:szCs w:val="17"/>
          <w:i w:val="1"/>
          <w:iCs w:val="1"/>
          <w:color w:val="auto"/>
        </w:rPr>
        <w:t xml:space="preserve"> </w:t>
      </w:r>
      <w:r>
        <w:rPr>
          <w:rFonts w:ascii="Arial" w:cs="Arial" w:eastAsia="Arial" w:hAnsi="Arial"/>
          <w:sz w:val="17"/>
          <w:szCs w:val="17"/>
          <w:color w:val="auto"/>
        </w:rPr>
        <w:t>intake structures for the protection of aquatic organisms became effective. The regulations apply to the following facilities: Boswell, Taconite Harbor, Laskin, Rapids Energy Center, Hibbard Renewable Energy Center and portions of the DC transmission line that runs from Center, North Dakota, to Duluth, Minnesota. The Section 316(b) rule will be implemented through NPDES permits issued to covered facilities. No NPDES permits for Minnesota Power facilities have been re-issued containing Section 316(b) requirements since the final rule became effective. Should the MPCA require significant modifications to Minnesota Power’s intake structures, a preliminary assessment indicates that Minnesota Power could incur costs of compliance up to $15 million over the next five years. Minnesota Power would seek recovery of additional costs through a rate proceeding.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04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In 2015, the EPA issued revised federal effluent limit guidelines (ELG) for steam electric power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stations under the Clean Water Act. It set effluent limits and prescribed BACT for several wastewater streams, including flue gas desulphurization (FGD) water, bottom ash transport water and coal combustion landfill leachate. In September 2017, the EPA announced a two-year postponement of the ELG compliance date of November 1, 2018, to November 1, 2020, while the agency reconsiders the bottom ash transport water and FGD wastewater provisions.</w:t>
      </w:r>
    </w:p>
    <w:p>
      <w:pPr>
        <w:spacing w:after="0" w:line="15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final ELG rule’s potential impact on Minnesota Power operations is primarily at Boswell. Boswell currently discharges bottom ash contact water through its NPDES permit, and also has a closed-loop FGD system that does not discharge, but may do so in the future. Under the existing ELG rule, bottom ash transport water discharge must cease no later than December 31, 2023. Bottom ash contact water will either need to be re-used in a closed-loop process, routed to a FGD scrubber, or the bottom ash handling system will need to be converted to a dry process. If FGD wastewater is discharged in the future, it will require additional wastewater treatment. The ELG rule provision regarding these two waste-streams are being reconsidered and may change prior to November 1, 2020. Efforts have been underway at Boswell to reduce the amount of water discharged and evaluate potential re</w:t>
      </w:r>
      <w:r>
        <w:rPr>
          <w:rFonts w:ascii="MS PGothic" w:cs="MS PGothic" w:eastAsia="MS PGothic" w:hAnsi="MS PGothic"/>
          <w:sz w:val="18"/>
          <w:szCs w:val="18"/>
          <w:color w:val="auto"/>
        </w:rPr>
        <w:t>‑</w:t>
      </w:r>
      <w:r>
        <w:rPr>
          <w:rFonts w:ascii="Arial" w:cs="Arial" w:eastAsia="Arial" w:hAnsi="Arial"/>
          <w:sz w:val="18"/>
          <w:szCs w:val="18"/>
          <w:color w:val="auto"/>
        </w:rPr>
        <w:t>use options in its plant processes.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lined onsite impoundments (ash ponds), disposing of dry ash in a lined dry ash landfill, applying ash to land as an approved beneficial use and trucking ash to state permitted landfills.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Coal Combustion Residuals from Electric Utilities (CCR). </w:t>
      </w:r>
      <w:r>
        <w:rPr>
          <w:rFonts w:ascii="Arial" w:cs="Arial" w:eastAsia="Arial" w:hAnsi="Arial"/>
          <w:sz w:val="18"/>
          <w:szCs w:val="18"/>
          <w:color w:val="auto"/>
        </w:rPr>
        <w:t>In 2015, the EPA published the final rule regulating CCR as nonhazardous waste under Subtitle 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$100 million. The EPA has indicated to Minnesota Power that the Taconite Harbor landfill, which has been idled and has a temporary landfill cover in place, is a CCR unit, based on the EPA’s interpretation of the CCR rule language. Minnesota Power has agreed to post the required CCR information for the Taconite Harbor landfill on Minnesota Power’s website while the CCR issue is resolved. Compliance costs, if any, for CCR at Taconite Harbor cannot be estimated at this time. Minnesota Power would seek recovery of additional costs through a rate proceeding.</w:t>
      </w:r>
    </w:p>
    <w:p>
      <w:pPr>
        <w:spacing w:after="0" w:line="19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Minnesota Power continues to work on minimizing costs through evaluation of beneficial re-use and recycling of CCR and CCR</w:t>
      </w:r>
      <w:r>
        <w:rPr>
          <w:rFonts w:ascii="MS PGothic" w:cs="MS PGothic" w:eastAsia="MS PGothic" w:hAnsi="MS PGothic"/>
          <w:sz w:val="18"/>
          <w:szCs w:val="18"/>
          <w:color w:val="auto"/>
        </w:rPr>
        <w:t>‑</w:t>
      </w:r>
      <w:r>
        <w:rPr>
          <w:rFonts w:ascii="Arial" w:cs="Arial" w:eastAsia="Arial" w:hAnsi="Arial"/>
          <w:sz w:val="18"/>
          <w:szCs w:val="18"/>
          <w:color w:val="auto"/>
        </w:rPr>
        <w:t>related waters. In September 2017, the EPA announced its intention to formally reconsider the CCR rule under Subtitle D of the RCRA and on March 15, 2018, published the first phase of the proposed rule revisions in the Federal Register. On July 17, 2018, the EPA finalized revisions to elements of the CCR rule, including extending certain deadlines by two years, the establishment of alternative groundwater protection standards for certain constituents and the potential for risk</w:t>
      </w:r>
      <w:r>
        <w:rPr>
          <w:rFonts w:ascii="MS PGothic" w:cs="MS PGothic" w:eastAsia="MS PGothic" w:hAnsi="MS PGothic"/>
          <w:sz w:val="18"/>
          <w:szCs w:val="18"/>
          <w:color w:val="auto"/>
        </w:rPr>
        <w:t>‑</w:t>
      </w:r>
      <w:r>
        <w:rPr>
          <w:rFonts w:ascii="Arial" w:cs="Arial" w:eastAsia="Arial" w:hAnsi="Arial"/>
          <w:sz w:val="18"/>
          <w:szCs w:val="18"/>
          <w:color w:val="auto"/>
        </w:rPr>
        <w:t>based management options at facilities based on site characteristics.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SWL&amp;P has been working with the Wisconsin Department of Natural Resources (WDNR) in determining the extent and location of contamination at the site and surrounding properties. In December 2017, the WDNR authorized SWL&amp;P to transition from site investigation into the remedial design process. As of June 30, 2018, we have recorded a liability of approximately $7 million for remediation costs at this site (approximately $8 million as of December 31, 2017), and an associated regulatory asset as we expect recovery of these remediation costs to be allowed by the PSCW. We expect to incur these costs over the next four years.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20"/>
          </w:cols>
          <w:pgMar w:left="240" w:top="104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June 30, 2018, ALLETE Clean Energy has $16.2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June 30, 2018, U.S. Water Services has no outstanding standby letters of credit.</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BNI Energy. </w:t>
      </w:r>
      <w:r>
        <w:rPr>
          <w:rFonts w:ascii="Arial" w:cs="Arial" w:eastAsia="Arial" w:hAnsi="Arial"/>
          <w:sz w:val="17"/>
          <w:szCs w:val="17"/>
          <w:color w:val="auto"/>
        </w:rPr>
        <w:t>As of June 30, 2018, BNI Energy had surety bonds outstanding of $49.9 million and a letter of credit for an additional $0.6 million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$47.5 million. BNI Energy does not believe it is likely that any of these outstanding surety bonds or the letter of credit will be drawn upon.</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June 30, 2018, ALLETE Properties had surety bonds outstanding and letters of credit to governmental entities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$8.6 million primarily related to development and maintenance obligations for various projects. The estimated cost of the remaining development work is $6.1 million. ALLETE Properties does not believe it is likely that any of these outstanding surety bonds or letters of credit will be drawn upon.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As of June 30, 2018, we owned 70 percent of the assessable land in the Town Center District (70 percent as</w:t>
      </w:r>
      <w:r>
        <w:rPr>
          <w:rFonts w:ascii="Arial" w:cs="Arial" w:eastAsia="Arial" w:hAnsi="Arial"/>
          <w:sz w:val="18"/>
          <w:szCs w:val="18"/>
          <w:b w:val="1"/>
          <w:bCs w:val="1"/>
          <w:color w:val="auto"/>
        </w:rPr>
        <w:t xml:space="preserve"> </w:t>
      </w:r>
      <w:r>
        <w:rPr>
          <w:rFonts w:ascii="Arial" w:cs="Arial" w:eastAsia="Arial" w:hAnsi="Arial"/>
          <w:sz w:val="18"/>
          <w:szCs w:val="18"/>
          <w:color w:val="auto"/>
        </w:rPr>
        <w:t>of December 31, 2017) and 27 percent of the assessable land in the Palm Coast Park District (33 percent as of December 31, 2017). As of June 30, 2018, ownership levels, our annual assessments related to capital improvement and special assessment bonds for the ALLETE Properties projects within these districts are approximately $1.4 million for Town Center at Palm Coast and $0.6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Water Services is involved in on-going patent defense litigation it brought against a company for infringement of two patents held by U.S. Water Services. As of June 30, 2018, U.S. Water Services has recognized approximately $2 million of patent defense costs as an intangible asset. Management expects that U.S. Water Services will prevail, but in the event of an unfavorable outcome, the patent defense costs would be recognized as an expense in the period of resolution.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is our integrated water management company.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4,000 acres of land in Minnesota, and earnings on cash and investments.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04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2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9"/>
        </w:trPr>
        <w:tc>
          <w:tcPr>
            <w:tcW w:w="5780" w:type="dxa"/>
            <w:vAlign w:val="bottom"/>
          </w:tcPr>
          <w:p>
            <w:pPr>
              <w:spacing w:after="0"/>
              <w:rPr>
                <w:sz w:val="24"/>
                <w:szCs w:val="24"/>
                <w:color w:val="auto"/>
              </w:rPr>
            </w:pPr>
          </w:p>
        </w:tc>
        <w:tc>
          <w:tcPr>
            <w:tcW w:w="37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Quarter Ended</w:t>
            </w:r>
          </w:p>
        </w:tc>
        <w:tc>
          <w:tcPr>
            <w:tcW w:w="18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780" w:type="dxa"/>
            <w:vAlign w:val="bottom"/>
          </w:tcPr>
          <w:p>
            <w:pPr>
              <w:spacing w:after="0"/>
              <w:rPr>
                <w:sz w:val="23"/>
                <w:szCs w:val="23"/>
                <w:color w:val="auto"/>
              </w:rPr>
            </w:pPr>
          </w:p>
        </w:tc>
        <w:tc>
          <w:tcPr>
            <w:tcW w:w="37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18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5780" w:type="dxa"/>
            <w:vAlign w:val="bottom"/>
          </w:tcPr>
          <w:p>
            <w:pPr>
              <w:spacing w:after="0"/>
              <w:rPr>
                <w:sz w:val="23"/>
                <w:szCs w:val="23"/>
                <w:color w:val="auto"/>
              </w:rPr>
            </w:pPr>
          </w:p>
        </w:tc>
        <w:tc>
          <w:tcPr>
            <w:tcW w:w="2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r>
      <w:tr>
        <w:trPr>
          <w:trHeight w:val="27"/>
        </w:trPr>
        <w:tc>
          <w:tcPr>
            <w:tcW w:w="57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Operating Revenue </w:t>
            </w:r>
            <w:r>
              <w:rPr>
                <w:rFonts w:ascii="Arial" w:cs="Arial" w:eastAsia="Arial" w:hAnsi="Arial"/>
                <w:sz w:val="16"/>
                <w:szCs w:val="16"/>
                <w:i w:val="1"/>
                <w:iCs w:val="1"/>
                <w:color w:val="auto"/>
              </w:rPr>
              <w:t>(a)</w:t>
            </w:r>
          </w:p>
        </w:tc>
        <w:tc>
          <w:tcPr>
            <w:tcW w:w="2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2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$30.7</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$27.6</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$71.4</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36.2</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33.7</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72.8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71.9</w:t>
            </w: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13.7</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12.3</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Industrial</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115.3</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121.6</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230.2</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243.3</w:t>
            </w: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Power Suppliers</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42.7</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41.7</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86.4</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 xml:space="preserve">CIP Financial Incentive </w:t>
            </w:r>
            <w:r>
              <w:rPr>
                <w:rFonts w:ascii="Arial" w:cs="Arial" w:eastAsia="Arial" w:hAnsi="Arial"/>
                <w:sz w:val="16"/>
                <w:szCs w:val="16"/>
                <w:i w:val="1"/>
                <w:iCs w:val="1"/>
                <w:color w:val="auto"/>
              </w:rPr>
              <w:t>(b)</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5.5</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19.2</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22.5</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39.5</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37"/>
        </w:trPr>
        <w:tc>
          <w:tcPr>
            <w:tcW w:w="5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Regulated Operations</w:t>
            </w:r>
          </w:p>
        </w:tc>
        <w:tc>
          <w:tcPr>
            <w:tcW w:w="28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257.8</w:t>
            </w: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264.9</w:t>
            </w: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528.0</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546.5</w:t>
            </w:r>
          </w:p>
        </w:tc>
      </w:tr>
      <w:tr>
        <w:trPr>
          <w:trHeight w:val="27"/>
        </w:trPr>
        <w:tc>
          <w:tcPr>
            <w:tcW w:w="57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578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Energy Infrastructure and Related Services</w:t>
            </w:r>
          </w:p>
        </w:tc>
        <w:tc>
          <w:tcPr>
            <w:tcW w:w="2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780" w:type="dxa"/>
            <w:vAlign w:val="bottom"/>
            <w:shd w:val="clear" w:color="auto" w:fill="CCEEFF"/>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ALLETE Clean Energy</w:t>
            </w:r>
          </w:p>
        </w:tc>
        <w:tc>
          <w:tcPr>
            <w:tcW w:w="2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PSA</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12.4</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13.7</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31.0</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Other</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5.9</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11.9</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57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ALLETE Clean Energy</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18.3</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19.6</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42.9</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64"/>
        </w:trPr>
        <w:tc>
          <w:tcPr>
            <w:tcW w:w="5780" w:type="dxa"/>
            <w:vAlign w:val="bottom"/>
            <w:tcBorders>
              <w:top w:val="single" w:sz="8" w:color="auto"/>
            </w:tcBorders>
          </w:tcPr>
          <w:p>
            <w:pPr>
              <w:spacing w:after="0"/>
              <w:rPr>
                <w:sz w:val="22"/>
                <w:szCs w:val="22"/>
                <w:color w:val="auto"/>
              </w:rPr>
            </w:pPr>
          </w:p>
        </w:tc>
        <w:tc>
          <w:tcPr>
            <w:tcW w:w="28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Water Services</w:t>
            </w:r>
          </w:p>
        </w:tc>
        <w:tc>
          <w:tcPr>
            <w:tcW w:w="2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Point-in-Time</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25.7</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23.9</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48.0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8.8</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19.0</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Capital Project</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5.7</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57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U.S. Water Services</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41.5</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38.4</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64"/>
        </w:trPr>
        <w:tc>
          <w:tcPr>
            <w:tcW w:w="5780" w:type="dxa"/>
            <w:vAlign w:val="bottom"/>
            <w:tcBorders>
              <w:top w:val="single" w:sz="8" w:color="auto"/>
            </w:tcBorders>
          </w:tcPr>
          <w:p>
            <w:pPr>
              <w:spacing w:after="0"/>
              <w:rPr>
                <w:sz w:val="22"/>
                <w:szCs w:val="22"/>
                <w:color w:val="auto"/>
              </w:rPr>
            </w:pPr>
          </w:p>
        </w:tc>
        <w:tc>
          <w:tcPr>
            <w:tcW w:w="28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2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Long-term Contract</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22.7</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23.2</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42.7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7.2</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37"/>
        </w:trPr>
        <w:tc>
          <w:tcPr>
            <w:tcW w:w="5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Corporate and Other</w:t>
            </w:r>
          </w:p>
        </w:tc>
        <w:tc>
          <w:tcPr>
            <w:tcW w:w="28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26.5</w:t>
            </w: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30.4</w:t>
            </w: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51.7</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w:t>
            </w:r>
          </w:p>
        </w:tc>
      </w:tr>
      <w:tr>
        <w:trPr>
          <w:trHeight w:val="27"/>
        </w:trPr>
        <w:tc>
          <w:tcPr>
            <w:tcW w:w="57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Revenue</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$344.1</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$353.3</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$702.3</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$718.9</w:t>
            </w:r>
          </w:p>
        </w:tc>
      </w:tr>
      <w:tr>
        <w:trPr>
          <w:trHeight w:val="237"/>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8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$26.0</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$32.4</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$69.9</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r>
      <w:tr>
        <w:trPr>
          <w:trHeight w:val="270"/>
        </w:trPr>
        <w:tc>
          <w:tcPr>
            <w:tcW w:w="57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14.9</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5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70"/>
        </w:trPr>
        <w:tc>
          <w:tcPr>
            <w:tcW w:w="57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5"/>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578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w:t>
            </w:r>
          </w:p>
        </w:tc>
        <w:tc>
          <w:tcPr>
            <w:tcW w:w="28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$31.3</w:t>
            </w: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$36.9</w:t>
            </w: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$82.3</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With the adoption of new revenue recognition guidance, the Company has enhanced the presentation of business segment Operating Revenue. (See Note 1. Operations and Significant Accounting Policies.)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See Note 6. Regulatory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39" w:right="239" w:bottom="661"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20"/>
          </w:cols>
          <w:pgMar w:left="240" w:top="1039" w:right="239" w:bottom="661"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36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549"/>
        </w:trPr>
        <w:tc>
          <w:tcPr>
            <w:tcW w:w="6440" w:type="dxa"/>
            <w:vAlign w:val="bottom"/>
          </w:tcPr>
          <w:p>
            <w:pPr>
              <w:spacing w:after="0"/>
              <w:rPr>
                <w:sz w:val="24"/>
                <w:szCs w:val="24"/>
                <w:color w:val="auto"/>
              </w:rPr>
            </w:pPr>
          </w:p>
        </w:tc>
        <w:tc>
          <w:tcPr>
            <w:tcW w:w="360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440" w:type="dxa"/>
            <w:vAlign w:val="bottom"/>
          </w:tcPr>
          <w:p>
            <w:pPr>
              <w:spacing w:after="0"/>
              <w:rPr>
                <w:sz w:val="20"/>
                <w:szCs w:val="20"/>
                <w:color w:val="auto"/>
              </w:rPr>
            </w:pPr>
          </w:p>
        </w:tc>
        <w:tc>
          <w:tcPr>
            <w:tcW w:w="36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4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600" w:type="dxa"/>
            <w:vAlign w:val="bottom"/>
          </w:tcPr>
          <w:p>
            <w:pPr>
              <w:jc w:val="right"/>
              <w:ind w:right="110"/>
              <w:spacing w:after="0"/>
              <w:rPr>
                <w:sz w:val="20"/>
                <w:szCs w:val="20"/>
                <w:color w:val="auto"/>
              </w:rPr>
            </w:pPr>
            <w:r>
              <w:rPr>
                <w:rFonts w:ascii="Arial" w:cs="Arial" w:eastAsia="Arial" w:hAnsi="Arial"/>
                <w:sz w:val="18"/>
                <w:szCs w:val="18"/>
                <w:color w:val="auto"/>
              </w:rPr>
              <w:t>$3,898.2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$3,886.6</w:t>
            </w:r>
          </w:p>
        </w:tc>
      </w:tr>
      <w:tr>
        <w:trPr>
          <w:trHeight w:val="27"/>
        </w:trPr>
        <w:tc>
          <w:tcPr>
            <w:tcW w:w="64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440" w:type="dxa"/>
            <w:vAlign w:val="bottom"/>
            <w:shd w:val="clear" w:color="auto" w:fill="CCEEFF"/>
          </w:tcPr>
          <w:p>
            <w:pPr>
              <w:spacing w:after="0"/>
              <w:rPr>
                <w:sz w:val="23"/>
                <w:szCs w:val="23"/>
                <w:color w:val="auto"/>
              </w:rPr>
            </w:pPr>
          </w:p>
        </w:tc>
        <w:tc>
          <w:tcPr>
            <w:tcW w:w="36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6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4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620.2</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600.5</w:t>
            </w: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600" w:type="dxa"/>
            <w:vAlign w:val="bottom"/>
          </w:tcPr>
          <w:p>
            <w:pPr>
              <w:jc w:val="right"/>
              <w:ind w:right="110"/>
              <w:spacing w:after="0"/>
              <w:rPr>
                <w:sz w:val="20"/>
                <w:szCs w:val="20"/>
                <w:color w:val="auto"/>
              </w:rPr>
            </w:pPr>
            <w:r>
              <w:rPr>
                <w:rFonts w:ascii="Arial" w:cs="Arial" w:eastAsia="Arial" w:hAnsi="Arial"/>
                <w:sz w:val="18"/>
                <w:szCs w:val="18"/>
                <w:color w:val="auto"/>
              </w:rPr>
              <w:t>291.8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292.4</w:t>
            </w:r>
          </w:p>
        </w:tc>
      </w:tr>
      <w:tr>
        <w:trPr>
          <w:trHeight w:val="27"/>
        </w:trPr>
        <w:tc>
          <w:tcPr>
            <w:tcW w:w="64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440" w:type="dxa"/>
            <w:vAlign w:val="bottom"/>
            <w:shd w:val="clear" w:color="auto" w:fill="CCEEFF"/>
          </w:tcPr>
          <w:p>
            <w:pPr>
              <w:spacing w:after="0"/>
              <w:rPr>
                <w:sz w:val="23"/>
                <w:szCs w:val="23"/>
                <w:color w:val="auto"/>
              </w:rPr>
            </w:pPr>
          </w:p>
        </w:tc>
        <w:tc>
          <w:tcPr>
            <w:tcW w:w="36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600" w:type="dxa"/>
            <w:vAlign w:val="bottom"/>
          </w:tcPr>
          <w:p>
            <w:pPr>
              <w:jc w:val="right"/>
              <w:ind w:right="110"/>
              <w:spacing w:after="0"/>
              <w:rPr>
                <w:sz w:val="20"/>
                <w:szCs w:val="20"/>
                <w:color w:val="auto"/>
              </w:rPr>
            </w:pPr>
            <w:r>
              <w:rPr>
                <w:rFonts w:ascii="Arial" w:cs="Arial" w:eastAsia="Arial" w:hAnsi="Arial"/>
                <w:sz w:val="18"/>
                <w:szCs w:val="18"/>
                <w:color w:val="auto"/>
              </w:rPr>
              <w:t>304.5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300.5</w:t>
            </w:r>
          </w:p>
        </w:tc>
      </w:tr>
      <w:tr>
        <w:trPr>
          <w:trHeight w:val="27"/>
        </w:trPr>
        <w:tc>
          <w:tcPr>
            <w:tcW w:w="64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$5,114.7</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$5,080.0</w:t>
            </w:r>
          </w:p>
        </w:tc>
      </w:tr>
      <w:tr>
        <w:trPr>
          <w:trHeight w:val="20"/>
        </w:trPr>
        <w:tc>
          <w:tcPr>
            <w:tcW w:w="644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2017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2017 Form 10-K under the headings: “Forward-Looking Statements” located on page 6 and “Risk Factors” located in Part I, Item 1A, beginning on page 25 of our 2017 Form 10-K. The risks and uncertainties described in this Form 10-Q and our 2017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6. Regulatory Matters.)</w:t>
      </w:r>
    </w:p>
    <w:p>
      <w:pPr>
        <w:spacing w:after="0" w:line="15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4,000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2018, unless otherwise indicated. All subsidiaries are wholly-owned unless otherwise specifically indicated. References in this report to “we,” “us” and “our” are to ALLETE and its subsidiaries, collectively.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04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2018, to the six months ended June 30, 2017.</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income for the six months ended June 30, 2018, was $82.3 million, or $1.60 per diluted share, compared to $85.9 million, or $1.69 per diluted share, for the same period in 2017. Earnings per share dilution was $0.02 due to additional shares of common stock outstanding as of June 30, 2018.</w:t>
      </w:r>
    </w:p>
    <w:p>
      <w:pPr>
        <w:spacing w:after="0" w:line="14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net income was $69.9 million for the six months ended June 30, 2018, compared to $75.9 million for the same period in 2017.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at Minnesota Power was lower than 2017 primarily due to reserves for an interim rate refund, lower transmission revenue, the timing of financial incentives under the Minnesota conservation improvement program and higher property taxes. These decreases were partially offset by lower operating and maintenance expense, higher sales to residential customers due to more favorable weather conditions, and higher sales to industrial customers due to the start-up of Keetac in March 2017. Net income at SWL&amp;P was higher than 2017 due to the implementation of updated rates in August 2017 and more favorable weather conditions in 2018. Our after-tax equity earnings in ATC for the six months ended June 30, 2018, were consistent with 2017.</w:t>
      </w:r>
    </w:p>
    <w:p>
      <w:pPr>
        <w:spacing w:after="0" w:line="15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was $14.9 million for the six months ended June 30, 2018, compared to $10.5 million for the same period in 2017.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in 2018 included $4.5 million after</w:t>
      </w:r>
      <w:r>
        <w:rPr>
          <w:rFonts w:ascii="MS PGothic" w:cs="MS PGothic" w:eastAsia="MS PGothic" w:hAnsi="MS PGothic"/>
          <w:sz w:val="18"/>
          <w:szCs w:val="18"/>
          <w:color w:val="auto"/>
        </w:rPr>
        <w:t>‑</w:t>
      </w:r>
      <w:r>
        <w:rPr>
          <w:rFonts w:ascii="Arial" w:cs="Arial" w:eastAsia="Arial" w:hAnsi="Arial"/>
          <w:sz w:val="18"/>
          <w:szCs w:val="18"/>
          <w:color w:val="auto"/>
        </w:rPr>
        <w:t>tax of additional production tax credits generated as ALLETE Clean Energy continues to execute its refurbishment strategy and a lower federal income tax rate due to the TCJA. Of the $4.5 million after-tax in additional production tax credits, $2.6 million resulted from the retrospective qualification of additional WTGs in 2016 and 2017. These increases were partially offset by higher operating and maintenance expenses, and lower revenue resulting from lower wind resources.</w:t>
      </w:r>
    </w:p>
    <w:p>
      <w:pPr>
        <w:spacing w:after="0" w:line="20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U.S. Water Services </w:t>
      </w:r>
      <w:r>
        <w:rPr>
          <w:rFonts w:ascii="Arial" w:cs="Arial" w:eastAsia="Arial" w:hAnsi="Arial"/>
          <w:sz w:val="16"/>
          <w:szCs w:val="16"/>
          <w:color w:val="auto"/>
        </w:rPr>
        <w:t>net loss was $1.2 million for the six months ended June 30, 2018, compared to a net income of $0.3 million for the same period in 2017.</w:t>
      </w:r>
      <w:r>
        <w:rPr>
          <w:rFonts w:ascii="Arial" w:cs="Arial" w:eastAsia="Arial" w:hAnsi="Arial"/>
          <w:sz w:val="16"/>
          <w:szCs w:val="16"/>
          <w:b w:val="1"/>
          <w:bCs w:val="1"/>
          <w:color w:val="auto"/>
        </w:rPr>
        <w:t xml:space="preserve"> </w:t>
      </w:r>
      <w:r>
        <w:rPr>
          <w:rFonts w:ascii="Arial" w:cs="Arial" w:eastAsia="Arial" w:hAnsi="Arial"/>
          <w:sz w:val="16"/>
          <w:szCs w:val="16"/>
          <w:color w:val="auto"/>
        </w:rPr>
        <w:t>The net loss in 2018 includes higher operating expenses, partially offset by increased revenue primarily resulting from the September 2017 acquisition of Tonka Water. The first six months of 2018 were also impacted by the timing of capital project sales and unfavorable weather conditions reducing chemical sales. The net loss in 2018 also included $0.5 million of after-tax expense recognized as cost of sales related to purchase accounting for sales backlog.</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net loss was $1.3 million for the six months ended June 30, 2018, compared to a net loss of $0.8 million for the same period in 2017.</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in 2018 decreased primarily due to additional income tax expense recorded in 2018 as GAAP requires the recognition of quarterly income tax expense at the estimated annual effective tax rate, partially offset by lower operating and maintenance expenses at ALLETE Properties.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04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QUARTERS ENDED JUNE 30, 2018 AND 2017</w:t>
            </w:r>
          </w:p>
        </w:tc>
        <w:tc>
          <w:tcPr>
            <w:tcW w:w="28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8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$257.8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96.5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54.9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57.3</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44.5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13.0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4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40" w:type="dxa"/>
            <w:vAlign w:val="bottom"/>
          </w:tcPr>
          <w:p>
            <w:pPr>
              <w:jc w:val="right"/>
              <w:ind w:right="190"/>
              <w:spacing w:after="0"/>
              <w:rPr>
                <w:sz w:val="20"/>
                <w:szCs w:val="20"/>
                <w:color w:val="auto"/>
              </w:rPr>
            </w:pPr>
            <w:r>
              <w:rPr>
                <w:rFonts w:ascii="Arial" w:cs="Arial" w:eastAsia="Arial" w:hAnsi="Arial"/>
                <w:sz w:val="18"/>
                <w:szCs w:val="18"/>
                <w:color w:val="auto"/>
              </w:rPr>
              <w:t>(15.1)</w:t>
            </w: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4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0"/>
        </w:trPr>
        <w:tc>
          <w:tcPr>
            <w:tcW w:w="440" w:type="dxa"/>
            <w:vAlign w:val="bottom"/>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$7.1 million, or 3 percent, from 2017 reflecting interim retail rate refund reserves, lower financial incentives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Minnesota conservation improvement program and lower transmission revenue, partially offset by higher revenue from kWh sales, cost recovery rider revenue, conservation improvement program recoveries and fuel clause adjustment recoveries.</w:t>
      </w:r>
    </w:p>
    <w:p>
      <w:pPr>
        <w:spacing w:after="0" w:line="18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Interim rates, net of reserves, decreased $7.8 million from 2017 as interim rate refund reserves were recognized during 2018 due to the regulatory outcome of the MPUC’s decisions in Minnesota Power’s 2016 general rate case. (See Note 6. Regulatory Matters.)</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Financial incentives under the Minnesota conservation improvement program were lower $5.5 million from 2017 due to the timing of MPUC approval. The conservation improvement program financial incentive was recognized in the second quarter of 2017 upon approval by the MPUC of Minnesota Power’s 2016 CIP consolidated filing in a June 2017 order. Approval of Minnesota Power’s 2017 CIP consolidated filing is expected in the third quarter of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Transmission revenue decreased $4.4 million primarily due to lower MISO-related revenue. (See </w:t>
      </w:r>
      <w:r>
        <w:rPr>
          <w:rFonts w:ascii="Arial" w:cs="Arial" w:eastAsia="Arial" w:hAnsi="Arial"/>
          <w:sz w:val="16"/>
          <w:szCs w:val="16"/>
          <w:i w:val="1"/>
          <w:iCs w:val="1"/>
          <w:color w:val="auto"/>
        </w:rPr>
        <w:t>Operating Expenses - Transmission Services – Utility.</w:t>
      </w:r>
      <w:r>
        <w:rPr>
          <w:rFonts w:ascii="Arial" w:cs="Arial" w:eastAsia="Arial" w:hAnsi="Arial"/>
          <w:sz w:val="16"/>
          <w:szCs w:val="16"/>
          <w:color w:val="auto"/>
        </w:rPr>
        <w:t>)</w:t>
      </w:r>
    </w:p>
    <w:p>
      <w:pPr>
        <w:spacing w:after="0" w:line="24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from kWh sales increased $4.4 million from 2017 primarily due to higher sales to Residential, Commercial and Municipal customers in 2018. Sales to Residential, Commercial and Municipal customers increased from 2017 primarily due to more favorable weather conditions in 2018. Sales to Industrial customers decreased 1.9 percent primarily due to lower sales to paper, pulp and secondary wood product customers as a result of the closure of the smaller of UPM Blandin’s two paper machines in the fourth quarter of 2017. Sales to Other Power Suppliers were comparable to 2017, while revenue increased due to higher pricing. Sales to Other Power Suppliers are sold at market-based prices into the MISO market on a daily basis or through bilateral agreements of various durations.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04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COMPARISON OF THE QUARTERS ENDED JUNE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339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328</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1,781</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1,816</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188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181</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2,551</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2,554</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1,005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1,004</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3,556</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3,558</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502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22 percent of consolidated operating revenue in 2018 (22 percent in 2017). Revenue from electric sales to paper, pulp and secondary wood product customers accounted for 5 percent of consolidated operating revenue in 2018 (5 percent in 2017). Revenue from electric sales to pipelines and other industrial customers accounted for 6 percent of consolidated operating revenue in 2018 (7 percent in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recovery rider revenue increased $3.6 million primarily due to higher expenditures related to the construction of the GNTL.</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$1.9 million from 2017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Fuel adjustment clause recoveries increased $1.6 million due to higher fuel and purchased power costs attributable to retail and municipal customers.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$6.0 million, or 3 percent, from 2017.</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$3.4 million, or 4 percent, from 2017 primarily due to higher purchased power prices,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fuel costs. Fuel and purchased power expense related to our retail and municipal customers is recovered through the fuel adjustment clause.</w:t>
      </w:r>
    </w:p>
    <w:p>
      <w:pPr>
        <w:spacing w:after="0" w:line="181" w:lineRule="exact"/>
        <w:rPr>
          <w:sz w:val="20"/>
          <w:szCs w:val="20"/>
          <w:color w:val="auto"/>
        </w:rPr>
      </w:pPr>
    </w:p>
    <w:p>
      <w:pPr>
        <w:jc w:val="both"/>
        <w:ind w:left="340"/>
        <w:spacing w:after="0" w:line="223" w:lineRule="exact"/>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decreased $0.8 million, or 5 percent, from 2017 primarily due to lower MISO</w:t>
      </w:r>
      <w:r>
        <w:rPr>
          <w:rFonts w:ascii="MS PGothic" w:cs="MS PGothic" w:eastAsia="MS PGothic" w:hAnsi="MS PGothic"/>
          <w:sz w:val="18"/>
          <w:szCs w:val="18"/>
          <w:color w:val="auto"/>
        </w:rPr>
        <w:t>‑</w:t>
      </w:r>
      <w:r>
        <w:rPr>
          <w:rFonts w:ascii="Arial" w:cs="Arial" w:eastAsia="Arial" w:hAnsi="Arial"/>
          <w:sz w:val="18"/>
          <w:szCs w:val="18"/>
          <w:color w:val="auto"/>
        </w:rPr>
        <w:t>related expense. (See</w:t>
      </w:r>
      <w:r>
        <w:rPr>
          <w:rFonts w:ascii="Arial" w:cs="Arial" w:eastAsia="Arial" w:hAnsi="Arial"/>
          <w:sz w:val="18"/>
          <w:szCs w:val="18"/>
          <w:i w:val="1"/>
          <w:iCs w:val="1"/>
          <w:color w:val="auto"/>
        </w:rPr>
        <w:t xml:space="preserve"> Operating Revenue – Utility.</w:t>
      </w:r>
      <w:r>
        <w:rPr>
          <w:rFonts w:ascii="Arial" w:cs="Arial" w:eastAsia="Arial" w:hAnsi="Arial"/>
          <w:sz w:val="18"/>
          <w:szCs w:val="18"/>
          <w:color w:val="auto"/>
        </w:rPr>
        <w:t>)</w:t>
      </w:r>
    </w:p>
    <w:p>
      <w:pPr>
        <w:spacing w:after="0" w:line="20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$2.4 million, or 4 percent, from 2017 primarily due to lower salary and benefit expenses,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a $1.9 million increase in conservation improvement program expenses in 2018. Conservation improvement program expenses are recovered from certain retail customers.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expense increased $5.5 million, or 14 percent, from 2017 primarily due to modifications of the depreciable lives for</w:t>
      </w:r>
      <w:r>
        <w:rPr>
          <w:rFonts w:ascii="Arial" w:cs="Arial" w:eastAsia="Arial" w:hAnsi="Arial"/>
          <w:sz w:val="17"/>
          <w:szCs w:val="17"/>
          <w:i w:val="1"/>
          <w:iCs w:val="1"/>
          <w:color w:val="auto"/>
        </w:rPr>
        <w:t xml:space="preserve"> </w:t>
      </w:r>
      <w:r>
        <w:rPr>
          <w:rFonts w:ascii="Arial" w:cs="Arial" w:eastAsia="Arial" w:hAnsi="Arial"/>
          <w:sz w:val="17"/>
          <w:szCs w:val="17"/>
          <w:color w:val="auto"/>
        </w:rPr>
        <w:t>Boswell as part of Minnesota Power’s general rate case. As part of its order dated March 12, 2018, affirming determinations made at a hearing on January 18, 2018, the MPUC extended the depreciable lives of Boswell Unit 3, Unit 4 and common facilities to 2050, and shortened the depreciable lives of Boswell Unit 1 and Unit 2 to 2022, resulting in a net decrease to depreciation expense in the first quarter of 2018. Subsequently, in an order dated May 29, 2018, the MPUC modified its March 12, 2018 order, reducing the depreciable lives of Boswell Unit 3, Unit 4 and common facilities to 2035 resulting in an increase to depreciation expense in the second quarter of 2018. (See Note 6. Regulatory Matters.)</w:t>
      </w:r>
    </w:p>
    <w:p>
      <w:pPr>
        <w:spacing w:after="0" w:line="1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$1.0 million, or 19 percent, from 2017 primarily due to the federal income tax rate change due to the TCJA,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additional investments in ATC. (See Note 7. Investment in ATC.)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04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THE QUARTERS ENDED JUNE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$8.5 million from 2017 primarily due to the reduction of the federal income tax rate from 35 percent to 21 percent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enacted as part of the TCJA, and lower pre-tax income. (See Note 6. Regulatory Matters.)</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We expect our annual effective tax rate in 2018 to be lower than 2017 due to the reduction of the federal income tax rate from 35 percent to 21 percent enacted as part of the TCJA, and lower pre-tax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44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4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43"/>
        </w:trPr>
        <w:tc>
          <w:tcPr>
            <w:tcW w:w="440" w:type="dxa"/>
            <w:vAlign w:val="bottom"/>
          </w:tcPr>
          <w:p>
            <w:pPr>
              <w:spacing w:after="0"/>
              <w:rPr>
                <w:sz w:val="21"/>
                <w:szCs w:val="21"/>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80" w:type="dxa"/>
            <w:vAlign w:val="bottom"/>
          </w:tcPr>
          <w:p>
            <w:pPr>
              <w:jc w:val="right"/>
              <w:ind w:right="250"/>
              <w:spacing w:after="0"/>
              <w:rPr>
                <w:sz w:val="20"/>
                <w:szCs w:val="20"/>
                <w:color w:val="auto"/>
              </w:rPr>
            </w:pPr>
            <w:r>
              <w:rPr>
                <w:rFonts w:ascii="Arial" w:cs="Arial" w:eastAsia="Arial" w:hAnsi="Arial"/>
                <w:sz w:val="18"/>
                <w:szCs w:val="18"/>
                <w:color w:val="auto"/>
              </w:rPr>
              <w:t>$6.8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44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$1.3 million, or 7 percent, from 2017 primarily due to lower kWh sales at most of ALLETE Clean Energy’s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resulting from lower wind resources.</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w w:val="97"/>
              </w:rPr>
              <w:t>Quarter Ended 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w w:val="95"/>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49.0</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58.4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31.7</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24.0</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20.6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41.3</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49.4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59.4</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64.6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55.5</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62.5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260.9</w:t>
            </w:r>
          </w:p>
        </w:tc>
        <w:tc>
          <w:tcPr>
            <w:tcW w:w="12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$18.3</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290.5</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increased $3.0 million, or 79 percent, from 2017. Net income in 2018 included $3.9 million after-tax of additional production tax credits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generated as ALLETE Clean Energy continues to execute its refurbishment strategy and a lower federal income tax rate due to the TCJA. Of the $3.9 million after-tax in additional production tax credits, $2.6 million resulted from the retrospective qualification of additional WTGs in 2016 and 2017 and $0.6 million resulted from the qualification of additional WTGs in the first quarter of 2018. These increases were partially offset by higher operating and maintenance expenses, and lower revenue resulting from lower wind resources.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44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4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$41.5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243"/>
        </w:trPr>
        <w:tc>
          <w:tcPr>
            <w:tcW w:w="440" w:type="dxa"/>
            <w:vAlign w:val="bottom"/>
          </w:tcPr>
          <w:p>
            <w:pPr>
              <w:spacing w:after="0"/>
              <w:rPr>
                <w:sz w:val="21"/>
                <w:szCs w:val="21"/>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8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4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$3.1 million, or 8 percent, from 2017 primarily due to the acquisition of Tonka Water in September 2017. Revenue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sales and related services was $35.2 million in 2018 compared to $32.7 million in 2017. Revenue from capital projects was $6.3 million for 2018 compared to $5.7 million in 2017; capital project sales can significantly fluctuate from period to period.</w:t>
      </w:r>
    </w:p>
    <w:p>
      <w:pPr>
        <w:spacing w:after="0" w:line="18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decreased $0.4 million from 2017. Net income in 2018 included higher operating expenses, partially offset by increased revenue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resulting from the September 2017 acquisition of Tonka Water. The second quarter of 2018 was also negatively impacted by the timing of capital project sales. Net income in 2018 also included $0.2 million of after-tax expense recognized as cost of sales related to purchase accounting for sales backlog.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20"/>
          </w:cols>
          <w:pgMar w:left="240" w:top="1040"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COMPARISON OF THE QUARTERS ENDED JUNE 30, 2018 AND 2017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$3.9 million, or 13 percent, from 2017 primarily due to lower land sales at ALLETE Properties and lower revenue at BNI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which operates under cost-plus fixed fee contracts, as a result of lower expenses in 2018 compared to 2017.</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was $1.7 million in 2018 compared to net income of $0.1 million in 2017. Results in 2018 decreased primarily due to additional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recorded in 2018 as GAAP requires the recognition of quarterly income tax expense at the estimated annual effective tax rate. The estimated annual effective tax rate can differ from what a quarterly effective tax rate would otherwise be on a stand-alone basis, and this may cause quarter to quarter differences in the timing of income taxes. Results in 2018 also included lower revenue at ALLETE Properties. The net loss at ALLETE Properties was $0.7 million in 2018 compared to a net loss of $0.4 million in 2017. Net income at BNI Energy was $1.8 million in 2018 compared to net income of $2.0 million in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For the quarter ended June 30, 2018, the effective tax rate was a benefit of 20.8 percent (expense of 16.5 percent for the quarter ended June 30, 2017). The decrease from 2017 was primarily due to the reduction of the federal income tax rate from 35 percent to 21 percent enacted as part of the TCJA and lower pre-tax income. (See </w:t>
      </w:r>
      <w:r>
        <w:rPr>
          <w:rFonts w:ascii="Arial" w:cs="Arial" w:eastAsia="Arial" w:hAnsi="Arial"/>
          <w:sz w:val="18"/>
          <w:szCs w:val="18"/>
          <w:i w:val="1"/>
          <w:iCs w:val="1"/>
          <w:color w:val="auto"/>
        </w:rPr>
        <w:t>Regulated Operations - Income Tax Expense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expect our annual effective tax rate in 2018 to be lower than 2017 due to a reduction of the federal income tax rate as part of the TCJA, and lower pre-tax income. The effective rate deviated from the combined statutory rate of approximately 28 percent primarily due to production tax credits. (See Note 9. Income Tax Expense.) The estimated annual effective tax rate can differ from what a quarterly effective tax rate would otherwise be on a stand-alone basis, and this may cause quarter to quarter differences in the timing of income taxes.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SIX MONTHS ENDED JUNE 30, 2018 AND 2017</w:t>
            </w:r>
          </w:p>
        </w:tc>
        <w:tc>
          <w:tcPr>
            <w:tcW w:w="27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7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7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$528.0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$546.5</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740" w:type="dxa"/>
            <w:vAlign w:val="bottom"/>
          </w:tcPr>
          <w:p>
            <w:pPr>
              <w:jc w:val="right"/>
              <w:ind w:right="230"/>
              <w:spacing w:after="0"/>
              <w:rPr>
                <w:sz w:val="20"/>
                <w:szCs w:val="20"/>
                <w:color w:val="auto"/>
              </w:rPr>
            </w:pPr>
            <w:r>
              <w:rPr>
                <w:rFonts w:ascii="Arial" w:cs="Arial" w:eastAsia="Arial" w:hAnsi="Arial"/>
                <w:sz w:val="18"/>
                <w:szCs w:val="18"/>
                <w:color w:val="auto"/>
              </w:rPr>
              <w:t>197.4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740" w:type="dxa"/>
            <w:vAlign w:val="bottom"/>
          </w:tcPr>
          <w:p>
            <w:pPr>
              <w:jc w:val="right"/>
              <w:ind w:right="230"/>
              <w:spacing w:after="0"/>
              <w:rPr>
                <w:sz w:val="20"/>
                <w:szCs w:val="20"/>
                <w:color w:val="auto"/>
              </w:rPr>
            </w:pPr>
            <w:r>
              <w:rPr>
                <w:rFonts w:ascii="Arial" w:cs="Arial" w:eastAsia="Arial" w:hAnsi="Arial"/>
                <w:sz w:val="18"/>
                <w:szCs w:val="18"/>
                <w:color w:val="auto"/>
              </w:rPr>
              <w:t>110.4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740" w:type="dxa"/>
            <w:vAlign w:val="bottom"/>
          </w:tcPr>
          <w:p>
            <w:pPr>
              <w:jc w:val="right"/>
              <w:ind w:right="230"/>
              <w:spacing w:after="0"/>
              <w:rPr>
                <w:sz w:val="20"/>
                <w:szCs w:val="20"/>
                <w:color w:val="auto"/>
              </w:rPr>
            </w:pPr>
            <w:r>
              <w:rPr>
                <w:rFonts w:ascii="Arial" w:cs="Arial" w:eastAsia="Arial" w:hAnsi="Arial"/>
                <w:sz w:val="18"/>
                <w:szCs w:val="18"/>
                <w:color w:val="auto"/>
              </w:rPr>
              <w:t>28.1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740" w:type="dxa"/>
            <w:vAlign w:val="bottom"/>
          </w:tcPr>
          <w:p>
            <w:pPr>
              <w:jc w:val="right"/>
              <w:ind w:right="170"/>
              <w:spacing w:after="0"/>
              <w:rPr>
                <w:sz w:val="20"/>
                <w:szCs w:val="20"/>
                <w:color w:val="auto"/>
              </w:rPr>
            </w:pPr>
            <w:r>
              <w:rPr>
                <w:rFonts w:ascii="Arial" w:cs="Arial" w:eastAsia="Arial" w:hAnsi="Arial"/>
                <w:sz w:val="18"/>
                <w:szCs w:val="18"/>
                <w:color w:val="auto"/>
              </w:rPr>
              <w:t>(30.0)</w:t>
            </w:r>
          </w:p>
        </w:tc>
        <w:tc>
          <w:tcPr>
            <w:tcW w:w="88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9.0</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74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59.7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74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2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$69.9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r>
      <w:tr>
        <w:trPr>
          <w:trHeight w:val="20"/>
        </w:trPr>
        <w:tc>
          <w:tcPr>
            <w:tcW w:w="420" w:type="dxa"/>
            <w:vAlign w:val="bottom"/>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20" w:lineRule="exact"/>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$18.5 million, or 3 percent, from 2017 reflecting interim retail rate refund reserves, lower transmission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for tax reform refund related to income tax changes resulting from the TCJA, lower financial incentives under the Minnesota conservation improvement program and lower FERC formula</w:t>
      </w:r>
      <w:r>
        <w:rPr>
          <w:rFonts w:ascii="MS PGothic" w:cs="MS PGothic" w:eastAsia="MS PGothic" w:hAnsi="MS PGothic"/>
          <w:sz w:val="18"/>
          <w:szCs w:val="18"/>
          <w:color w:val="auto"/>
        </w:rPr>
        <w:t>‑</w:t>
      </w:r>
      <w:r>
        <w:rPr>
          <w:rFonts w:ascii="Arial" w:cs="Arial" w:eastAsia="Arial" w:hAnsi="Arial"/>
          <w:sz w:val="18"/>
          <w:szCs w:val="18"/>
          <w:color w:val="auto"/>
        </w:rPr>
        <w:t>based rates, partially offset by higher revenue from kWh sales, conservation improvement program recoveries and cost recovery rider revenue.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39"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20"/>
          </w:cols>
          <w:pgMar w:left="240" w:top="1039"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COMPARISON OF THE SIX MONTHS ENDED JUNE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Interim rates, net of reserves, decreased $16.6 million from 2017 as interim rate refund reserves were recognized during 2018 due to the regulatory outcome of the MPUC’s decisions in Minnesota Power’s 2016 general rate case. (See Note 6. Regulatory Matters.)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Transmission revenue decreased $7.0 million primarily due to lower MISO-related revenue. (See </w:t>
      </w:r>
      <w:r>
        <w:rPr>
          <w:rFonts w:ascii="Arial" w:cs="Arial" w:eastAsia="Arial" w:hAnsi="Arial"/>
          <w:sz w:val="16"/>
          <w:szCs w:val="16"/>
          <w:i w:val="1"/>
          <w:iCs w:val="1"/>
          <w:color w:val="auto"/>
        </w:rPr>
        <w:t>Operating Expenses - Transmission Services – Utility.</w:t>
      </w:r>
      <w:r>
        <w:rPr>
          <w:rFonts w:ascii="Arial" w:cs="Arial" w:eastAsia="Arial" w:hAnsi="Arial"/>
          <w:sz w:val="16"/>
          <w:szCs w:val="16"/>
          <w:color w:val="auto"/>
        </w:rPr>
        <w:t>)</w:t>
      </w:r>
    </w:p>
    <w:p>
      <w:pPr>
        <w:spacing w:after="0" w:line="24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Provision for tax reform refund of $6.7 million related to income tax changes resulting from the TCJA was recognized during 2018. We have recorded the impact of these income tax changes for Minnesota Power and SWL&amp;P as regulatory liabilities pending the outcome of regulatory proceedings with the MPUC and PSCW. (See Note 6. Regulatory Matters.)</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Financial incentives under the Minnesota conservation improvement program were lower by $5.5 million from 2017 due to the timing of MPUC approval. The conservation improvement program financial incentive was recognized in the second quarter of 2017 upon approval by the MPUC of Minnesota Power’s 2016 CIP consolidated filing in a June 2017 order. Approval of Minnesota Power’s 2017 CIP consolidated filing and related financial incentive is expected in the third quarter of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decreased $1.6 million from 2017 primarily due to lower rates.</w:t>
      </w:r>
    </w:p>
    <w:p>
      <w:pPr>
        <w:spacing w:after="0" w:line="22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Revenue from kWh sales increased $10.1 million from 2017 primarily due to higher sales to Residential, Commercial, Industrial and Municipal customers in 2018. Sales to Industrial customers increased 1.3 percent primarily due to increased taconite production. USS Corporation restarted production at its Keetac plant in March 2017. Sales to Residential, Commercial and Municipal customers increased in 2018 primarily due to more favorable weather conditions in 2018 compared to 2017. Sales to Other Power Suppliers decreased 1.8 percent from 2017 as a result of increased sales to Industrial customers, which was more than offset by higher pricing on PSAs with these customers. Sales to Other Power Suppliers are sold at market-based prices into the MISO market on a daily basis or through bilateral agreements of various durations.</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585</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706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697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3,624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3,578</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407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396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5,322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5,223</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2,008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2,045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7,330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7,268</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21 percent of consolidated operating revenue in 2018 (22 percent in 2017). Revenue from electric sales to paper, pulp and secondary wood product customers accounted for 5 percent of consolidated operating revenue in 2018 (5 percent in 2017). Revenue from electric sales to pipelines and other industrial customers accounted for 7 percent of consolidated operating revenue in 2018 (7 percent in 2017).</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$4.2 million from 2017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recovery rider revenue increased $2.6 million primarily due to higher expenditures related to the construction of the GNTL.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104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COMPARISON OF THE SIX MONTHS ENDED JUNE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$8.0 million or 2 percent from 2017.</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$7.7 million, or 4 percent, from 2017 primarily due to increased kWh sales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power prices, partially offset by lower fuel costs. Fuel and purchased power expense related to our retail and municipal customers is recovered through the fuel adjustment clause.</w:t>
      </w:r>
    </w:p>
    <w:p>
      <w:pPr>
        <w:spacing w:after="0" w:line="181" w:lineRule="exact"/>
        <w:rPr>
          <w:sz w:val="20"/>
          <w:szCs w:val="20"/>
          <w:color w:val="auto"/>
        </w:rPr>
      </w:pPr>
    </w:p>
    <w:p>
      <w:pPr>
        <w:jc w:val="both"/>
        <w:ind w:left="340" w:right="20"/>
        <w:spacing w:after="0" w:line="223" w:lineRule="exact"/>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$1.0 million, or 3 percent, from 2017 primarily due to higher MISO</w:t>
      </w:r>
      <w:r>
        <w:rPr>
          <w:rFonts w:ascii="MS PGothic" w:cs="MS PGothic" w:eastAsia="MS PGothic" w:hAnsi="MS PGothic"/>
          <w:sz w:val="18"/>
          <w:szCs w:val="18"/>
          <w:color w:val="auto"/>
        </w:rPr>
        <w:t>‑</w:t>
      </w:r>
      <w:r>
        <w:rPr>
          <w:rFonts w:ascii="Arial" w:cs="Arial" w:eastAsia="Arial" w:hAnsi="Arial"/>
          <w:sz w:val="18"/>
          <w:szCs w:val="18"/>
          <w:color w:val="auto"/>
        </w:rPr>
        <w:t>related expense. (See</w:t>
      </w:r>
      <w:r>
        <w:rPr>
          <w:rFonts w:ascii="Arial" w:cs="Arial" w:eastAsia="Arial" w:hAnsi="Arial"/>
          <w:sz w:val="18"/>
          <w:szCs w:val="18"/>
          <w:i w:val="1"/>
          <w:iCs w:val="1"/>
          <w:color w:val="auto"/>
        </w:rPr>
        <w:t xml:space="preserve"> Operating Revenue – Utility.</w:t>
      </w:r>
      <w:r>
        <w:rPr>
          <w:rFonts w:ascii="Arial" w:cs="Arial" w:eastAsia="Arial" w:hAnsi="Arial"/>
          <w:sz w:val="18"/>
          <w:szCs w:val="18"/>
          <w:color w:val="auto"/>
        </w:rPr>
        <w:t>)</w:t>
      </w:r>
    </w:p>
    <w:p>
      <w:pPr>
        <w:spacing w:after="0" w:line="20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Operating and Maintenance </w:t>
      </w:r>
      <w:r>
        <w:rPr>
          <w:rFonts w:ascii="Arial" w:cs="Arial" w:eastAsia="Arial" w:hAnsi="Arial"/>
          <w:sz w:val="17"/>
          <w:szCs w:val="17"/>
          <w:color w:val="auto"/>
        </w:rPr>
        <w:t>expense decreased $3.0 million, or 3 percent, from 2017 primarily due to lower salary and benefit expenses, and lower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materials purchased for generation facilities, partially offset by a $4.2 million increase in conservation improvement program expenses in 2018. Conservation improvement program expenses are recovered from certain retail customers. (See </w:t>
      </w:r>
      <w:r>
        <w:rPr>
          <w:rFonts w:ascii="Arial" w:cs="Arial" w:eastAsia="Arial" w:hAnsi="Arial"/>
          <w:sz w:val="17"/>
          <w:szCs w:val="17"/>
          <w:i w:val="1"/>
          <w:iCs w:val="1"/>
          <w:color w:val="auto"/>
        </w:rPr>
        <w:t>Operating Revenue – Utility.</w:t>
      </w:r>
      <w:r>
        <w:rPr>
          <w:rFonts w:ascii="Arial" w:cs="Arial" w:eastAsia="Arial" w:hAnsi="Arial"/>
          <w:sz w:val="17"/>
          <w:szCs w:val="17"/>
          <w:color w:val="auto"/>
        </w:rPr>
        <w:t>)</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$2.2 million, or 8 percent, from 2017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increased $1.5 million, or 5 percent, from 2017 primarily due to higher average long-term debt balances and interest rates. We record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expense for Regulated Operations primarily based on rate base and authorized capital structure, and allocate the balance to Corporate and Other.</w:t>
      </w:r>
    </w:p>
    <w:p>
      <w:pPr>
        <w:spacing w:after="0" w:line="1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$2.4 million, or 21 percent, from 2017 primarily due to the federal income tax rate change due to the TCJA,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additional investments in ATC. (See Note 7. Investment in ATC.)</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$24.3 million from 2017 primarily due to the reduction of the federal income tax rate from 35 percent to 21 percent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enacted as part of the TCJA, and lower pre-tax income. (See Note 6. Regulatory Matters.)</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We expect our annual effective tax rate in 2018 to be lower than 2017 due to the reduction of the federal income tax rate from 35 percent to 21 percent enacted as part of the TCJA, and lower pre-tax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43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$42.9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4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$14.9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4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$0.4 million, or 1 percent, from 2017 primarily due to lower kWh sales at most of ALLETE Clean Energy’s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resulting from lower wind resources.</w:t>
      </w:r>
    </w:p>
    <w:p>
      <w:pPr>
        <w:spacing w:after="0" w:line="19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0"/>
              </w:rPr>
              <w:t>Six Months Ended 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kWh</w:t>
            </w: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w w:val="98"/>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119.4</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$6.2</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134.2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79.6</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5.2</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83.2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58.3</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4.7</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44.8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103.8</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6.2</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119.1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138.1</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7.2</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145.5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147.0</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5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646.2</w:t>
            </w: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$42.9</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677.0</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20"/>
          </w:cols>
          <w:pgMar w:left="240" w:top="1040"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COMPARISON OF THE SIX MONTHS ENDED JUNE 30, 2018 AND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increased $4.4 million, or 42 percent, from 2017. Net income in 2018 included $4.5 million after-tax of additional production tax credits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as ALLETE Clean Energy continues to execute its refurbishment strategy and a lower federal income tax rate due to the TCJA. Of the $4.5 million after-tax in additional production tax credits, $2.6 million resulted from the retrospective qualification of additional WTGs in 2016 and 2017. These increases were partially offset by higher operating and maintenance expenses, and lower revenue resulting from lower wind resources.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42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2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4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$79.7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43"/>
        </w:trPr>
        <w:tc>
          <w:tcPr>
            <w:tcW w:w="720" w:type="dxa"/>
            <w:vAlign w:val="bottom"/>
          </w:tcPr>
          <w:p>
            <w:pPr>
              <w:spacing w:after="0"/>
              <w:rPr>
                <w:sz w:val="21"/>
                <w:szCs w:val="21"/>
                <w:color w:val="auto"/>
              </w:rPr>
            </w:pPr>
          </w:p>
        </w:tc>
        <w:tc>
          <w:tcPr>
            <w:tcW w:w="56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8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72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$9.2 million, or 13 percent, from 2017 primarily due to the acquisition of Tonka Water in September 2017. Revenue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sales and related services was $67.0 million in 2018 compared to $63.4 million in 2017. Revenue from capital projects was $12.7 million for 2018 compared to $7.1 million in 2017; capital project sales can significantly fluctuate from period to period.</w:t>
      </w:r>
    </w:p>
    <w:p>
      <w:pPr>
        <w:spacing w:after="0" w:line="18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Net Loss </w:t>
      </w:r>
      <w:r>
        <w:rPr>
          <w:rFonts w:ascii="Arial" w:cs="Arial" w:eastAsia="Arial" w:hAnsi="Arial"/>
          <w:sz w:val="17"/>
          <w:szCs w:val="17"/>
          <w:color w:val="auto"/>
        </w:rPr>
        <w:t>was $1.2 million in 2018 compared to net income of $0.3 million in 2017. The net loss in 2018 includes higher operating expenses, partially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offset by increased revenue primarily resulting from the September 2017 acquisition of Tonka Water. The first six months of 2018 were also impacted by the timing of capital project sales and unfavorable weather conditions reducing chemical sales. The net loss in 2018 also included $0.5 million of after-tax expense recognized as cost of sales related to purchase accounting for sales backlog.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$6.9 million, or 12 percent, from 2017 primarily due to a decrease in revenue at BNI Energy, which operates under cost-plus fixed fee contracts, as a result of lower expenses in 2018 compared to 2017 and lower land sales at ALLETE Properties.</w:t>
      </w:r>
    </w:p>
    <w:p>
      <w:pPr>
        <w:spacing w:after="0" w:line="14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was $1.3 million in 2018 compared to a net loss of $0.8 million in 2017. Results in 2018 decreased primarily due to additional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recorded in 2018 as GAAP requires the recognition of quarterly income tax expense at the estimated annual effective tax rate. The estimated annual effective tax rate can differ from what a quarterly effective tax rate would otherwise be on a stand-alone basis, and this may cause quarter to quarter differences in the timing of income taxes. This decrease was partially offset by lower operating and maintenance expenses at ALLETE Properties. Net income at BNI Energy was $3.6 million in 2018 compared to net income of $3.8 million in 2017. The net loss at ALLETE Properties was $1.1 million in 2018 compared to a net loss of $1.6 million in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For the six months ended June 30, 2018, the effective tax rate was a benefit of 12.4 percent (expense of 19.2 percent for the six months ended June 30, 2017). The decrease from 2017 was primarily due to the reduction of the federal income tax rate from 35 percent to 21 percent enacted as part of the TCJA, and lower pre-tax income. (See </w:t>
      </w:r>
      <w:r>
        <w:rPr>
          <w:rFonts w:ascii="Arial" w:cs="Arial" w:eastAsia="Arial" w:hAnsi="Arial"/>
          <w:sz w:val="18"/>
          <w:szCs w:val="18"/>
          <w:i w:val="1"/>
          <w:iCs w:val="1"/>
          <w:color w:val="auto"/>
        </w:rPr>
        <w:t>Regulated Operations - Income Tax Expense</w:t>
      </w:r>
      <w:r>
        <w:rPr>
          <w:rFonts w:ascii="Arial" w:cs="Arial" w:eastAsia="Arial" w:hAnsi="Arial"/>
          <w:sz w:val="18"/>
          <w:szCs w:val="18"/>
          <w:color w:val="auto"/>
        </w:rPr>
        <w:t>.)</w:t>
      </w:r>
    </w:p>
    <w:p>
      <w:pPr>
        <w:spacing w:after="0" w:line="181"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We expect our annual effective tax rate in 2018 to be lower than 2017 due to the reduction of the federal income tax rate as part of the TCJA, and lower pre-tax income. The effective rate deviated from the combined statutory rate of approximately 28 percent primarily due to production tax credits. (See Note 9. Income Tax Expense.)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04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taxation, and valuation of goodwill and intangible assets. These policies are reviewed with the Audit Committee of our Board of Directors on a regular basis and summarized in Part II, Item 7. Management’s Discussion and Analysis of Financial Condition and Results of Operations of our 2017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Our 2017 annual testing of U.S. Water Services’ goodwill for impairment indicated the calculated fair value of equity for the reporting unit</w:t>
      </w:r>
      <w:r>
        <w:rPr>
          <w:rFonts w:ascii="Arial" w:cs="Arial" w:eastAsia="Arial" w:hAnsi="Arial"/>
          <w:sz w:val="17"/>
          <w:szCs w:val="17"/>
          <w:i w:val="1"/>
          <w:iCs w:val="1"/>
          <w:color w:val="auto"/>
        </w:rPr>
        <w:t xml:space="preserve"> </w:t>
      </w:r>
      <w:r>
        <w:rPr>
          <w:rFonts w:ascii="Arial" w:cs="Arial" w:eastAsia="Arial" w:hAnsi="Arial"/>
          <w:sz w:val="17"/>
          <w:szCs w:val="17"/>
          <w:color w:val="auto"/>
        </w:rPr>
        <w:t>exceeded carrying value. Significant assumptions utilized in the fair value calculation included a discount rate of 10.75 percent, cash flow forecasts through 2022, annual revenue growth rates ranging from 7 percent to 9 percent, excluding 13 percent of revenue growth in 2018 related to the year over year impact of the acquisition of Tonka Water, and a terminal growth rate of 4.0 percent. If U.S. Water Services fails to meet expected cash flow forecasts by a nominal margin or there is an increase in interest rates that has a negative impact on the discount rate used in the Company’s valuation under the income approach, the results of our future tests could result in an impairment of goodwill; our next annual impairment test will occur in the fourth quarter of 2018. Subsequent to our 2017 annual impairment test, there have been no triggering events or indicators of impairment of goodwill.</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2017 Form 10-K.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 Regulated Operations is projected to have average annual earnings growth of 3 percent to 4 percent and our Energy Infrastructure and Related Services businesses are projected to have average annual earnings growth of 15 percent.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Regulated Operations to be approximately 80 percent of total consolidated net income in 2018.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be the leading electric energy provider in northeastern Minnesota by providing safe,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8"/>
          <w:szCs w:val="18"/>
          <w:i w:val="1"/>
          <w:iCs w:val="1"/>
          <w:color w:val="auto"/>
        </w:rPr>
        <w:t>EnergyForward.</w:t>
      </w:r>
      <w:r>
        <w:rPr>
          <w:rFonts w:ascii="Arial" w:cs="Arial" w:eastAsia="Arial" w:hAnsi="Arial"/>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104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which sought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9 percent for retail customers. The rate filing sought a return on equity of 10.25 percent and a 53.81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in January 2017.</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2017, Minnesota Power filed an additional request to further reduce its requested interim rate increase. In an April 2017 order, the MPUC approved Minnesota Power’s updated retail rate request resulting in a reduction in the annual interim rate increase to $32.2 million beginning in May 2017. As a result of working with intervenors and further developments as the rate review progressed, Minnesota Power’s final rate request was adjusted to approximately $49 million on an annualized basis. In an order dated March 12, 2018, the MPUC affirmed determinations made at a hearing on January 18, 2018, regarding Minnesota Power’s general rate case including allowing a return on common equity of 9.25 percent and a 53.81 percent equity ratio. Upon commencement of final rates, we expect additional revenue of approximately $13 million on an annualized basis. Final rates are expected to commence in the fourth quarter of 2018; interim rates will be collected through this period which are fully offset by the recognition of a corresponding reserve. Minnesota Power has recorded a reserve for an interim rate refund of $49.2 million as of June 30, 2018 ($32.3 million as of December 31, 2017). The MPUC also disallowed Minnesota Power’s regulatory asset for deferred fuel adjustment clause costs due to the anticipated adoption of a forward-looking fuel adjustment clause methodology resulting in a $19.5 million pre-tax charge to Fuel, Purchased Power and Gas – Utility in the fourth quarter of 2017.</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decision in Minnesota Power’s 2016 general rate case, the MPUC extended the depreciable lives of Boswell Unit 3, Unit 4 and common facilities to 2050 primarily to mitigate rate increases for our customers, and shortened the depreciable lives of Boswell Unit 1 and Unit 2 to 2022, resulting in a net decrease to depreciation expense of approximately $25 million in the fourth quarter of 2017.</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2, 2018, Minnesota Power filed a petition with the MPUC requesting reconsideration of certain decisions in the MPUC’s order dated March 12, 2018, collectively representing approximately $20 million to $25 million in additional revenue on an annualized basis. Minnesota Power’s petition included requesting reconsideration of the allowed return on common equity, recovery of the prepaid pension asset in rate base, certain disallowed expenses, and certain transmission revenue adjustments. In an order dated May 29, 2018, the MPUC denied Minnesota Power’s petition for reconsideration and accepted a Minnesota Department of Commerce request for reconsideration reducing the depreciable lives of Boswell Unit 3, Unit 4 and common facilities to 2035 while utilizing the benefits of the lower federal income tax rate enacted as part of the TCJA to mitigate the impact on customer rates.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Energy-Intensive Trade-Exposed Customer Rates. </w:t>
      </w:r>
      <w:r>
        <w:rPr>
          <w:rFonts w:ascii="Arial" w:cs="Arial" w:eastAsia="Arial" w:hAnsi="Arial"/>
          <w:sz w:val="18"/>
          <w:szCs w:val="18"/>
          <w:color w:val="auto"/>
        </w:rPr>
        <w:t>An EITE customer ratemaking law was enacted in 2015, which established a Minnesota energy policy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In June 2016, Minnesota Power filed a revised EITE petition with the MPUC which included additional information on the net benefits analysis, limits on eligible customers and term lengths for the EITE discount. The rate adjustments were intended to be revenue and cash flow neutral to Minnesota Power. The MPUC approved a reduction in rates for EITE customers in a December 2016 order and subsequently approved cost recovery in an April 2017 order; collection of the discount was subject to the MPUC’s review of Minnesota Power’s compliance filing implementing approval of a recovery mechanism, with the subsequent order issued in October 2017 that modified the April 2017 order. During 2017, Minnesota Power provided discounts of $8.6 million that were recorded as a regulatory asset.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20"/>
          </w:cols>
          <w:pgMar w:left="240" w:top="104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2017, Minnesota Power informed its EITE customers that it had suspended the EITE discount due to a concern that it was not revenue and cash flow neutral to Minnesota Power based on an MPUC decision at a hearing in September 2017, as well as the interim rate reduction and decisions in its 2016 general rate case. Based on the MPUC’s decisions at a hearing on January 18, 2018, as part of Minnesota Power’s 2016 general rate case, Minnesota Power reinstated the EITE discount effective January 1, 2018. Minnesota Power expects the discount to EITE customers to be approximately $15 million annually based on EITE customer current operating levels. While interim rates are in effect for Minnesota Power’s 2016 general rate case, discounts provided to EITE customers will offset interim rate refund reserves for non-EITE customers. Minnesota Power provided $3.8 million and $8.1 million of discounts to EITE customers during the quarter and six months ended June 30, 2018, respectively ($3.6 million and $5.9 million for the quarter and six months ended June 30, 2017, respectively).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current retail rates are based on a 2017 PSCW retail rate order effective since August 2017 that allows for a</w:t>
      </w:r>
      <w:r>
        <w:rPr>
          <w:rFonts w:ascii="Arial" w:cs="Arial" w:eastAsia="Arial" w:hAnsi="Arial"/>
          <w:sz w:val="18"/>
          <w:szCs w:val="18"/>
          <w:i w:val="1"/>
          <w:iCs w:val="1"/>
          <w:color w:val="auto"/>
        </w:rPr>
        <w:t xml:space="preserve"> </w:t>
      </w:r>
      <w:r>
        <w:rPr>
          <w:rFonts w:ascii="Arial" w:cs="Arial" w:eastAsia="Arial" w:hAnsi="Arial"/>
          <w:sz w:val="18"/>
          <w:szCs w:val="18"/>
          <w:color w:val="auto"/>
        </w:rPr>
        <w:t>10.5 percent return on common equity and a 55 percent equity ratio. SWL&amp;P’s retail rates prior to August 2017 were based on a 2012 PSCW retail rate order that provided for a 10.9 percent return on equity. On an annualized basis, SWL&amp;P expects to collect additional revenue of $2.5 million under the 2017 PSCW retail rate order.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On May 25, 2018, SWL&amp;P filed a rate increase request with the PSCW requesting an average increase of 2.7 percent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customers (2.0 percent increase in electric rates; 2.3 percent increase in natural gas rates; and 8.3 percent increase in water rates). The filing seeks an overall return on equity of 10.5 percent and a 55.41 percent equity ratio. On an annualized basis, this filing is expected to result in additional revenue of approximately $2.4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industries. Approximately 49 percent of our regulated utility kWh sales in the six months ended June 30, 2018, were made to our industrial customers (49 percent in the six months ended June 30, 2017).</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Taconite and Iron Concentrate</w:t>
      </w:r>
      <w:r>
        <w:rPr>
          <w:rFonts w:ascii="Arial" w:cs="Arial" w:eastAsia="Arial" w:hAnsi="Arial"/>
          <w:sz w:val="16"/>
          <w:szCs w:val="16"/>
          <w:color w:val="auto"/>
        </w:rPr>
        <w:t xml:space="preserve">.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has been exported outside of North America. Minnesota Power also has provided electric service to three iron concentrate facilities capable of producing up to approximately 4 million tons of iron concentrate per year. Iron concentrate is used in the production of taconite pellets. These facilities have been idled since at least 2016. On July 17, 2018, ERP Iron Ore announced it would no longer seek to restart its operations within Minnesota Power’s service territory. (See </w:t>
      </w:r>
      <w:r>
        <w:rPr>
          <w:rFonts w:ascii="Arial" w:cs="Arial" w:eastAsia="Arial" w:hAnsi="Arial"/>
          <w:sz w:val="16"/>
          <w:szCs w:val="16"/>
          <w:i w:val="1"/>
          <w:iCs w:val="1"/>
          <w:color w:val="auto"/>
        </w:rPr>
        <w:t>ERP Iron Ore / Magnetation</w:t>
      </w:r>
      <w:r>
        <w:rPr>
          <w:rFonts w:ascii="Arial" w:cs="Arial" w:eastAsia="Arial" w:hAnsi="Arial"/>
          <w:sz w:val="16"/>
          <w:szCs w:val="16"/>
          <w:color w:val="auto"/>
        </w:rPr>
        <w: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76 percent of capacity during the first six months of 2018 compared to 74 percent in the first six months of 2017. The World Steel Association, an association of over 160 steel producers, national and regional steel industry associations, and steel research institutes representing approximately 85 percent of world steel production, projected U.S. steel consumption in 2018 will increase by approximately 3 percent compared to 2017.</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104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color w:val="auto"/>
        </w:rPr>
        <w:t>. In 2015, USS Corporation temporarily idled its Minnesota Ore Operations - Keetac plant in Keewatin, Minnesota, and a portion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USS Corporation returned its Minntac plant to full production in 2015, and in the first quarter of 2017, USS Corporation restarted its Keetac plant. USS Corporation has the capability to produce approximately 5 million tons and 15 million tons of taconite annually at its Keetac and Minntac plants,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In May 2017, Cliffs announced that production of a fully fluxed taconite pellet had started at its United Taconite facility.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replaced a flux pellet previously made at Cliffs’ indefinitely idled Empire operation in Michigan. United Taconite has the capability to produce approximately 5 million tons of taconite annually.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Northshore Mining</w:t>
      </w:r>
      <w:r>
        <w:rPr>
          <w:rFonts w:ascii="Arial" w:cs="Arial" w:eastAsia="Arial" w:hAnsi="Arial"/>
          <w:sz w:val="17"/>
          <w:szCs w:val="17"/>
          <w:i w:val="1"/>
          <w:iCs w:val="1"/>
          <w:color w:val="auto"/>
        </w:rPr>
        <w:t xml:space="preserve">. </w:t>
      </w:r>
      <w:r>
        <w:rPr>
          <w:rFonts w:ascii="Arial" w:cs="Arial" w:eastAsia="Arial" w:hAnsi="Arial"/>
          <w:sz w:val="17"/>
          <w:szCs w:val="17"/>
          <w:color w:val="auto"/>
        </w:rPr>
        <w:t>Cliffs has announced that it is investing further in Minnesota ore operations, specifically planning to invest approximately $80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through 2020 to expand capacity for producing direct reduced-grade pellets at Northshore Mining. The additional direct reduced-grade pellets could be sold commercially or used to supply Cliff’s planned hot briquetted iron production plant in Toledo, Ohio. Minnesota Power has a long-term PSA through 2031 with Silver Bay Power, which provides the majority of the electric service requirements for Northshore Mining. (See </w:t>
      </w:r>
      <w:r>
        <w:rPr>
          <w:rFonts w:ascii="Arial" w:cs="Arial" w:eastAsia="Arial" w:hAnsi="Arial"/>
          <w:sz w:val="17"/>
          <w:szCs w:val="17"/>
          <w:i w:val="1"/>
          <w:iCs w:val="1"/>
          <w:color w:val="auto"/>
        </w:rPr>
        <w:t>Silver Bay Power</w:t>
      </w:r>
      <w:r>
        <w:rPr>
          <w:rFonts w:ascii="Arial" w:cs="Arial" w:eastAsia="Arial" w:hAnsi="Arial"/>
          <w:sz w:val="17"/>
          <w:szCs w:val="17"/>
          <w:color w:val="auto"/>
        </w:rPr>
        <w: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Minnesota Power and Silver Bay Power entered into a long-term PSA through 2031. Silver Bay Power supplies approximately 90</w:t>
      </w:r>
      <w:r>
        <w:rPr>
          <w:rFonts w:ascii="Arial" w:cs="Arial" w:eastAsia="Arial" w:hAnsi="Arial"/>
          <w:sz w:val="18"/>
          <w:szCs w:val="18"/>
          <w:i w:val="1"/>
          <w:iCs w:val="1"/>
          <w:color w:val="auto"/>
        </w:rPr>
        <w:t xml:space="preserve"> </w:t>
      </w:r>
      <w:r>
        <w:rPr>
          <w:rFonts w:ascii="Arial" w:cs="Arial" w:eastAsia="Arial" w:hAnsi="Arial"/>
          <w:sz w:val="18"/>
          <w:szCs w:val="18"/>
          <w:color w:val="auto"/>
        </w:rPr>
        <w:t>MW of load to Northshore Mining, an affiliate of Silver Bay Power, which has been served predominately through self-generation by Silver Bay Power. Through 2019, Minnesota Power will supply Silver Bay Power with at least 50 MW of energy and Silver Bay Power has the option to purchase additional energy from Minnesota Power as it transitions away from self-generation. On December 31, 2019, Silver Bay Power will cease self-generation and Minnesota Power will supply the energy requirements for Silver Bay Power.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ERP Iron Ore / Magnetation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Magnetation announced that it had filed voluntary petitions for reorganization under Chapter 11 of the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Code in the U.S. Bankruptcy Court for the District of Minnesota, citing the significant decrease in global iron ore prices and its existing capital structure. In 2016, Magnetation idled its Plant 2 facility in Bovey, Minnesota. In 2016, the bankruptcy court approved plans to idle Magnetation’s Plant 4 facility near Grand Rapids, Minnesota, and its pellet plant in Reynolds, Indiana, as well as terminate Magnetation’s pellet purchase agreement with AK Steel Corporation. Magnetation subsequently idled the facilities.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ERP Iron Ore purchased substantially all of Magnetation’s assets pursuant to an asset purchase agreement approved by the bankruptcy court. On July 17, 2018, ERP Iron Ore filed voluntary petitions for reorganization under Chapter 11 of the Bankruptcy Code in the U.S. Bankruptcy Court for the District of Minnesota and announced that it would no longer seek to restart its operations within Minnesota Power’s service territory. Minnesota Power has reserved for all receivables due from ERP Iron Ore.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Paper, Pulp and Secondary Wood Products</w:t>
      </w:r>
      <w:r>
        <w:rPr>
          <w:rFonts w:ascii="Arial" w:cs="Arial" w:eastAsia="Arial" w:hAnsi="Arial"/>
          <w:sz w:val="17"/>
          <w:szCs w:val="17"/>
          <w:color w:val="auto"/>
        </w:rPr>
        <w:t xml:space="preserve">. Minnesota Power serves a number of customers in the paper, pulp and secondary wood products industry. The four major paper and pulp mills we serve reported operating at, or near, full capacity in 2017. Lower levels of production are expected in 2018 as a result of the closure of the smaller of the two paper machines located at UPM Blandin in the fourth quarter of 2017. (See </w:t>
      </w:r>
      <w:r>
        <w:rPr>
          <w:rFonts w:ascii="Arial" w:cs="Arial" w:eastAsia="Arial" w:hAnsi="Arial"/>
          <w:sz w:val="17"/>
          <w:szCs w:val="17"/>
          <w:i w:val="1"/>
          <w:iCs w:val="1"/>
          <w:color w:val="auto"/>
        </w:rPr>
        <w:t>UPM Blandin</w:t>
      </w:r>
      <w:r>
        <w:rPr>
          <w:rFonts w:ascii="Arial" w:cs="Arial" w:eastAsia="Arial" w:hAnsi="Arial"/>
          <w:sz w:val="17"/>
          <w:szCs w:val="17"/>
          <w:color w:val="auto"/>
        </w:rPr>
        <w: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UPM Blandin</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2017, UPM-Kymmene Corporation announced that in light of the global market situation for graphic papers, and to sustain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competitiveness and leading position in the market, it planned to permanently close the smaller of UPM Blandin’s two paper machines located in Grand Rapids, Minnesota; the closure was completed in the fourth quarter of 2017. Paper production related to the other paper machine is planned to continue at UPM Blandin. Minnesota Power provides electric and steam service to UPM Blandin.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Husky Energy</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April 26, 2018, a fire at Husky Energy Inc.’s (Husky Energy) refinery in Superior, Wisconsin disrupted operations at the facility. Under</w:t>
      </w:r>
      <w:r>
        <w:rPr>
          <w:rFonts w:ascii="Arial" w:cs="Arial" w:eastAsia="Arial" w:hAnsi="Arial"/>
          <w:sz w:val="17"/>
          <w:szCs w:val="17"/>
          <w:i w:val="1"/>
          <w:iCs w:val="1"/>
          <w:color w:val="auto"/>
        </w:rPr>
        <w:t xml:space="preserve"> </w:t>
      </w:r>
      <w:r>
        <w:rPr>
          <w:rFonts w:ascii="Arial" w:cs="Arial" w:eastAsia="Arial" w:hAnsi="Arial"/>
          <w:sz w:val="17"/>
          <w:szCs w:val="17"/>
          <w:color w:val="auto"/>
        </w:rPr>
        <w:t>normal operating conditions, SWL&amp;P provides approximately 14 MW of average monthly demand to Husky Energy in addition to water service. The facility remains at minimal operations, and the refinery is not expected to resume normal operations for at least 18 to 24 months.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104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Mesabi Metallics is a retail customer of the Nashwauk Public Utilities Commission, and Minnesota Power has a</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electric contract with the Nashwauk Public Utilities Commission for electric service through at least December 2032. Mesabi Metallics filed for bankruptcy protection in 2016, under Chapter 11 of the Bankruptcy Code in the U.S. Bankruptcy Court for the District of Delaware. In June 2017, the bankruptcy court approved a settlement plan for a consortium led by Chippewa Capital Partners LLC to take control of the project, subject to certain stipulations. In December 2017, Mesabi Metallics emerged from bankruptcy under the ownership of Chippewa Capital Partners LLC.</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issued its Record of Decision in 2016, finding the final EIS adequate. The final EIS also requires Records of Decision by the federal agencies, which are expected in 2018, before final action can be taken on the required federal permits to construct and operate the mining operation.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2016, PolyMet submitted applications for water-related permits with the DNR and MPCA, an air quality permit with the MPCA, and a state permit to mine application with the DNR detailing its operational plans for the mine. On January 5, 2018, the DNR released PolyMet’s draft permit to mine and opened a public comment period through March 6, 2018. Public hearings were held in February 2018 to review the draft permit to mine, as well as the MPCA’s recently released draft water quality permit, draft air quality permit and draft water quality certification. On June 28, 2018, the U.S. Forest Service and PolyMet closed on a land exchange, which resulted in PolyMet obtaining surface rights to land needed to develop its mining operation. Minnesota Power could supply between 45 MW and 50 MW of load under a 10-year power supply contract with PolyMet that would begin upon start-up of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6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July 2017, Minnesota Power submitted a resource package to the MPUC requesting approval of PPAs for the output of a 250 MW wind energy facility and a 10 MW solar energy facility as well as approval of a 250 MW natural gas energy PPA. These agreements are subject to MPUC approval of the construction of NTEC, a 525 MW to 550 MW combined</w:t>
      </w:r>
      <w:r>
        <w:rPr>
          <w:rFonts w:ascii="MS PGothic" w:cs="MS PGothic" w:eastAsia="MS PGothic" w:hAnsi="MS PGothic"/>
          <w:sz w:val="16"/>
          <w:szCs w:val="16"/>
          <w:color w:val="auto"/>
        </w:rPr>
        <w:t>‑</w:t>
      </w:r>
      <w:r>
        <w:rPr>
          <w:rFonts w:ascii="Arial" w:cs="Arial" w:eastAsia="Arial" w:hAnsi="Arial"/>
          <w:sz w:val="16"/>
          <w:szCs w:val="16"/>
          <w:color w:val="auto"/>
        </w:rPr>
        <w:t>cycle natural gas</w:t>
      </w:r>
      <w:r>
        <w:rPr>
          <w:rFonts w:ascii="MS PGothic" w:cs="MS PGothic" w:eastAsia="MS PGothic" w:hAnsi="MS PGothic"/>
          <w:sz w:val="16"/>
          <w:szCs w:val="16"/>
          <w:color w:val="auto"/>
        </w:rPr>
        <w:t>‑</w:t>
      </w:r>
      <w:r>
        <w:rPr>
          <w:rFonts w:ascii="Arial" w:cs="Arial" w:eastAsia="Arial" w:hAnsi="Arial"/>
          <w:sz w:val="16"/>
          <w:szCs w:val="16"/>
          <w:color w:val="auto"/>
        </w:rPr>
        <w:t>fired generating facility which will be jointly owned by Dairyland Power Cooperative and a subsidiary of ALLETE. Minnesota Power would purchase approximately 50 percent of the facility's output starting in 2025. In a September 2017 order, the MPUC approved Minnesota Power’s request to extend the next IRP filing deadline until October 1, 2019, and Minnesota Power’s request that approval for the natural gas energy PPA be decided through a contested case process. On July 2, 2018, an administrative law judge issued a recommendation that the MPUC deny approval of the NTEC agreements; the recommendation is not binding on the MPUC. On July 23, 2018, Minnesota Power filed exceptions to the administrative law judge’s recommendation. The MPUC is expected to hold a hearing in the fourth quarter of 2018 on NTEC. On June 18, 2018, Minnesota Power filed a separate petition for approval of the PPA for the output of a 10 MW solar energy facility located in central Minnesota. The MPUC has not taken any action regarding the wind energy PPA which will be refiled separately from the natural gas energy PPA.</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2015, Minnesota Power filed its 2015 IRP with the MPUC, which included an analysis of a variety of existing and future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resource alternatives and a projection of customer cost impact by class. The 2015 IRP also contained steps in Minnesota Power’s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including the economic idling of Taconite Harbor Units 1 and 2 which occurred in 2016, the ceasing of coal-fired operations at Taconite Harbor in 2020, and the addition of between 200 MW and 300 MW of natural gas-fired generation in the next decade. In a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In 2016, Minnesota Power announced Boswell Units 1 and 2 will be retired, which is expected to occur in the fourth quarter of 2018. (See Note 6. Regulatory Matters.)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104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Renewable Energy. </w:t>
      </w:r>
      <w:r>
        <w:rPr>
          <w:rFonts w:ascii="Arial" w:cs="Arial" w:eastAsia="Arial" w:hAnsi="Arial"/>
          <w:sz w:val="17"/>
          <w:szCs w:val="17"/>
          <w:color w:val="auto"/>
        </w:rPr>
        <w:t>Minnesota Power’s 2015 IRP includes an update on its plans and progress in meeting the Minnesota renewable energy milestones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2025. Minnesota Power continues to execute its renewable energy strategy through renewable projects that will ensure it meets the identified state mandate at the lowest cost for customers. Minnesota Power has exceeded the interim milestone requirements to date and expects between 25 percent and 30 percent of its applicable retail and municipal energy sales will be supplied by renewable energy sources in 2018.</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Minnesota Solar Energy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law requires at least 1.5 percent of total retail electric sales, excluding sales to certain customers,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w:t>
      </w:r>
    </w:p>
    <w:p>
      <w:pPr>
        <w:spacing w:after="0" w:line="18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Minnesota Power’s solar energy supply consists of Camp Ripley, a 10 MW utility scale solar project at the Camp Ripley Minnesota Army National 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 Minnesota Power believes Camp Ripley and the community solar garden arrays will meet approximately one</w:t>
      </w:r>
      <w:r>
        <w:rPr>
          <w:rFonts w:ascii="MS PGothic" w:cs="MS PGothic" w:eastAsia="MS PGothic" w:hAnsi="MS PGothic"/>
          <w:sz w:val="16"/>
          <w:szCs w:val="16"/>
          <w:color w:val="auto"/>
        </w:rPr>
        <w:t>‑</w:t>
      </w:r>
      <w:r>
        <w:rPr>
          <w:rFonts w:ascii="Arial" w:cs="Arial" w:eastAsia="Arial" w:hAnsi="Arial"/>
          <w:sz w:val="16"/>
          <w:szCs w:val="16"/>
          <w:color w:val="auto"/>
        </w:rPr>
        <w:t>third of the overall mandate with an increase in solar rebates and community solar garden subscriptions expected to meet a portion of the required small scale solar mandate. On June 18, 2018, Minnesota Power filed a petition for approval of a PPA for the output of a 10 MW solar energy facility located in central Minnesota.</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Updated customer billing rates for the renewable cost recovery rider, which includes investments and expenditures related to Bison, were approved by the MPUC in a November 2017 order, which allows Minnesota Power to charge retail customers on a current basis for the costs of certain renewable investments plus a return on the capital invested. On June 5, 2018, Minnesota Power filed a renewable resources factor filing. Upon approval of the filing, Minnesota Power will be authorized to include updated billing rates on customer bills.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Tenaska PPA.</w:t>
      </w:r>
      <w:r>
        <w:rPr>
          <w:rFonts w:ascii="Arial" w:cs="Arial" w:eastAsia="Arial" w:hAnsi="Arial"/>
          <w:sz w:val="17"/>
          <w:szCs w:val="17"/>
          <w:i w:val="1"/>
          <w:iCs w:val="1"/>
          <w:color w:val="auto"/>
        </w:rPr>
        <w:t xml:space="preserve"> </w:t>
      </w:r>
      <w:r>
        <w:rPr>
          <w:rFonts w:ascii="Arial" w:cs="Arial" w:eastAsia="Arial" w:hAnsi="Arial"/>
          <w:sz w:val="17"/>
          <w:szCs w:val="17"/>
          <w:color w:val="auto"/>
        </w:rPr>
        <w:t>In May 2017, Minnesota Power and an affiliate of Tenaska signed a long-term PPA that provides for Minnesota Power to purchase the energy</w:t>
      </w:r>
      <w:r>
        <w:rPr>
          <w:rFonts w:ascii="Arial" w:cs="Arial" w:eastAsia="Arial" w:hAnsi="Arial"/>
          <w:sz w:val="17"/>
          <w:szCs w:val="17"/>
          <w:i w:val="1"/>
          <w:iCs w:val="1"/>
          <w:color w:val="auto"/>
        </w:rPr>
        <w:t xml:space="preserve"> </w:t>
      </w:r>
      <w:r>
        <w:rPr>
          <w:rFonts w:ascii="Arial" w:cs="Arial" w:eastAsia="Arial" w:hAnsi="Arial"/>
          <w:sz w:val="17"/>
          <w:szCs w:val="17"/>
          <w:color w:val="auto"/>
        </w:rPr>
        <w:t>and associated capacity from a 250 MW wind energy facility in southwest Minnesota for a 20-year period beginning in 2020. The agreement provides for the purchase of output from the facility at fixed energy prices. There are no fixed capacity charges, and Minnesota Power will only pay for energy as it is delivered. This agreement is subject to MPUC approval and construction of the wind energy facility.</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third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104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fourth PPA provides for Minnesota Power to purchase up to 133 MW of energy from Manitoba Hydro for 20 years beginning in 2020. The pricing under this PPA is based on forward market prices. The PPA is subject to the construction of the GNTL.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fifth PPA provides for Minnesota Power to purchase 50 MW of capacity from Manitoba Hydro at fixed prices. The PPA began in June 2017 and expires in May 2020.</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2015, a certificate of need was approved by the MPUC. Based on this approval, Minnesota Power’s portion of the investments and expenditures for the project are eligible for cost recovery under its existing transmission cost recovery rider and are anticipated to be included in future transmission cost recovery filings. (See Note 6. Regulatory Matters.) Also in 2015, the FERC approved our request to recover on construction work in progress related to the GNTL from Minnesota Power’s wholesale customers. In a 2016 order, the MPUC approved the route permit for the GNTL which largely follows Minnesota Power’s preferred route, including the international border crossing, and in 2016, the U.S. Department of Energy issued a presidential permit to cross the U.S.</w:t>
      </w:r>
      <w:r>
        <w:rPr>
          <w:rFonts w:ascii="MS PGothic" w:cs="MS PGothic" w:eastAsia="MS PGothic" w:hAnsi="MS PGothic"/>
          <w:sz w:val="17"/>
          <w:szCs w:val="17"/>
          <w:color w:val="auto"/>
        </w:rPr>
        <w:t>‑</w:t>
      </w:r>
      <w:r>
        <w:rPr>
          <w:rFonts w:ascii="Arial" w:cs="Arial" w:eastAsia="Arial" w:hAnsi="Arial"/>
          <w:sz w:val="17"/>
          <w:szCs w:val="17"/>
          <w:color w:val="auto"/>
        </w:rPr>
        <w:t>Canadian border, which was the final major regulatory approval needed before construction in the U.S. could begin. Site clearing and pre</w:t>
      </w:r>
      <w:r>
        <w:rPr>
          <w:rFonts w:ascii="MS PGothic" w:cs="MS PGothic" w:eastAsia="MS PGothic" w:hAnsi="MS PGothic"/>
          <w:sz w:val="17"/>
          <w:szCs w:val="17"/>
          <w:color w:val="auto"/>
        </w:rPr>
        <w:t>‑</w:t>
      </w:r>
      <w:r>
        <w:rPr>
          <w:rFonts w:ascii="Arial" w:cs="Arial" w:eastAsia="Arial" w:hAnsi="Arial"/>
          <w:sz w:val="17"/>
          <w:szCs w:val="17"/>
          <w:color w:val="auto"/>
        </w:rPr>
        <w:t>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$248.8 million have been incurred through June 30, 2018, of which $129.2 million has been recovered from a subsidiary of Manitoba Hydro.</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Manitoba Hydro must obtain regulatory and governmental approvals related to a new transmission line in Canada known as the Manitoba-Minnesota Transmission Project (MMTP) that will connect with the GNTL. In 2015, Manitoba Hydro submitted the final preferred route and EIS for the MMTP to the Manitoba Conservation and Water Stewardship for siting and environmental approval, which remains pending. In 2016, Manitoba Hydro filed an application with the Canadian National Energy Board (NEB) requesting authorization to construct and operate the MMTP. The NEB determined that Manitoba Hydro’s application was complete in December 2017, and held public hearings in June 2018. The NEB is required to make a decision on the MMTP by March 2019, but is not precluded from making a decision prior to that date. Approval of the Canadian federal cabinet is also required.</w:t>
      </w:r>
    </w:p>
    <w:p>
      <w:pPr>
        <w:spacing w:after="0" w:line="17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Arial" w:cs="Arial" w:eastAsia="Arial" w:hAnsi="Arial"/>
          <w:sz w:val="18"/>
          <w:szCs w:val="18"/>
          <w:color w:val="auto"/>
        </w:rPr>
        <w:t>service requirements in PPAs with Minnesota Power, Manitoba Hydro has indicated that it would need to start construction of the MMTP in December 2018.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and transmitted on the MMTP and the GNTL, commenced in 2014 and is anticipated to be in service by early 2021.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104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Investment in ATC. </w:t>
      </w:r>
      <w:r>
        <w:rPr>
          <w:rFonts w:ascii="Arial" w:cs="Arial" w:eastAsia="Arial" w:hAnsi="Arial"/>
          <w:sz w:val="17"/>
          <w:szCs w:val="17"/>
          <w:color w:val="auto"/>
        </w:rPr>
        <w:t>Our wholly-owned subsidiary, ALLETE Transmission Holdings, owns approximately 8 percent of ATC, a Wisconsin-based utility that</w:t>
      </w:r>
      <w:r>
        <w:rPr>
          <w:rFonts w:ascii="Arial" w:cs="Arial" w:eastAsia="Arial" w:hAnsi="Arial"/>
          <w:sz w:val="17"/>
          <w:szCs w:val="17"/>
          <w:i w:val="1"/>
          <w:iCs w:val="1"/>
          <w:color w:val="auto"/>
        </w:rPr>
        <w:t xml:space="preserve"> </w:t>
      </w:r>
      <w:r>
        <w:rPr>
          <w:rFonts w:ascii="Arial" w:cs="Arial" w:eastAsia="Arial" w:hAnsi="Arial"/>
          <w:sz w:val="17"/>
          <w:szCs w:val="17"/>
          <w:color w:val="auto"/>
        </w:rPr>
        <w:t>owns and maintains electric transmission assets in portions of Wisconsin, Michigan, Minnesota and Illinois. As of June 30, 2018, our equity investment in ATC was $123.6 million ($118.7 million as of December 31, 2017). In the first six months of 2018, we invested $3.9 million in ATC, and on July 31, 2018, we invested an additional $1.2 million. We expect to make additional investments of $1.3 million in 2018. (See Note 7. Investment in ATC.)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authorized return on equity is 10.32 percent, or 10.82 percent including an incentive adder for participation in a regional transmission organization. 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2017 through 2026, identifies a need for between $2.8 billion and $3.6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 focuses on developing, acquiring, and operating clean and renewable energy projects. ALLETE Clean Energy currently owns and operates, in four states, approximately 535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will pursue growth through acquisitions or project development for others.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long-term PSAs in place for the output or may be sold upon completion.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production tax credit qualification is important to the economics of project development, and in late 2016 and late 2017, ALLETE Clean Energy invested in equipment to meet production tax credit safe harbor provisions which provides an opportunity to seek development of up to approximately 1,500 MW of production tax credit qualified wind projects through 2021. ALLETE Clean Energy will also invest approximately $80 million through 2020 for production tax credit requalification of up to 385 WTGs at its Storm Lake I, Storm Lake II and Lake Benton wind energy facilities. We anticipate annual production tax credits relating to these projects of approximately $5 million in 2018, $10 million in 2019, and $15 million to $20 million annually in 2020 through 2027 and decreasing thereafter through 2030.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ALLETE Clean Energy announced that it will develop a wind energy facility of up to 50 MW which will be sold to Montana-Dakota Utilities; construction and sale is expected to be completed in the second half of 2018. Revenue is expected to be recognized upon completion; if the wind energy facility is not completed and sold in 2018, revenue and related margins would be recognized in 2019. ALLETE Clean Energy constructed and sold a 107 MW wind energy facility to Montana-Dakota Utilities in 2015.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104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2017, ALLETE Clean Energy announced it will build, own and operate a 100 MW wind energy facility pursuant to a 20-year PSA with Northern States Power; construction is expected to be completed in 2019. On March 15, 2018, ALLETE Clean Energy announced that it will build, own and operate an 80 MW wind energy facility pursuant to a 15-year PSA with NorthWestern Corporation; construction is expected to be completed in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portfolio of approximately 535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88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Pr>
          <w:p>
            <w:pPr>
              <w:ind w:left="360"/>
              <w:spacing w:after="0"/>
              <w:rPr>
                <w:sz w:val="20"/>
                <w:szCs w:val="20"/>
                <w:color w:val="auto"/>
              </w:rPr>
            </w:pPr>
            <w:r>
              <w:rPr>
                <w:rFonts w:ascii="Arial" w:cs="Arial" w:eastAsia="Arial" w:hAnsi="Arial"/>
                <w:sz w:val="18"/>
                <w:szCs w:val="18"/>
                <w:b w:val="1"/>
                <w:bCs w:val="1"/>
                <w:color w:val="auto"/>
              </w:rPr>
              <w:t>Capacity MW</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PSA MW %</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9"/>
              </w:rPr>
              <w:t>Pennsylvania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8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2028</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2032</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 Water Services provides integrated water management for industry by combining chemical, equipment, engineering and service for customized solutions to reduce water and energy usage and improve efficiency. U.S. Water Services has a presence in 49 states and Canada, and has an established base of approximately 4,900 customers. U.S. Water Services differentiates itself from the competition by developing synergies between solutions in engineering, equipment and chemical water treatment, which helps customers achieve efficient and sustainable use of their water and energy systems. U.S. Water Services is a leading provider to the biofuels industry, and also serves the commercial and institutional markets, food and beverage, light manufacturing, power generation, and midstream oil and gas industries, among others. U.S. Water Services principally relies upon recurring revenues from a diverse mix of industrial customers. U.S. Water Services sells certain products which are seasonal in nature, with higher demand typically realized in warmer months; generally, lower sales occur in the first quarter of each year.</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presence in North America by adding customers, products, markets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purchase prices between $10 million and $50 million. Priority will be given to acquisitions which expand its geographic reach, add new technology, or deepen its capabilities to serve its expanding customer base.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2017, U.S. Water Services acquired Tonka Water for total consideration of $19.2 million. Tonka Water is a supplier of municipal and industrial water treatment systems that will expand U.S. Water Services’ geographic and customer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Water Services expects cash flow from operations of approximately $15 million in 2018 ($12 million in 2017). Cash flow in 2018 could be impacted by the timing of equipment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4.4 million tons of lignite coal in 2018 (4.7 million tons were sold in 2017) and has sold 2.3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2018 (2.3 million tons were sold for the six months ended June 30, 2017). BNI Energy operates under cost-plus fixed fee agreements extending through December 31, 2037.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20"/>
          </w:cols>
          <w:pgMar w:left="240" w:top="1040"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ALLETE Properties. </w:t>
      </w:r>
      <w:r>
        <w:rPr>
          <w:rFonts w:ascii="Arial" w:cs="Arial" w:eastAsia="Arial" w:hAnsi="Arial"/>
          <w:sz w:val="16"/>
          <w:szCs w:val="16"/>
          <w:color w:val="auto"/>
        </w:rPr>
        <w:t>ALLETE Properties represents our legacy Florida real estate investment. ALLETE Properties’ major projects in Florida are Town Center</w:t>
      </w:r>
      <w:r>
        <w:rPr>
          <w:rFonts w:ascii="Arial" w:cs="Arial" w:eastAsia="Arial" w:hAnsi="Arial"/>
          <w:sz w:val="16"/>
          <w:szCs w:val="16"/>
          <w:i w:val="1"/>
          <w:iCs w:val="1"/>
          <w:color w:val="auto"/>
        </w:rPr>
        <w:t xml:space="preserve"> </w:t>
      </w:r>
      <w:r>
        <w:rPr>
          <w:rFonts w:ascii="Arial" w:cs="Arial" w:eastAsia="Arial" w:hAnsi="Arial"/>
          <w:sz w:val="16"/>
          <w:szCs w:val="16"/>
          <w:color w:val="auto"/>
        </w:rPr>
        <w:t>at Palm Coast and Palm Coast Park, with approximately 1,900 acres combined of land available for sale. In addition to these two projects, ALLETE Properties has approximately 800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revised strategy incorporates the possibility of a bulk sale of ALLETE Properties entire portfolio. Proceeds from a bulk sale would be strategically deployed to support growth in ALLETE Clean Energy and U.S. Water Services, collectively our Energy Infrastructure and Related Services businesses. ALLETE Properties continues to pursue sales of individual parcels over time and will continue to maintain key entitlements and infrastructure without making additional investments or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ALLETE’s aggregate federal and multi-state statutory tax rate is approximately 28 percent for 2018.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6"/>
          <w:szCs w:val="16"/>
          <w:color w:val="auto"/>
        </w:rPr>
        <w:t>‑</w:t>
      </w:r>
      <w:r>
        <w:rPr>
          <w:rFonts w:ascii="Arial" w:cs="Arial" w:eastAsia="Arial" w:hAnsi="Arial"/>
          <w:sz w:val="16"/>
          <w:szCs w:val="16"/>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10 percent for 2018 primarily due to a lower statutory tax rate resulting from the TCJA, and federal production tax credits as a result of wind energy generation. We also expect that our effective tax rate will be lower than the combined statutory rate over the next 12 years due to production tax credits attributable to our wind energy generation.</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the federal income tax rate change of the TCJA to result in lower income tax expense on an ongoing basis for our Regulated Operations, ALLETE Clean Energy and U.S. Water Services segments as well as our Corporate and Other businesses. The lower income tax expense for our Regulated Operations segment is mostly offset by lower revenue as the benefit of the TCJA is being returned to customers under regulatory proceedings with the MPUC and PSCW. (See Note 6. Regulatory Matters.) We do not expect a material impact on the Company’s ability to utilize its federal and state NOL and tax credit carryforwards due to the TCJA.</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June 30, 2018,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$121.9 million, $394.7 million in available consolidated lines of credit and a debt-to-capital ratio of 42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1"/>
        </w:trPr>
        <w:tc>
          <w:tcPr>
            <w:tcW w:w="6040" w:type="dxa"/>
            <w:vAlign w:val="bottom"/>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r>
      <w:tr>
        <w:trPr>
          <w:trHeight w:val="234"/>
        </w:trPr>
        <w:tc>
          <w:tcPr>
            <w:tcW w:w="6040" w:type="dxa"/>
            <w:vAlign w:val="bottom"/>
          </w:tcPr>
          <w:p>
            <w:pPr>
              <w:spacing w:after="0"/>
              <w:rPr>
                <w:sz w:val="20"/>
                <w:szCs w:val="20"/>
                <w:color w:val="auto"/>
              </w:rPr>
            </w:pPr>
          </w:p>
        </w:tc>
        <w:tc>
          <w:tcPr>
            <w:tcW w:w="2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6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$2,108.2</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58</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$2,068.2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120" w:type="dxa"/>
            <w:vAlign w:val="bottom"/>
          </w:tcPr>
          <w:p>
            <w:pPr>
              <w:jc w:val="right"/>
              <w:ind w:right="290"/>
              <w:spacing w:after="0"/>
              <w:rPr>
                <w:sz w:val="20"/>
                <w:szCs w:val="20"/>
                <w:color w:val="auto"/>
              </w:rPr>
            </w:pPr>
            <w:r>
              <w:rPr>
                <w:rFonts w:ascii="Arial" w:cs="Arial" w:eastAsia="Arial" w:hAnsi="Arial"/>
                <w:sz w:val="18"/>
                <w:szCs w:val="18"/>
                <w:color w:val="auto"/>
              </w:rPr>
              <w:t>1,528.8</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1,513.3</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$3,637.0</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$3,581.5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0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1040"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2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1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2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8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$110.1</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194.4</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240" w:type="dxa"/>
            <w:vAlign w:val="bottom"/>
          </w:tcPr>
          <w:p>
            <w:pPr>
              <w:jc w:val="right"/>
              <w:ind w:right="410"/>
              <w:spacing w:after="0"/>
              <w:rPr>
                <w:sz w:val="20"/>
                <w:szCs w:val="20"/>
                <w:color w:val="auto"/>
              </w:rPr>
            </w:pPr>
            <w:r>
              <w:rPr>
                <w:rFonts w:ascii="Arial" w:cs="Arial" w:eastAsia="Arial" w:hAnsi="Arial"/>
                <w:sz w:val="18"/>
                <w:szCs w:val="18"/>
                <w:color w:val="auto"/>
              </w:rPr>
              <w:t>(138.5)</w:t>
            </w:r>
          </w:p>
        </w:tc>
        <w:tc>
          <w:tcPr>
            <w:tcW w:w="102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7"/>
        </w:trPr>
        <w:tc>
          <w:tcPr>
            <w:tcW w:w="8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2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(33.2)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7"/>
        </w:trPr>
        <w:tc>
          <w:tcPr>
            <w:tcW w:w="8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Cash Equivalents and Restricted Cash</w:t>
            </w:r>
          </w:p>
        </w:tc>
        <w:tc>
          <w:tcPr>
            <w:tcW w:w="22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22.7</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8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$132.8</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r>
      <w:tr>
        <w:trPr>
          <w:trHeight w:val="20"/>
        </w:trPr>
        <w:tc>
          <w:tcPr>
            <w:tcW w:w="81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higher in 2018 compared to 2017 primarily due to higher amounts collected from customers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cost recovery riders which are anticipated to be refunded in future periods and higher accounts payable due to timing of payments. These increases were partially offset by higher contributions to the defined benefit pension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higher in 2018 compared to 2017 primarily due to higher capital expenditures.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lower in 2018 due to lower repayments of long-term debt and lower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These decreases in cash used for financing activities were partially offset by higher dividends on common stock as well as lower proceeds from the issuance of common stock and long-term debt.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consolidated bank lines of credit and the issuance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long-term debt, common stock and commercial paper. As of June 30, 2018, we had consolidated bank lines of credit aggregating $407.0 million ($407.0 million as of December 31, 2017), the majority of which expire in October 2020. We had $12.3 million outstanding in standby letters of credit and no outstanding draws under our lines of credit as of June 30, 2018 ($11.9 million in standby letters of credit and no outstanding draws as of December 31, 2017). In addition, as of June 30, 2018, we had 3.0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Inc.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entered into a distribution agreement with Lampert Capital Markets, Inc., in 2008, as amended most recently in August 2016,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and sale of up to an aggregate of 13.6 million shares of our common stock, without par value, of which 2.9 million shares remain available for issuance. For the six months ended June 30, 2018, no shares of common stock were issued under this agreement (1.0 million shares were issued for the six months ended June 30, 2017, resulting in net proceeds of $65.7 million). The shares issued in 2017 were offered and sold pursuant to Registration Statement No. 333-212794, pursuant to which the remaining shares will continue to be offered for sale, from time to time.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2018, we issued 0.3 million shares of common stock through Invest Direct, the Employee Stock Purchase Plan, and the Retirement Savings and Stock Ownership Plan, resulting in net proceeds of $10.7 million (0.2 million shares were issued for the six months ended June 30, 2017, resulting in net proceeds of $8.7 million). These shares of common stock were registered under Registration Statement Nos. 333-211075, 333-188315, 333-183051 and 333-162890.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16, 2018, ALLETE issued and sold $60.0 million of its First Mortgage Bonds (the Bonds) that bear interest at 4.07 percent. The Bonds will mature in April 2048 and were sold in reliance on an exemption from registration under Section 4(a)(2) of the Securities Act of 1933, as amended, to institutional accredited investors. (See Note 8. Short-Term and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20"/>
          </w:cols>
          <w:pgMar w:left="240" w:top="104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During the six months ended June 30, 2018, we contributed $15.0 million in cash to the defined benefit pension plans. We do not expect to make additional contributions to our defined benefit pension plans in 2018, and we do not expect to make any contributions to our other postretirement benefit plans in 2018. (See Note 12. Pension and Other Postretirement 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2017 Form 10-K, with additional disclosure in Note 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Standard &amp; Poor’s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4700" w:type="dxa"/>
            <w:vAlign w:val="bottom"/>
          </w:tcPr>
          <w:p>
            <w:pPr>
              <w:jc w:val="center"/>
              <w:ind w:left="2512"/>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700" w:type="dxa"/>
            <w:vAlign w:val="bottom"/>
            <w:tcBorders>
              <w:bottom w:val="single" w:sz="8" w:color="CCEEFF"/>
            </w:tcBorders>
            <w:shd w:val="clear" w:color="auto" w:fill="CCEEFF"/>
          </w:tcPr>
          <w:p>
            <w:pPr>
              <w:jc w:val="center"/>
              <w:ind w:left="2512"/>
              <w:spacing w:after="0"/>
              <w:rPr>
                <w:sz w:val="20"/>
                <w:szCs w:val="20"/>
                <w:color w:val="auto"/>
              </w:rPr>
            </w:pPr>
            <w:r>
              <w:rPr>
                <w:rFonts w:ascii="Arial" w:cs="Arial" w:eastAsia="Arial" w:hAnsi="Arial"/>
                <w:sz w:val="18"/>
                <w:szCs w:val="18"/>
                <w:color w:val="auto"/>
                <w:w w:val="98"/>
              </w:rPr>
              <w:t>BBB+</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700" w:type="dxa"/>
            <w:vAlign w:val="bottom"/>
          </w:tcPr>
          <w:p>
            <w:pPr>
              <w:jc w:val="center"/>
              <w:ind w:left="2492"/>
              <w:spacing w:after="0"/>
              <w:rPr>
                <w:sz w:val="20"/>
                <w:szCs w:val="20"/>
                <w:color w:val="auto"/>
              </w:rPr>
            </w:pPr>
            <w:r>
              <w:rPr>
                <w:rFonts w:ascii="Arial" w:cs="Arial" w:eastAsia="Arial" w:hAnsi="Arial"/>
                <w:sz w:val="18"/>
                <w:szCs w:val="18"/>
                <w:color w:val="auto"/>
                <w:w w:val="99"/>
              </w:rPr>
              <w:t>A-2</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700" w:type="dxa"/>
            <w:vAlign w:val="bottom"/>
            <w:tcBorders>
              <w:bottom w:val="single" w:sz="8" w:color="CCEEFF"/>
            </w:tcBorders>
            <w:shd w:val="clear" w:color="auto" w:fill="CCEEFF"/>
          </w:tcPr>
          <w:p>
            <w:pPr>
              <w:jc w:val="center"/>
              <w:ind w:left="2512"/>
              <w:spacing w:after="0"/>
              <w:rPr>
                <w:sz w:val="20"/>
                <w:szCs w:val="20"/>
                <w:color w:val="auto"/>
              </w:rPr>
            </w:pPr>
            <w:r>
              <w:rPr>
                <w:rFonts w:ascii="Arial" w:cs="Arial" w:eastAsia="Arial" w:hAnsi="Arial"/>
                <w:sz w:val="16"/>
                <w:szCs w:val="16"/>
                <w:i w:val="1"/>
                <w:iCs w:val="1"/>
                <w:color w:val="auto"/>
                <w:w w:val="91"/>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r>
      <w:tr>
        <w:trPr>
          <w:trHeight w:val="200"/>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Standard &amp; Poor’s.</w:t>
            </w:r>
          </w:p>
        </w:tc>
        <w:tc>
          <w:tcPr>
            <w:tcW w:w="47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6, 2018, Standard &amp; Poor’s revised its credit rating outlook on ALLETE to negative from stable, while affirming its issuer and commercial paper ratings on ALLETE. Standard &amp; Poor’s cited the potential effect of the TCJA on the Company’s cash flows and Standard &amp; Poor’s assessment of the Company’s regulatory risk following Minnesota Power’s recent general rate case as its rationale for issuing the negative outlook.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2018, Moody’s issued a report on ALLETE noting that Minnesota Power’s general rate case was credit negative. With respect to Minnesota Power’s general rate case outcome, Moody’s noted a lower return on equity, disallowance of various expenses, including a decision to disallow recovery of the prepaid pension asset, and a ruling against Minnesota Power’s request to adopt an annual rate review mechanism. In addition, Moody’s noted the potential negative impact of the TCJA on certain financial metrics used by Moody’s.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it is well-positioned to meet its liquidity needs. As of June 30, 2018, we had cash and cash equivalents of $121.9 million, $394.7 million in available consolidated lines of credit and a debt-to-equity ratio of 42 percent. Our cash from operating activities for the year ended December 31, 2017, was $402.9 million. In addition, as of June 30, 2018, we had 3.0 million original issue shares of our common stock available for issuance through Invest Direct and 2.9 million original issue shares of common stock available for issuance through a distribution agreement with Lampert Capital Markets, Inc.</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color w:val="auto"/>
        </w:rPr>
        <w:t xml:space="preserve">Capital Requirements. </w:t>
      </w:r>
      <w:r>
        <w:rPr>
          <w:rFonts w:ascii="Arial" w:cs="Arial" w:eastAsia="Arial" w:hAnsi="Arial"/>
          <w:sz w:val="16"/>
          <w:szCs w:val="16"/>
          <w:color w:val="auto"/>
        </w:rPr>
        <w:t>Our capital expenditures for 2018 and 2019 are expected to be approximately $350 million and $470 million, respectively.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from the 2018 and 2019 capital expenditures projected in our 2017 Form 10-K is primarily due to the 80 MW wind energy facility ALLETE Clean Energy will build, own and operate pursuant to a 15</w:t>
      </w:r>
      <w:r>
        <w:rPr>
          <w:rFonts w:ascii="MS PGothic" w:cs="MS PGothic" w:eastAsia="MS PGothic" w:hAnsi="MS PGothic"/>
          <w:sz w:val="16"/>
          <w:szCs w:val="16"/>
          <w:color w:val="auto"/>
        </w:rPr>
        <w:t>‑</w:t>
      </w:r>
      <w:r>
        <w:rPr>
          <w:rFonts w:ascii="Arial" w:cs="Arial" w:eastAsia="Arial" w:hAnsi="Arial"/>
          <w:sz w:val="16"/>
          <w:szCs w:val="16"/>
          <w:color w:val="auto"/>
        </w:rPr>
        <w:t>year PSA with NorthWestern Corporation. (See Item 7. Management’s Discussion and Analysis – Outlook – Energy Infrastructure and Related Services – ALLETE Clean Energy.) For the six months ended June 30, 2018, capital expenditures totaled $113.9 million ($82.1 million for the six months ended June 30, 2017). The expenditures were primarily made in the Regulated Operations segment.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104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13. Commitments, Guarantees and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ALLETE had 1,971 employees, of which 1,926 were full-time.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and SWL&amp;P have an aggregate of 498 employees who are members of International Brotherhood of Electrical Workers (IBEW) Local 31. The labor agreements with IBEW Local 31 expired on January 31, 2018, and on February 1, 2018, Minnesota Power, SWL&amp;P and IBEW Local 31 agreed to amend the current contracts and extend the expiration to April 30, 2020, and February 1, 2021, respectively.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184 employees, of which 139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June 30, 2018,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 (See Note 2.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104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June 30, 2018, an increase of 100 basis points in interest rates would impact the amount of pre-tax interest expense by $0.8 million. This amount was determined by considering the impact of a hypothetical 100 basis point increase to the average variable interest rate on the variable rate debt outstanding as of June 30, 2018.</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2018,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11. Commitments, Guarantees and Contingencies to our Consolidated Financial Statements in our 2017 Form 10-K and Note 6. Regulatory Matters and Note 13.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2017 Form 10-K includes a detailed discussion of our risk factors. The information presented below updates, and should be read in conjunction with, the risk factors disclosed in Part I, Item 1A. Risk Factors of our 2017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acts of terrorism or cybersecurity attacks.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may be targets of terrorist activities or cybersecurity attacks, which could disrupt our ability to provide utility service at our regulated utilities, develop or operate our renewable energy projects at ALLETE Clean Energy, provide integrated water management at U.S. Water Services, or operate our other businesses. The impacts may also impair the fulfillment of critical business functions, negatively impact our reputation, subject us to litigation or increased regulation, or compromise sensitive, confidential and other data.</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cybersecurity attacks on U.S. energy infrastructure in the past and there may be such attacks in the future. Our generation, transmission and distribution facilities, information technology systems and other infrastructure facilities and systems could be direct targets of, or otherwise be materially adversely affected, by such activities. Computer viruses, terrorism, theft and sabotage could impact our systems and facilities, or those of third parties on which we rely, which may disrupt our operations.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20"/>
          </w:cols>
          <w:pgMar w:left="240" w:top="104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businesses require the continued operation of sophisticated information technology systems and network infrastructure as well as the collection and retention of personally identifiable information of our customers, shareholders and employees. Although we maintain security measures designed to prevent cybersecurity incidents and protect our information technology and control systems, network infrastructure and other assets, our technology systems, or those of third parties on which we rely, may be vulnerable to disability, failures or unauthorized access due to hacking, viruses, acts of war or terrorism and other causes. If those technology systems fail or are breached and not recovered in a timely manner, we may be unable to perform critical business functions, including effectively maintaining certain internal controls over financial reporting, our reputation may be negatively impacted, we may become subject to litigation or increased regulation, and sensitive, confidential and other data could be compromised. If our businesses were impacted by terrorist activities or cybersecurity incidents, such impacts could have an adverse effect on our financial position, results of operations and cash flows.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104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1300" w:right="40" w:hanging="1265"/>
        <w:spacing w:after="0" w:line="277" w:lineRule="auto"/>
        <w:tabs>
          <w:tab w:leader="none" w:pos="1300" w:val="left"/>
        </w:tabs>
        <w:numPr>
          <w:ilvl w:val="0"/>
          <w:numId w:val="22"/>
        </w:numPr>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Thirteenth Supplemental Indenture, dated as of May 29, 2018, between Superior Water, Light and Power Company and U.S. Bank National</w:t>
        </w:r>
      </w:hyperlink>
      <w:r>
        <w:rPr>
          <w:rFonts w:ascii="Arial" w:cs="Arial" w:eastAsia="Arial" w:hAnsi="Arial"/>
          <w:sz w:val="18"/>
          <w:szCs w:val="18"/>
          <w:u w:val="single" w:color="auto"/>
          <w:color w:val="0000FF"/>
        </w:rPr>
        <w:t xml:space="preserve"> </w:t>
      </w:r>
      <w:hyperlink w:anchor="page66">
        <w:r>
          <w:rPr>
            <w:rFonts w:ascii="Arial" w:cs="Arial" w:eastAsia="Arial" w:hAnsi="Arial"/>
            <w:sz w:val="18"/>
            <w:szCs w:val="18"/>
            <w:u w:val="single" w:color="auto"/>
            <w:color w:val="0000FF"/>
          </w:rPr>
          <w:t>Association, as corporate trustee.</w:t>
        </w:r>
      </w:hyperlink>
    </w:p>
    <w:tbl>
      <w:tblPr>
        <w:tblLayout w:type="fixed"/>
        <w:tblInd w:w="0" w:type="dxa"/>
        <w:tblCellMar>
          <w:top w:w="0" w:type="dxa"/>
          <w:left w:w="0" w:type="dxa"/>
          <w:bottom w:w="0" w:type="dxa"/>
          <w:right w:w="0" w:type="dxa"/>
        </w:tblCellMar>
      </w:tblPr>
      <w:tr>
        <w:trPr>
          <w:trHeight w:val="198"/>
        </w:trPr>
        <w:tc>
          <w:tcPr>
            <w:tcW w:w="860" w:type="dxa"/>
            <w:vAlign w:val="bottom"/>
            <w:gridSpan w:val="3"/>
          </w:tcPr>
          <w:p>
            <w:pPr>
              <w:ind w:left="40"/>
              <w:spacing w:after="0" w:line="198" w:lineRule="exact"/>
              <w:rPr>
                <w:rFonts w:ascii="Arial" w:cs="Arial" w:eastAsia="Arial" w:hAnsi="Arial"/>
                <w:sz w:val="18"/>
                <w:szCs w:val="18"/>
                <w:color w:val="0000FF"/>
              </w:rPr>
            </w:pPr>
            <w:hyperlink w:anchor="page89">
              <w:r>
                <w:rPr>
                  <w:rFonts w:ascii="Arial" w:cs="Arial" w:eastAsia="Arial" w:hAnsi="Arial"/>
                  <w:sz w:val="18"/>
                  <w:szCs w:val="18"/>
                  <w:color w:val="0000FF"/>
                </w:rPr>
                <w:t>31(a)</w:t>
              </w:r>
            </w:hyperlink>
          </w:p>
        </w:tc>
        <w:tc>
          <w:tcPr>
            <w:tcW w:w="2300" w:type="dxa"/>
            <w:vAlign w:val="bottom"/>
            <w:gridSpan w:val="2"/>
          </w:tcPr>
          <w:p>
            <w:pPr>
              <w:ind w:left="440"/>
              <w:spacing w:after="0" w:line="198" w:lineRule="exact"/>
              <w:rPr>
                <w:rFonts w:ascii="Arial" w:cs="Arial" w:eastAsia="Arial" w:hAnsi="Arial"/>
                <w:sz w:val="18"/>
                <w:szCs w:val="18"/>
                <w:color w:val="0000FF"/>
                <w:w w:val="90"/>
              </w:rPr>
            </w:pPr>
            <w:hyperlink w:anchor="page89">
              <w:r>
                <w:rPr>
                  <w:rFonts w:ascii="Arial" w:cs="Arial" w:eastAsia="Arial" w:hAnsi="Arial"/>
                  <w:sz w:val="18"/>
                  <w:szCs w:val="18"/>
                  <w:color w:val="0000FF"/>
                  <w:w w:val="90"/>
                </w:rPr>
                <w:t>Rule 13a-14(a)/15d-14(a)</w:t>
              </w:r>
            </w:hyperlink>
          </w:p>
        </w:tc>
        <w:tc>
          <w:tcPr>
            <w:tcW w:w="8260" w:type="dxa"/>
            <w:vAlign w:val="bottom"/>
            <w:gridSpan w:val="3"/>
          </w:tcPr>
          <w:p>
            <w:pPr>
              <w:ind w:left="20"/>
              <w:spacing w:after="0" w:line="198" w:lineRule="exact"/>
              <w:rPr>
                <w:rFonts w:ascii="Arial" w:cs="Arial" w:eastAsia="Arial" w:hAnsi="Arial"/>
                <w:sz w:val="18"/>
                <w:szCs w:val="18"/>
                <w:color w:val="0000FF"/>
              </w:rPr>
            </w:pPr>
            <w:hyperlink w:anchor="page89">
              <w:r>
                <w:rPr>
                  <w:rFonts w:ascii="Arial" w:cs="Arial" w:eastAsia="Arial" w:hAnsi="Arial"/>
                  <w:sz w:val="18"/>
                  <w:szCs w:val="18"/>
                  <w:color w:val="0000FF"/>
                </w:rPr>
                <w:t>Certification by the Chief Executive Officer Pursuant to Section 302 of the Sarbanes-Oxley Act of 2002.</w:t>
              </w:r>
            </w:hyperlink>
          </w:p>
        </w:tc>
      </w:tr>
      <w:tr>
        <w:trPr>
          <w:trHeight w:val="48"/>
        </w:trPr>
        <w:tc>
          <w:tcPr>
            <w:tcW w:w="4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7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86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31(b)</w:t>
              </w:r>
            </w:hyperlink>
          </w:p>
        </w:tc>
        <w:tc>
          <w:tcPr>
            <w:tcW w:w="2300" w:type="dxa"/>
            <w:vAlign w:val="bottom"/>
            <w:gridSpan w:val="2"/>
            <w:shd w:val="clear" w:color="auto" w:fill="CCEEFF"/>
          </w:tcPr>
          <w:p>
            <w:pPr>
              <w:ind w:left="440"/>
              <w:spacing w:after="0" w:line="202" w:lineRule="exact"/>
              <w:rPr>
                <w:rFonts w:ascii="Arial" w:cs="Arial" w:eastAsia="Arial" w:hAnsi="Arial"/>
                <w:sz w:val="18"/>
                <w:szCs w:val="18"/>
                <w:color w:val="0000FF"/>
                <w:w w:val="90"/>
              </w:rPr>
            </w:pPr>
            <w:hyperlink w:anchor="page90">
              <w:r>
                <w:rPr>
                  <w:rFonts w:ascii="Arial" w:cs="Arial" w:eastAsia="Arial" w:hAnsi="Arial"/>
                  <w:sz w:val="18"/>
                  <w:szCs w:val="18"/>
                  <w:color w:val="0000FF"/>
                  <w:w w:val="90"/>
                </w:rPr>
                <w:t>Rule 13a-14(a)/15d-14(a)</w:t>
              </w:r>
            </w:hyperlink>
          </w:p>
        </w:tc>
        <w:tc>
          <w:tcPr>
            <w:tcW w:w="8260" w:type="dxa"/>
            <w:vAlign w:val="bottom"/>
            <w:gridSpan w:val="3"/>
            <w:shd w:val="clear" w:color="auto" w:fill="CCEEFF"/>
          </w:tcPr>
          <w:p>
            <w:pPr>
              <w:ind w:left="20"/>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Certification by the Chief Financial Officer Pursuant to Section 302 of the Sarbanes-Oxley Act of 2002.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75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ind w:left="1300" w:right="20" w:hanging="1265"/>
        <w:spacing w:after="0" w:line="277" w:lineRule="auto"/>
        <w:tabs>
          <w:tab w:leader="none" w:pos="1300" w:val="left"/>
        </w:tabs>
        <w:numPr>
          <w:ilvl w:val="0"/>
          <w:numId w:val="23"/>
        </w:numPr>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Section 1350 Certification of Periodic Report by the Chief Executive Officer and the Chief Financial Officer Pursuant to Section 906 of the</w:t>
        </w:r>
      </w:hyperlink>
      <w:r>
        <w:rPr>
          <w:rFonts w:ascii="Arial" w:cs="Arial" w:eastAsia="Arial" w:hAnsi="Arial"/>
          <w:sz w:val="18"/>
          <w:szCs w:val="18"/>
          <w:u w:val="single" w:color="auto"/>
          <w:color w:val="0000FF"/>
        </w:rPr>
        <w:t xml:space="preserve"> </w:t>
      </w:r>
      <w:hyperlink w:anchor="page91">
        <w:r>
          <w:rPr>
            <w:rFonts w:ascii="Arial" w:cs="Arial" w:eastAsia="Arial" w:hAnsi="Arial"/>
            <w:sz w:val="18"/>
            <w:szCs w:val="18"/>
            <w:u w:val="single" w:color="auto"/>
            <w:color w:val="0000FF"/>
          </w:rPr>
          <w:t>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128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92">
        <w:r>
          <w:rPr>
            <w:rFonts w:ascii="Arial" w:cs="Arial" w:eastAsia="Arial" w:hAnsi="Arial"/>
            <w:sz w:val="18"/>
            <w:szCs w:val="18"/>
            <w:u w:val="single" w:color="auto"/>
            <w:color w:val="0000FF"/>
          </w:rPr>
          <w:t>Mine Safety.</w:t>
        </w:r>
      </w:hyperlink>
    </w:p>
    <w:p>
      <w:pPr>
        <w:spacing w:after="0" w:line="59" w:lineRule="exact"/>
        <w:rPr>
          <w:rFonts w:ascii="Arial" w:cs="Arial" w:eastAsia="Arial" w:hAnsi="Arial"/>
          <w:sz w:val="18"/>
          <w:szCs w:val="18"/>
          <w:u w:val="single" w:color="auto"/>
          <w:color w:val="0000FF"/>
        </w:rPr>
      </w:pPr>
    </w:p>
    <w:p>
      <w:pPr>
        <w:jc w:val="both"/>
        <w:ind w:left="1300" w:right="40" w:hanging="1265"/>
        <w:spacing w:after="0" w:line="301" w:lineRule="auto"/>
        <w:tabs>
          <w:tab w:leader="none" w:pos="1300" w:val="left"/>
        </w:tabs>
        <w:numPr>
          <w:ilvl w:val="0"/>
          <w:numId w:val="24"/>
        </w:numPr>
        <w:rPr>
          <w:rFonts w:ascii="Arial" w:cs="Arial" w:eastAsia="Arial" w:hAnsi="Arial"/>
          <w:sz w:val="16"/>
          <w:szCs w:val="16"/>
          <w:b w:val="1"/>
          <w:bCs w:val="1"/>
          <w:u w:val="single" w:color="auto"/>
          <w:color w:val="0000FF"/>
        </w:rPr>
      </w:pPr>
      <w:hyperlink w:anchor="page93">
        <w:r>
          <w:rPr>
            <w:rFonts w:ascii="Arial" w:cs="Arial" w:eastAsia="Arial" w:hAnsi="Arial"/>
            <w:sz w:val="16"/>
            <w:szCs w:val="16"/>
            <w:b w:val="1"/>
            <w:bCs w:val="1"/>
            <w:u w:val="single" w:color="auto"/>
            <w:color w:val="0000FF"/>
          </w:rPr>
          <w:t>ALLETE News Release dated August 2, 2018, announcing 2018 second quarter earnings. (This exhibit has been furnished and shall</w:t>
        </w:r>
      </w:hyperlink>
      <w:r>
        <w:rPr>
          <w:rFonts w:ascii="Arial" w:cs="Arial" w:eastAsia="Arial" w:hAnsi="Arial"/>
          <w:sz w:val="16"/>
          <w:szCs w:val="16"/>
          <w:b w:val="1"/>
          <w:bCs w:val="1"/>
          <w:u w:val="single" w:color="auto"/>
          <w:color w:val="0000FF"/>
        </w:rPr>
        <w:t xml:space="preserve"> </w:t>
      </w:r>
      <w:hyperlink w:anchor="page93">
        <w:r>
          <w:rPr>
            <w:rFonts w:ascii="Arial" w:cs="Arial" w:eastAsia="Arial" w:hAnsi="Arial"/>
            <w:sz w:val="16"/>
            <w:szCs w:val="16"/>
            <w:b w:val="1"/>
            <w:bCs w:val="1"/>
            <w:u w:val="single" w:color="auto"/>
            <w:color w:val="0000FF"/>
          </w:rPr>
          <w:t>not be deemed “filed” for purposes of Section 18 of the Securities Exchange Act of 1934, nor shall it be deemed incorporated by</w:t>
        </w:r>
      </w:hyperlink>
      <w:r>
        <w:rPr>
          <w:rFonts w:ascii="Arial" w:cs="Arial" w:eastAsia="Arial" w:hAnsi="Arial"/>
          <w:sz w:val="16"/>
          <w:szCs w:val="16"/>
          <w:b w:val="1"/>
          <w:bCs w:val="1"/>
          <w:u w:val="single" w:color="auto"/>
          <w:color w:val="0000FF"/>
        </w:rPr>
        <w:t xml:space="preserve"> </w:t>
      </w:r>
      <w:hyperlink w:anchor="page93">
        <w:r>
          <w:rPr>
            <w:rFonts w:ascii="Arial" w:cs="Arial" w:eastAsia="Arial" w:hAnsi="Arial"/>
            <w:sz w:val="16"/>
            <w:szCs w:val="16"/>
            <w:b w:val="1"/>
            <w:bCs w:val="1"/>
            <w:u w:val="single" w:color="auto"/>
            <w:color w:val="0000FF"/>
          </w:rPr>
          <w:t>reference in any filing under the Securities Act of 1933, except as shall be expressly set forth by specific reference in such filing.)</w:t>
        </w:r>
      </w:hyperlink>
    </w:p>
    <w:p>
      <w:pPr>
        <w:spacing w:after="0" w:line="1"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70"/>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Instance</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Schema</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Calculation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Definition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Label</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Presentation</w:t>
            </w:r>
          </w:p>
        </w:tc>
      </w:tr>
    </w:tbl>
    <w:p>
      <w:pPr>
        <w:spacing w:after="0" w:line="200" w:lineRule="exact"/>
        <w:rPr>
          <w:rFonts w:ascii="Arial" w:cs="Arial" w:eastAsia="Arial" w:hAnsi="Arial"/>
          <w:sz w:val="16"/>
          <w:szCs w:val="16"/>
          <w:b w:val="1"/>
          <w:bCs w:val="1"/>
          <w:u w:val="single" w:color="auto"/>
          <w:color w:val="0000FF"/>
        </w:rPr>
      </w:pPr>
    </w:p>
    <w:p>
      <w:pPr>
        <w:spacing w:after="0" w:line="267" w:lineRule="exact"/>
        <w:rPr>
          <w:rFonts w:ascii="Arial" w:cs="Arial" w:eastAsia="Arial" w:hAnsi="Arial"/>
          <w:sz w:val="16"/>
          <w:szCs w:val="16"/>
          <w:b w:val="1"/>
          <w:bCs w:val="1"/>
          <w:u w:val="single" w:color="auto"/>
          <w:color w:val="0000FF"/>
        </w:rPr>
      </w:pPr>
    </w:p>
    <w:p>
      <w:pPr>
        <w:jc w:val="center"/>
        <w:spacing w:after="0"/>
        <w:rPr>
          <w:sz w:val="20"/>
          <w:szCs w:val="20"/>
          <w:color w:val="auto"/>
        </w:rPr>
      </w:pPr>
      <w:r>
        <w:rPr>
          <w:rFonts w:ascii="Arial" w:cs="Arial" w:eastAsia="Arial" w:hAnsi="Arial"/>
          <w:sz w:val="14"/>
          <w:szCs w:val="14"/>
          <w:color w:val="auto"/>
        </w:rPr>
        <w:t>ALLETE, Inc. Second Quarter 2018 Form 10-Q</w:t>
      </w:r>
    </w:p>
    <w:p>
      <w:pPr>
        <w:spacing w:after="0" w:line="13" w:lineRule="exact"/>
        <w:rPr>
          <w:rFonts w:ascii="Arial" w:cs="Arial" w:eastAsia="Arial" w:hAnsi="Arial"/>
          <w:sz w:val="16"/>
          <w:szCs w:val="16"/>
          <w:b w:val="1"/>
          <w:bCs w:val="1"/>
          <w:u w:val="single" w:color="auto"/>
          <w:color w:val="0000FF"/>
        </w:rPr>
      </w:pPr>
    </w:p>
    <w:p>
      <w:pPr>
        <w:jc w:val="right"/>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36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August 2, 2018</w:t>
            </w:r>
          </w:p>
        </w:tc>
        <w:tc>
          <w:tcPr>
            <w:tcW w:w="5800" w:type="dxa"/>
            <w:vAlign w:val="bottom"/>
          </w:tcPr>
          <w:p>
            <w:pPr>
              <w:jc w:val="center"/>
              <w:spacing w:after="0"/>
              <w:rPr>
                <w:sz w:val="20"/>
                <w:szCs w:val="20"/>
                <w:color w:val="auto"/>
              </w:rPr>
            </w:pPr>
            <w:r>
              <w:rPr>
                <w:rFonts w:ascii="Arial" w:cs="Arial" w:eastAsia="Arial" w:hAnsi="Arial"/>
                <w:sz w:val="18"/>
                <w:szCs w:val="18"/>
                <w:color w:val="auto"/>
                <w:w w:val="89"/>
              </w:rPr>
              <w:t>/s/ Robert J. Adams</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August 2, 2018</w:t>
            </w: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7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3"/>
              </w:rPr>
              <w:t>Vice President, Controller and Chief Accounting Officer</w:t>
            </w:r>
          </w:p>
        </w:tc>
      </w:tr>
      <w:tr>
        <w:trPr>
          <w:trHeight w:val="270"/>
        </w:trPr>
        <w:tc>
          <w:tcPr>
            <w:tcW w:w="27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588"/>
        </w:trPr>
        <w:tc>
          <w:tcPr>
            <w:tcW w:w="2700" w:type="dxa"/>
            <w:vAlign w:val="bottom"/>
          </w:tcPr>
          <w:p>
            <w:pPr>
              <w:spacing w:after="0"/>
              <w:rPr>
                <w:sz w:val="24"/>
                <w:szCs w:val="24"/>
                <w:color w:val="auto"/>
              </w:rPr>
            </w:pPr>
          </w:p>
        </w:tc>
        <w:tc>
          <w:tcPr>
            <w:tcW w:w="8680" w:type="dxa"/>
            <w:vAlign w:val="bottom"/>
            <w:gridSpan w:val="2"/>
          </w:tcPr>
          <w:p>
            <w:pPr>
              <w:ind w:left="1580"/>
              <w:spacing w:after="0"/>
              <w:rPr>
                <w:sz w:val="20"/>
                <w:szCs w:val="20"/>
                <w:color w:val="auto"/>
              </w:rPr>
            </w:pPr>
            <w:r>
              <w:rPr>
                <w:rFonts w:ascii="Arial" w:cs="Arial" w:eastAsia="Arial" w:hAnsi="Arial"/>
                <w:sz w:val="14"/>
                <w:szCs w:val="14"/>
                <w:color w:val="auto"/>
              </w:rPr>
              <w:t>ALLETE, Inc. Second Quarter 2018 Form 10-Q</w:t>
            </w:r>
          </w:p>
        </w:tc>
      </w:tr>
    </w:tbl>
    <w:p>
      <w:pPr>
        <w:jc w:val="right"/>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1040" w:right="2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00" w:lineRule="exact"/>
        <w:rPr>
          <w:sz w:val="20"/>
          <w:szCs w:val="20"/>
          <w:color w:val="auto"/>
        </w:rPr>
      </w:pP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SUPERIOR WATER, LIGHT AND POWER COMPANY</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2915 Hill Avenue, Superior, WI 54880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(formerly First Bank (N.A.))</w:t>
      </w: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 Under Superior Water, Light</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Power Company's Mortgage and Deed of Trust,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1, 1943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_________________________________________</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THIRTEENTH SUPPLEMENTAL INDENTURE</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Dated as of May 21,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drafted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ectPr>
          <w:pgSz w:w="11900" w:h="16838" w:orient="portrait"/>
          <w:cols w:equalWidth="0" w:num="1">
            <w:col w:w="10219"/>
          </w:cols>
          <w:pgMar w:left="240" w:top="1440" w:right="1440" w:bottom="1440" w:gutter="0" w:footer="0" w:header="0"/>
        </w:sectPr>
      </w:pPr>
    </w:p>
    <w:bookmarkStart w:id="66" w:name="page67"/>
    <w:bookmarkEnd w:id="6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52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r>
      <w:tr>
        <w:trPr>
          <w:trHeight w:val="459"/>
        </w:trPr>
        <w:tc>
          <w:tcPr>
            <w:tcW w:w="1740" w:type="dxa"/>
            <w:vAlign w:val="bottom"/>
          </w:tcPr>
          <w:p>
            <w:pPr>
              <w:spacing w:after="0"/>
              <w:rPr>
                <w:sz w:val="24"/>
                <w:szCs w:val="24"/>
                <w:color w:val="auto"/>
              </w:rPr>
            </w:pPr>
          </w:p>
        </w:tc>
        <w:tc>
          <w:tcPr>
            <w:tcW w:w="3420" w:type="dxa"/>
            <w:vAlign w:val="bottom"/>
          </w:tcPr>
          <w:p>
            <w:pPr>
              <w:ind w:left="2100"/>
              <w:spacing w:after="0"/>
              <w:rPr>
                <w:sz w:val="20"/>
                <w:szCs w:val="20"/>
                <w:color w:val="auto"/>
              </w:rPr>
            </w:pPr>
            <w:r>
              <w:rPr>
                <w:rFonts w:ascii="Arial" w:cs="Arial" w:eastAsia="Arial" w:hAnsi="Arial"/>
                <w:sz w:val="18"/>
                <w:szCs w:val="18"/>
                <w:color w:val="auto"/>
              </w:rPr>
              <w:t>Section</w:t>
            </w:r>
          </w:p>
        </w:tc>
        <w:tc>
          <w:tcPr>
            <w:tcW w:w="1800" w:type="dxa"/>
            <w:vAlign w:val="bottom"/>
          </w:tcPr>
          <w:p>
            <w:pPr>
              <w:jc w:val="right"/>
              <w:ind w:right="750"/>
              <w:spacing w:after="0"/>
              <w:rPr>
                <w:sz w:val="20"/>
                <w:szCs w:val="20"/>
                <w:color w:val="auto"/>
              </w:rPr>
            </w:pPr>
            <w:r>
              <w:rPr>
                <w:rFonts w:ascii="Arial" w:cs="Arial" w:eastAsia="Arial" w:hAnsi="Arial"/>
                <w:sz w:val="18"/>
                <w:szCs w:val="18"/>
                <w:color w:val="auto"/>
              </w:rPr>
              <w:t>Heading</w:t>
            </w:r>
          </w:p>
        </w:tc>
        <w:tc>
          <w:tcPr>
            <w:tcW w:w="620" w:type="dxa"/>
            <w:vAlign w:val="bottom"/>
          </w:tcPr>
          <w:p>
            <w:pPr>
              <w:ind w:left="280"/>
              <w:spacing w:after="0"/>
              <w:rPr>
                <w:sz w:val="20"/>
                <w:szCs w:val="20"/>
                <w:color w:val="auto"/>
              </w:rPr>
            </w:pPr>
            <w:r>
              <w:rPr>
                <w:rFonts w:ascii="Arial" w:cs="Arial" w:eastAsia="Arial" w:hAnsi="Arial"/>
                <w:sz w:val="18"/>
                <w:szCs w:val="18"/>
                <w:color w:val="auto"/>
                <w:w w:val="76"/>
              </w:rPr>
              <w:t>Page</w:t>
            </w:r>
          </w:p>
        </w:tc>
      </w:tr>
      <w:tr>
        <w:trPr>
          <w:trHeight w:val="459"/>
        </w:trPr>
        <w:tc>
          <w:tcPr>
            <w:tcW w:w="1740" w:type="dxa"/>
            <w:vAlign w:val="bottom"/>
          </w:tcPr>
          <w:p>
            <w:pPr>
              <w:spacing w:after="0"/>
              <w:rPr>
                <w:sz w:val="20"/>
                <w:szCs w:val="20"/>
                <w:color w:val="auto"/>
              </w:rPr>
            </w:pPr>
            <w:r>
              <w:rPr>
                <w:rFonts w:ascii="Arial" w:cs="Arial" w:eastAsia="Arial" w:hAnsi="Arial"/>
                <w:sz w:val="18"/>
                <w:szCs w:val="18"/>
                <w:color w:val="auto"/>
              </w:rPr>
              <w:t>Parties</w:t>
            </w:r>
          </w:p>
        </w:tc>
        <w:tc>
          <w:tcPr>
            <w:tcW w:w="3420" w:type="dxa"/>
            <w:vAlign w:val="bottom"/>
          </w:tcPr>
          <w:p>
            <w:pPr>
              <w:jc w:val="right"/>
              <w:ind w:right="1970"/>
              <w:spacing w:after="0"/>
              <w:rPr>
                <w:sz w:val="20"/>
                <w:szCs w:val="20"/>
                <w:color w:val="auto"/>
              </w:rPr>
            </w:pPr>
            <w:r>
              <w:rPr>
                <w:rFonts w:ascii="Arial" w:cs="Arial" w:eastAsia="Arial" w:hAnsi="Arial"/>
                <w:sz w:val="18"/>
                <w:szCs w:val="18"/>
                <w:color w:val="auto"/>
              </w:rPr>
              <w:t>1</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9"/>
        </w:trPr>
        <w:tc>
          <w:tcPr>
            <w:tcW w:w="1740" w:type="dxa"/>
            <w:vAlign w:val="bottom"/>
          </w:tcPr>
          <w:p>
            <w:pPr>
              <w:spacing w:after="0"/>
              <w:rPr>
                <w:sz w:val="20"/>
                <w:szCs w:val="20"/>
                <w:color w:val="auto"/>
              </w:rPr>
            </w:pPr>
            <w:r>
              <w:rPr>
                <w:rFonts w:ascii="Arial" w:cs="Arial" w:eastAsia="Arial" w:hAnsi="Arial"/>
                <w:sz w:val="18"/>
                <w:szCs w:val="18"/>
                <w:color w:val="auto"/>
              </w:rPr>
              <w:t>Recitals</w:t>
            </w:r>
          </w:p>
        </w:tc>
        <w:tc>
          <w:tcPr>
            <w:tcW w:w="3420" w:type="dxa"/>
            <w:vAlign w:val="bottom"/>
          </w:tcPr>
          <w:p>
            <w:pPr>
              <w:jc w:val="right"/>
              <w:ind w:right="1870"/>
              <w:spacing w:after="0"/>
              <w:rPr>
                <w:sz w:val="20"/>
                <w:szCs w:val="20"/>
                <w:color w:val="auto"/>
              </w:rPr>
            </w:pPr>
            <w:r>
              <w:rPr>
                <w:rFonts w:ascii="Arial" w:cs="Arial" w:eastAsia="Arial" w:hAnsi="Arial"/>
                <w:sz w:val="18"/>
                <w:szCs w:val="18"/>
                <w:color w:val="auto"/>
              </w:rPr>
              <w:t>1</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9"/>
        </w:trPr>
        <w:tc>
          <w:tcPr>
            <w:tcW w:w="1740" w:type="dxa"/>
            <w:vAlign w:val="bottom"/>
          </w:tcPr>
          <w:p>
            <w:pPr>
              <w:spacing w:after="0"/>
              <w:rPr>
                <w:sz w:val="20"/>
                <w:szCs w:val="20"/>
                <w:color w:val="auto"/>
              </w:rPr>
            </w:pPr>
            <w:r>
              <w:rPr>
                <w:rFonts w:ascii="Arial" w:cs="Arial" w:eastAsia="Arial" w:hAnsi="Arial"/>
                <w:sz w:val="18"/>
                <w:szCs w:val="18"/>
                <w:color w:val="auto"/>
              </w:rPr>
              <w:t>ARTICLE I</w:t>
            </w:r>
          </w:p>
        </w:tc>
        <w:tc>
          <w:tcPr>
            <w:tcW w:w="3420" w:type="dxa"/>
            <w:vAlign w:val="bottom"/>
          </w:tcPr>
          <w:p>
            <w:pPr>
              <w:ind w:left="220"/>
              <w:spacing w:after="0"/>
              <w:rPr>
                <w:sz w:val="20"/>
                <w:szCs w:val="20"/>
                <w:color w:val="auto"/>
              </w:rPr>
            </w:pPr>
            <w:r>
              <w:rPr>
                <w:rFonts w:ascii="Arial" w:cs="Arial" w:eastAsia="Arial" w:hAnsi="Arial"/>
                <w:sz w:val="18"/>
                <w:szCs w:val="18"/>
                <w:color w:val="auto"/>
              </w:rPr>
              <w:t>BONDS OF THE TWELFTH SERIES</w:t>
            </w:r>
          </w:p>
        </w:tc>
        <w:tc>
          <w:tcPr>
            <w:tcW w:w="1800" w:type="dxa"/>
            <w:vAlign w:val="bottom"/>
          </w:tcPr>
          <w:p>
            <w:pPr>
              <w:jc w:val="right"/>
              <w:ind w:right="75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4"/>
                <w:szCs w:val="24"/>
                <w:color w:val="auto"/>
              </w:rPr>
            </w:pPr>
          </w:p>
        </w:tc>
      </w:tr>
      <w:tr>
        <w:trPr>
          <w:trHeight w:val="324"/>
        </w:trPr>
        <w:tc>
          <w:tcPr>
            <w:tcW w:w="1740" w:type="dxa"/>
            <w:vAlign w:val="bottom"/>
          </w:tcPr>
          <w:p>
            <w:pPr>
              <w:ind w:left="500"/>
              <w:spacing w:after="0"/>
              <w:rPr>
                <w:sz w:val="20"/>
                <w:szCs w:val="20"/>
                <w:color w:val="auto"/>
              </w:rPr>
            </w:pPr>
            <w:r>
              <w:rPr>
                <w:rFonts w:ascii="Arial" w:cs="Arial" w:eastAsia="Arial" w:hAnsi="Arial"/>
                <w:sz w:val="18"/>
                <w:szCs w:val="18"/>
                <w:color w:val="auto"/>
              </w:rPr>
              <w:t>Section 1.1</w:t>
            </w:r>
          </w:p>
        </w:tc>
        <w:tc>
          <w:tcPr>
            <w:tcW w:w="3420" w:type="dxa"/>
            <w:vAlign w:val="bottom"/>
          </w:tcPr>
          <w:p>
            <w:pPr>
              <w:jc w:val="right"/>
              <w:ind w:right="1330"/>
              <w:spacing w:after="0"/>
              <w:rPr>
                <w:sz w:val="20"/>
                <w:szCs w:val="20"/>
                <w:color w:val="auto"/>
              </w:rPr>
            </w:pPr>
            <w:r>
              <w:rPr>
                <w:rFonts w:ascii="Arial" w:cs="Arial" w:eastAsia="Arial" w:hAnsi="Arial"/>
                <w:sz w:val="18"/>
                <w:szCs w:val="18"/>
                <w:color w:val="auto"/>
              </w:rPr>
              <w:t>5</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9"/>
        </w:trPr>
        <w:tc>
          <w:tcPr>
            <w:tcW w:w="1740" w:type="dxa"/>
            <w:vAlign w:val="bottom"/>
          </w:tcPr>
          <w:p>
            <w:pPr>
              <w:spacing w:after="0"/>
              <w:rPr>
                <w:sz w:val="20"/>
                <w:szCs w:val="20"/>
                <w:color w:val="auto"/>
              </w:rPr>
            </w:pPr>
            <w:r>
              <w:rPr>
                <w:rFonts w:ascii="Arial" w:cs="Arial" w:eastAsia="Arial" w:hAnsi="Arial"/>
                <w:sz w:val="18"/>
                <w:szCs w:val="18"/>
                <w:color w:val="auto"/>
              </w:rPr>
              <w:t>ARTICLE II</w:t>
            </w:r>
          </w:p>
        </w:tc>
        <w:tc>
          <w:tcPr>
            <w:tcW w:w="3420" w:type="dxa"/>
            <w:vAlign w:val="bottom"/>
          </w:tcPr>
          <w:p>
            <w:pPr>
              <w:ind w:left="220"/>
              <w:spacing w:after="0"/>
              <w:rPr>
                <w:sz w:val="20"/>
                <w:szCs w:val="20"/>
                <w:color w:val="auto"/>
              </w:rPr>
            </w:pPr>
            <w:r>
              <w:rPr>
                <w:rFonts w:ascii="Arial" w:cs="Arial" w:eastAsia="Arial" w:hAnsi="Arial"/>
                <w:sz w:val="18"/>
                <w:szCs w:val="18"/>
                <w:color w:val="auto"/>
              </w:rPr>
              <w:t>COVENANTS AND RESTRICTIONS</w:t>
            </w:r>
          </w:p>
        </w:tc>
        <w:tc>
          <w:tcPr>
            <w:tcW w:w="1800" w:type="dxa"/>
            <w:vAlign w:val="bottom"/>
          </w:tcPr>
          <w:p>
            <w:pPr>
              <w:jc w:val="right"/>
              <w:ind w:right="85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4"/>
                <w:szCs w:val="24"/>
                <w:color w:val="auto"/>
              </w:rPr>
            </w:pPr>
          </w:p>
        </w:tc>
      </w:tr>
      <w:tr>
        <w:trPr>
          <w:trHeight w:val="310"/>
        </w:trPr>
        <w:tc>
          <w:tcPr>
            <w:tcW w:w="1740" w:type="dxa"/>
            <w:vAlign w:val="bottom"/>
          </w:tcPr>
          <w:p>
            <w:pPr>
              <w:ind w:left="460"/>
              <w:spacing w:after="0"/>
              <w:rPr>
                <w:sz w:val="20"/>
                <w:szCs w:val="20"/>
                <w:color w:val="auto"/>
              </w:rPr>
            </w:pPr>
            <w:r>
              <w:rPr>
                <w:rFonts w:ascii="Arial" w:cs="Arial" w:eastAsia="Arial" w:hAnsi="Arial"/>
                <w:sz w:val="18"/>
                <w:szCs w:val="18"/>
                <w:color w:val="auto"/>
              </w:rPr>
              <w:t>Section 2.1.7</w:t>
            </w:r>
          </w:p>
        </w:tc>
        <w:tc>
          <w:tcPr>
            <w:tcW w:w="3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1740" w:type="dxa"/>
            <w:vAlign w:val="bottom"/>
          </w:tcPr>
          <w:p>
            <w:pPr>
              <w:ind w:left="460"/>
              <w:spacing w:after="0"/>
              <w:rPr>
                <w:sz w:val="20"/>
                <w:szCs w:val="20"/>
                <w:color w:val="auto"/>
              </w:rPr>
            </w:pPr>
            <w:r>
              <w:rPr>
                <w:rFonts w:ascii="Arial" w:cs="Arial" w:eastAsia="Arial" w:hAnsi="Arial"/>
                <w:sz w:val="18"/>
                <w:szCs w:val="18"/>
                <w:color w:val="auto"/>
              </w:rPr>
              <w:t>Section 2.2.7</w:t>
            </w: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1740" w:type="dxa"/>
            <w:vAlign w:val="bottom"/>
          </w:tcPr>
          <w:p>
            <w:pPr>
              <w:ind w:left="460"/>
              <w:spacing w:after="0"/>
              <w:rPr>
                <w:sz w:val="20"/>
                <w:szCs w:val="20"/>
                <w:color w:val="auto"/>
              </w:rPr>
            </w:pPr>
            <w:r>
              <w:rPr>
                <w:rFonts w:ascii="Arial" w:cs="Arial" w:eastAsia="Arial" w:hAnsi="Arial"/>
                <w:sz w:val="18"/>
                <w:szCs w:val="18"/>
                <w:color w:val="auto"/>
              </w:rPr>
              <w:t>Section 2.3.7</w:t>
            </w: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1740" w:type="dxa"/>
            <w:vAlign w:val="bottom"/>
          </w:tcPr>
          <w:p>
            <w:pPr>
              <w:ind w:left="460"/>
              <w:spacing w:after="0"/>
              <w:rPr>
                <w:sz w:val="20"/>
                <w:szCs w:val="20"/>
                <w:color w:val="auto"/>
              </w:rPr>
            </w:pPr>
            <w:r>
              <w:rPr>
                <w:rFonts w:ascii="Arial" w:cs="Arial" w:eastAsia="Arial" w:hAnsi="Arial"/>
                <w:sz w:val="18"/>
                <w:szCs w:val="18"/>
                <w:color w:val="auto"/>
              </w:rPr>
              <w:t>Section 2.4.7</w:t>
            </w: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1740" w:type="dxa"/>
            <w:vAlign w:val="bottom"/>
          </w:tcPr>
          <w:p>
            <w:pPr>
              <w:ind w:left="460"/>
              <w:spacing w:after="0"/>
              <w:rPr>
                <w:sz w:val="20"/>
                <w:szCs w:val="20"/>
                <w:color w:val="auto"/>
              </w:rPr>
            </w:pPr>
            <w:r>
              <w:rPr>
                <w:rFonts w:ascii="Arial" w:cs="Arial" w:eastAsia="Arial" w:hAnsi="Arial"/>
                <w:sz w:val="18"/>
                <w:szCs w:val="18"/>
                <w:color w:val="auto"/>
              </w:rPr>
              <w:t>Section 2.5.8</w:t>
            </w:r>
          </w:p>
        </w:tc>
        <w:tc>
          <w:tcPr>
            <w:tcW w:w="3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59"/>
        </w:trPr>
        <w:tc>
          <w:tcPr>
            <w:tcW w:w="1740" w:type="dxa"/>
            <w:vAlign w:val="bottom"/>
          </w:tcPr>
          <w:p>
            <w:pPr>
              <w:spacing w:after="0"/>
              <w:rPr>
                <w:sz w:val="20"/>
                <w:szCs w:val="20"/>
                <w:color w:val="auto"/>
              </w:rPr>
            </w:pPr>
            <w:r>
              <w:rPr>
                <w:rFonts w:ascii="Arial" w:cs="Arial" w:eastAsia="Arial" w:hAnsi="Arial"/>
                <w:sz w:val="18"/>
                <w:szCs w:val="18"/>
                <w:color w:val="auto"/>
              </w:rPr>
              <w:t>ARTICLE III</w:t>
            </w:r>
          </w:p>
        </w:tc>
        <w:tc>
          <w:tcPr>
            <w:tcW w:w="3420" w:type="dxa"/>
            <w:vAlign w:val="bottom"/>
          </w:tcPr>
          <w:p>
            <w:pPr>
              <w:ind w:left="220"/>
              <w:spacing w:after="0"/>
              <w:rPr>
                <w:sz w:val="20"/>
                <w:szCs w:val="20"/>
                <w:color w:val="auto"/>
              </w:rPr>
            </w:pPr>
            <w:r>
              <w:rPr>
                <w:rFonts w:ascii="Arial" w:cs="Arial" w:eastAsia="Arial" w:hAnsi="Arial"/>
                <w:sz w:val="18"/>
                <w:szCs w:val="18"/>
                <w:color w:val="auto"/>
              </w:rPr>
              <w:t>MISCELLANEOUS PROVISIONS</w:t>
            </w:r>
          </w:p>
        </w:tc>
        <w:tc>
          <w:tcPr>
            <w:tcW w:w="1800" w:type="dxa"/>
            <w:vAlign w:val="bottom"/>
          </w:tcPr>
          <w:p>
            <w:pPr>
              <w:jc w:val="right"/>
              <w:ind w:right="109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24"/>
                <w:szCs w:val="24"/>
                <w:color w:val="auto"/>
              </w:rPr>
            </w:pPr>
          </w:p>
        </w:tc>
      </w:tr>
      <w:tr>
        <w:trPr>
          <w:trHeight w:val="310"/>
        </w:trPr>
        <w:tc>
          <w:tcPr>
            <w:tcW w:w="1740" w:type="dxa"/>
            <w:vAlign w:val="bottom"/>
          </w:tcPr>
          <w:p>
            <w:pPr>
              <w:ind w:left="460"/>
              <w:spacing w:after="0"/>
              <w:rPr>
                <w:sz w:val="20"/>
                <w:szCs w:val="20"/>
                <w:color w:val="auto"/>
              </w:rPr>
            </w:pPr>
            <w:r>
              <w:rPr>
                <w:rFonts w:ascii="Arial" w:cs="Arial" w:eastAsia="Arial" w:hAnsi="Arial"/>
                <w:sz w:val="18"/>
                <w:szCs w:val="18"/>
                <w:color w:val="auto"/>
              </w:rPr>
              <w:t>Section 3.1.8</w:t>
            </w:r>
          </w:p>
        </w:tc>
        <w:tc>
          <w:tcPr>
            <w:tcW w:w="3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1740" w:type="dxa"/>
            <w:vAlign w:val="bottom"/>
          </w:tcPr>
          <w:p>
            <w:pPr>
              <w:ind w:left="460"/>
              <w:spacing w:after="0"/>
              <w:rPr>
                <w:sz w:val="20"/>
                <w:szCs w:val="20"/>
                <w:color w:val="auto"/>
              </w:rPr>
            </w:pPr>
            <w:r>
              <w:rPr>
                <w:rFonts w:ascii="Arial" w:cs="Arial" w:eastAsia="Arial" w:hAnsi="Arial"/>
                <w:sz w:val="18"/>
                <w:szCs w:val="18"/>
                <w:color w:val="auto"/>
              </w:rPr>
              <w:t>Section 3.2.11</w:t>
            </w: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1740" w:type="dxa"/>
            <w:vAlign w:val="bottom"/>
          </w:tcPr>
          <w:p>
            <w:pPr>
              <w:ind w:left="460"/>
              <w:spacing w:after="0"/>
              <w:rPr>
                <w:sz w:val="20"/>
                <w:szCs w:val="20"/>
                <w:color w:val="auto"/>
              </w:rPr>
            </w:pPr>
            <w:r>
              <w:rPr>
                <w:rFonts w:ascii="Arial" w:cs="Arial" w:eastAsia="Arial" w:hAnsi="Arial"/>
                <w:sz w:val="18"/>
                <w:szCs w:val="18"/>
                <w:color w:val="auto"/>
              </w:rPr>
              <w:t>Section 3.3.11</w:t>
            </w: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1740" w:type="dxa"/>
            <w:vAlign w:val="bottom"/>
          </w:tcPr>
          <w:p>
            <w:pPr>
              <w:ind w:left="460"/>
              <w:spacing w:after="0"/>
              <w:rPr>
                <w:sz w:val="20"/>
                <w:szCs w:val="20"/>
                <w:color w:val="auto"/>
              </w:rPr>
            </w:pPr>
            <w:r>
              <w:rPr>
                <w:rFonts w:ascii="Arial" w:cs="Arial" w:eastAsia="Arial" w:hAnsi="Arial"/>
                <w:sz w:val="18"/>
                <w:szCs w:val="18"/>
                <w:color w:val="auto"/>
              </w:rPr>
              <w:t>Section 3.4.11</w:t>
            </w: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1740" w:type="dxa"/>
            <w:vAlign w:val="bottom"/>
          </w:tcPr>
          <w:p>
            <w:pPr>
              <w:ind w:left="460"/>
              <w:spacing w:after="0"/>
              <w:rPr>
                <w:sz w:val="20"/>
                <w:szCs w:val="20"/>
                <w:color w:val="auto"/>
              </w:rPr>
            </w:pPr>
            <w:r>
              <w:rPr>
                <w:rFonts w:ascii="Arial" w:cs="Arial" w:eastAsia="Arial" w:hAnsi="Arial"/>
                <w:sz w:val="18"/>
                <w:szCs w:val="18"/>
                <w:color w:val="auto"/>
              </w:rPr>
              <w:t>Section 3.5.11</w:t>
            </w: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1740" w:type="dxa"/>
            <w:vAlign w:val="bottom"/>
          </w:tcPr>
          <w:p>
            <w:pPr>
              <w:ind w:left="460"/>
              <w:spacing w:after="0"/>
              <w:rPr>
                <w:sz w:val="20"/>
                <w:szCs w:val="20"/>
                <w:color w:val="auto"/>
              </w:rPr>
            </w:pPr>
            <w:r>
              <w:rPr>
                <w:rFonts w:ascii="Arial" w:cs="Arial" w:eastAsia="Arial" w:hAnsi="Arial"/>
                <w:sz w:val="18"/>
                <w:szCs w:val="18"/>
                <w:color w:val="auto"/>
              </w:rPr>
              <w:t>Section 3.6.12</w:t>
            </w: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1740" w:type="dxa"/>
            <w:vAlign w:val="bottom"/>
          </w:tcPr>
          <w:p>
            <w:pPr>
              <w:ind w:left="460"/>
              <w:spacing w:after="0"/>
              <w:rPr>
                <w:sz w:val="20"/>
                <w:szCs w:val="20"/>
                <w:color w:val="auto"/>
              </w:rPr>
            </w:pPr>
            <w:r>
              <w:rPr>
                <w:rFonts w:ascii="Arial" w:cs="Arial" w:eastAsia="Arial" w:hAnsi="Arial"/>
                <w:sz w:val="18"/>
                <w:szCs w:val="18"/>
                <w:color w:val="auto"/>
              </w:rPr>
              <w:t>Section 3.7.12</w:t>
            </w:r>
          </w:p>
        </w:tc>
        <w:tc>
          <w:tcPr>
            <w:tcW w:w="3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59"/>
        </w:trPr>
        <w:tc>
          <w:tcPr>
            <w:tcW w:w="174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Pr>
          <w:p>
            <w:pPr>
              <w:jc w:val="right"/>
              <w:ind w:right="1990"/>
              <w:spacing w:after="0"/>
              <w:rPr>
                <w:sz w:val="20"/>
                <w:szCs w:val="20"/>
                <w:color w:val="auto"/>
              </w:rPr>
            </w:pPr>
            <w:r>
              <w:rPr>
                <w:rFonts w:ascii="Arial" w:cs="Arial" w:eastAsia="Arial" w:hAnsi="Arial"/>
                <w:sz w:val="18"/>
                <w:szCs w:val="18"/>
                <w:color w:val="auto"/>
              </w:rPr>
              <w:t>13</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ATTACHMENTS TO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Bond of the Twelfth Series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 Assignment and Irrevocable Bond Power</w:t>
      </w:r>
    </w:p>
    <w:p>
      <w:pPr>
        <w:sectPr>
          <w:pgSz w:w="11900" w:h="16838" w:orient="portrait"/>
          <w:cols w:equalWidth="0" w:num="1">
            <w:col w:w="10219"/>
          </w:cols>
          <w:pgMar w:left="240" w:top="1440" w:right="1440" w:bottom="1440" w:gutter="0" w:footer="0" w:header="0"/>
        </w:sectPr>
      </w:pPr>
    </w:p>
    <w:bookmarkStart w:id="67" w:name="page68"/>
    <w:bookmarkEnd w:id="67"/>
    <w:p>
      <w:pPr>
        <w:spacing w:after="0" w:line="2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THIRTEENTH SUPPLEMENTAL INDENTURE</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SUPPLEMENTAL INDENTURE, dated as of the 21st day of May, 2018, made and entered into by and between SUPERIOR WATER, LIGHT AND POWER COMPANY, a corporation of the State of Wisconsin, whose address is 2915 Hill Avenue, Superior, Wisconsin 54880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and U.S. BANK NATIONAL ASSOCIATION (successor to Chemical Bank, as Corporate Trustee, and Peter Morse, as Co-Trustee), a national banking association, whose principal trust office at the date hereof is in Milwaukee, Wisconsin (the </w:t>
      </w:r>
      <w:r>
        <w:rPr>
          <w:rFonts w:ascii="Arial" w:cs="Arial" w:eastAsia="Arial" w:hAnsi="Arial"/>
          <w:sz w:val="17"/>
          <w:szCs w:val="17"/>
          <w:i w:val="1"/>
          <w:iCs w:val="1"/>
          <w:color w:val="auto"/>
        </w:rPr>
        <w:t>“Trustee”</w:t>
      </w:r>
      <w:r>
        <w:rPr>
          <w:rFonts w:ascii="Arial" w:cs="Arial" w:eastAsia="Arial" w:hAnsi="Arial"/>
          <w:sz w:val="17"/>
          <w:szCs w:val="17"/>
          <w:color w:val="auto"/>
        </w:rPr>
        <w:t xml:space="preserve">), as Trustee under the Mortgage and Deed of Trust dated as of March 1, 1943 (hereinafter called the </w:t>
      </w:r>
      <w:r>
        <w:rPr>
          <w:rFonts w:ascii="Arial" w:cs="Arial" w:eastAsia="Arial" w:hAnsi="Arial"/>
          <w:sz w:val="17"/>
          <w:szCs w:val="17"/>
          <w:i w:val="1"/>
          <w:iCs w:val="1"/>
          <w:color w:val="auto"/>
        </w:rPr>
        <w:t>“Mortgage”</w:t>
      </w:r>
      <w:r>
        <w:rPr>
          <w:rFonts w:ascii="Arial" w:cs="Arial" w:eastAsia="Arial" w:hAnsi="Arial"/>
          <w:sz w:val="17"/>
          <w:szCs w:val="17"/>
          <w:color w:val="auto"/>
        </w:rPr>
        <w:t xml:space="preserve">), which Mortgage was executed and delivered by the Company to secure the payment of bonds issued or to be issued under and in accordance with the provisions of the Mortgage, reference to which Mortgage is hereby made, this Thirteenth Supplemental Indenture (the </w:t>
      </w:r>
      <w:r>
        <w:rPr>
          <w:rFonts w:ascii="Arial" w:cs="Arial" w:eastAsia="Arial" w:hAnsi="Arial"/>
          <w:sz w:val="17"/>
          <w:szCs w:val="17"/>
          <w:i w:val="1"/>
          <w:iCs w:val="1"/>
          <w:color w:val="auto"/>
        </w:rPr>
        <w:t>“Thirteenth Supplemental Indenture”</w:t>
      </w:r>
      <w:r>
        <w:rPr>
          <w:rFonts w:ascii="Arial" w:cs="Arial" w:eastAsia="Arial" w:hAnsi="Arial"/>
          <w:sz w:val="17"/>
          <w:szCs w:val="17"/>
          <w:color w:val="auto"/>
        </w:rPr>
        <w:t>) being supplemental thereto;Parties4</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said Mortgage was recorded in the office of the Register of Deeds in and for Douglas County, Wisconsin, on May 3, 1943, in Volume 191 of Mortgages at page 1, Document No. 362844; and Recitals4</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September 15, 1949, was executed by the Company appointing Russell H. Sherman as Co-Trustee in succession to said Howard B. Smith, resigned, under said Mortgage, and by Russell H. Sherman accepting the appointment as Co-Trustee under said Mortgage in succession to the said Howard B. Smith, which instrument was recorded in the office of the Register of Deeds in and for Douglas County, Wisconsin, on October 8, 1949, in Volume 196 of Mortgages at page 510, Document No. 398649; and</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by the Mortgage, the Company covenanted that it would execute and deliver such supplemental indenture or indentures and such further instruments and do such further acts as might be necessary or proper to carry out more effectively the purposes of the Mortgage and to make subject to the lien of the Mortgage any property acquired after the date of the execution of the Mortgage and intended to be subject to the lien thereof; and</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First Supplemental Indenture, dated as of March 1, 1951 (hereinafter called its </w:t>
      </w:r>
      <w:r>
        <w:rPr>
          <w:rFonts w:ascii="Arial" w:cs="Arial" w:eastAsia="Arial" w:hAnsi="Arial"/>
          <w:sz w:val="18"/>
          <w:szCs w:val="18"/>
          <w:i w:val="1"/>
          <w:iCs w:val="1"/>
          <w:color w:val="auto"/>
        </w:rPr>
        <w:t>“First</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30, 1951,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205 of Mortgages at page 73, Document No. 405297; and</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May 16, 1961, was executed by the Company appointing Richard G. Pintard as Co-Trustee in succession to said Russell H. Sherman, resigned, under said Mortgage and by Richard G. Pintard accepting the appointment as Co-Trustee under said Mortgage in succession to said Russell H. Sherman, which instrument was recorded in the office of the Register of Deeds in and for Douglas County, Wisconsin, on May 31, 1961, in Volume 256 of Mortgages at page 423, Document No. 453857; and</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Second Supplemental Indenture, dated as of March 1, 1962 (hereinafter called its </w:t>
      </w:r>
      <w:r>
        <w:rPr>
          <w:rFonts w:ascii="Arial" w:cs="Arial" w:eastAsia="Arial" w:hAnsi="Arial"/>
          <w:sz w:val="18"/>
          <w:szCs w:val="18"/>
          <w:i w:val="1"/>
          <w:iCs w:val="1"/>
          <w:color w:val="auto"/>
        </w:rPr>
        <w:t>“Second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26, 1962,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261 of Mortgages at page 81, Document No. 457662; and</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June 23, 1976, was executed by the Company appointing Steven F. Lasher as Co-Trustee in succession to said Richard G. Pintard, resigned, under said Mortgage and by Steven F. Lasher accepting the appointment as Co-Trustee under said Mortgage in succession to said Richard G. Pintard, which instrument was recorded in the office of the Register of Deeds in and for Douglas County, Wisconsin, on July 16, 1976, in Volume 353 of Records at page 274, Document No. 532495; and</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Third Supplemental Indenture, dated as of July 1, 1976 (hereinafter called its </w:t>
      </w:r>
      <w:r>
        <w:rPr>
          <w:rFonts w:ascii="Arial" w:cs="Arial" w:eastAsia="Arial" w:hAnsi="Arial"/>
          <w:sz w:val="18"/>
          <w:szCs w:val="18"/>
          <w:i w:val="1"/>
          <w:iCs w:val="1"/>
          <w:color w:val="auto"/>
        </w:rPr>
        <w:t>“Third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October 1, 1976,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355 of Records at page 683, Document No. 534332; and</w:t>
      </w:r>
    </w:p>
    <w:p>
      <w:pPr>
        <w:sectPr>
          <w:pgSz w:w="11900" w:h="16838" w:orient="portrait"/>
          <w:cols w:equalWidth="0" w:num="1">
            <w:col w:w="11420"/>
          </w:cols>
          <w:pgMar w:left="240" w:top="1440" w:right="239" w:bottom="1440" w:gutter="0" w:footer="0" w:header="0"/>
        </w:sectPr>
      </w:pPr>
    </w:p>
    <w:bookmarkStart w:id="68" w:name="page69"/>
    <w:bookmarkEnd w:id="68"/>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December 30, 1977, was executed by the Company appointing C. G. Martens as Co-Trustee in succession, to said Steven F. Lasher, resigned, under said Mortgage and by C. G. Martens accepting the appointment as Co-Trustee under said Mortgage in succession to said Steven F. Lasher, which instrument was recorded in the office of the Register of Deeds in and for Douglas County, Wisconsin, on February 13, 1985, in Volume 436 of Records at page 264, Document No. 589308; and</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Fourth Supplemental Indenture, dated as of March 1, 1985 (hereinafter called its </w:t>
      </w:r>
      <w:r>
        <w:rPr>
          <w:rFonts w:ascii="Arial" w:cs="Arial" w:eastAsia="Arial" w:hAnsi="Arial"/>
          <w:sz w:val="18"/>
          <w:szCs w:val="18"/>
          <w:i w:val="1"/>
          <w:iCs w:val="1"/>
          <w:color w:val="auto"/>
        </w:rPr>
        <w:t>“Fourth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19, 1985,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436 of Records at page 910, Document No. 589776; and</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an instrument dated as of October 26, 1992, was executed by the Company appointing Peter Morse as Co-Trustee in succession to said C. G. Martens, resigned, under said Mortgage and by Peter Morse accepting the appointment as Co-Trustee under said Mortgage in succession to said C. G. Martens, which instrument was recorded in the office of the Register of Deeds in and for Douglas County, Wisconsin, on November 13, 1992, in Volume 539 of Records at page 9, Document No. 649056; and</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Fifth Supplemental Indenture, dated as of December 1, 1992, (hereinafter called its </w:t>
      </w:r>
      <w:r>
        <w:rPr>
          <w:rFonts w:ascii="Arial" w:cs="Arial" w:eastAsia="Arial" w:hAnsi="Arial"/>
          <w:sz w:val="18"/>
          <w:szCs w:val="18"/>
          <w:i w:val="1"/>
          <w:iCs w:val="1"/>
          <w:color w:val="auto"/>
        </w:rPr>
        <w:t>“Fifth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December 28, 1992, in</w:t>
      </w:r>
      <w:r>
        <w:rPr>
          <w:rFonts w:ascii="Arial" w:cs="Arial" w:eastAsia="Arial" w:hAnsi="Arial"/>
          <w:sz w:val="18"/>
          <w:szCs w:val="18"/>
          <w:i w:val="1"/>
          <w:iCs w:val="1"/>
          <w:color w:val="auto"/>
        </w:rPr>
        <w:t xml:space="preserve"> </w:t>
      </w:r>
      <w:r>
        <w:rPr>
          <w:rFonts w:ascii="Arial" w:cs="Arial" w:eastAsia="Arial" w:hAnsi="Arial"/>
          <w:sz w:val="18"/>
          <w:szCs w:val="18"/>
          <w:color w:val="auto"/>
        </w:rPr>
        <w:t>Volume 541 of Records at page 229, Document No. 650104; and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Sixth Supplemental Indenture, dated as of March 24, 1994 (hereinafter called its </w:t>
      </w:r>
      <w:r>
        <w:rPr>
          <w:rFonts w:ascii="Arial" w:cs="Arial" w:eastAsia="Arial" w:hAnsi="Arial"/>
          <w:sz w:val="18"/>
          <w:szCs w:val="18"/>
          <w:i w:val="1"/>
          <w:iCs w:val="1"/>
          <w:color w:val="auto"/>
        </w:rPr>
        <w:t>“Sixth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March 29, 1994,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568 of Records at page 757, Document No. 662228; and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Seventh Supplemental Indenture, dated as of November 1, 1994 (hereinafter called its </w:t>
      </w:r>
      <w:r>
        <w:rPr>
          <w:rFonts w:ascii="Arial" w:cs="Arial" w:eastAsia="Arial" w:hAnsi="Arial"/>
          <w:sz w:val="18"/>
          <w:szCs w:val="18"/>
          <w:i w:val="1"/>
          <w:iCs w:val="1"/>
          <w:color w:val="auto"/>
        </w:rPr>
        <w:t>“Seventh Supplemental Indenture”</w:t>
      </w:r>
      <w:r>
        <w:rPr>
          <w:rFonts w:ascii="Arial" w:cs="Arial" w:eastAsia="Arial" w:hAnsi="Arial"/>
          <w:sz w:val="18"/>
          <w:szCs w:val="18"/>
          <w:color w:val="auto"/>
        </w:rPr>
        <w:t>), which was recorded in the office of the Register of Deeds in and for Douglas County, Wisconsin, on January 18, 1995, in</w:t>
      </w:r>
      <w:r>
        <w:rPr>
          <w:rFonts w:ascii="Arial" w:cs="Arial" w:eastAsia="Arial" w:hAnsi="Arial"/>
          <w:sz w:val="18"/>
          <w:szCs w:val="18"/>
          <w:i w:val="1"/>
          <w:iCs w:val="1"/>
          <w:color w:val="auto"/>
        </w:rPr>
        <w:t xml:space="preserve"> </w:t>
      </w:r>
      <w:r>
        <w:rPr>
          <w:rFonts w:ascii="Arial" w:cs="Arial" w:eastAsia="Arial" w:hAnsi="Arial"/>
          <w:sz w:val="18"/>
          <w:szCs w:val="18"/>
          <w:color w:val="auto"/>
        </w:rPr>
        <w:t>Volume 583 of Records at page 242, Document No. 669350; and</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an instrument dated as of January 20, 1995, was executed by The Prudential Insurance Company pursuant to Section 102 of the Mortgage appointing First Bank (N.A.) as Trustee in succession to Chemical Bank as Corporate Trustee and Peter Morse as Co-Trustee under said Mortgage and by First Bank (N.A.) (U.S. Bank National Association, successor) accepting the appointment as Trustee under such Mortgage in succession to said Chemical Bank and said Peter Morse, which instrument was recorded in the Office of the Register of Deeds in and for Douglas County, Wisconsin on April 6, 1995 in Volume 585 of Records at page 953, Document No. 670717; and</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Eighth Supplemental Indenture, dated as of January 1, 1997 (hereinafter called its </w:t>
      </w:r>
      <w:r>
        <w:rPr>
          <w:rFonts w:ascii="Arial" w:cs="Arial" w:eastAsia="Arial" w:hAnsi="Arial"/>
          <w:sz w:val="18"/>
          <w:szCs w:val="18"/>
          <w:i w:val="1"/>
          <w:iCs w:val="1"/>
          <w:color w:val="auto"/>
        </w:rPr>
        <w:t>“Eighth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January 7, 1997, in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617 of Records at page 536, Document No. 685699; and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Ninth Supplemental Indenture, dated as of October 1, 2007 (hereinafter called its </w:t>
      </w:r>
      <w:r>
        <w:rPr>
          <w:rFonts w:ascii="Arial" w:cs="Arial" w:eastAsia="Arial" w:hAnsi="Arial"/>
          <w:sz w:val="18"/>
          <w:szCs w:val="18"/>
          <w:i w:val="1"/>
          <w:iCs w:val="1"/>
          <w:color w:val="auto"/>
        </w:rPr>
        <w:t>“Ninth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September 27, 2007, as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No. 810920; and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Tenth Supplemental Indenture, dated as of October 1, 2007 (hereinafter called its </w:t>
      </w:r>
      <w:r>
        <w:rPr>
          <w:rFonts w:ascii="Arial" w:cs="Arial" w:eastAsia="Arial" w:hAnsi="Arial"/>
          <w:sz w:val="18"/>
          <w:szCs w:val="18"/>
          <w:i w:val="1"/>
          <w:iCs w:val="1"/>
          <w:color w:val="auto"/>
        </w:rPr>
        <w:t>“Tenth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September 27, 2007, as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No. 810921; and;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Eleventh Supplemental Indenture, dated as of December 1, 2008 (hereinafter called its </w:t>
      </w:r>
      <w:r>
        <w:rPr>
          <w:rFonts w:ascii="Arial" w:cs="Arial" w:eastAsia="Arial" w:hAnsi="Arial"/>
          <w:sz w:val="18"/>
          <w:szCs w:val="18"/>
          <w:i w:val="1"/>
          <w:iCs w:val="1"/>
          <w:color w:val="auto"/>
        </w:rPr>
        <w:t>“Eleventh Supplemental Indenture”</w:t>
      </w:r>
      <w:r>
        <w:rPr>
          <w:rFonts w:ascii="Arial" w:cs="Arial" w:eastAsia="Arial" w:hAnsi="Arial"/>
          <w:sz w:val="18"/>
          <w:szCs w:val="18"/>
          <w:color w:val="auto"/>
        </w:rPr>
        <w:t>), which was recorded in the office of the Register of Deeds in and for Douglas County, Wisconsin, on December 12,</w:t>
      </w:r>
      <w:r>
        <w:rPr>
          <w:rFonts w:ascii="Arial" w:cs="Arial" w:eastAsia="Arial" w:hAnsi="Arial"/>
          <w:sz w:val="18"/>
          <w:szCs w:val="18"/>
          <w:i w:val="1"/>
          <w:iCs w:val="1"/>
          <w:color w:val="auto"/>
        </w:rPr>
        <w:t xml:space="preserve"> </w:t>
      </w:r>
      <w:r>
        <w:rPr>
          <w:rFonts w:ascii="Arial" w:cs="Arial" w:eastAsia="Arial" w:hAnsi="Arial"/>
          <w:sz w:val="18"/>
          <w:szCs w:val="18"/>
          <w:color w:val="auto"/>
        </w:rPr>
        <w:t>2008, as Document No. 821566; and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Company executed and delivered its Twelfth Supplemental Indenture, dated as of December </w:t>
      </w:r>
      <w:r>
        <w:rPr>
          <w:rFonts w:ascii="Arial" w:cs="Arial" w:eastAsia="Arial" w:hAnsi="Arial"/>
          <w:sz w:val="18"/>
          <w:szCs w:val="18"/>
          <w:color w:val="0000FF"/>
        </w:rPr>
        <w:t>2,</w:t>
      </w:r>
      <w:r>
        <w:rPr>
          <w:rFonts w:ascii="Arial" w:cs="Arial" w:eastAsia="Arial" w:hAnsi="Arial"/>
          <w:sz w:val="18"/>
          <w:szCs w:val="18"/>
          <w:color w:val="auto"/>
        </w:rPr>
        <w:t xml:space="preserve"> 2013 (hereinafter called its </w:t>
      </w:r>
      <w:r>
        <w:rPr>
          <w:rFonts w:ascii="Arial" w:cs="Arial" w:eastAsia="Arial" w:hAnsi="Arial"/>
          <w:sz w:val="18"/>
          <w:szCs w:val="18"/>
          <w:i w:val="1"/>
          <w:iCs w:val="1"/>
          <w:color w:val="auto"/>
        </w:rPr>
        <w:t>“Twelfth</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Supplemental Indenture”</w:t>
      </w:r>
      <w:r>
        <w:rPr>
          <w:rFonts w:ascii="Arial" w:cs="Arial" w:eastAsia="Arial" w:hAnsi="Arial"/>
          <w:sz w:val="18"/>
          <w:szCs w:val="18"/>
          <w:color w:val="auto"/>
        </w:rPr>
        <w:t>), which was recorded in the office of the Register of Deeds in and for Douglas County, Wisconsin, on December 5, 2013, as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No. 863990; and</w:t>
      </w:r>
    </w:p>
    <w:p>
      <w:pPr>
        <w:sectPr>
          <w:pgSz w:w="11900" w:h="16838" w:orient="portrait"/>
          <w:cols w:equalWidth="0" w:num="1">
            <w:col w:w="11420"/>
          </w:cols>
          <w:pgMar w:left="240" w:top="1287" w:right="239" w:bottom="1440" w:gutter="0" w:footer="0" w:header="0"/>
        </w:sectPr>
      </w:pPr>
    </w:p>
    <w:bookmarkStart w:id="69" w:name="page70"/>
    <w:bookmarkEnd w:id="69"/>
    <w:p>
      <w:pPr>
        <w:jc w:val="both"/>
        <w:ind w:firstLine="648"/>
        <w:spacing w:after="0" w:line="277" w:lineRule="auto"/>
        <w:rPr>
          <w:sz w:val="20"/>
          <w:szCs w:val="20"/>
          <w:color w:val="auto"/>
        </w:rPr>
      </w:pPr>
      <w:r>
        <w:rPr>
          <w:rFonts w:ascii="Arial" w:cs="Arial" w:eastAsia="Arial" w:hAnsi="Arial"/>
          <w:sz w:val="18"/>
          <w:szCs w:val="18"/>
          <w:color w:val="auto"/>
        </w:rPr>
        <w:t>WHEREAS, in addition to the property described in the Mortgage, as heretofore supplemented, the Company has acquired certain other property, rights and interests in property; and</w:t>
      </w:r>
    </w:p>
    <w:p>
      <w:pPr>
        <w:spacing w:after="0" w:line="19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WHEREAS, the Company has heretofore issued, in accordance with the provisions of the Mortgage, bonds of a series entitled and designated First Mortgage Bonds, 3 3/8% Series due 1973 (the </w:t>
      </w:r>
      <w:r>
        <w:rPr>
          <w:rFonts w:ascii="Arial" w:cs="Arial" w:eastAsia="Arial" w:hAnsi="Arial"/>
          <w:sz w:val="16"/>
          <w:szCs w:val="16"/>
          <w:i w:val="1"/>
          <w:iCs w:val="1"/>
          <w:color w:val="auto"/>
        </w:rPr>
        <w:t>“Bonds of the First Series”</w:t>
      </w:r>
      <w:r>
        <w:rPr>
          <w:rFonts w:ascii="Arial" w:cs="Arial" w:eastAsia="Arial" w:hAnsi="Arial"/>
          <w:sz w:val="16"/>
          <w:szCs w:val="16"/>
          <w:color w:val="auto"/>
        </w:rPr>
        <w:t xml:space="preserve">), in the aggregate principal amount of Two Million Five Hundred Thousand Dollars ($2,500,000), none of which Bonds of the First Series are now Outstanding; bonds of a series entitled and designated First Mortgage Bonds, 3 1/10% Series due 1981 (the </w:t>
      </w:r>
      <w:r>
        <w:rPr>
          <w:rFonts w:ascii="Arial" w:cs="Arial" w:eastAsia="Arial" w:hAnsi="Arial"/>
          <w:sz w:val="16"/>
          <w:szCs w:val="16"/>
          <w:i w:val="1"/>
          <w:iCs w:val="1"/>
          <w:color w:val="auto"/>
        </w:rPr>
        <w:t>“Bonds of the Second Series”</w:t>
      </w:r>
      <w:r>
        <w:rPr>
          <w:rFonts w:ascii="Arial" w:cs="Arial" w:eastAsia="Arial" w:hAnsi="Arial"/>
          <w:sz w:val="16"/>
          <w:szCs w:val="16"/>
          <w:color w:val="auto"/>
        </w:rPr>
        <w:t xml:space="preserve">), in the aggregate principal amount of Five Million Dollars ($5,000,000), none of which Bonds of the Second Series are now outstanding; bonds of a series entitled and designated First Mortgage Bonds, 5% Series due 1992 (the </w:t>
      </w:r>
      <w:r>
        <w:rPr>
          <w:rFonts w:ascii="Arial" w:cs="Arial" w:eastAsia="Arial" w:hAnsi="Arial"/>
          <w:sz w:val="16"/>
          <w:szCs w:val="16"/>
          <w:i w:val="1"/>
          <w:iCs w:val="1"/>
          <w:color w:val="auto"/>
        </w:rPr>
        <w:t>“Bonds of the Third Series”</w:t>
      </w:r>
      <w:r>
        <w:rPr>
          <w:rFonts w:ascii="Arial" w:cs="Arial" w:eastAsia="Arial" w:hAnsi="Arial"/>
          <w:sz w:val="16"/>
          <w:szCs w:val="16"/>
          <w:color w:val="auto"/>
        </w:rPr>
        <w:t xml:space="preserve">), in the aggregate principal amount of Two Million Seven Hundred Thousand Dollars ($2,700,000), none of which Bonds of the Third Series are now outstanding; bonds of a series entitled and designated First Mortgage Bonds, 9 5/8% Series due 2001 (the </w:t>
      </w:r>
      <w:r>
        <w:rPr>
          <w:rFonts w:ascii="Arial" w:cs="Arial" w:eastAsia="Arial" w:hAnsi="Arial"/>
          <w:sz w:val="16"/>
          <w:szCs w:val="16"/>
          <w:i w:val="1"/>
          <w:iCs w:val="1"/>
          <w:color w:val="auto"/>
        </w:rPr>
        <w:t>“Bonds of the Fourth Series”</w:t>
      </w:r>
      <w:r>
        <w:rPr>
          <w:rFonts w:ascii="Arial" w:cs="Arial" w:eastAsia="Arial" w:hAnsi="Arial"/>
          <w:sz w:val="16"/>
          <w:szCs w:val="16"/>
          <w:color w:val="auto"/>
        </w:rPr>
        <w:t xml:space="preserve">), the interest rate for which bonds was modified to 6.10% by the Sixth Supplemental Indenture, in the aggregate principal amount of Three Million Dollars ($3,000,000), none of which bonds of the Fourth Series are now outstanding; bonds of a series entitled and designated First Mortgage Bonds, 12 1/2% Series due 1992 (the </w:t>
      </w:r>
      <w:r>
        <w:rPr>
          <w:rFonts w:ascii="Arial" w:cs="Arial" w:eastAsia="Arial" w:hAnsi="Arial"/>
          <w:sz w:val="16"/>
          <w:szCs w:val="16"/>
          <w:i w:val="1"/>
          <w:iCs w:val="1"/>
          <w:color w:val="auto"/>
        </w:rPr>
        <w:t>“Bonds of the Fifth</w:t>
      </w:r>
      <w:r>
        <w:rPr>
          <w:rFonts w:ascii="Arial" w:cs="Arial" w:eastAsia="Arial" w:hAnsi="Arial"/>
          <w:sz w:val="16"/>
          <w:szCs w:val="16"/>
          <w:color w:val="auto"/>
        </w:rPr>
        <w:t xml:space="preserve"> </w:t>
      </w:r>
      <w:r>
        <w:rPr>
          <w:rFonts w:ascii="Arial" w:cs="Arial" w:eastAsia="Arial" w:hAnsi="Arial"/>
          <w:sz w:val="16"/>
          <w:szCs w:val="16"/>
          <w:i w:val="1"/>
          <w:iCs w:val="1"/>
          <w:color w:val="auto"/>
        </w:rPr>
        <w:t>Series”</w:t>
      </w:r>
      <w:r>
        <w:rPr>
          <w:rFonts w:ascii="Arial" w:cs="Arial" w:eastAsia="Arial" w:hAnsi="Arial"/>
          <w:sz w:val="16"/>
          <w:szCs w:val="16"/>
          <w:color w:val="auto"/>
        </w:rPr>
        <w:t>), in the aggregate principal amount of Three Million Five Hundred Thousand Dollars ($3,500,000), none of which Bonds of the Fifth Series are now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outstanding; Bonds of a series entitled and designated First Mortgage Bonds, 7.91% Series due 2013 (the </w:t>
      </w:r>
      <w:r>
        <w:rPr>
          <w:rFonts w:ascii="Arial" w:cs="Arial" w:eastAsia="Arial" w:hAnsi="Arial"/>
          <w:sz w:val="16"/>
          <w:szCs w:val="16"/>
          <w:i w:val="1"/>
          <w:iCs w:val="1"/>
          <w:color w:val="auto"/>
        </w:rPr>
        <w:t>“Bonds of the Sixth Series”</w:t>
      </w:r>
      <w:r>
        <w:rPr>
          <w:rFonts w:ascii="Arial" w:cs="Arial" w:eastAsia="Arial" w:hAnsi="Arial"/>
          <w:sz w:val="16"/>
          <w:szCs w:val="16"/>
          <w:color w:val="auto"/>
        </w:rPr>
        <w:t xml:space="preserve">), in the aggregate principal amount of Five Million Dollars ($5,000,000), none of which Bonds of the Sixth Series is now outstanding; Bonds of a series entitled and designated First Mortgage Bonds, 7.27% Series due December 15, 2008 (the </w:t>
      </w:r>
      <w:r>
        <w:rPr>
          <w:rFonts w:ascii="Arial" w:cs="Arial" w:eastAsia="Arial" w:hAnsi="Arial"/>
          <w:sz w:val="16"/>
          <w:szCs w:val="16"/>
          <w:i w:val="1"/>
          <w:iCs w:val="1"/>
          <w:color w:val="auto"/>
        </w:rPr>
        <w:t>“Bonds of the Seventh Series”</w:t>
      </w:r>
      <w:r>
        <w:rPr>
          <w:rFonts w:ascii="Arial" w:cs="Arial" w:eastAsia="Arial" w:hAnsi="Arial"/>
          <w:sz w:val="16"/>
          <w:szCs w:val="16"/>
          <w:color w:val="auto"/>
        </w:rPr>
        <w:t xml:space="preserve">), in the aggregate principal amount of Six Million Dollars ($6,000,000), none of which Bonds of the Seventh Series remains outstanding; Bonds of a series entitled and designated First Mortgage Bonds, 5.375% Series due 2021 (the </w:t>
      </w:r>
      <w:r>
        <w:rPr>
          <w:rFonts w:ascii="Arial" w:cs="Arial" w:eastAsia="Arial" w:hAnsi="Arial"/>
          <w:sz w:val="16"/>
          <w:szCs w:val="16"/>
          <w:i w:val="1"/>
          <w:iCs w:val="1"/>
          <w:color w:val="auto"/>
        </w:rPr>
        <w:t>“Bonds of the Eighth Series”</w:t>
      </w:r>
      <w:r>
        <w:rPr>
          <w:rFonts w:ascii="Arial" w:cs="Arial" w:eastAsia="Arial" w:hAnsi="Arial"/>
          <w:sz w:val="16"/>
          <w:szCs w:val="16"/>
          <w:color w:val="auto"/>
        </w:rPr>
        <w:t xml:space="preserve">), in the aggregate principal amount of Six Million Three Hundred Seventy Thousand Dollars ($6,370,000), the full amount of which remains outstanding; Bonds of a series entitled and designated First Mortgage Bonds, 5.75% Series due November 1, 2037 (the </w:t>
      </w:r>
      <w:r>
        <w:rPr>
          <w:rFonts w:ascii="Arial" w:cs="Arial" w:eastAsia="Arial" w:hAnsi="Arial"/>
          <w:sz w:val="16"/>
          <w:szCs w:val="16"/>
          <w:i w:val="1"/>
          <w:iCs w:val="1"/>
          <w:color w:val="auto"/>
        </w:rPr>
        <w:t>“Bonds of the Ninth Series”</w:t>
      </w:r>
      <w:r>
        <w:rPr>
          <w:rFonts w:ascii="Arial" w:cs="Arial" w:eastAsia="Arial" w:hAnsi="Arial"/>
          <w:sz w:val="16"/>
          <w:szCs w:val="16"/>
          <w:color w:val="auto"/>
        </w:rPr>
        <w:t>), in the aggregate principal amount of Six Million One Hundred Thirty Thousand Dollars ($6,130,000), the full amount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remains outstanding; Bonds of a series entitled and designated First Mortgage Bonds, 7.25% Series due December 15, 2013 (the </w:t>
      </w:r>
      <w:r>
        <w:rPr>
          <w:rFonts w:ascii="Arial" w:cs="Arial" w:eastAsia="Arial" w:hAnsi="Arial"/>
          <w:sz w:val="16"/>
          <w:szCs w:val="16"/>
          <w:i w:val="1"/>
          <w:iCs w:val="1"/>
          <w:color w:val="auto"/>
        </w:rPr>
        <w:t>“Bonds of the Tenth</w:t>
      </w:r>
      <w:r>
        <w:rPr>
          <w:rFonts w:ascii="Arial" w:cs="Arial" w:eastAsia="Arial" w:hAnsi="Arial"/>
          <w:sz w:val="16"/>
          <w:szCs w:val="16"/>
          <w:color w:val="auto"/>
        </w:rPr>
        <w:t xml:space="preserve"> </w:t>
      </w:r>
      <w:r>
        <w:rPr>
          <w:rFonts w:ascii="Arial" w:cs="Arial" w:eastAsia="Arial" w:hAnsi="Arial"/>
          <w:sz w:val="16"/>
          <w:szCs w:val="16"/>
          <w:i w:val="1"/>
          <w:iCs w:val="1"/>
          <w:color w:val="auto"/>
        </w:rPr>
        <w:t>Series”</w:t>
      </w:r>
      <w:r>
        <w:rPr>
          <w:rFonts w:ascii="Arial" w:cs="Arial" w:eastAsia="Arial" w:hAnsi="Arial"/>
          <w:sz w:val="16"/>
          <w:szCs w:val="16"/>
          <w:color w:val="auto"/>
        </w:rPr>
        <w:t>), in the aggregate principal amount of Ten Million Dollars ($10,000,000), none of which Bonds of the Tenth Series are now outstanding; and Bonds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series entitled and designated First Mortgage Bonds, 4.15% Series due December 15, 2028 (the </w:t>
      </w:r>
      <w:r>
        <w:rPr>
          <w:rFonts w:ascii="Arial" w:cs="Arial" w:eastAsia="Arial" w:hAnsi="Arial"/>
          <w:sz w:val="16"/>
          <w:szCs w:val="16"/>
          <w:i w:val="1"/>
          <w:iCs w:val="1"/>
          <w:color w:val="auto"/>
        </w:rPr>
        <w:t>“Bonds of the Twelfth Series”</w:t>
      </w:r>
      <w:r>
        <w:rPr>
          <w:rFonts w:ascii="Arial" w:cs="Arial" w:eastAsia="Arial" w:hAnsi="Arial"/>
          <w:sz w:val="16"/>
          <w:szCs w:val="16"/>
          <w:color w:val="auto"/>
        </w:rPr>
        <w:t>), in the aggregate principal amount of Fifteen Million Dollars ($15,000,000), the full amount of which remains outstanding; and</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Section 8 of the Mortgage provides that the form of each series of bonds (other than Bonds of the First Series) issued thereunder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and</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Section 120 of the Mortgage provides, among other things, that the Company may enter into any further covenants, limitations or restrictions for the benefit of any one or more series of bonds issued thereunder, or the Company may establish the terms and provisions of any series of bonds other than said Bonds of the First Series, by an instrument in writing executed and acknowledged by the Company in such manner as would be necessary to entitle a conveyance of real estate to be of record in all of the states in which any property at the time subject to the lien of the Mortgage shall be situated; and</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now desires to create a new series of bonds and to add to the covenants, limitations or restrictions contained in the Mortgage certain other covenants, limitations or restrictions to be observed by it and to amend the Mortgage; and</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execution and delivery by the Company of this Thirteenth Supplemental Indenture, and the terms of the Bonds of the Twelfth Series hereinafter referred to, have been duly authorized by the Board of Directors of the Company by appropriate resolutions of said Board of Directors;</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NOW, THEREFORE, THIS INDENTURE WITNESSETH: That Superior Water, Light and Power Company, in consideration of the premises and of One Dollar ($1) to it duly paid by the Trustee at or before the ensealing and delivery of these presents, the receipt whereof is hereby acknowledged, and in further evidence of assurance of the estate, title and rights of the Trustee and in order further to secure the payment both of the principal of and interest and premium, if any, on the bonds from time to time issued under the Mortgage,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w:t>
      </w:r>
    </w:p>
    <w:p>
      <w:pPr>
        <w:sectPr>
          <w:pgSz w:w="11900" w:h="16838" w:orient="portrait"/>
          <w:cols w:equalWidth="0" w:num="1">
            <w:col w:w="11420"/>
          </w:cols>
          <w:pgMar w:left="240" w:top="1287" w:right="239" w:bottom="1440" w:gutter="0" w:footer="0" w:header="0"/>
        </w:sectPr>
      </w:pPr>
    </w:p>
    <w:bookmarkStart w:id="70" w:name="page71"/>
    <w:bookmarkEnd w:id="70"/>
    <w:p>
      <w:pPr>
        <w:jc w:val="both"/>
        <w:spacing w:after="0" w:line="271" w:lineRule="auto"/>
        <w:rPr>
          <w:sz w:val="20"/>
          <w:szCs w:val="20"/>
          <w:color w:val="auto"/>
        </w:rPr>
      </w:pPr>
      <w:r>
        <w:rPr>
          <w:rFonts w:ascii="Arial" w:cs="Arial" w:eastAsia="Arial" w:hAnsi="Arial"/>
          <w:sz w:val="17"/>
          <w:szCs w:val="17"/>
          <w:color w:val="auto"/>
        </w:rPr>
        <w:t>however, to Excepted Encumbrances as defined in Section 6 of the Mortgage) unto U.S. Bank National Association, as Trustee under the Mortgage, and to its successor or successors in said trust, and to said Trustee and its successors and assigns forever, all and singular the permits, franchises, rights, privileges, grants and property, real, personal and mixed, now owned or which may be hereafter acquired by the Company (except any of the character herein or in the Mortgage expressly excepted), including (but not limited to) its electric light and power works, gas works, water works, buildings, structures, machinery, equipment, mains, pipes, lines, poles, wires, easements, rights of way, permits, franchises, rights, privileges, grants and all property of every kind and description, situated in the City of Superior, Douglas County, Wisconsin, or elsewhere in Douglas County, Wisconsin, in Washburn County, Wisconsin, or in any other place or places now owned by the Company, or that may be hereafter acquired by it, including, but not limited to, the following described properties of the Company--that is to say:</w:t>
      </w:r>
    </w:p>
    <w:p>
      <w:pPr>
        <w:spacing w:after="0" w:line="2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Lands and Rights and Interests in Lands of the Company (except any such property as may have been released from the lien of the Mortgage), including, but not limited to, all such property acquired by the Company under the following deed which is referred to for more particular description thereof, to wit:</w:t>
      </w:r>
    </w:p>
    <w:p>
      <w:pPr>
        <w:spacing w:after="0" w:line="20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Deed dated May 8, 2014, from the County of Douglas, in the State of Wisconsin, to the Company, which deed was recorded in the office of the Register of Deeds of the County of Douglas, State of Wisconsin, on May 19, 2014, as Document No. 866593; and</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Deed dated April 4, 2018, from Richard D. Langdon to the Company, which deed was recorded in the office of the Register of Deeds of the County of Douglas, State of Wisconsin, on April 16, 2018, as Document No. 895700;</w:t>
      </w:r>
    </w:p>
    <w:p>
      <w:pPr>
        <w:spacing w:after="0" w:line="1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All other property, real, personal and mixed, acquired by the Company after the date of the execution and delivery of the Mortgage (except any herein or in the Mortgage, as heretofore supplemented, expressly excepted), now owned or hereafter acquired by the Company and wheresoever situated, including (without in any wise limiting or impairing by the enumeration of the same the scope and intent of the foregoing or of any general description contained in this Thirteenth Supplemental Indenture) all lands, power sites, flowage rights, water rights, water franchises, water locations, water appropriations, ditches, flumes, reservoirs, reservoir sites, canals, raceways, dams, dam sites, aqueducts, and all other rights or means for appropriating, conveying, storing and supplying water; all rights of way and roads; all plants, works, reservoirs and tanks for the pumping and purification of water; all water works; all plants for the generation of electricity by water, steam and/or other power; all power houses, gas plants, street lighting systems, standards and other equipment incidental thereto, telephone, radio and television systems, air-conditioning systems and equipment incidental thereto, water systems, steam heat and hot water plants, substations, lines, service and supply systems, bridges, culverts, tracks, street and interurban railway systems, offices, buildings and other structures and the equipment thereof; all machinery, engines, boilers, dynamos, water, electric, gas and other machines, regulators, meters, transformers, generators, motors, water, electrical, gas and mechanical appliances, conduits, cables, water, steam, heat, gas or other mains and pipes, service pipes, fittings, valves and connections, pole and transmission lines, wires, cables, tools, implements, apparatus, furniture, chattels and choses in action; all municipal and other franchises, consents or permits; all lines for the transmission and distribution of water, electric current, gas, steam heat or hot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21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Together with all and singular the tenements, hereditaments and appurtenances belonging or in any 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9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It is hereby agreed by the Company that all the property, rights and franchises acquired by the Company after the date hereof (except any herein or in the Mortgage, as heretofore supplemented, expressly excepted) shall be and are as fully granted and conveyed hereby and as fully embraced within the lien of the Mortgage as if such property, rights and franchises were now owned by the Company and were specifically described herein and conveyed hereby.</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are not and are not intended to be now or hereafter granted, bargained, sold, released, conveyed, assigned,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mortgaged, pledged, set over or confirmed hereunder and are hereby expressly excepted from the lien and operation of the Mortgage, viz: (1) cash, shares of stock, bonds, notes and other obligations and other securities not hereafter</w:t>
      </w:r>
    </w:p>
    <w:p>
      <w:pPr>
        <w:sectPr>
          <w:pgSz w:w="11900" w:h="16838" w:orient="portrait"/>
          <w:cols w:equalWidth="0" w:num="1">
            <w:col w:w="11420"/>
          </w:cols>
          <w:pgMar w:left="240" w:top="827" w:right="239" w:bottom="1440" w:gutter="0" w:footer="0" w:header="0"/>
        </w:sectPr>
      </w:pPr>
    </w:p>
    <w:bookmarkStart w:id="71" w:name="page72"/>
    <w:bookmarkEnd w:id="71"/>
    <w:p>
      <w:pPr>
        <w:jc w:val="both"/>
        <w:spacing w:after="0" w:line="285" w:lineRule="auto"/>
        <w:rPr>
          <w:sz w:val="20"/>
          <w:szCs w:val="20"/>
          <w:color w:val="auto"/>
        </w:rPr>
      </w:pPr>
      <w:r>
        <w:rPr>
          <w:rFonts w:ascii="Arial" w:cs="Arial" w:eastAsia="Arial" w:hAnsi="Arial"/>
          <w:sz w:val="16"/>
          <w:szCs w:val="16"/>
          <w:color w:val="auto"/>
        </w:rPr>
        <w:t xml:space="preserve">specifically pledged, paid, deposited, delivered or held under the Mortgage or covenanted so to be; (2) merchandise, equipment, materials or supplies held for the purpose of sale in the usual course of business and fuel, oil and similar materials and supplies consumable in the operation of any properties of the Company; rolling stock, buses, motor coaches, automobiles and other vehicles; (3) bills, notes and accounts receivable, and all contracts, leases and operating agreements not specifically pledged under the Mortgage or covenanted so to be; the last day of the term of any lease or leasehold which may heretofore have or hereafter may become subject to the lien of the Mortgage; (4) water, electric energy, gas, ice and other materials or products pumped, stored, generated, manufactured, produced or purchased by the Company for sale, distribution or use in the ordinary course of its business; (5) the Company's franchise to be a corporation; and (6) all permits, franchises, rights, privileges, grants and property in the state of Minnesota now owned or hereafter acquired unless such permits, franchises, rights, privileges, grants and property in the state of Minnesota shall have been subjected to the lien of the Mortgage by an indenture or indentures supplemental to the Mortgage, pursuant to authorization of the Board of Directors of the Company, whereupon all the permits, franchises, rights, privileges, grants and property then owned or thereafter acquired by the Company in the state of Minnesota (except property of the character expressly excepted from the lien of the Mortgage in clauses (1) to (5) above, inclusive), shall become and be subject to the lien of the Mortgage as part of the Mortgaged and Pledged Property and may be released, funded and otherwise dealt with on the same terms and subject to the same conditions and restrictions as though not theretofore excepted from the lien of the Mortgage;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property and rights expressly excepted from the lien and operation of the Mortgage in the above subdivisions (2) and (3) shall (to the extent permitted by law) cease to be so excepted in the event and as of the date that the Trustee or a receiver or trustee shall enter upon and take possession of the Mortgaged and Pledged Property in the manner provided in Article XIII of the Mortgage by reason of the occurrence of a Default as defined in Section 65 of the Mortgage.</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have and to hold all such properties, real, personal and mixed, granted, bargained, sold, released, conveyed, assigned, transferred, mortgaged, pledged, set over or confirmed by the Company as aforesaid, or intended so to be, unto U.S. Bank National Association as Trustee, and its successors and assigns forever.</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trust nevertheless, for the same purposes and upon the same terms, trusts and conditions and subject to and with the same provisos and covenants as are set forth in the Mortgage, as heretofore supplemented, this Thirteenth Supplemental Indenture being supplemental thereto.</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the Trustee and the beneficiaries of the trust with respect to said property, and to the Trustee and its successors as Trustee of said property, in the same manner and with the same effect as if said property had been owned by the Company at the time of the execution of the Mortgage, and had been specifically and at length described in and conveyed to the Trustee by the Mortgage as part of the property therein stated to be conveyed.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further covenants and agrees to and with the Trustee and its successors in said trust under the Mortgage as follows: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333"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BONDS OF THE TWELFTH SERIESARTICLE I</w:t>
      </w:r>
      <w:r>
        <w:rPr>
          <w:sz w:val="20"/>
          <w:szCs w:val="20"/>
          <w:color w:val="auto"/>
        </w:rPr>
        <w:tab/>
      </w:r>
      <w:r>
        <w:rPr>
          <w:rFonts w:ascii="Arial" w:cs="Arial" w:eastAsia="Arial" w:hAnsi="Arial"/>
          <w:sz w:val="17"/>
          <w:szCs w:val="17"/>
          <w:b w:val="1"/>
          <w:bCs w:val="1"/>
          <w:color w:val="auto"/>
        </w:rPr>
        <w:t>BONDS OF THE TWELFTH SERIES1</w:t>
      </w:r>
    </w:p>
    <w:p>
      <w:pPr>
        <w:spacing w:after="0" w:line="256"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color w:val="auto"/>
        </w:rPr>
        <w:t>Section 1.1.</w:t>
      </w:r>
      <w:r>
        <w:rPr>
          <w:rFonts w:ascii="Arial" w:cs="Arial" w:eastAsia="Arial" w:hAnsi="Arial"/>
          <w:sz w:val="17"/>
          <w:szCs w:val="17"/>
          <w:color w:val="auto"/>
        </w:rPr>
        <w:t>Section 1.1.2 There shall be an Twelfth Series of bonds designated</w:t>
      </w:r>
      <w:r>
        <w:rPr>
          <w:rFonts w:ascii="Arial" w:cs="Arial" w:eastAsia="Arial" w:hAnsi="Arial"/>
          <w:sz w:val="17"/>
          <w:szCs w:val="17"/>
          <w:i w:val="1"/>
          <w:iCs w:val="1"/>
          <w:color w:val="auto"/>
        </w:rPr>
        <w:t xml:space="preserve"> “First Mortgage Bonds, 4.14% Series due May 29, 2048” </w:t>
      </w:r>
      <w:r>
        <w:rPr>
          <w:rFonts w:ascii="Arial" w:cs="Arial" w:eastAsia="Arial" w:hAnsi="Arial"/>
          <w:sz w:val="17"/>
          <w:szCs w:val="17"/>
          <w:color w:val="auto"/>
        </w:rPr>
        <w:t>(the</w:t>
      </w:r>
      <w:r>
        <w:rPr>
          <w:rFonts w:ascii="Arial" w:cs="Arial" w:eastAsia="Arial" w:hAnsi="Arial"/>
          <w:sz w:val="17"/>
          <w:szCs w:val="17"/>
          <w:i w:val="1"/>
          <w:iCs w:val="1"/>
          <w:color w:val="auto"/>
        </w:rPr>
        <w:t xml:space="preserve"> “Bonds of the Twelfth Series”</w:t>
      </w:r>
      <w:r>
        <w:rPr>
          <w:rFonts w:ascii="Arial" w:cs="Arial" w:eastAsia="Arial" w:hAnsi="Arial"/>
          <w:sz w:val="17"/>
          <w:szCs w:val="17"/>
          <w:color w:val="auto"/>
        </w:rPr>
        <w:t>), which shall be limited to $12,000,000 aggregate principal amount, and shall be issued as fully registered bonds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coupons in the denominations of $1,000 or any multiple thereof. The Bonds of the Twelfth Series shall be dated on the date of issuance thereof, mature on May 29, 2048 or upon earlier acceleration or redemption, and shall bear interest (computed on the basis of a 360</w:t>
      </w:r>
      <w:r>
        <w:rPr>
          <w:rFonts w:ascii="MS PGothic" w:cs="MS PGothic" w:eastAsia="MS PGothic" w:hAnsi="MS PGothic"/>
          <w:sz w:val="17"/>
          <w:szCs w:val="17"/>
          <w:color w:val="auto"/>
        </w:rPr>
        <w:t>‑</w:t>
      </w:r>
      <w:r>
        <w:rPr>
          <w:rFonts w:ascii="Arial" w:cs="Arial" w:eastAsia="Arial" w:hAnsi="Arial"/>
          <w:sz w:val="17"/>
          <w:szCs w:val="17"/>
          <w:color w:val="auto"/>
        </w:rPr>
        <w:t>day year of twelve 30 day months) from their date of issuance, at the rate of 4.14% per annum, payable semiannually on June 15 and December 15 of each year commencing December 15, 2018 and at the rate of 6.14% per annum on any overdue payment of principal or premium, if any, and to the extent enforceable under applicable law, or any overdue payment of interest. The Bonds of the Twelfth Series shall be numbered R</w:t>
      </w:r>
      <w:r>
        <w:rPr>
          <w:rFonts w:ascii="MS PGothic" w:cs="MS PGothic" w:eastAsia="MS PGothic" w:hAnsi="MS PGothic"/>
          <w:sz w:val="17"/>
          <w:szCs w:val="17"/>
          <w:color w:val="auto"/>
        </w:rPr>
        <w:t>‑</w:t>
      </w:r>
      <w:r>
        <w:rPr>
          <w:rFonts w:ascii="Arial" w:cs="Arial" w:eastAsia="Arial" w:hAnsi="Arial"/>
          <w:sz w:val="17"/>
          <w:szCs w:val="17"/>
          <w:color w:val="auto"/>
        </w:rPr>
        <w:t>1 and upward and otherwise shall be substantially in the form attached hereto as Exhibit A. Except as hereinafter provided, the principal of, and the premium, if any, and the interest on each said bond to be payable at the office of the Company in Superior, Wisconsin or agency of the Company in the City of St. Paul, Minnesota, in such coin or currency of the United States of America as at the time of payment is legal tender for public and private debts.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 provision to the contrary in the Mortgage or the Bonds of the Twelfth Series, the first paragraph of Section 9 of the Bond Purchase Agreement shall govern the method of payment of principal, premium, if any, and interest on the</w:t>
      </w:r>
    </w:p>
    <w:p>
      <w:pPr>
        <w:sectPr>
          <w:pgSz w:w="11900" w:h="16838" w:orient="portrait"/>
          <w:cols w:equalWidth="0" w:num="1">
            <w:col w:w="11420"/>
          </w:cols>
          <w:pgMar w:left="240" w:top="827" w:right="239" w:bottom="1440" w:gutter="0" w:footer="0" w:header="0"/>
        </w:sectPr>
      </w:pPr>
    </w:p>
    <w:bookmarkStart w:id="72" w:name="page73"/>
    <w:bookmarkEnd w:id="72"/>
    <w:p>
      <w:pPr>
        <w:jc w:val="both"/>
        <w:spacing w:after="0" w:line="254" w:lineRule="auto"/>
        <w:rPr>
          <w:sz w:val="20"/>
          <w:szCs w:val="20"/>
          <w:color w:val="auto"/>
        </w:rPr>
      </w:pPr>
      <w:r>
        <w:rPr>
          <w:rFonts w:ascii="Arial" w:cs="Arial" w:eastAsia="Arial" w:hAnsi="Arial"/>
          <w:sz w:val="18"/>
          <w:szCs w:val="18"/>
          <w:color w:val="auto"/>
        </w:rPr>
        <w:t xml:space="preserve">Bonds of the Twelfth Series to the holders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Trustee shall have no obligation to comply with the provisions of Section 9 of the Bond Purchase Agreement with respect to any transferee of the Purchaser or any other holder of the Bonds of the Twelfth Series until such transferee or holder shall have made the agreement described in Section 9 of the Bond Purchase Agreement. Subject to such proviso, the Trustee hereby consents to the method of payment described in Section 9 of the Bond Purchase Agreement. The Trustee shall not be liable or responsible to any holder of Bonds of the Twelfth Series entitled to the benefits of Section 9 of the Bond Purchase Agreement or to any transferee thereof or to the Company for any act or omission to act on the part of the Company or any such holder of Bonds of the Twelfth Series in connection with Section 9 of the Bond Purchase Agreement. The Company hereby indemnifies the Trustee against all liabilities, if any, resulting from acts or omissions on its part or on the part of the Company in connection with Section 9 of the Bond Purchase Agreement.</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Bonds of the Twelfth Series shall be dated as of the date of authentication thereof by the Trustee (except that if any Bond of the Twelfth Series shall be authenticated on an interest payment date for the Bonds of the Twelfth Series to which interest has been paid, such Bond shall be dated as of the day following) and shall bear interest from the fifteenth day of June or December, as the case may be, next preceding the date of such Bond to which interest has been paid;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any such Bond shall be authenticated before December 15, 2018, such Bond shall bear interest from the date of the original issue of the Bonds of the Twelfth Series;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Company shall at the time of the authentication of any Bond of the Twelfth Series be in default in the payment of interest upon the Bonds of the Twelfth Series, such Bond shall be dated as of, and shall bear interest from, the date of the beginning of the period for which such interest is so in default.</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notice as provided in the following paragraph, the Bonds of the Twelfth Series may be redeemed prior to maturity, in whole at any time or in part (in multiples of $500,000) from time to time, at the option of the Company, or by the application (either at the option of the Company or pursuant to the requirements of the Mortgage) of cash delivered to or deposited with the Trustee pursuant to the provisions of Section 39, Section 55, Section 61, Section 64 or Section 118 of the Mortgage or with the Proceeds of Released Property, in any such case at 100% of the principal amount of the Bonds being redeemed plus interest accrued thereon to the date of redemption, together with a premium equal to the Make-Whole Amount, if any, with respect to the Bonds of the Twelfth Series being redeemed determined five Business Days prior to the date of such redemption.</w:t>
      </w:r>
    </w:p>
    <w:p>
      <w:pPr>
        <w:spacing w:after="0" w:line="2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Notice of any redemption of the Bonds of the Twelfth Series shall be given by the Company by mail, postage prepaid, at least 30 but not more than 60 days prior to the date of redemption, to the registered owners of all Bonds of the Twelfth Series to be so redeemed at their respective addresses appearing on the books maintained by the Company pursuant to Section 13 of the Mortgage. Any notice which is mailed as herein provided shall be conclusively presumed to have been properly and sufficiently given on the date of such mailing, whether or not the registered owner receives the notice. In any case, failure to give notice by mail, or any defect in such notice, to the registered owner of any Bond of the Twelfth Series designated for redemption in whole or in part shall not affect the validity of the proceedings for the redemption of any other Bond of the Twelfth Series. Two Business Days prior to the redemption date specified in such notice, the Company shall provide each registered owner of Bonds of the Twelfth Series to be redeemed with written notice of the premium, if any, payable with respect thereto and a reasonably detailed computation of the Make-Whole Amount.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partial redemptions of Bonds of the Twelfth Series shall be made ratably among all registered owners thereof in the proportion which the principal amount of the Bonds held by each registered owner bears to the aggregate principal amount of all Bonds of the Twelfth Series then outstanding, computed to the nearest $1,000 principal amount of the Bonds of the Twelfth Series.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the event that the principal amount of the Bonds of the Twelfth Series is declared due and payable upon the occurrence of a Default or becomes due and payable pursuant to Section 73 of the Mortgage, there shall then become due and payable, together with the principal amount of the Bonds of the Twelfth Series and interest accrued thereon, a premium equal to the amount of the Make-Whole Amount which would have been payable with respect to such Bonds of the Twelfth Series, if they had been redeemed at the option of the Company pursuant to Section 1.1 in this Thirteenth Supplemental Indenture on the date on which the Bonds of the Twelfth Series became due and payable;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premium, if any, with respect to the Bonds of the Twelfth Series shall become due and payable only if such Default is, or such sale is made following a Default, other than one specified in subsections (e) or (f) of Section 65 of the Mortgage.</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Bonds of the Twelfth Series shall be transferable by the registered owner thereof in person, or by its attorney duly authorized in writing, at the office or agency of the Company in the City of St. Paul, Minnesota, or the office of the Company in Superior, Wisconsin, upon surrender thereof for cancellation, together with a written instrument of transfer in form approved by the Company duly executed by such registered owner or by its duly authorized attorney. Upon any such transfer, a new Bond or Bonds of the Twelfth Series for the same aggregate principal amount will be issued to the transferee in exchange therefor. Any Bond of the Twelfth Series may, at the option of the registered owner thereof and upon surrender thereof for cancellation at such office or agency, be exchanged as prescribed in the Mortgage for another Bond or Bonds of the Twelfth Series of other authorized</w:t>
      </w:r>
    </w:p>
    <w:p>
      <w:pPr>
        <w:sectPr>
          <w:pgSz w:w="11900" w:h="16838" w:orient="portrait"/>
          <w:cols w:equalWidth="0" w:num="1">
            <w:col w:w="11420"/>
          </w:cols>
          <w:pgMar w:left="240" w:top="827" w:right="239" w:bottom="1440" w:gutter="0" w:footer="0" w:header="0"/>
        </w:sectPr>
      </w:pPr>
    </w:p>
    <w:bookmarkStart w:id="73" w:name="page74"/>
    <w:bookmarkEnd w:id="73"/>
    <w:p>
      <w:pPr>
        <w:jc w:val="both"/>
        <w:spacing w:after="0" w:line="264" w:lineRule="auto"/>
        <w:rPr>
          <w:sz w:val="20"/>
          <w:szCs w:val="20"/>
          <w:color w:val="auto"/>
        </w:rPr>
      </w:pPr>
      <w:r>
        <w:rPr>
          <w:rFonts w:ascii="Arial" w:cs="Arial" w:eastAsia="Arial" w:hAnsi="Arial"/>
          <w:sz w:val="18"/>
          <w:szCs w:val="18"/>
          <w:color w:val="auto"/>
        </w:rPr>
        <w:t>denominations having the same aggregate principal amount. In the event any written instrument of transfer is required in connection with any transfer or exchange of any Bond of the Twelfth Series, an instrument in the form attached hereto as Exhibit B is hereby approved by the Company for the purposes of Section 12 of the Mortgage.</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any provision of Section 12 or Section 16 of the Mortgage, (a) no charge will be made by the Company for any transfer or exchange of any Bond of the Twelfth Series or, in the case of any lost, destroyed or mutilated Bond, the issuance, authentication and delivery of a new Bond of the Twelfth Series in substitution thereof, whether for any stamp tax or other governmental charge, if any, applicable thereto or otherwise, and the Company shall reimburse the Trustee for all expenses incurred in connection therewith and (b) in the event of any loss, destruction or mutilation of any Bond of the Twelfth Series, and a request by the holder for issuance of a new Bond of the Twelfth Series in substitution therefor, the holder's unsecured indemnity agreement shall be deemed to be satisfactory to the Company and the Trustee for purposes of Section 16 of the Mortgage.</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 provision of Section 15 of the Mortgage, Bonds of the Twelfth Series shall be authenticated, issued and delivered only as definitive bonds. Bonds of the Twelfth Series so authenticated, issued and delivered may be in the form of fully engraved bonds, bonds printed or lithographed on engraved borders, bonds printed or bonds typewritten.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33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COVENANTS AND RESTRICTIONSARTICLE II</w:t>
      </w:r>
      <w:r>
        <w:rPr>
          <w:sz w:val="20"/>
          <w:szCs w:val="20"/>
          <w:color w:val="auto"/>
        </w:rPr>
        <w:tab/>
      </w:r>
      <w:r>
        <w:rPr>
          <w:rFonts w:ascii="Arial" w:cs="Arial" w:eastAsia="Arial" w:hAnsi="Arial"/>
          <w:sz w:val="17"/>
          <w:szCs w:val="17"/>
          <w:b w:val="1"/>
          <w:bCs w:val="1"/>
          <w:color w:val="auto"/>
        </w:rPr>
        <w:t>COVENANTS AND RESTRICTIONS1</w:t>
      </w:r>
    </w:p>
    <w:p>
      <w:pPr>
        <w:spacing w:after="0" w:line="25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i w:val="1"/>
          <w:iCs w:val="1"/>
          <w:color w:val="auto"/>
        </w:rPr>
        <w:t>Section 2.1.</w:t>
      </w:r>
      <w:r>
        <w:rPr>
          <w:rFonts w:ascii="Arial" w:cs="Arial" w:eastAsia="Arial" w:hAnsi="Arial"/>
          <w:sz w:val="16"/>
          <w:szCs w:val="16"/>
          <w:color w:val="auto"/>
        </w:rPr>
        <w:t>Section 2.1.2 The Company covenants that, so long as any Bonds of the Twelfth Series are outstanding, it will not merge or consolidate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any other Person or sell, lease or transfer or otherwise dispose (a </w:t>
      </w:r>
      <w:r>
        <w:rPr>
          <w:rFonts w:ascii="Arial" w:cs="Arial" w:eastAsia="Arial" w:hAnsi="Arial"/>
          <w:sz w:val="16"/>
          <w:szCs w:val="16"/>
          <w:i w:val="1"/>
          <w:iCs w:val="1"/>
          <w:color w:val="auto"/>
        </w:rPr>
        <w:t>“Disposition”</w:t>
      </w:r>
      <w:r>
        <w:rPr>
          <w:rFonts w:ascii="Arial" w:cs="Arial" w:eastAsia="Arial" w:hAnsi="Arial"/>
          <w:sz w:val="16"/>
          <w:szCs w:val="16"/>
          <w:color w:val="auto"/>
        </w:rPr>
        <w:t xml:space="preserve">) of all or a Substantial Part of its assets, or assets which shall have contributed a Substantial Part of net income of the Company for any of the three fiscal years then most recently ended, to any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merge or consolidate with, or sell or transfer all or substantially all of its assets to, Allete, but only if (a) in the event that Allete is the continuing or surviving corporation or the acquiring corporation, Allete shall be a solvent corporation and shall expressly assume in writing all of the obligations of the Company under the Mortgage, this Thirteenth Supplemental Indenture, the Bonds of the Twelfth Series and the Bond Purchase Agreement, including all covenants therein and herein contained, and Allete shall succeed to and be substituted for the Company with the same effect as if it had been named herein as a party hereto, and (b) the Company as the continuing or surviving corporation or Allete as the continuing or surviving corporation or acquiring corporation, as the case may be, shall not, immediately after such merger or consolidation, or such sale or other disposition, be in default under any of such obligations. Notwithstanding the foregoing, the Company may make a Disposition and the assets subject to such Disposition shall not be included in the determination of Substantial Part to the extent that an amount equal to the net proceeds from such Disposition are, within 365 days of such Disposition</w:t>
      </w:r>
    </w:p>
    <w:p>
      <w:pPr>
        <w:spacing w:after="0" w:line="5" w:lineRule="exact"/>
        <w:rPr>
          <w:sz w:val="20"/>
          <w:szCs w:val="20"/>
          <w:color w:val="auto"/>
        </w:rPr>
      </w:pPr>
    </w:p>
    <w:p>
      <w:pPr>
        <w:jc w:val="both"/>
        <w:ind w:firstLine="8"/>
        <w:spacing w:after="0" w:line="252" w:lineRule="auto"/>
        <w:tabs>
          <w:tab w:leader="none" w:pos="3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reinvested in assets of a similar nature of at least equivalent value to be used in the existing business of the Company, and/or (B) applied to the payment or prepayment of the Bonds of the Twelfth Series. For purposes of the foregoing clause (B), the net proceeds from such Disposition shall be used to prepay (not less than 30 or more than 60 days following such offer) the Bonds of the Twelfth Series at a price of 100% of the principal amount of the Bonds of the Twelfth Series to be prepaid (without any Make-Whole Amount) together with interest accrued to the date of prepayment; provided that if any holder of the Bonds of the Twelfth Series declines such offer, the amount that would have been paid to such holder shall be offered pro rata to the other holders of the Bonds of the Twelfth Series that have accepted the offer. A failure by a holder of Bonds of the Twelfth Series to respond in writing not later than 10 Business Days prior to the proposed prepayment date to an offer to prepay made pursuant to this Section 2.1 shall be deemed to constitute a rejection of such offer by such holder.</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Section 2.2.</w:t>
      </w:r>
      <w:r>
        <w:rPr>
          <w:rFonts w:ascii="Arial" w:cs="Arial" w:eastAsia="Arial" w:hAnsi="Arial"/>
          <w:sz w:val="18"/>
          <w:szCs w:val="18"/>
          <w:color w:val="auto"/>
        </w:rPr>
        <w:t>Section 2.2.2 The Company covenants that, so long as any Bonds of the Twelfth Series shall remain outstanding, the Company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issue, sell or otherwise dispose of any of its shares of capital stock to any Person other than Allete.</w:t>
      </w:r>
    </w:p>
    <w:p>
      <w:pPr>
        <w:spacing w:after="0" w:line="19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Section 2.3.</w:t>
      </w:r>
      <w:r>
        <w:rPr>
          <w:rFonts w:ascii="Arial" w:cs="Arial" w:eastAsia="Arial" w:hAnsi="Arial"/>
          <w:sz w:val="17"/>
          <w:szCs w:val="17"/>
          <w:color w:val="auto"/>
        </w:rPr>
        <w:t>Section 2.3.672 The Company covenants that, so long as any of the Bonds of the Sixth Series are outstanding, or so long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subject to any covenant in any other debt instrument prohibiting it from owning Subsidiaries, the Company shall not have any Subsidiaries.</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Section 2.4.</w:t>
      </w:r>
      <w:r>
        <w:rPr>
          <w:rFonts w:ascii="Arial" w:cs="Arial" w:eastAsia="Arial" w:hAnsi="Arial"/>
          <w:sz w:val="18"/>
          <w:szCs w:val="18"/>
          <w:color w:val="auto"/>
        </w:rPr>
        <w:t>Section 2.4.2 The Company will not at any time permit any Subsidiary to, directly or indirectly, create, incur, assume, guarantee, have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or otherwise become or remain directly or indirectly liable with respect to, any Debt other than:</w:t>
      </w:r>
    </w:p>
    <w:p>
      <w:pPr>
        <w:spacing w:after="0" w:line="197"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Debt of a Subsidiary owed to the Company;</w:t>
      </w:r>
    </w:p>
    <w:p>
      <w:pPr>
        <w:sectPr>
          <w:pgSz w:w="11900" w:h="16838" w:orient="portrait"/>
          <w:cols w:equalWidth="0" w:num="1">
            <w:col w:w="11420"/>
          </w:cols>
          <w:pgMar w:left="240" w:top="827" w:right="239" w:bottom="1440" w:gutter="0" w:footer="0" w:header="0"/>
        </w:sectPr>
      </w:pPr>
    </w:p>
    <w:bookmarkStart w:id="74" w:name="page75"/>
    <w:bookmarkEnd w:id="74"/>
    <w:p>
      <w:pPr>
        <w:jc w:val="both"/>
        <w:ind w:left="660" w:firstLine="645"/>
        <w:spacing w:after="0" w:line="259" w:lineRule="auto"/>
        <w:tabs>
          <w:tab w:leader="none" w:pos="17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Debt of a Subsidiary outstanding at the time such Subsidiary becomes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Debt shall not have been incurred in contemplation of such Subsidiary becoming a Subsidiary and (ii) immediately after such Subsidiary becomes a Subsidiary no Default or Potential Default shall exist,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such Debt may not be extended, renewed or refunded except as otherwise permitted by this Agreement; and</w:t>
      </w:r>
    </w:p>
    <w:p>
      <w:pPr>
        <w:spacing w:after="0" w:line="213" w:lineRule="exact"/>
        <w:rPr>
          <w:rFonts w:ascii="Arial" w:cs="Arial" w:eastAsia="Arial" w:hAnsi="Arial"/>
          <w:sz w:val="18"/>
          <w:szCs w:val="18"/>
          <w:color w:val="auto"/>
        </w:rPr>
      </w:pPr>
    </w:p>
    <w:p>
      <w:pPr>
        <w:jc w:val="both"/>
        <w:ind w:left="660" w:firstLine="645"/>
        <w:spacing w:after="0" w:line="264" w:lineRule="auto"/>
        <w:tabs>
          <w:tab w:leader="none" w:pos="171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Debt of a Subsidiary in addition to that otherwise permitted by the foregoing provisions of this Section 2.4,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the date the Subsidiary incurs or otherwise becomes liable with respect to any such additional Debt and immediately after giving effect thereto and the concurrent retirement of any other Debt,</w:t>
      </w:r>
    </w:p>
    <w:p>
      <w:pPr>
        <w:spacing w:after="0" w:line="208" w:lineRule="exact"/>
        <w:rPr>
          <w:rFonts w:ascii="Arial" w:cs="Arial" w:eastAsia="Arial" w:hAnsi="Arial"/>
          <w:sz w:val="18"/>
          <w:szCs w:val="18"/>
          <w:color w:val="auto"/>
        </w:rPr>
      </w:pPr>
    </w:p>
    <w:p>
      <w:pPr>
        <w:ind w:left="2300" w:hanging="347"/>
        <w:spacing w:after="0"/>
        <w:tabs>
          <w:tab w:leader="none" w:pos="2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Default or Potential Default exists, and</w:t>
      </w:r>
    </w:p>
    <w:p>
      <w:pPr>
        <w:spacing w:after="0" w:line="252" w:lineRule="exact"/>
        <w:rPr>
          <w:rFonts w:ascii="Arial" w:cs="Arial" w:eastAsia="Arial" w:hAnsi="Arial"/>
          <w:sz w:val="18"/>
          <w:szCs w:val="18"/>
          <w:color w:val="auto"/>
        </w:rPr>
      </w:pPr>
    </w:p>
    <w:p>
      <w:pPr>
        <w:jc w:val="both"/>
        <w:ind w:left="1300" w:firstLine="653"/>
        <w:spacing w:after="0" w:line="264" w:lineRule="auto"/>
        <w:tabs>
          <w:tab w:leader="none" w:pos="23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simultaneously with the incurrence thereof, the Company delivers a Net Earnings Certificate showing, on the date of issuance of such Debt by such Subsidiary, the Company’s Adjusted Net Earnings to be as required by Section 27 of the Indenture to issue at least $1.00 of additional bonds under the Indenture.</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Section 2.5.</w:t>
      </w:r>
      <w:r>
        <w:rPr>
          <w:rFonts w:ascii="Arial" w:cs="Arial" w:eastAsia="Arial" w:hAnsi="Arial"/>
          <w:sz w:val="17"/>
          <w:szCs w:val="17"/>
          <w:color w:val="auto"/>
        </w:rPr>
        <w:t>Section 2.5.2 A default by the Company in the observance of any covenant or agreement contained in Sections 2.1 through 2.4,</w:t>
      </w:r>
      <w:r>
        <w:rPr>
          <w:rFonts w:ascii="Arial" w:cs="Arial" w:eastAsia="Arial" w:hAnsi="Arial"/>
          <w:sz w:val="17"/>
          <w:szCs w:val="17"/>
          <w:i w:val="1"/>
          <w:iCs w:val="1"/>
          <w:color w:val="auto"/>
        </w:rPr>
        <w:t xml:space="preserve"> </w:t>
      </w:r>
      <w:r>
        <w:rPr>
          <w:rFonts w:ascii="Arial" w:cs="Arial" w:eastAsia="Arial" w:hAnsi="Arial"/>
          <w:sz w:val="17"/>
          <w:szCs w:val="17"/>
          <w:color w:val="auto"/>
        </w:rPr>
        <w:t>inclusive, of this Thirteenth Supplemental Indenture or the occurrence of an Event of Default (as defined herein) shall be deemed to constitute an additional and independent Default under, and defined in, Section 65 of the Mortgage. None of the additional Defaults provided for pursuant to this Section 2.5 are intended or shall be deemed to limit any of the Defaults currently expressed in the Mortgage and none of the Defaults currently expressed in the Mortgage are intended or shall be deemed to limit any of the additional Defaults provided for pursuant to this Section 2.5.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33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MISCELLANEOUS PROVISIONSARTICLE III</w:t>
      </w:r>
      <w:r>
        <w:rPr>
          <w:sz w:val="20"/>
          <w:szCs w:val="20"/>
          <w:color w:val="auto"/>
        </w:rPr>
        <w:tab/>
      </w:r>
      <w:r>
        <w:rPr>
          <w:rFonts w:ascii="Arial" w:cs="Arial" w:eastAsia="Arial" w:hAnsi="Arial"/>
          <w:sz w:val="17"/>
          <w:szCs w:val="17"/>
          <w:b w:val="1"/>
          <w:bCs w:val="1"/>
          <w:color w:val="auto"/>
        </w:rPr>
        <w:t>MISCELLANEOUS PROVISIONS1</w:t>
      </w:r>
    </w:p>
    <w:p>
      <w:pPr>
        <w:spacing w:after="0" w:line="256"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i w:val="1"/>
          <w:iCs w:val="1"/>
          <w:color w:val="auto"/>
        </w:rPr>
        <w:t>Section 3.1.</w:t>
      </w:r>
      <w:r>
        <w:rPr>
          <w:rFonts w:ascii="Arial" w:cs="Arial" w:eastAsia="Arial" w:hAnsi="Arial"/>
          <w:sz w:val="18"/>
          <w:szCs w:val="18"/>
          <w:color w:val="auto"/>
        </w:rPr>
        <w:t>Section 3.1.2</w:t>
      </w:r>
      <w:r>
        <w:rPr>
          <w:sz w:val="20"/>
          <w:szCs w:val="20"/>
          <w:color w:val="auto"/>
        </w:rPr>
        <w:tab/>
      </w:r>
      <w:r>
        <w:rPr>
          <w:rFonts w:ascii="Arial" w:cs="Arial" w:eastAsia="Arial" w:hAnsi="Arial"/>
          <w:sz w:val="17"/>
          <w:szCs w:val="17"/>
          <w:color w:val="auto"/>
        </w:rPr>
        <w:t>For purposes of this Thirteenth Supplemental Indenture, the following terms have the following meanings indicated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“Allete” </w:t>
      </w:r>
      <w:r>
        <w:rPr>
          <w:rFonts w:ascii="Arial" w:cs="Arial" w:eastAsia="Arial" w:hAnsi="Arial"/>
          <w:sz w:val="18"/>
          <w:szCs w:val="18"/>
          <w:color w:val="auto"/>
        </w:rPr>
        <w:t>shall mean ALLETE, Inc., a Minnesota corporation, or any successor to Allete,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“Bond Purchase Agreement” </w:t>
      </w:r>
      <w:r>
        <w:rPr>
          <w:rFonts w:ascii="Arial" w:cs="Arial" w:eastAsia="Arial" w:hAnsi="Arial"/>
          <w:sz w:val="17"/>
          <w:szCs w:val="17"/>
          <w:color w:val="auto"/>
        </w:rPr>
        <w:t>shall mean the Bond Purchase Agreement dated as of May 29, 2018, between the Company and the Purchaser.</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shall mean any day other than a Saturday, Sunday or a day on which commercial banks in Chicago, Illinois, or Milwaukee,</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are required or authorized to be closed.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“Capitalized Lease Obligation” </w:t>
      </w:r>
      <w:r>
        <w:rPr>
          <w:rFonts w:ascii="Arial" w:cs="Arial" w:eastAsia="Arial" w:hAnsi="Arial"/>
          <w:sz w:val="18"/>
          <w:szCs w:val="18"/>
          <w:color w:val="auto"/>
        </w:rPr>
        <w:t>shall mean with respect to any Person any rental obligation which, under generally accepted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would be required to be capitalized on the books of such Person, taken at the amount thereof accounted for as indebtedness (net of interest expense) in accordance with such principles.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“Consolidated Net Worth” </w:t>
      </w:r>
      <w:r>
        <w:rPr>
          <w:rFonts w:ascii="Arial" w:cs="Arial" w:eastAsia="Arial" w:hAnsi="Arial"/>
          <w:sz w:val="16"/>
          <w:szCs w:val="16"/>
          <w:color w:val="auto"/>
        </w:rPr>
        <w:t>shall mean the net worth of the Company and its Subsidiaries determined on a consolidated basis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means, with respect to any Person, without duplication,</w:t>
      </w:r>
    </w:p>
    <w:p>
      <w:pPr>
        <w:spacing w:after="0" w:line="252" w:lineRule="exact"/>
        <w:rPr>
          <w:sz w:val="20"/>
          <w:szCs w:val="20"/>
          <w:color w:val="auto"/>
        </w:rPr>
      </w:pPr>
    </w:p>
    <w:p>
      <w:pPr>
        <w:ind w:left="1680" w:hanging="375"/>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its liabilities for borrowed money;</w:t>
      </w:r>
    </w:p>
    <w:p>
      <w:pPr>
        <w:spacing w:after="0" w:line="252" w:lineRule="exact"/>
        <w:rPr>
          <w:rFonts w:ascii="Arial" w:cs="Arial" w:eastAsia="Arial" w:hAnsi="Arial"/>
          <w:sz w:val="18"/>
          <w:szCs w:val="18"/>
          <w:color w:val="auto"/>
        </w:rPr>
      </w:pPr>
    </w:p>
    <w:p>
      <w:pPr>
        <w:jc w:val="both"/>
        <w:ind w:left="660" w:firstLine="645"/>
        <w:spacing w:after="0" w:line="264" w:lineRule="auto"/>
        <w:tabs>
          <w:tab w:leader="none" w:pos="17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its liabilities for the deferred purchase price of property acquired by such Person (excluding accounts payable arising in the ordinary course of business but including, without limitation, all liabilities created or arising under any conditional sale or other title retention agreement with respect to any such property);</w:t>
      </w:r>
    </w:p>
    <w:p>
      <w:pPr>
        <w:spacing w:after="0" w:line="208" w:lineRule="exact"/>
        <w:rPr>
          <w:rFonts w:ascii="Arial" w:cs="Arial" w:eastAsia="Arial" w:hAnsi="Arial"/>
          <w:sz w:val="18"/>
          <w:szCs w:val="18"/>
          <w:color w:val="auto"/>
        </w:rPr>
      </w:pPr>
    </w:p>
    <w:p>
      <w:pPr>
        <w:ind w:left="1680" w:hanging="375"/>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its Capital Lease Obligations;</w:t>
      </w:r>
    </w:p>
    <w:p>
      <w:pPr>
        <w:sectPr>
          <w:pgSz w:w="11900" w:h="16838" w:orient="portrait"/>
          <w:cols w:equalWidth="0" w:num="1">
            <w:col w:w="11420"/>
          </w:cols>
          <w:pgMar w:left="240" w:top="1287" w:right="239" w:bottom="1440" w:gutter="0" w:footer="0" w:header="0"/>
        </w:sectPr>
      </w:pPr>
    </w:p>
    <w:bookmarkStart w:id="75" w:name="page76"/>
    <w:bookmarkEnd w:id="75"/>
    <w:p>
      <w:pPr>
        <w:ind w:left="660" w:firstLine="645"/>
        <w:spacing w:after="0" w:line="277" w:lineRule="auto"/>
        <w:tabs>
          <w:tab w:leader="none" w:pos="17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liabilities for borrowed money secured by any lien with respect to any property owned by such Person (whether or not it has assumed or otherwise become liable for such liabilities); and</w:t>
      </w:r>
    </w:p>
    <w:p>
      <w:pPr>
        <w:spacing w:after="0" w:line="197" w:lineRule="exact"/>
        <w:rPr>
          <w:rFonts w:ascii="Arial" w:cs="Arial" w:eastAsia="Arial" w:hAnsi="Arial"/>
          <w:sz w:val="18"/>
          <w:szCs w:val="18"/>
          <w:color w:val="auto"/>
        </w:rPr>
      </w:pPr>
    </w:p>
    <w:p>
      <w:pPr>
        <w:ind w:left="1680" w:hanging="375"/>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guaranty of such Person with respect to liabilities of a type described in any of clauses (a) through (d) hereof.</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of any Person shall include all obligations of such Person of the character described in clauses (a) through (e) to the extent such Person remains legally liable in respect thereof notwithstanding that any such obligation is deemed to be extinguished under GAAP.</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“Disposition” </w:t>
      </w:r>
      <w:r>
        <w:rPr>
          <w:rFonts w:ascii="Arial" w:cs="Arial" w:eastAsia="Arial" w:hAnsi="Arial"/>
          <w:sz w:val="18"/>
          <w:szCs w:val="18"/>
          <w:color w:val="auto"/>
        </w:rPr>
        <w:t>shall have the meaning set forth for such term in Section 2.1.</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shall mean any of the following events which shall occur and be continuing for any reason whatsoever at any time when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Bonds of the Twelfth Series shall be outstanding (and whether such occurrence shall be voluntary or involuntary or come about or be effected by operation of law or otherwise):</w:t>
      </w:r>
    </w:p>
    <w:p>
      <w:pPr>
        <w:spacing w:after="0" w:line="208" w:lineRule="exact"/>
        <w:rPr>
          <w:sz w:val="20"/>
          <w:szCs w:val="20"/>
          <w:color w:val="auto"/>
        </w:rPr>
      </w:pPr>
    </w:p>
    <w:p>
      <w:pPr>
        <w:jc w:val="both"/>
        <w:ind w:left="660" w:firstLine="645"/>
        <w:spacing w:after="0" w:line="264" w:lineRule="auto"/>
        <w:tabs>
          <w:tab w:leader="none" w:pos="16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defaults in the payment of any principal or premium, if any, payable with respect to any Bond of the Twelfth Series when the same shall become due, either by the terms thereof or otherwise as provided in the Mortgage, this Thirteenth Supplemental Indenture or the Bond Purchase Agreement; or</w:t>
      </w:r>
    </w:p>
    <w:p>
      <w:pPr>
        <w:spacing w:after="0" w:line="208" w:lineRule="exact"/>
        <w:rPr>
          <w:rFonts w:ascii="Arial" w:cs="Arial" w:eastAsia="Arial" w:hAnsi="Arial"/>
          <w:sz w:val="18"/>
          <w:szCs w:val="18"/>
          <w:color w:val="auto"/>
        </w:rPr>
      </w:pPr>
    </w:p>
    <w:p>
      <w:pPr>
        <w:ind w:left="1700" w:hanging="395"/>
        <w:spacing w:after="0"/>
        <w:tabs>
          <w:tab w:leader="none" w:pos="1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defaults in the payment of any interest on any Bond of the Twelfth Series for more than 5 days after the due date; or</w:t>
      </w:r>
    </w:p>
    <w:p>
      <w:pPr>
        <w:spacing w:after="0" w:line="275" w:lineRule="exact"/>
        <w:rPr>
          <w:rFonts w:ascii="Arial" w:cs="Arial" w:eastAsia="Arial" w:hAnsi="Arial"/>
          <w:sz w:val="16"/>
          <w:szCs w:val="16"/>
          <w:color w:val="auto"/>
        </w:rPr>
      </w:pPr>
    </w:p>
    <w:p>
      <w:pPr>
        <w:jc w:val="both"/>
        <w:ind w:left="660" w:firstLine="645"/>
        <w:spacing w:after="0" w:line="270" w:lineRule="auto"/>
        <w:tabs>
          <w:tab w:leader="none" w:pos="179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defaults (whether as primary obligor or as guarantor or other surety) in any payment of principal of or interest on any other obligation for money borrowed (or any Capitalized Lease Obligation, any obligation under a conditional sale or other title retention agreement, any obligation issued or assumed as full or partial payment for property whether or not secured by a purchase money mortgage or any obligation under notes payable or drafts accepted representing extensions of credit) beyond any period of grace provided with respect thereto and as a result, the aggregate principal amount of all such defaulted obligations exceeds $100,000 or the Company fails to perform or observe any other agreement, term or condition contained in any agreement under which any such obligations are created (or if any other event thereunder or under any such agreement shall occur and be continuing) and the effect of such failure or other event is to cause, or to permit the holder or holders of such obligations (or a trustee on behalf of such holder or holders) to cause, such obligations in the aggregate principal amount in excess of $100,000 to become due (or to be repurchased by the Company) prior to any stated maturity; or</w:t>
      </w:r>
    </w:p>
    <w:p>
      <w:pPr>
        <w:spacing w:after="0" w:line="208" w:lineRule="exact"/>
        <w:rPr>
          <w:rFonts w:ascii="Arial" w:cs="Arial" w:eastAsia="Arial" w:hAnsi="Arial"/>
          <w:sz w:val="17"/>
          <w:szCs w:val="17"/>
          <w:color w:val="auto"/>
        </w:rPr>
      </w:pPr>
    </w:p>
    <w:p>
      <w:pPr>
        <w:jc w:val="both"/>
        <w:ind w:left="660" w:firstLine="645"/>
        <w:spacing w:after="0" w:line="264" w:lineRule="auto"/>
        <w:tabs>
          <w:tab w:leader="none" w:pos="17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representation or warranty made by the Company in this Thirteenth Supplemental Indenture or the Bond Purchase Agreement or by the Company or any of its officers in any writing furnished in connection with or pursuant to this Thirteenth Supplemental Indenture or the Bond Purchase Agreement shall be false in any material respect on the date as of which made; or</w:t>
      </w:r>
    </w:p>
    <w:p>
      <w:pPr>
        <w:spacing w:after="0" w:line="208" w:lineRule="exact"/>
        <w:rPr>
          <w:rFonts w:ascii="Arial" w:cs="Arial" w:eastAsia="Arial" w:hAnsi="Arial"/>
          <w:sz w:val="18"/>
          <w:szCs w:val="18"/>
          <w:color w:val="auto"/>
        </w:rPr>
      </w:pPr>
    </w:p>
    <w:p>
      <w:pPr>
        <w:ind w:left="660" w:firstLine="645"/>
        <w:spacing w:after="0" w:line="277" w:lineRule="auto"/>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fails to perform or observe any agreement, term or condition contained in the Mortgage, this Thirteenth Supplemental Indenture or the Bond Purchase Agreement; or</w:t>
      </w:r>
    </w:p>
    <w:p>
      <w:pPr>
        <w:spacing w:after="0" w:line="197" w:lineRule="exact"/>
        <w:rPr>
          <w:rFonts w:ascii="Arial" w:cs="Arial" w:eastAsia="Arial" w:hAnsi="Arial"/>
          <w:sz w:val="18"/>
          <w:szCs w:val="18"/>
          <w:color w:val="auto"/>
        </w:rPr>
      </w:pPr>
    </w:p>
    <w:p>
      <w:pPr>
        <w:ind w:left="1740" w:hanging="435"/>
        <w:spacing w:after="0"/>
        <w:tabs>
          <w:tab w:leader="none" w:pos="1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makes an assignment for the benefit of creditors or is generally not paying its debts as such debts become due; or</w:t>
      </w:r>
    </w:p>
    <w:p>
      <w:pPr>
        <w:spacing w:after="0" w:line="263" w:lineRule="exact"/>
        <w:rPr>
          <w:rFonts w:ascii="Arial" w:cs="Arial" w:eastAsia="Arial" w:hAnsi="Arial"/>
          <w:sz w:val="17"/>
          <w:szCs w:val="17"/>
          <w:color w:val="auto"/>
        </w:rPr>
      </w:pPr>
    </w:p>
    <w:p>
      <w:pPr>
        <w:jc w:val="both"/>
        <w:ind w:left="660" w:firstLine="645"/>
        <w:spacing w:after="0" w:line="264" w:lineRule="auto"/>
        <w:tabs>
          <w:tab w:leader="none" w:pos="1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decree or order for relief in respect of the Company is entered under any bankruptcy, reorganization, compromise, arrangement, insolvency, readjustment of debt, dissolution or liquidation or similar law, whether now or hereafter in effect (herein called the Bankruptcy Law), of any jurisdiction; or</w:t>
      </w:r>
    </w:p>
    <w:p>
      <w:pPr>
        <w:spacing w:after="0" w:line="208" w:lineRule="exact"/>
        <w:rPr>
          <w:rFonts w:ascii="Arial" w:cs="Arial" w:eastAsia="Arial" w:hAnsi="Arial"/>
          <w:sz w:val="18"/>
          <w:szCs w:val="18"/>
          <w:color w:val="auto"/>
        </w:rPr>
      </w:pPr>
    </w:p>
    <w:p>
      <w:pPr>
        <w:jc w:val="both"/>
        <w:ind w:left="660" w:firstLine="645"/>
        <w:spacing w:after="0" w:line="312" w:lineRule="auto"/>
        <w:tabs>
          <w:tab w:leader="none" w:pos="18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petitions or applies to any tribunal for, or consents to, the appointment of, or taking possession by, a trustee, receiver, custodian, liquidator or similar official of the Company or of any Substantial Part of the assets of the Company or commences a voluntary case under the Bankruptcy Law of the United States or any proceedings relating to the Company under the Bankruptcy Law of any other jurisdiction; or</w:t>
      </w:r>
    </w:p>
    <w:p>
      <w:pPr>
        <w:sectPr>
          <w:pgSz w:w="11900" w:h="16838" w:orient="portrait"/>
          <w:cols w:equalWidth="0" w:num="1">
            <w:col w:w="11420"/>
          </w:cols>
          <w:pgMar w:left="240" w:top="1287" w:right="239" w:bottom="1440" w:gutter="0" w:footer="0" w:header="0"/>
        </w:sectPr>
      </w:pPr>
    </w:p>
    <w:bookmarkStart w:id="76" w:name="page77"/>
    <w:bookmarkEnd w:id="76"/>
    <w:p>
      <w:pPr>
        <w:jc w:val="both"/>
        <w:ind w:left="660" w:firstLine="645"/>
        <w:spacing w:after="0" w:line="264" w:lineRule="auto"/>
        <w:tabs>
          <w:tab w:leader="none" w:pos="17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such petition or application is filed, or any such proceedings are commenced, against the Company, and the Company by any act indicates its approval thereof, consent thereto or acquiescence therein, or an order, judgment or decree is entered appointing any such trustee, receiver, custodian, liquidator or similar official, or approving the petition in any such proceedings; or</w:t>
      </w:r>
    </w:p>
    <w:p>
      <w:pPr>
        <w:spacing w:after="0" w:line="208" w:lineRule="exact"/>
        <w:rPr>
          <w:rFonts w:ascii="Arial" w:cs="Arial" w:eastAsia="Arial" w:hAnsi="Arial"/>
          <w:sz w:val="18"/>
          <w:szCs w:val="18"/>
          <w:color w:val="auto"/>
        </w:rPr>
      </w:pPr>
    </w:p>
    <w:p>
      <w:pPr>
        <w:ind w:left="660" w:firstLine="645"/>
        <w:spacing w:after="0" w:line="277" w:lineRule="auto"/>
        <w:tabs>
          <w:tab w:leader="none" w:pos="17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order, judgment or decree is entered in any proceedings against the Company decreeing the dissolution of the Company and such order, judgment or decree remains unstayed and in effect for more than 60 days; or</w:t>
      </w:r>
    </w:p>
    <w:p>
      <w:pPr>
        <w:spacing w:after="0" w:line="197" w:lineRule="exact"/>
        <w:rPr>
          <w:rFonts w:ascii="Arial" w:cs="Arial" w:eastAsia="Arial" w:hAnsi="Arial"/>
          <w:sz w:val="18"/>
          <w:szCs w:val="18"/>
          <w:color w:val="auto"/>
        </w:rPr>
      </w:pPr>
    </w:p>
    <w:p>
      <w:pPr>
        <w:jc w:val="both"/>
        <w:ind w:left="660" w:firstLine="645"/>
        <w:spacing w:after="0" w:line="259" w:lineRule="auto"/>
        <w:tabs>
          <w:tab w:leader="none" w:pos="17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order, judgment or decree is entered in any proceedings against the Company decreeing a split-up of the Company which requires the divestiture of assets representing a Substantial Part of the assets of the Company or which requires the divestiture of assets which shall have contributed a Substantial Part of the net income of the Company for any of the three fiscal years then most recently ended, and such order, judgment or decree remains unstayed and in effect for more than 60 days; or</w:t>
      </w:r>
    </w:p>
    <w:p>
      <w:pPr>
        <w:spacing w:after="0" w:line="213" w:lineRule="exact"/>
        <w:rPr>
          <w:rFonts w:ascii="Arial" w:cs="Arial" w:eastAsia="Arial" w:hAnsi="Arial"/>
          <w:sz w:val="18"/>
          <w:szCs w:val="18"/>
          <w:color w:val="auto"/>
        </w:rPr>
      </w:pPr>
    </w:p>
    <w:p>
      <w:pPr>
        <w:jc w:val="both"/>
        <w:ind w:left="660" w:firstLine="645"/>
        <w:spacing w:after="0" w:line="264" w:lineRule="auto"/>
        <w:tabs>
          <w:tab w:leader="none" w:pos="18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final judgment in an amount in excess of $100,000 is rendered against the Company and, within 60 days after entry thereof, such judgment is not discharged or execution thereof stayed pending appeal, or within 60 days after the expiration of any such stay, such judgment is not discharged; or</w:t>
      </w:r>
    </w:p>
    <w:p>
      <w:pPr>
        <w:spacing w:after="0" w:line="208" w:lineRule="exact"/>
        <w:rPr>
          <w:rFonts w:ascii="Arial" w:cs="Arial" w:eastAsia="Arial" w:hAnsi="Arial"/>
          <w:sz w:val="18"/>
          <w:szCs w:val="18"/>
          <w:color w:val="auto"/>
        </w:rPr>
      </w:pPr>
    </w:p>
    <w:p>
      <w:pPr>
        <w:ind w:left="1840" w:hanging="535"/>
        <w:spacing w:after="0"/>
        <w:tabs>
          <w:tab w:leader="none" w:pos="1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Allete shall cease to own of record and beneficially 100% of the outstanding shares of capital stock of the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GAAP</w:t>
      </w:r>
      <w:r>
        <w:rPr>
          <w:rFonts w:ascii="Arial" w:cs="Arial" w:eastAsia="Arial" w:hAnsi="Arial"/>
          <w:sz w:val="18"/>
          <w:szCs w:val="18"/>
          <w:i w:val="1"/>
          <w:iCs w:val="1"/>
          <w:color w:val="auto"/>
        </w:rPr>
        <w:t xml:space="preserve">” </w:t>
      </w:r>
      <w:r>
        <w:rPr>
          <w:rFonts w:ascii="Arial" w:cs="Arial" w:eastAsia="Arial" w:hAnsi="Arial"/>
          <w:sz w:val="18"/>
          <w:szCs w:val="18"/>
          <w:color w:val="auto"/>
        </w:rPr>
        <w:t>means generally accepted accounting principles as in effect from time to time in the United States of America.</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“Make-Whole Amount” </w:t>
      </w:r>
      <w:r>
        <w:rPr>
          <w:rFonts w:ascii="Arial" w:cs="Arial" w:eastAsia="Arial" w:hAnsi="Arial"/>
          <w:sz w:val="18"/>
          <w:szCs w:val="18"/>
          <w:color w:val="auto"/>
        </w:rPr>
        <w:t>means, with respect to any Bond of the Twelfth Series, an amount equal to the excess, if any, of the Discounted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Remaining Scheduled Payments with respect to the Called Principal of such Bond of the Twelfth Series over the amount of such Called Principal,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Make-Whole Amount may in no event be less than zero. For the purposes of determining the Make-Whole Amount, the following terms have the following meanings:</w:t>
      </w:r>
    </w:p>
    <w:p>
      <w:pPr>
        <w:spacing w:after="0" w:line="21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 xml:space="preserve">“Called Principal” </w:t>
      </w:r>
      <w:r>
        <w:rPr>
          <w:rFonts w:ascii="Arial" w:cs="Arial" w:eastAsia="Arial" w:hAnsi="Arial"/>
          <w:sz w:val="18"/>
          <w:szCs w:val="18"/>
          <w:color w:val="auto"/>
        </w:rPr>
        <w:t>means, with respect to any Bond of the Twelfth Series, the principal of such Bond of the Twelfth Series that 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prepaid or has become or is declared to be immediately due and payable, as the context requires.</w:t>
      </w:r>
    </w:p>
    <w:p>
      <w:pPr>
        <w:spacing w:after="0" w:line="197"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i w:val="1"/>
          <w:iCs w:val="1"/>
          <w:color w:val="auto"/>
        </w:rPr>
        <w:t xml:space="preserve">“Discounted Value” </w:t>
      </w:r>
      <w:r>
        <w:rPr>
          <w:rFonts w:ascii="Arial" w:cs="Arial" w:eastAsia="Arial" w:hAnsi="Arial"/>
          <w:sz w:val="17"/>
          <w:szCs w:val="17"/>
          <w:color w:val="auto"/>
        </w:rPr>
        <w:t>means, with respect to the Called Principal of any Bond of the Twelfth Series, the amount obtained by discounting all</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 of the Twelfth Series is payable) equal to the Reinvestment Yield with respect to such Called Principal.</w:t>
      </w:r>
    </w:p>
    <w:p>
      <w:pPr>
        <w:spacing w:after="0" w:line="198"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i w:val="1"/>
          <w:iCs w:val="1"/>
          <w:color w:val="auto"/>
        </w:rPr>
        <w:t xml:space="preserve">“Reinvestment Yield” </w:t>
      </w:r>
      <w:r>
        <w:rPr>
          <w:rFonts w:ascii="Arial" w:cs="Arial" w:eastAsia="Arial" w:hAnsi="Arial"/>
          <w:sz w:val="17"/>
          <w:szCs w:val="17"/>
          <w:color w:val="auto"/>
        </w:rPr>
        <w:t>means, with respect to the Called Principal of any Bond of the Twelfth Series, the yield to maturity implied by (i) the</w:t>
      </w:r>
      <w:r>
        <w:rPr>
          <w:rFonts w:ascii="Arial" w:cs="Arial" w:eastAsia="Arial" w:hAnsi="Arial"/>
          <w:sz w:val="17"/>
          <w:szCs w:val="17"/>
          <w:i w:val="1"/>
          <w:iCs w:val="1"/>
          <w:color w:val="auto"/>
        </w:rPr>
        <w:t xml:space="preserve"> </w:t>
      </w:r>
      <w:r>
        <w:rPr>
          <w:rFonts w:ascii="Arial" w:cs="Arial" w:eastAsia="Arial" w:hAnsi="Arial"/>
          <w:sz w:val="17"/>
          <w:szCs w:val="17"/>
          <w:color w:val="auto"/>
        </w:rPr>
        <w:t>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 the run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(or any comparable successor publication) for U.S. Treasury securities having a constant maturity equal to the Remaining Average Life of such Called Principal as of such Settlement Date.</w:t>
      </w:r>
    </w:p>
    <w:p>
      <w:pPr>
        <w:spacing w:after="0" w:line="209"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6"/>
          <w:szCs w:val="16"/>
          <w:color w:val="auto"/>
        </w:rPr>
        <w:t>In the case of each determination under clause (i) or clause (ii), as the case may be, of the preceding paragraph, such implied yield will be determined, if necessary, by (a) converting U.S. Treasury bill quotations to bond equivalent yields in accordance with accepted financial practice and</w:t>
      </w:r>
    </w:p>
    <w:p>
      <w:pPr>
        <w:ind w:left="660" w:hanging="4"/>
        <w:spacing w:after="0" w:line="261" w:lineRule="auto"/>
        <w:tabs>
          <w:tab w:leader="none" w:pos="9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interpolating linearly between (1) the applicable U.S. Treasury security with the maturity closest to and greater than such Remaining Average Life and (2) the applicable U.S. Treasury</w:t>
      </w:r>
    </w:p>
    <w:p>
      <w:pPr>
        <w:sectPr>
          <w:pgSz w:w="11900" w:h="16838" w:orient="portrait"/>
          <w:cols w:equalWidth="0" w:num="1">
            <w:col w:w="11420"/>
          </w:cols>
          <w:pgMar w:left="240" w:top="1286" w:right="239" w:bottom="1440" w:gutter="0" w:footer="0" w:header="0"/>
        </w:sectPr>
      </w:pPr>
    </w:p>
    <w:bookmarkStart w:id="77" w:name="page78"/>
    <w:bookmarkEnd w:id="77"/>
    <w:p>
      <w:pPr>
        <w:jc w:val="both"/>
        <w:ind w:left="660"/>
        <w:spacing w:after="0" w:line="277" w:lineRule="auto"/>
        <w:rPr>
          <w:sz w:val="20"/>
          <w:szCs w:val="20"/>
          <w:color w:val="auto"/>
        </w:rPr>
      </w:pPr>
      <w:r>
        <w:rPr>
          <w:rFonts w:ascii="Arial" w:cs="Arial" w:eastAsia="Arial" w:hAnsi="Arial"/>
          <w:sz w:val="18"/>
          <w:szCs w:val="18"/>
          <w:color w:val="auto"/>
        </w:rPr>
        <w:t>security with the maturity closest to and less than such Remaining Average Life. The Reinvestment Yield shall be rounded to the number of decimal places as appears in the interest rate of the applicable Bond of the Twelfth Series.</w:t>
      </w:r>
    </w:p>
    <w:p>
      <w:pPr>
        <w:spacing w:after="0" w:line="197"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6"/>
          <w:szCs w:val="16"/>
          <w:i w:val="1"/>
          <w:iCs w:val="1"/>
          <w:color w:val="auto"/>
        </w:rPr>
        <w:t xml:space="preserve">“Remaining Average Life” </w:t>
      </w:r>
      <w:r>
        <w:rPr>
          <w:rFonts w:ascii="Arial" w:cs="Arial" w:eastAsia="Arial" w:hAnsi="Arial"/>
          <w:sz w:val="16"/>
          <w:szCs w:val="16"/>
          <w:color w:val="auto"/>
        </w:rPr>
        <w:t>means, with respect to any Called Principal, the number of years (calculated to the nearest one-twelfth year)</w:t>
      </w:r>
      <w:r>
        <w:rPr>
          <w:rFonts w:ascii="Arial" w:cs="Arial" w:eastAsia="Arial" w:hAnsi="Arial"/>
          <w:sz w:val="16"/>
          <w:szCs w:val="16"/>
          <w:i w:val="1"/>
          <w:iCs w:val="1"/>
          <w:color w:val="auto"/>
        </w:rPr>
        <w:t xml:space="preserve"> </w:t>
      </w:r>
      <w:r>
        <w:rPr>
          <w:rFonts w:ascii="Arial" w:cs="Arial" w:eastAsia="Arial" w:hAnsi="Arial"/>
          <w:sz w:val="16"/>
          <w:szCs w:val="16"/>
          <w:color w:val="auto"/>
        </w:rPr>
        <w:t>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81"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i w:val="1"/>
          <w:iCs w:val="1"/>
          <w:color w:val="auto"/>
        </w:rPr>
        <w:t xml:space="preserve">“Remaining Scheduled Payments” </w:t>
      </w:r>
      <w:r>
        <w:rPr>
          <w:rFonts w:ascii="Arial" w:cs="Arial" w:eastAsia="Arial" w:hAnsi="Arial"/>
          <w:sz w:val="17"/>
          <w:szCs w:val="17"/>
          <w:color w:val="auto"/>
        </w:rPr>
        <w:t>means, with respect to the Called Principal of any Bond of the Twelfth Series, all payments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Called Principal and interest thereon that would be due after the Settlement Date with respect to such Called Principal if no payment of such Called Principal were made prior to its scheduled due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Settlement Date is not a date on which interest payments are due to be made under the terms of the Bond of the Twelfth Series, then the amount of the next succeeding scheduled interest payment will be reduced by the amount of interest accrued to such Settlement Date and required to be paid on such Settlement Date.</w:t>
      </w:r>
    </w:p>
    <w:p>
      <w:pPr>
        <w:spacing w:after="0" w:line="20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 xml:space="preserve">“Settlement Date” </w:t>
      </w:r>
      <w:r>
        <w:rPr>
          <w:rFonts w:ascii="Arial" w:cs="Arial" w:eastAsia="Arial" w:hAnsi="Arial"/>
          <w:sz w:val="18"/>
          <w:szCs w:val="18"/>
          <w:color w:val="auto"/>
        </w:rPr>
        <w:t>means, with respect to the Called Principal of any Bond of the Twelfth Series, the date on which such Called Principal is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prepaid or has become or is declared to be immediately due and payable, as the context requires.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mean and include an individual, a partnership, a joint venture, a corporation, a limited liability company, a trust, an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and a government or any department or agency thereof.</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“Proceeds of Released Property” </w:t>
      </w:r>
      <w:r>
        <w:rPr>
          <w:rFonts w:ascii="Arial" w:cs="Arial" w:eastAsia="Arial" w:hAnsi="Arial"/>
          <w:sz w:val="18"/>
          <w:szCs w:val="18"/>
          <w:color w:val="auto"/>
        </w:rPr>
        <w:t>shall mean the aggregate of the cash deposited with or received by the Corporate Trustee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Section 59, Section 60, Section 61 (except such cash as is to be paid over to the Company under the provisions of Section 61), or Section 62 of the Mortgage.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“Purchaser” </w:t>
      </w:r>
      <w:r>
        <w:rPr>
          <w:rFonts w:ascii="Arial" w:cs="Arial" w:eastAsia="Arial" w:hAnsi="Arial"/>
          <w:sz w:val="18"/>
          <w:szCs w:val="18"/>
          <w:color w:val="auto"/>
        </w:rPr>
        <w:t>means Thrivent Financial for Lutherans.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as to any Person, any other Person in which such first Person or one or more of its Subsidiaries or such first Person and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“Substantial Part” </w:t>
      </w:r>
      <w:r>
        <w:rPr>
          <w:rFonts w:ascii="Arial" w:cs="Arial" w:eastAsia="Arial" w:hAnsi="Arial"/>
          <w:sz w:val="18"/>
          <w:szCs w:val="18"/>
          <w:color w:val="auto"/>
        </w:rPr>
        <w:t>shall mean when used with respect to assets or net income 15% or more of such assets or net income, respectively.</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3.2.</w:t>
      </w:r>
      <w:r>
        <w:rPr>
          <w:rFonts w:ascii="Arial" w:cs="Arial" w:eastAsia="Arial" w:hAnsi="Arial"/>
          <w:sz w:val="18"/>
          <w:szCs w:val="18"/>
          <w:color w:val="auto"/>
        </w:rPr>
        <w:t>Section 3.2.2 The terms defined in the Mortgage, as heretofore supplemented, shall for all purposes of this Thirteenth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have the meanings specified in the Mortgage, as heretofore supplemented.</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Section 3.3.</w:t>
      </w:r>
      <w:r>
        <w:rPr>
          <w:rFonts w:ascii="Arial" w:cs="Arial" w:eastAsia="Arial" w:hAnsi="Arial"/>
          <w:sz w:val="17"/>
          <w:szCs w:val="17"/>
          <w:color w:val="auto"/>
        </w:rPr>
        <w:t>Section 3.3.672 The Trustee hereby accepts the trust herein declared, provided and created and agrees to perform the same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herein and in the Mortgage, as heretofore supplemented, set forth and upon the following terms and conditions.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3.4.</w:t>
      </w:r>
      <w:r>
        <w:rPr>
          <w:rFonts w:ascii="Arial" w:cs="Arial" w:eastAsia="Arial" w:hAnsi="Arial"/>
          <w:sz w:val="18"/>
          <w:szCs w:val="18"/>
          <w:color w:val="auto"/>
        </w:rPr>
        <w:t>Section 3.4.2 The Trustee shall not be responsible in any manner whatsoever for or in respect of the validity or sufficiency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Thirteenth Supplemental Indenture or for or in respect of the recitals contained herein, all of which recitals are made by the Company solely. In general, each and every term and condition contained in Article XVII of the Mortgage shall apply to and form part of this Thirteenth Supplemental Indenture with the same force and effect as if the same were herein set forth in full, with such omissions, variations and insertions, if any, as may be appropriate to make the same conform to the provisions of this Thirteenth Supplemental Indenture.</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3.5.</w:t>
      </w:r>
      <w:r>
        <w:rPr>
          <w:rFonts w:ascii="Arial" w:cs="Arial" w:eastAsia="Arial" w:hAnsi="Arial"/>
          <w:sz w:val="18"/>
          <w:szCs w:val="18"/>
          <w:color w:val="auto"/>
        </w:rPr>
        <w:t>Section 3.5.672 Subject to the provisions of Article XVI and Article XVII of the Mortgage, whenever in this Thirteenth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any of the parties hereto is named or referred to, this shall be deemed to include the</w:t>
      </w:r>
    </w:p>
    <w:p>
      <w:pPr>
        <w:sectPr>
          <w:pgSz w:w="11900" w:h="16838" w:orient="portrait"/>
          <w:cols w:equalWidth="0" w:num="1">
            <w:col w:w="11420"/>
          </w:cols>
          <w:pgMar w:left="240" w:top="827" w:right="239" w:bottom="1440" w:gutter="0" w:footer="0" w:header="0"/>
        </w:sectPr>
      </w:pPr>
    </w:p>
    <w:bookmarkStart w:id="78" w:name="page79"/>
    <w:bookmarkEnd w:id="78"/>
    <w:p>
      <w:pPr>
        <w:jc w:val="both"/>
        <w:spacing w:after="0" w:line="342" w:lineRule="auto"/>
        <w:rPr>
          <w:sz w:val="20"/>
          <w:szCs w:val="20"/>
          <w:color w:val="auto"/>
        </w:rPr>
      </w:pPr>
      <w:r>
        <w:rPr>
          <w:rFonts w:ascii="Arial" w:cs="Arial" w:eastAsia="Arial" w:hAnsi="Arial"/>
          <w:sz w:val="16"/>
          <w:szCs w:val="16"/>
          <w:color w:val="auto"/>
        </w:rPr>
        <w:t>successors or assigns of such party, and all the covenants and agreements in this Thirteenth Supplemental Indenture contained by or on behalf of the Company or by or on behalf of the Trustee shall bind and inure to the benefit of the respective successors and assigns of such parties whether so expressed or not.</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Section 3.6.</w:t>
      </w:r>
      <w:r>
        <w:rPr>
          <w:rFonts w:ascii="Arial" w:cs="Arial" w:eastAsia="Arial" w:hAnsi="Arial"/>
          <w:sz w:val="16"/>
          <w:szCs w:val="16"/>
          <w:color w:val="auto"/>
        </w:rPr>
        <w:t>Section 3.6.672 Nothing in this Thirteenth Supplemental Indenture, express or implied, is intended, or shall be construed, to confer</w:t>
      </w:r>
      <w:r>
        <w:rPr>
          <w:rFonts w:ascii="Arial" w:cs="Arial" w:eastAsia="Arial" w:hAnsi="Arial"/>
          <w:sz w:val="16"/>
          <w:szCs w:val="16"/>
          <w:i w:val="1"/>
          <w:iCs w:val="1"/>
          <w:color w:val="auto"/>
        </w:rPr>
        <w:t xml:space="preserve"> </w:t>
      </w:r>
      <w:r>
        <w:rPr>
          <w:rFonts w:ascii="Arial" w:cs="Arial" w:eastAsia="Arial" w:hAnsi="Arial"/>
          <w:sz w:val="16"/>
          <w:szCs w:val="16"/>
          <w:color w:val="auto"/>
        </w:rPr>
        <w:t>upon, or to give to, any person, firm or corporation, other than the parties hereto and the holders of the bonds Outstanding under the Mortgage, any right, remedy or claim under or by reason of this Thirteenth Supplemental Indenture or any covenant, condition, stipulation, promise or agreement hereof, and all the covenants, conditions, stipulations, promises and agreements of this Thirteenth Supplemental Indenture contained by or on behalf of the Company shall be for the sole and exclusive benefit of the parties hereto, and of the holders of the bonds and of the coupons Outstanding under the Mortgage.</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3.7.</w:t>
      </w:r>
      <w:r>
        <w:rPr>
          <w:rFonts w:ascii="Arial" w:cs="Arial" w:eastAsia="Arial" w:hAnsi="Arial"/>
          <w:sz w:val="18"/>
          <w:szCs w:val="18"/>
          <w:color w:val="auto"/>
        </w:rPr>
        <w:t>Section 3.7.672 This Thirteenth Supplemental Indenture may be executed in several counterparts, each of which shall be an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and all of which shall constitute but one and the same instrument.</w:t>
      </w:r>
    </w:p>
    <w:p>
      <w:pPr>
        <w:sectPr>
          <w:pgSz w:w="11900" w:h="16838" w:orient="portrait"/>
          <w:cols w:equalWidth="0" w:num="1">
            <w:col w:w="11420"/>
          </w:cols>
          <w:pgMar w:left="240" w:top="827" w:right="239" w:bottom="1440" w:gutter="0" w:footer="0" w:header="0"/>
        </w:sectPr>
      </w:pPr>
    </w:p>
    <w:bookmarkStart w:id="79" w:name="page80"/>
    <w:bookmarkEnd w:id="79"/>
    <w:p>
      <w:pPr>
        <w:ind w:firstLine="648"/>
        <w:spacing w:after="0" w:line="258" w:lineRule="auto"/>
        <w:rPr>
          <w:sz w:val="20"/>
          <w:szCs w:val="20"/>
          <w:color w:val="auto"/>
        </w:rPr>
      </w:pPr>
      <w:r>
        <w:rPr>
          <w:rFonts w:ascii="Arial" w:cs="Arial" w:eastAsia="Arial" w:hAnsi="Arial"/>
          <w:sz w:val="18"/>
          <w:szCs w:val="18"/>
          <w:color w:val="auto"/>
        </w:rPr>
        <w:t>IN WITNESS WHEREOF, Superior Water, Light and Power Company has caused its corporate name to be hereunto affixed, and this instrument to be signed and sealed by its President or one of its Vice Presidents, and its corporate seal to be attested by its Secretary or one of its Assistant Secretaries for and in its behalf, and U.S. Bank National Association has caused its corporate name to be hereunto affixed, and this instrument to be signed by its President and to be attested by its Secretary, all as of the ___ day of _____________, 2018. Signature4</w:t>
      </w:r>
    </w:p>
    <w:p>
      <w:pPr>
        <w:spacing w:after="0" w:line="200" w:lineRule="exact"/>
        <w:rPr>
          <w:sz w:val="20"/>
          <w:szCs w:val="20"/>
          <w:color w:val="auto"/>
        </w:rPr>
      </w:pPr>
    </w:p>
    <w:p>
      <w:pPr>
        <w:spacing w:after="0" w:line="2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SUPERIOR WATER, LIGHT AND POWER COMPANY</w:t>
      </w:r>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By:__________________________________________</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Executed, sealed and delivered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in the presence of:</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w:t>
      </w:r>
    </w:p>
    <w:p>
      <w:pPr>
        <w:sectPr>
          <w:pgSz w:w="11900" w:h="16838" w:orient="portrait"/>
          <w:cols w:equalWidth="0" w:num="1">
            <w:col w:w="11420"/>
          </w:cols>
          <w:pgMar w:left="240" w:top="1287" w:right="239" w:bottom="1440" w:gutter="0" w:footer="0" w:header="0"/>
        </w:sectPr>
      </w:pPr>
    </w:p>
    <w:bookmarkStart w:id="80" w:name="page81"/>
    <w:bookmarkEnd w:id="80"/>
    <w:p>
      <w:pPr>
        <w:ind w:left="4540"/>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_______________________</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ectPr>
          <w:pgSz w:w="11900" w:h="16838" w:orient="portrait"/>
          <w:cols w:equalWidth="0" w:num="1">
            <w:col w:w="10219"/>
          </w:cols>
          <w:pgMar w:left="240" w:top="800" w:right="1440" w:bottom="1440" w:gutter="0" w:footer="0" w:header="0"/>
        </w:sectPr>
      </w:pPr>
    </w:p>
    <w:bookmarkStart w:id="81" w:name="page82"/>
    <w:bookmarkEnd w:id="81"/>
    <w:p>
      <w:pPr>
        <w:spacing w:after="0"/>
        <w:tabs>
          <w:tab w:leader="none" w:pos="2020" w:val="left"/>
        </w:tabs>
        <w:rPr>
          <w:sz w:val="20"/>
          <w:szCs w:val="20"/>
          <w:color w:val="auto"/>
        </w:rPr>
      </w:pPr>
      <w:r>
        <w:rPr>
          <w:rFonts w:ascii="Arial" w:cs="Arial" w:eastAsia="Arial" w:hAnsi="Arial"/>
          <w:sz w:val="18"/>
          <w:szCs w:val="18"/>
          <w:color w:val="auto"/>
        </w:rPr>
        <w:t>STATE OF WISCONSIN</w:t>
        <w:tab/>
        <w:t>)</w:t>
      </w:r>
    </w:p>
    <w:p>
      <w:pPr>
        <w:spacing w:after="0" w:line="23" w:lineRule="exact"/>
        <w:rPr>
          <w:sz w:val="20"/>
          <w:szCs w:val="20"/>
          <w:color w:val="auto"/>
        </w:rPr>
      </w:pPr>
    </w:p>
    <w:p>
      <w:pPr>
        <w:ind w:left="2060" w:hanging="107"/>
        <w:spacing w:after="0"/>
        <w:tabs>
          <w:tab w:leader="none" w:pos="2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COUNTY OF DOUGLAS  )</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Personally came before me this ___ day of _____________, 2018, _________________, to me known to be the President, and _______________, to</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me known to be the Secretary of the above-named SUPERIOR WATER, LIGHT AND POWER COMPANY,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President and Secretary of said corporation, that the seal affixed to said instrument is the corporate seal of said corporation, and that they signed, sealed and delivered said instrument in the name and on behalf of said corporation by authority of its Board of Directors, and said President and Secretary, then and there acknowledged said instrument to be the free act and deed of said corporation and that such corporation executed the same.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notarial seal this ___ day of _____________,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Notary Public, State of Wisconsin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My Commission __________________</w:t>
      </w:r>
    </w:p>
    <w:p>
      <w:pPr>
        <w:sectPr>
          <w:pgSz w:w="11900" w:h="16838" w:orient="portrait"/>
          <w:cols w:equalWidth="0" w:num="1">
            <w:col w:w="11420"/>
          </w:cols>
          <w:pgMar w:left="240" w:top="800" w:right="239" w:bottom="1440" w:gutter="0" w:footer="0" w:header="0"/>
        </w:sectPr>
      </w:pPr>
    </w:p>
    <w:bookmarkStart w:id="82" w:name="page83"/>
    <w:bookmarkEnd w:id="82"/>
    <w:p>
      <w:pPr>
        <w:spacing w:after="0"/>
        <w:tabs>
          <w:tab w:leader="none" w:pos="2020" w:val="left"/>
        </w:tabs>
        <w:rPr>
          <w:sz w:val="20"/>
          <w:szCs w:val="20"/>
          <w:color w:val="auto"/>
        </w:rPr>
      </w:pPr>
      <w:r>
        <w:rPr>
          <w:rFonts w:ascii="Arial" w:cs="Arial" w:eastAsia="Arial" w:hAnsi="Arial"/>
          <w:sz w:val="18"/>
          <w:szCs w:val="18"/>
          <w:color w:val="auto"/>
        </w:rPr>
        <w:t>STATE OF WISCONSIN</w:t>
        <w:tab/>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COUNTY OF MILWAUKEE</w:t>
        <w:tab/>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Personally came before me this ____ day of _______________, 2018, Steven F. Posto, to me known to be the Vice President of the above-named</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BANK NATIONAL ASSOCIATION,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he is the Vice President of said corporation, and that he signed and delivered said instrument in the name and on behalf of said corporation by authority of its Board of Directors, and said Vice President then and there acknowledged said instrument to be the free act and deed of said corporation and that such corporation executed the same.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Given under my hand and notarial seal this ____day of ________________,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Notary Public, State of Wisconsin</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My Co</w:t>
      </w:r>
      <w:r>
        <w:rPr>
          <w:rFonts w:ascii="Arial" w:cs="Arial" w:eastAsia="Arial" w:hAnsi="Arial"/>
          <w:sz w:val="21"/>
          <w:szCs w:val="21"/>
          <w:color w:val="auto"/>
        </w:rPr>
        <w:t>mmission ___________________</w:t>
      </w:r>
    </w:p>
    <w:p>
      <w:pPr>
        <w:sectPr>
          <w:pgSz w:w="11900" w:h="16838" w:orient="portrait"/>
          <w:cols w:equalWidth="0" w:num="1">
            <w:col w:w="11420"/>
          </w:cols>
          <w:pgMar w:left="240" w:top="584" w:right="239" w:bottom="1440" w:gutter="0" w:footer="0" w:header="0"/>
        </w:sectPr>
      </w:pPr>
    </w:p>
    <w:bookmarkStart w:id="83" w:name="page84"/>
    <w:bookmarkEnd w:id="83"/>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788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rPr>
              <w:t>[FORM OF BOND OF THE TWELFTH SERIES]</w:t>
            </w:r>
          </w:p>
        </w:tc>
        <w:tc>
          <w:tcPr>
            <w:tcW w:w="880" w:type="dxa"/>
            <w:vAlign w:val="bottom"/>
          </w:tcPr>
          <w:p>
            <w:pPr>
              <w:spacing w:after="0"/>
              <w:rPr>
                <w:sz w:val="20"/>
                <w:szCs w:val="20"/>
                <w:color w:val="auto"/>
              </w:rPr>
            </w:pPr>
          </w:p>
        </w:tc>
      </w:tr>
      <w:tr>
        <w:trPr>
          <w:trHeight w:val="414"/>
        </w:trPr>
        <w:tc>
          <w:tcPr>
            <w:tcW w:w="2660" w:type="dxa"/>
            <w:vAlign w:val="bottom"/>
          </w:tcPr>
          <w:p>
            <w:pPr>
              <w:spacing w:after="0"/>
              <w:rPr>
                <w:sz w:val="24"/>
                <w:szCs w:val="24"/>
                <w:color w:val="auto"/>
              </w:rPr>
            </w:pPr>
          </w:p>
        </w:tc>
        <w:tc>
          <w:tcPr>
            <w:tcW w:w="788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rPr>
              <w:t>SUPERIOR WATER, LIGHT AND POWER COMPANY</w:t>
            </w:r>
          </w:p>
        </w:tc>
        <w:tc>
          <w:tcPr>
            <w:tcW w:w="880" w:type="dxa"/>
            <w:vAlign w:val="bottom"/>
          </w:tcPr>
          <w:p>
            <w:pPr>
              <w:spacing w:after="0"/>
              <w:rPr>
                <w:sz w:val="24"/>
                <w:szCs w:val="24"/>
                <w:color w:val="auto"/>
              </w:rPr>
            </w:pPr>
          </w:p>
        </w:tc>
      </w:tr>
      <w:tr>
        <w:trPr>
          <w:trHeight w:val="234"/>
        </w:trPr>
        <w:tc>
          <w:tcPr>
            <w:tcW w:w="2660" w:type="dxa"/>
            <w:vAlign w:val="bottom"/>
          </w:tcPr>
          <w:p>
            <w:pPr>
              <w:spacing w:after="0"/>
              <w:rPr>
                <w:sz w:val="20"/>
                <w:szCs w:val="20"/>
                <w:color w:val="auto"/>
              </w:rPr>
            </w:pPr>
          </w:p>
        </w:tc>
        <w:tc>
          <w:tcPr>
            <w:tcW w:w="788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rPr>
              <w:t>FIRST MORTGAGE BOND</w:t>
            </w:r>
          </w:p>
        </w:tc>
        <w:tc>
          <w:tcPr>
            <w:tcW w:w="880" w:type="dxa"/>
            <w:vAlign w:val="bottom"/>
          </w:tcPr>
          <w:p>
            <w:pPr>
              <w:spacing w:after="0"/>
              <w:rPr>
                <w:sz w:val="20"/>
                <w:szCs w:val="20"/>
                <w:color w:val="auto"/>
              </w:rPr>
            </w:pPr>
          </w:p>
        </w:tc>
      </w:tr>
      <w:tr>
        <w:trPr>
          <w:trHeight w:val="432"/>
        </w:trPr>
        <w:tc>
          <w:tcPr>
            <w:tcW w:w="2660" w:type="dxa"/>
            <w:vAlign w:val="bottom"/>
          </w:tcPr>
          <w:p>
            <w:pPr>
              <w:spacing w:after="0"/>
              <w:rPr>
                <w:sz w:val="24"/>
                <w:szCs w:val="24"/>
                <w:color w:val="auto"/>
              </w:rPr>
            </w:pPr>
          </w:p>
        </w:tc>
        <w:tc>
          <w:tcPr>
            <w:tcW w:w="788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1"/>
              </w:rPr>
              <w:t>4.14% Series due May 29, 2048</w:t>
            </w:r>
          </w:p>
        </w:tc>
        <w:tc>
          <w:tcPr>
            <w:tcW w:w="880" w:type="dxa"/>
            <w:vAlign w:val="bottom"/>
          </w:tcPr>
          <w:p>
            <w:pPr>
              <w:spacing w:after="0"/>
              <w:rPr>
                <w:sz w:val="24"/>
                <w:szCs w:val="24"/>
                <w:color w:val="auto"/>
              </w:rPr>
            </w:pPr>
          </w:p>
        </w:tc>
      </w:tr>
      <w:tr>
        <w:trPr>
          <w:trHeight w:val="432"/>
        </w:trPr>
        <w:tc>
          <w:tcPr>
            <w:tcW w:w="2660" w:type="dxa"/>
            <w:vAlign w:val="bottom"/>
          </w:tcPr>
          <w:p>
            <w:pPr>
              <w:spacing w:after="0"/>
              <w:rPr>
                <w:sz w:val="20"/>
                <w:szCs w:val="20"/>
                <w:color w:val="auto"/>
              </w:rPr>
            </w:pPr>
            <w:r>
              <w:rPr>
                <w:rFonts w:ascii="Arial" w:cs="Arial" w:eastAsia="Arial" w:hAnsi="Arial"/>
                <w:sz w:val="18"/>
                <w:szCs w:val="18"/>
                <w:color w:val="auto"/>
              </w:rPr>
              <w:t>No. R-___</w:t>
            </w:r>
          </w:p>
        </w:tc>
        <w:tc>
          <w:tcPr>
            <w:tcW w:w="2520" w:type="dxa"/>
            <w:vAlign w:val="bottom"/>
          </w:tcPr>
          <w:p>
            <w:pPr>
              <w:jc w:val="right"/>
              <w:ind w:right="1270"/>
              <w:spacing w:after="0"/>
              <w:rPr>
                <w:sz w:val="20"/>
                <w:szCs w:val="20"/>
                <w:color w:val="auto"/>
              </w:rPr>
            </w:pPr>
            <w:r>
              <w:rPr>
                <w:rFonts w:ascii="Arial" w:cs="Arial" w:eastAsia="Arial" w:hAnsi="Arial"/>
                <w:sz w:val="18"/>
                <w:szCs w:val="18"/>
                <w:color w:val="auto"/>
              </w:rPr>
              <w:t>$__________</w:t>
            </w:r>
          </w:p>
        </w:tc>
        <w:tc>
          <w:tcPr>
            <w:tcW w:w="5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8"/>
        </w:trPr>
        <w:tc>
          <w:tcPr>
            <w:tcW w:w="11420" w:type="dxa"/>
            <w:vAlign w:val="bottom"/>
            <w:gridSpan w:val="4"/>
          </w:tcPr>
          <w:p>
            <w:pPr>
              <w:jc w:val="right"/>
              <w:spacing w:after="0"/>
              <w:rPr>
                <w:sz w:val="20"/>
                <w:szCs w:val="20"/>
                <w:color w:val="auto"/>
              </w:rPr>
            </w:pPr>
            <w:r>
              <w:rPr>
                <w:rFonts w:ascii="Arial" w:cs="Arial" w:eastAsia="Arial" w:hAnsi="Arial"/>
                <w:sz w:val="18"/>
                <w:szCs w:val="18"/>
                <w:color w:val="auto"/>
              </w:rPr>
              <w:t xml:space="preserve">SUPERIOR WATER, LIGHT AND POWER COMPANY, a corporation of the State of Wisconsin (hereinafter called the </w:t>
            </w:r>
            <w:r>
              <w:rPr>
                <w:rFonts w:ascii="Arial" w:cs="Arial" w:eastAsia="Arial" w:hAnsi="Arial"/>
                <w:sz w:val="18"/>
                <w:szCs w:val="18"/>
                <w:i w:val="1"/>
                <w:iCs w:val="1"/>
                <w:color w:val="auto"/>
              </w:rPr>
              <w:t>“Company”</w:t>
            </w:r>
            <w:r>
              <w:rPr>
                <w:rFonts w:ascii="Arial" w:cs="Arial" w:eastAsia="Arial" w:hAnsi="Arial"/>
                <w:sz w:val="18"/>
                <w:szCs w:val="18"/>
                <w:color w:val="auto"/>
              </w:rPr>
              <w:t>), for value</w:t>
            </w:r>
          </w:p>
        </w:tc>
      </w:tr>
      <w:tr>
        <w:trPr>
          <w:trHeight w:val="190"/>
        </w:trPr>
        <w:tc>
          <w:tcPr>
            <w:tcW w:w="10540" w:type="dxa"/>
            <w:vAlign w:val="bottom"/>
            <w:gridSpan w:val="3"/>
          </w:tcPr>
          <w:p>
            <w:pPr>
              <w:spacing w:after="0" w:line="190" w:lineRule="exact"/>
              <w:rPr>
                <w:sz w:val="20"/>
                <w:szCs w:val="20"/>
                <w:color w:val="auto"/>
              </w:rPr>
            </w:pPr>
            <w:r>
              <w:rPr>
                <w:rFonts w:ascii="Arial" w:cs="Arial" w:eastAsia="Arial" w:hAnsi="Arial"/>
                <w:sz w:val="18"/>
                <w:szCs w:val="18"/>
                <w:color w:val="auto"/>
                <w:w w:val="93"/>
              </w:rPr>
              <w:t>received, hereby promises to pay to ____________________________, or registered assigns, on May 29, 2048, ___________ DOLLARS ($</w:t>
            </w:r>
          </w:p>
        </w:tc>
        <w:tc>
          <w:tcPr>
            <w:tcW w:w="880" w:type="dxa"/>
            <w:vAlign w:val="bottom"/>
          </w:tcPr>
          <w:p>
            <w:pPr>
              <w:jc w:val="right"/>
              <w:spacing w:after="0" w:line="190" w:lineRule="exact"/>
              <w:rPr>
                <w:sz w:val="20"/>
                <w:szCs w:val="20"/>
                <w:color w:val="auto"/>
              </w:rPr>
            </w:pPr>
            <w:r>
              <w:rPr>
                <w:rFonts w:ascii="Arial" w:cs="Arial" w:eastAsia="Arial" w:hAnsi="Arial"/>
                <w:sz w:val="18"/>
                <w:szCs w:val="18"/>
                <w:color w:val="auto"/>
              </w:rPr>
              <w:t>) in such</w:t>
            </w:r>
          </w:p>
        </w:tc>
      </w:tr>
      <w:tr>
        <w:trPr>
          <w:trHeight w:val="20"/>
        </w:trPr>
        <w:tc>
          <w:tcPr>
            <w:tcW w:w="266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coin or currency of the United States of America as at the time of payment is legal tender for public and private debts, and to pay to the registered owner hereof interest thereon in like coin or currency (computed on the basis of a 360</w:t>
      </w:r>
      <w:r>
        <w:rPr>
          <w:rFonts w:ascii="MS PGothic" w:cs="MS PGothic" w:eastAsia="MS PGothic" w:hAnsi="MS PGothic"/>
          <w:sz w:val="17"/>
          <w:szCs w:val="17"/>
          <w:color w:val="auto"/>
        </w:rPr>
        <w:t>‑</w:t>
      </w:r>
      <w:r>
        <w:rPr>
          <w:rFonts w:ascii="Arial" w:cs="Arial" w:eastAsia="Arial" w:hAnsi="Arial"/>
          <w:sz w:val="17"/>
          <w:szCs w:val="17"/>
          <w:color w:val="auto"/>
        </w:rPr>
        <w:t>day year of twelve 30</w:t>
      </w:r>
      <w:r>
        <w:rPr>
          <w:rFonts w:ascii="MS PGothic" w:cs="MS PGothic" w:eastAsia="MS PGothic" w:hAnsi="MS PGothic"/>
          <w:sz w:val="17"/>
          <w:szCs w:val="17"/>
          <w:color w:val="auto"/>
        </w:rPr>
        <w:t>‑</w:t>
      </w:r>
      <w:r>
        <w:rPr>
          <w:rFonts w:ascii="Arial" w:cs="Arial" w:eastAsia="Arial" w:hAnsi="Arial"/>
          <w:sz w:val="17"/>
          <w:szCs w:val="17"/>
          <w:color w:val="auto"/>
        </w:rPr>
        <w:t>day months) at the rate of four and fourteen-hundredths percent (4.14%) per annum semiannually on June 15 and December 15 of each year commencing December 15, 2018 until the principal thereof shall have become due and payable and at the rate of 6.14% per annum on any overdue payment of principal or premium, if any, and, to the extent enforceable under applicable law, on any overdue payment of interest. The principal hereof (and premium, if any) and interest hereon shall be paid at the office or agency of the Company in the City of St. Paul, Minnesota, or the office of the Company in Superior, Wisconsin or as shall be otherwise agreed to pursuant to the provisions of the Thirteenth Supplemental Indenture hereinafter referred to.</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This bond is one of an issue of bonds of the Company issuable in series and is one of a series designated the First Mortgage Bonds, 4.14% Series due May 29, 2048 (the </w:t>
      </w:r>
      <w:r>
        <w:rPr>
          <w:rFonts w:ascii="Arial" w:cs="Arial" w:eastAsia="Arial" w:hAnsi="Arial"/>
          <w:sz w:val="17"/>
          <w:szCs w:val="17"/>
          <w:i w:val="1"/>
          <w:iCs w:val="1"/>
          <w:color w:val="auto"/>
        </w:rPr>
        <w:t>“Bonds of the Twelfth Series”</w:t>
      </w:r>
      <w:r>
        <w:rPr>
          <w:rFonts w:ascii="Arial" w:cs="Arial" w:eastAsia="Arial" w:hAnsi="Arial"/>
          <w:sz w:val="17"/>
          <w:szCs w:val="17"/>
          <w:color w:val="auto"/>
        </w:rPr>
        <w:t xml:space="preserve">) created by the Thirteenth Supplemental Indenture dated as of May 21, 2018 executed by the Company to U.S. Bank National Association (successor Trustee to Chemical Bank and Peter Morse), as Trustee, all bonds of all series being issued and to be issued under and equally secured by a Mortgage and Deed of Trust (herein, together with any indentures supplemental thereto, called the </w:t>
      </w:r>
      <w:r>
        <w:rPr>
          <w:rFonts w:ascii="Arial" w:cs="Arial" w:eastAsia="Arial" w:hAnsi="Arial"/>
          <w:sz w:val="17"/>
          <w:szCs w:val="17"/>
          <w:i w:val="1"/>
          <w:iCs w:val="1"/>
          <w:color w:val="auto"/>
        </w:rPr>
        <w:t>“Mortgage”</w:t>
      </w:r>
      <w:r>
        <w:rPr>
          <w:rFonts w:ascii="Arial" w:cs="Arial" w:eastAsia="Arial" w:hAnsi="Arial"/>
          <w:sz w:val="17"/>
          <w:szCs w:val="17"/>
          <w:color w:val="auto"/>
        </w:rPr>
        <w:t>), dated as of March 1, 1943, executed by the Company to Chemical Bank &amp; Trust Company and Howard B. Smith, as Trustees (U.S. Bank National Association, successor Trustee). Reference is made to the Mortgage for a description of the property mortgaged and pledged, the nature and extent of the security, the rights of the holders of the bonds and of the Trustee in respect thereof, the duties and immunities of the Trustee and terms and conditions upon which the bonds are and are to be secured and the circumstances under which additional bonds may be issued.</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the consent of the Company and to the extent permitted by and as provided in the Mortgage, the rights and obligations of the Company and/or the rights of the holders of the bonds and/or coupons and/or the terms and provisions of the Mortgage may be modified or altered by affirmative vote of the holders of at least seventy per centum (70%) in principal amount of the bonds then outstanding under the Mortgage and, if the rights of the holders of one or more, but less than all, series of bonds then outstanding are to be affected, then also by affirmative vote of the holders of at least seventy per centum (70%) in principal amount of the bonds then outstanding of each series of bonds so to be affected (excluding in any case bonds disqualified from voting by reason of the Company's interest therein as provided in the Mortgage); provided that, without the consent of the holder hereof, no such modification or alteration shall, among other things, impair or affect the right of the holder to receive payment of the principal of (and premium, if any) and interest on this bond, on or after the respective due dates and at the places and in the respective amounts expressed herein, or permit the creation of any lien equal or prior to the lien of the Mortgage or deprive the holder of the benefit of a lien on the mortgaged and pledged property, or give any bond or bonds secured by the Mortgage any preference over any other bond or bonds so secured, or reduce the percentage in principal amount of the bonds required to authorize or consent to any such modification or alteration of the Mortgage.</w:t>
      </w:r>
    </w:p>
    <w:p>
      <w:pPr>
        <w:spacing w:after="0" w:line="2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Bonds of the Twelfth Series may be redeemed prior to maturity, in whole at any time or in part (in multiples of $500,000) from time to time, at the option of the Company, or by the application (either at the option of the Company or pursuant to the requirements of the Mortgage) of cash delivered to or deposited with the Trustee pursuant to the provisions of Section 39, Section 55, Section 61, Section 64 or Section 118 of the Mortgage or with the Proceeds of Released Property (as defined in said Thirteenth Supplemental Indenture), in any such case at 100% of the principal amount to be so redeemed, plus accrued interest</w:t>
      </w:r>
    </w:p>
    <w:p>
      <w:pPr>
        <w:sectPr>
          <w:pgSz w:w="11900" w:h="16838" w:orient="portrait"/>
          <w:cols w:equalWidth="0" w:num="1">
            <w:col w:w="11420"/>
          </w:cols>
          <w:pgMar w:left="240" w:top="1440" w:right="239" w:bottom="1440" w:gutter="0" w:footer="0" w:header="0"/>
        </w:sectPr>
      </w:pPr>
    </w:p>
    <w:bookmarkStart w:id="84" w:name="page85"/>
    <w:bookmarkEnd w:id="84"/>
    <w:p>
      <w:pPr>
        <w:jc w:val="both"/>
        <w:spacing w:after="0" w:line="223" w:lineRule="exact"/>
        <w:rPr>
          <w:sz w:val="20"/>
          <w:szCs w:val="20"/>
          <w:color w:val="auto"/>
        </w:rPr>
      </w:pPr>
      <w:r>
        <w:rPr>
          <w:rFonts w:ascii="Arial" w:cs="Arial" w:eastAsia="Arial" w:hAnsi="Arial"/>
          <w:sz w:val="18"/>
          <w:szCs w:val="18"/>
          <w:color w:val="auto"/>
        </w:rPr>
        <w:t>thereon to the redemption date together with a premium equal to the Make</w:t>
      </w:r>
      <w:r>
        <w:rPr>
          <w:rFonts w:ascii="MS PGothic" w:cs="MS PGothic" w:eastAsia="MS PGothic" w:hAnsi="MS PGothic"/>
          <w:sz w:val="18"/>
          <w:szCs w:val="18"/>
          <w:color w:val="auto"/>
        </w:rPr>
        <w:t>‑</w:t>
      </w:r>
      <w:r>
        <w:rPr>
          <w:rFonts w:ascii="Arial" w:cs="Arial" w:eastAsia="Arial" w:hAnsi="Arial"/>
          <w:sz w:val="18"/>
          <w:szCs w:val="18"/>
          <w:color w:val="auto"/>
        </w:rPr>
        <w:t>Whole Amount (as defined in said Thirteenth Supplemental Indenture), if any, with respect to the Bonds of the Twelfth Series, being redeemed.</w:t>
      </w:r>
    </w:p>
    <w:p>
      <w:pPr>
        <w:spacing w:after="0" w:line="2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Notice of any redemption of the Bonds of the Twelfth Series shall be given by mail at least 30 days prior to the redemption date, all as more fully provided in said Thirteenth Supplemental Indenture and the Mortgage. Notice of redemption having been duly given, the Bonds of the Twelfth Series called for redemption shall become due and payable upon the redemption date, and if the redemption price shall have been deposited with the Trustee, interest thereon shall cease to accrue on and after the redemption date (unless such bonds shall have been properly presented for payment on, or within one year after, the redemption date and shall not have been paid) and on the redemption date or whenever thereafter the redemption price thereof shall have been deposited with the Trustee such bonds shall no longer be entitled to the lien of the Mortgage.</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principal hereof may be declared or may become due prior to the maturity date hereinbefore named on the conditions, in the manner and at the time set forth in the Mortgage, upon the occurrence of a default as in the Mortgage provided.</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bond is transferable as prescribed in the Mortgage by the registered owner hereof in person, or by its duly authorized attorney, at the office or agency of the Company in the City of St. Paul, Minnesota or the office of the Company in Superior, Wisconsin upon surrender hereof for cancellation, together with a written instrument of transfer in form approved by the Company duly executed by the registered owner hereof or by its duly authorized attorney, and thereupon a new fully registered bond or bonds of the same series for a like principal amount will be issued to the transferee in exchange herefor as provided in the Mortgage. This bond may, at the option of the registered owner hereof and upon surrender hereof for cancellation at such office or agency, be exchanged as prescribed in the Mortgage for other registered bonds of the same series of other authorized denominations having a like aggregate principal amount. No charge will be made by the Company for any transfer or exchange of this bond or, in case this bond shall be lost, destroyed or mutilated, the issuance, authentication and delivery of a new bond in substitution hereof. The Company and the Trustee may deem and treat the person in whose name this bond is registered as the absolute owner hereof for the purpose of receiving payment and for all other purposes and neither the Company nor the Trustee shall be affected by any notice to the contrary.</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provided in the Mortgage, the Company shall not be required to make transfers or exchanges of bonds of any series for a period of ten (10) days next preceding any interest payment date for bonds of said series, or next preceding any designation of bonds of said series to be redeemed, and the Company shall not be required to make transfers or exchanges of any bonds designated in whole or in part for redemption.</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recourse shall be had for the payment of the principal of or interest on this bond against any incorporator or any past, present or future subscriber to the capital stock, stockholder, officer, or director of the Company or of any predecessor or successor corporation, as such, either directly or through the Company or any predecessor of successor corporation, under any rule of law, statute, or constitution or by the enforcement of any assessment or otherwise, all such liability of incorporators, subscribers, stockholders, officers, and directors being released by the holder or owner hereof by the acceptance of this bond and being likewise waived and released by the terms of the Mortgage.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bond shall not become obligatory until U.S. Bank National Association, the Trustee under the Mortgage, or its successor thereunder, shall have signed the form of authentication certificate endorsed hereon.</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WITNESS WHEREOF, SUPERIOR WATER, LIGHT AND POWER COMPANY has caused this bond to be signed in its corporate name by its President or one of its Vice-Presidents and its Treasurer and its corporate seal to be impressed or imprinted hereon and attested by its Secretary or one of its</w:t>
      </w:r>
    </w:p>
    <w:p>
      <w:pPr>
        <w:spacing w:after="0"/>
        <w:tabs>
          <w:tab w:leader="none" w:pos="2300" w:val="left"/>
        </w:tabs>
        <w:rPr>
          <w:sz w:val="20"/>
          <w:szCs w:val="20"/>
          <w:color w:val="auto"/>
        </w:rPr>
      </w:pPr>
      <w:r>
        <w:rPr>
          <w:rFonts w:ascii="Arial" w:cs="Arial" w:eastAsia="Arial" w:hAnsi="Arial"/>
          <w:sz w:val="18"/>
          <w:szCs w:val="18"/>
          <w:color w:val="auto"/>
        </w:rPr>
        <w:t>Assistant Secretaries on</w:t>
      </w:r>
      <w:r>
        <w:rPr>
          <w:sz w:val="20"/>
          <w:szCs w:val="20"/>
          <w:color w:val="auto"/>
        </w:rPr>
        <w:tab/>
      </w:r>
      <w:r>
        <w:rPr>
          <w:rFonts w:ascii="Arial" w:cs="Arial" w:eastAsia="Arial" w:hAnsi="Arial"/>
          <w:sz w:val="15"/>
          <w:szCs w:val="15"/>
          <w:color w:val="auto"/>
        </w:rPr>
        <w:t>, 20____.</w:t>
      </w:r>
    </w:p>
    <w:p>
      <w:pPr>
        <w:sectPr>
          <w:pgSz w:w="11900" w:h="16838" w:orient="portrait"/>
          <w:cols w:equalWidth="0" w:num="1">
            <w:col w:w="11420"/>
          </w:cols>
          <w:pgMar w:left="240" w:top="827" w:right="239" w:bottom="1440" w:gutter="0" w:footer="0" w:header="0"/>
        </w:sectPr>
      </w:pPr>
    </w:p>
    <w:bookmarkStart w:id="85" w:name="page86"/>
    <w:bookmarkEnd w:id="85"/>
    <w:p>
      <w:pPr>
        <w:ind w:left="4200"/>
        <w:spacing w:after="0"/>
        <w:rPr>
          <w:sz w:val="20"/>
          <w:szCs w:val="20"/>
          <w:color w:val="auto"/>
        </w:rPr>
      </w:pPr>
      <w:r>
        <w:rPr>
          <w:rFonts w:ascii="Arial" w:cs="Arial" w:eastAsia="Arial" w:hAnsi="Arial"/>
          <w:sz w:val="16"/>
          <w:szCs w:val="16"/>
          <w:color w:val="auto"/>
        </w:rPr>
        <w:t>SUPERIOR WATER, LIGHT AND POWER</w:t>
      </w:r>
    </w:p>
    <w:p>
      <w:pPr>
        <w:spacing w:after="0" w:line="4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By _________________________________</w:t>
      </w:r>
    </w:p>
    <w:p>
      <w:pPr>
        <w:spacing w:after="0" w:line="4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Deborah A. Amberg</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By _________________________________</w:t>
      </w:r>
    </w:p>
    <w:p>
      <w:pPr>
        <w:spacing w:after="0" w:line="4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Paul M. Holt</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Janet A. Blake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219"/>
          </w:cols>
          <w:pgMar w:left="240" w:top="800" w:right="1440" w:bottom="1440" w:gutter="0" w:footer="0" w:header="0"/>
        </w:sectPr>
      </w:pPr>
    </w:p>
    <w:bookmarkStart w:id="86" w:name="page87"/>
    <w:bookmarkEnd w:id="86"/>
    <w:p>
      <w:pPr>
        <w:ind w:left="3220"/>
        <w:spacing w:after="0"/>
        <w:rPr>
          <w:sz w:val="20"/>
          <w:szCs w:val="20"/>
          <w:color w:val="auto"/>
        </w:rPr>
      </w:pPr>
      <w:r>
        <w:rPr>
          <w:rFonts w:ascii="Arial" w:cs="Arial" w:eastAsia="Arial" w:hAnsi="Arial"/>
          <w:sz w:val="18"/>
          <w:szCs w:val="18"/>
          <w:b w:val="1"/>
          <w:bCs w:val="1"/>
          <w:color w:val="auto"/>
        </w:rPr>
        <w:t>[FORM OF TRUSTEE'S AUTHENTICATION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bond is one of the bonds, of the series herein designated, described or provided for in the within-mentioned Mortgage.</w:t>
      </w:r>
    </w:p>
    <w:p>
      <w:pPr>
        <w:spacing w:after="0" w:line="200" w:lineRule="exact"/>
        <w:rPr>
          <w:sz w:val="20"/>
          <w:szCs w:val="20"/>
          <w:color w:val="auto"/>
        </w:rPr>
      </w:pPr>
    </w:p>
    <w:p>
      <w:pPr>
        <w:spacing w:after="0" w:line="26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 _________________________________</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Authorized Officer</w:t>
      </w:r>
    </w:p>
    <w:p>
      <w:pPr>
        <w:sectPr>
          <w:pgSz w:w="11900" w:h="16838" w:orient="portrait"/>
          <w:cols w:equalWidth="0" w:num="1">
            <w:col w:w="10219"/>
          </w:cols>
          <w:pgMar w:left="240" w:top="1013"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IRREVOCABLE BOND POWER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SUPERIOR WATER, LIGHT AND POWER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MORTGAGE BOND</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_______% SERIES DUE ______________</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___________________________________ do___ hereby sell, assign and transfer unto _________________________</w:t>
      </w:r>
    </w:p>
    <w:p>
      <w:pPr>
        <w:spacing w:after="0" w:line="46" w:lineRule="exact"/>
        <w:rPr>
          <w:sz w:val="20"/>
          <w:szCs w:val="20"/>
          <w:color w:val="auto"/>
        </w:rPr>
      </w:pPr>
    </w:p>
    <w:p>
      <w:pPr>
        <w:spacing w:after="0"/>
        <w:tabs>
          <w:tab w:leader="none" w:pos="400" w:val="left"/>
          <w:tab w:leader="none" w:pos="880" w:val="left"/>
          <w:tab w:leader="none" w:pos="1720" w:val="left"/>
          <w:tab w:leader="none" w:pos="2320" w:val="left"/>
          <w:tab w:leader="none" w:pos="2980" w:val="left"/>
          <w:tab w:leader="none" w:pos="3560" w:val="left"/>
          <w:tab w:leader="none" w:pos="3980" w:val="left"/>
          <w:tab w:leader="none" w:pos="5560" w:val="left"/>
          <w:tab w:leader="none" w:pos="5860" w:val="left"/>
          <w:tab w:leader="none" w:pos="6620" w:val="left"/>
          <w:tab w:leader="none" w:pos="7240" w:val="left"/>
          <w:tab w:leader="none" w:pos="7780" w:val="left"/>
          <w:tab w:leader="none" w:pos="8200" w:val="left"/>
          <w:tab w:leader="none" w:pos="8800" w:val="left"/>
          <w:tab w:leader="none" w:pos="9660" w:val="left"/>
          <w:tab w:leader="none" w:pos="10080" w:val="left"/>
          <w:tab w:leader="none" w:pos="11180" w:val="left"/>
        </w:tabs>
        <w:rPr>
          <w:sz w:val="20"/>
          <w:szCs w:val="20"/>
          <w:color w:val="auto"/>
        </w:rPr>
      </w:pPr>
      <w:r>
        <w:rPr>
          <w:rFonts w:ascii="Arial" w:cs="Arial" w:eastAsia="Arial" w:hAnsi="Arial"/>
          <w:sz w:val="18"/>
          <w:szCs w:val="18"/>
          <w:color w:val="auto"/>
        </w:rPr>
        <w:t>one</w:t>
        <w:tab/>
        <w:t>First</w:t>
        <w:tab/>
        <w:t>Mortgage</w:t>
        <w:tab/>
        <w:t>Bond,</w:t>
        <w:tab/>
        <w:t>____%</w:t>
        <w:tab/>
        <w:t>Series</w:t>
        <w:tab/>
        <w:t>due</w:t>
        <w:tab/>
        <w:t>________________</w:t>
        <w:tab/>
        <w:t>of</w:t>
        <w:tab/>
        <w:t>Superior</w:t>
        <w:tab/>
        <w:t>Water,</w:t>
        <w:tab/>
        <w:t>Light</w:t>
        <w:tab/>
        <w:t>and</w:t>
        <w:tab/>
        <w:t>Power</w:t>
        <w:tab/>
        <w:t>Company</w:t>
        <w:tab/>
        <w:t>(the</w:t>
      </w:r>
      <w:r>
        <w:rPr>
          <w:sz w:val="20"/>
          <w:szCs w:val="20"/>
          <w:color w:val="auto"/>
        </w:rPr>
        <w:tab/>
      </w:r>
      <w:r>
        <w:rPr>
          <w:rFonts w:ascii="Arial" w:cs="Arial" w:eastAsia="Arial" w:hAnsi="Arial"/>
          <w:sz w:val="18"/>
          <w:szCs w:val="18"/>
          <w:i w:val="1"/>
          <w:iCs w:val="1"/>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 dollars ($____________), No. ________, standing in __________________ name __________ on the books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and do___ hereby irrevocably constitute and appoint __________________________________ attorney to transfer the said bond on the books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with full power of substitution in the premises.</w:t>
      </w:r>
    </w:p>
    <w:p>
      <w:pPr>
        <w:spacing w:after="0" w:line="238" w:lineRule="exact"/>
        <w:rPr>
          <w:sz w:val="20"/>
          <w:szCs w:val="20"/>
          <w:color w:val="auto"/>
        </w:rPr>
      </w:pPr>
    </w:p>
    <w:p>
      <w:pPr>
        <w:ind w:left="660"/>
        <w:spacing w:after="0"/>
        <w:tabs>
          <w:tab w:leader="none" w:pos="980" w:val="left"/>
          <w:tab w:leader="none" w:pos="1900" w:val="left"/>
          <w:tab w:leader="none" w:pos="2940" w:val="left"/>
          <w:tab w:leader="none" w:pos="5340" w:val="left"/>
          <w:tab w:leader="none" w:pos="5920" w:val="left"/>
          <w:tab w:leader="none" w:pos="6700" w:val="left"/>
          <w:tab w:leader="none" w:pos="7040" w:val="left"/>
          <w:tab w:leader="none" w:pos="7540" w:val="left"/>
          <w:tab w:leader="none" w:pos="8040" w:val="left"/>
          <w:tab w:leader="none" w:pos="9180" w:val="left"/>
          <w:tab w:leader="none" w:pos="9640" w:val="left"/>
          <w:tab w:leader="none" w:pos="10060" w:val="left"/>
          <w:tab w:leader="none" w:pos="11260" w:val="left"/>
        </w:tabs>
        <w:rPr>
          <w:sz w:val="20"/>
          <w:szCs w:val="20"/>
          <w:color w:val="auto"/>
        </w:rPr>
      </w:pPr>
      <w:r>
        <w:rPr>
          <w:rFonts w:ascii="Arial" w:cs="Arial" w:eastAsia="Arial" w:hAnsi="Arial"/>
          <w:sz w:val="18"/>
          <w:szCs w:val="18"/>
          <w:color w:val="auto"/>
        </w:rPr>
        <w:t>IN</w:t>
        <w:tab/>
        <w:t>WITNESS</w:t>
        <w:tab/>
        <w:t>WHEREOF,</w:t>
        <w:tab/>
        <w:t>_________________________</w:t>
        <w:tab/>
        <w:t>ha___</w:t>
        <w:tab/>
        <w:t>hereunto</w:t>
        <w:tab/>
        <w:t>set</w:t>
        <w:tab/>
        <w:t>____</w:t>
        <w:tab/>
        <w:t>hand</w:t>
        <w:tab/>
        <w:t>___________</w:t>
        <w:tab/>
        <w:t>[and</w:t>
        <w:tab/>
        <w:t>seal</w:t>
        <w:tab/>
        <w:t>___________]</w:t>
      </w:r>
      <w:r>
        <w:rPr>
          <w:sz w:val="20"/>
          <w:szCs w:val="20"/>
          <w:color w:val="auto"/>
        </w:rPr>
        <w:tab/>
      </w:r>
      <w:r>
        <w:rPr>
          <w:rFonts w:ascii="Arial" w:cs="Arial" w:eastAsia="Arial" w:hAnsi="Arial"/>
          <w:sz w:val="14"/>
          <w:szCs w:val="14"/>
          <w:color w:val="auto"/>
        </w:rPr>
        <w:t>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 this ____ day of ___________________, 20_____.</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color w:val="auto"/>
                <w:w w:val="89"/>
              </w:rPr>
              <w:t>______________________________</w:t>
            </w:r>
          </w:p>
        </w:tc>
        <w:tc>
          <w:tcPr>
            <w:tcW w:w="1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w w:val="91"/>
              </w:rPr>
              <w:t>______________________________ [SEAL]</w:t>
            </w:r>
          </w:p>
        </w:tc>
        <w:tc>
          <w:tcPr>
            <w:tcW w:w="0" w:type="dxa"/>
            <w:vAlign w:val="bottom"/>
          </w:tcPr>
          <w:p>
            <w:pPr>
              <w:spacing w:after="0"/>
              <w:rPr>
                <w:sz w:val="1"/>
                <w:szCs w:val="1"/>
                <w:color w:val="auto"/>
              </w:rPr>
            </w:pPr>
          </w:p>
        </w:tc>
      </w:tr>
      <w:tr>
        <w:trPr>
          <w:trHeight w:val="20"/>
        </w:trPr>
        <w:tc>
          <w:tcPr>
            <w:tcW w:w="27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700" w:type="dxa"/>
            <w:vAlign w:val="bottom"/>
            <w:gridSpan w:val="2"/>
          </w:tcPr>
          <w:p>
            <w:pPr>
              <w:spacing w:after="0"/>
              <w:rPr>
                <w:sz w:val="20"/>
                <w:szCs w:val="20"/>
                <w:color w:val="auto"/>
              </w:rPr>
            </w:pPr>
            <w:r>
              <w:rPr>
                <w:rFonts w:ascii="Arial" w:cs="Arial" w:eastAsia="Arial" w:hAnsi="Arial"/>
                <w:sz w:val="18"/>
                <w:szCs w:val="18"/>
                <w:color w:val="auto"/>
                <w:w w:val="89"/>
              </w:rPr>
              <w:t>______________________________</w:t>
            </w:r>
          </w:p>
        </w:tc>
        <w:tc>
          <w:tcPr>
            <w:tcW w:w="1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w w:val="91"/>
              </w:rPr>
              <w:t>______________________________ [SEAL]</w:t>
            </w:r>
          </w:p>
        </w:tc>
        <w:tc>
          <w:tcPr>
            <w:tcW w:w="0" w:type="dxa"/>
            <w:vAlign w:val="bottom"/>
          </w:tcPr>
          <w:p>
            <w:pPr>
              <w:spacing w:after="0"/>
              <w:rPr>
                <w:sz w:val="1"/>
                <w:szCs w:val="1"/>
                <w:color w:val="auto"/>
              </w:rPr>
            </w:pPr>
          </w:p>
        </w:tc>
      </w:tr>
      <w:tr>
        <w:trPr>
          <w:trHeight w:val="669"/>
        </w:trPr>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STATE OF ________________</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700" w:type="dxa"/>
            <w:vAlign w:val="bottom"/>
            <w:tcBorders>
              <w:top w:val="single" w:sz="8" w:color="auto"/>
            </w:tcBorders>
            <w:vMerge w:val="restart"/>
          </w:tcPr>
          <w:p>
            <w:pPr>
              <w:ind w:left="1660"/>
              <w:spacing w:after="0"/>
              <w:rPr>
                <w:sz w:val="20"/>
                <w:szCs w:val="20"/>
                <w:color w:val="auto"/>
              </w:rPr>
            </w:pPr>
            <w:r>
              <w:rPr>
                <w:rFonts w:ascii="Arial" w:cs="Arial" w:eastAsia="Arial" w:hAnsi="Arial"/>
                <w:sz w:val="18"/>
                <w:szCs w:val="18"/>
                <w:color w:val="auto"/>
              </w:rPr>
              <w:t>) SS.</w:t>
            </w:r>
          </w:p>
        </w:tc>
        <w:tc>
          <w:tcPr>
            <w:tcW w:w="6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0" w:type="dxa"/>
            <w:vAlign w:val="bottom"/>
            <w:vMerge w:val="restart"/>
          </w:tcPr>
          <w:p>
            <w:pPr>
              <w:spacing w:after="0"/>
              <w:rPr>
                <w:sz w:val="20"/>
                <w:szCs w:val="20"/>
                <w:color w:val="auto"/>
              </w:rPr>
            </w:pPr>
            <w:r>
              <w:rPr>
                <w:rFonts w:ascii="Arial" w:cs="Arial" w:eastAsia="Arial" w:hAnsi="Arial"/>
                <w:sz w:val="18"/>
                <w:szCs w:val="18"/>
                <w:color w:val="auto"/>
                <w:w w:val="94"/>
              </w:rPr>
              <w:t>COUNTY OF ______________</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tabs>
          <w:tab w:leader="none" w:pos="900" w:val="left"/>
          <w:tab w:leader="none" w:pos="3720" w:val="left"/>
          <w:tab w:leader="none" w:pos="3940" w:val="left"/>
          <w:tab w:leader="none" w:pos="4560" w:val="left"/>
          <w:tab w:leader="none" w:pos="5180" w:val="left"/>
          <w:tab w:leader="none" w:pos="5480" w:val="left"/>
          <w:tab w:leader="none" w:pos="5900" w:val="left"/>
          <w:tab w:leader="none" w:pos="6260" w:val="left"/>
          <w:tab w:leader="none" w:pos="6700" w:val="left"/>
          <w:tab w:leader="none" w:pos="7420" w:val="left"/>
          <w:tab w:leader="none" w:pos="7720" w:val="left"/>
          <w:tab w:leader="none" w:pos="8100" w:val="left"/>
          <w:tab w:leader="none" w:pos="8620" w:val="left"/>
          <w:tab w:leader="none" w:pos="9480" w:val="left"/>
          <w:tab w:leader="none" w:pos="9820" w:val="left"/>
          <w:tab w:leader="none" w:pos="10460" w:val="left"/>
          <w:tab w:leader="none" w:pos="111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_____________________________,</w:t>
      </w:r>
      <w:r>
        <w:rPr>
          <w:sz w:val="20"/>
          <w:szCs w:val="20"/>
          <w:color w:val="auto"/>
        </w:rPr>
        <w:tab/>
      </w:r>
      <w:r>
        <w:rPr>
          <w:rFonts w:ascii="Arial" w:cs="Arial" w:eastAsia="Arial" w:hAnsi="Arial"/>
          <w:sz w:val="18"/>
          <w:szCs w:val="18"/>
          <w:color w:val="auto"/>
        </w:rPr>
        <w:t>a</w:t>
        <w:tab/>
        <w:t>notary</w:t>
        <w:tab/>
        <w:t>public</w:t>
        <w:tab/>
        <w:t>in</w:t>
        <w:tab/>
        <w:t>and</w:t>
        <w:tab/>
        <w:t>for</w:t>
        <w:tab/>
        <w:t>said</w:t>
        <w:tab/>
        <w:t>County,</w:t>
        <w:tab/>
        <w:t>in</w:t>
        <w:tab/>
        <w:t>the</w:t>
        <w:tab/>
        <w:t>State</w:t>
        <w:tab/>
        <w:t>aforesaid,</w:t>
        <w:tab/>
        <w:t>do</w:t>
        <w:tab/>
        <w:t>hereby</w:t>
        <w:tab/>
        <w:t>certify,</w:t>
      </w:r>
      <w:r>
        <w:rPr>
          <w:sz w:val="20"/>
          <w:szCs w:val="20"/>
          <w:color w:val="auto"/>
        </w:rPr>
        <w:tab/>
      </w:r>
      <w:r>
        <w:rPr>
          <w:rFonts w:ascii="Arial" w:cs="Arial" w:eastAsia="Arial" w:hAnsi="Arial"/>
          <w:sz w:val="16"/>
          <w:szCs w:val="16"/>
          <w:color w:val="auto"/>
        </w:rPr>
        <w:t>that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who _____ personally known to me to be the same person__ whose name__ _____ subscribed to the foregoing instrument, appeared before me this day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and acknowledged that ___________________________ signed, sealed and delivered the said instrument as _______ free and voluntary act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 and purposes therein set forth.</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official seal this ____ day of _______________, 20_____.</w:t>
      </w:r>
    </w:p>
    <w:p>
      <w:pPr>
        <w:spacing w:after="0" w:line="200" w:lineRule="exact"/>
        <w:rPr>
          <w:sz w:val="20"/>
          <w:szCs w:val="20"/>
          <w:color w:val="auto"/>
        </w:rPr>
      </w:pPr>
    </w:p>
    <w:p>
      <w:pPr>
        <w:spacing w:after="0" w:line="24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My Commission Expires _______________</w:t>
      </w:r>
    </w:p>
    <w:p>
      <w:pPr>
        <w:sectPr>
          <w:pgSz w:w="11900" w:h="16838" w:orient="portrait"/>
          <w:cols w:equalWidth="0" w:num="1">
            <w:col w:w="11420"/>
          </w:cols>
          <w:pgMar w:left="240" w:top="1013"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June 30, 2018,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2, 2018</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2, 2018</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91" w:name="page92"/>
    <w:bookmarkEnd w:id="91"/>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For the quarter ended June 30, 2018, BNI Energy, owner of Center Mine, received one citation under Section 104(a) of the Mine Safety Act, which was not a significant and substantial (S&amp;S) citation; two citations were received for the six months ended June 30, 2018. The total proposed penalty has not yet been assessed with respect to the citation received during the quarter ended June 30, 2018. For the quarter and six months ended June 30, 2018, BNI Energy paid $208 in penalties for citations closed during the period. For the quarter and six months ended June 30, 2018,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702" w:right="219" w:bottom="1440" w:gutter="0" w:footer="0" w:header="0"/>
        </w:sectPr>
      </w:pPr>
    </w:p>
    <w:bookmarkStart w:id="92" w:name="page93"/>
    <w:bookmarkEnd w:id="92"/>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00"/>
          </w:cols>
          <w:pgMar w:left="240" w:top="845" w:right="25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-95250</wp:posOffset>
            </wp:positionV>
            <wp:extent cx="1758315" cy="823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58315" cy="823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August 2, 2018</w:t>
      </w:r>
    </w:p>
    <w:p>
      <w:pPr>
        <w:spacing w:after="0" w:line="96" w:lineRule="exact"/>
        <w:rPr>
          <w:sz w:val="20"/>
          <w:szCs w:val="20"/>
          <w:color w:val="auto"/>
        </w:rPr>
      </w:pPr>
    </w:p>
    <w:p>
      <w:pPr>
        <w:sectPr>
          <w:pgSz w:w="11900" w:h="16838" w:orient="portrait"/>
          <w:cols w:equalWidth="0" w:num="2">
            <w:col w:w="7940" w:space="720"/>
            <w:col w:w="2740"/>
          </w:cols>
          <w:pgMar w:left="240" w:top="845" w:right="25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Vince Meyer</w:t>
      </w:r>
    </w:p>
    <w:p>
      <w:pPr>
        <w:spacing w:after="0" w:line="98" w:lineRule="exact"/>
        <w:rPr>
          <w:sz w:val="20"/>
          <w:szCs w:val="20"/>
          <w:color w:val="auto"/>
        </w:rPr>
      </w:pPr>
    </w:p>
    <w:p>
      <w:pPr>
        <w:sectPr>
          <w:pgSz w:w="11900" w:h="16838" w:orient="portrait"/>
          <w:cols w:equalWidth="0" w:num="2">
            <w:col w:w="8000" w:space="660"/>
            <w:col w:w="2740"/>
          </w:cols>
          <w:pgMar w:left="240" w:top="845" w:right="25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vmeyer@allete.com</w:t>
      </w:r>
    </w:p>
    <w:p>
      <w:pPr>
        <w:sectPr>
          <w:pgSz w:w="11900" w:h="16838" w:orient="portrait"/>
          <w:cols w:equalWidth="0" w:num="1">
            <w:col w:w="11400"/>
          </w:cols>
          <w:pgMar w:left="240" w:top="84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ALLETE, Inc. reports second quarter 2018 earnings; reaffirms earnings guidance</w:t>
      </w:r>
    </w:p>
    <w:p>
      <w:pPr>
        <w:spacing w:after="0" w:line="26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DULUTH, Minn. - ALLETE, Inc. (NYSE: ALE) today reported second quarter 2018 earnings of 61 cents per share on net income of $31.3 million and operating revenue of $344.1 million. Last year’s results were 72 cents per share on net income of $36.9 million and operating revenue of $353.3 million.</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“Financial results from ALLETE’s businesses reflect strong power demand from taconite customers, impacts from Minnesota Power's recent rate case and notable progress from ALLETE Clean Energy on its wind turbine refurbishment strategy," said ALLETE Chairman, President and CEO Al Hodnik. "Setting aside year over year timing differentials, ALLETE posted a solid quarter and we remain confident in our full year 2018 earnings guidance range of $3.20 to $3.50 per share. We are well positioned for growth as our diverse family of businesses captures value in a growing domestic economy, and our nation focuses on sustainable energy and water solutions.”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and the Company’s investment in the American Transmission Co. (ATC), recorded net income of $26.0 million for the second quarter of 2018, a decrease of $6.4 million from 2017. Earnings decreased primarily due to lower net income at Minnesota Power resulting from the timing of reserves for an interim rate refund of $5.6 million after-tax, the timing of approval for financial incentives under the Minnesota conservation improvement program of $3.9 million after-tax, and lower transmission revenue. These decreases were partially offset by higher sales to residential, commercial and municipal customers due to more favorable weather conditions, and lower operating and maintenance expense.</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ALLETE’s Energy Infrastructure and Related Services businesses, which include ALLETE Clean Energy and U.S. Water Services, recorded net income of $6.8 million and $0.2 million for the second quarter of 2018, respectively. Earnings at ALLETE Clean Energy increased $3.0 million from 2017. Net income in 2018 included $3.9 million after-tax of additional production tax credits generated as ALLETE Clean Energy executes on its refurbishment strategy and a lower federal income tax rate, partially offset by higher operating and maintenance expenses and lower revenue resulting from lower wind resources compared to the same period in 2017. Earnings from U.S. Water Services reflect higher operating expenses, partially offset by higher revenue primarily from the September 2017 acquisition of Tonka Water. Results this period were also negatively impacted by the timing of capital project sales.</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Interested parties may listen live by calling (877) 303-5852, or by accessing the webcast at www.allete.com. A replay of the call will be available through August 6, 2018 by calling (855) 859-2056, pass code 9699879. The webcast will be accessible for one year at </w:t>
      </w:r>
      <w:r>
        <w:rPr>
          <w:rFonts w:ascii="Arial" w:cs="Arial" w:eastAsia="Arial" w:hAnsi="Arial"/>
          <w:sz w:val="17"/>
          <w:szCs w:val="17"/>
          <w:u w:val="single" w:color="auto"/>
          <w:color w:val="130EFF"/>
        </w:rPr>
        <w:t>www.allete.com</w:t>
      </w:r>
      <w:r>
        <w:rPr>
          <w:rFonts w:ascii="Arial" w:cs="Arial" w:eastAsia="Arial" w:hAnsi="Arial"/>
          <w:sz w:val="17"/>
          <w:szCs w:val="17"/>
          <w:color w:val="auto"/>
        </w:rPr>
        <w:t>.</w:t>
      </w:r>
    </w:p>
    <w:p>
      <w:pPr>
        <w:spacing w:after="0" w:line="16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ALLETE Clean Energy, based in Duluth, BNI Energy in Bismarck, N.D., U.S. Water Services headquartered in St. Michael, Minn.,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i w:val="1"/>
          <w:iCs w:val="1"/>
          <w:color w:val="auto"/>
        </w:rPr>
        <w:t>ALE-CORP</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ectPr>
          <w:pgSz w:w="11900" w:h="16838" w:orient="portrait"/>
          <w:cols w:equalWidth="0" w:num="1">
            <w:col w:w="11400"/>
          </w:cols>
          <w:pgMar w:left="240" w:top="845" w:right="259" w:bottom="1440" w:gutter="0" w:footer="0" w:header="0"/>
          <w:type w:val="continuous"/>
        </w:sectPr>
      </w:pPr>
    </w:p>
    <w:bookmarkStart w:id="93" w:name="page94"/>
    <w:bookmarkEnd w:id="93"/>
    <w:p>
      <w:pPr>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881" w:right="29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7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19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320" w:type="dxa"/>
            <w:vAlign w:val="bottom"/>
          </w:tcPr>
          <w:p>
            <w:pPr>
              <w:spacing w:after="0"/>
              <w:rPr>
                <w:sz w:val="23"/>
                <w:szCs w:val="23"/>
                <w:color w:val="auto"/>
              </w:rPr>
            </w:pP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5320" w:type="dxa"/>
            <w:vAlign w:val="bottom"/>
          </w:tcPr>
          <w:p>
            <w:pPr>
              <w:spacing w:after="0"/>
              <w:rPr>
                <w:sz w:val="23"/>
                <w:szCs w:val="23"/>
                <w:color w:val="auto"/>
              </w:rPr>
            </w:pPr>
          </w:p>
        </w:tc>
        <w:tc>
          <w:tcPr>
            <w:tcW w:w="28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2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2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Contracts with Customers – Utility</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$257.8</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$264.9</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$528.0</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$546.5</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Contracts with Customers – Non-utility</w:t>
            </w:r>
          </w:p>
        </w:tc>
        <w:tc>
          <w:tcPr>
            <w:tcW w:w="2860" w:type="dxa"/>
            <w:vAlign w:val="bottom"/>
          </w:tcPr>
          <w:p>
            <w:pPr>
              <w:jc w:val="right"/>
              <w:ind w:right="370"/>
              <w:spacing w:after="0"/>
              <w:rPr>
                <w:sz w:val="20"/>
                <w:szCs w:val="20"/>
                <w:color w:val="auto"/>
              </w:rPr>
            </w:pPr>
            <w:r>
              <w:rPr>
                <w:rFonts w:ascii="Arial" w:cs="Arial" w:eastAsia="Arial" w:hAnsi="Arial"/>
                <w:sz w:val="18"/>
                <w:szCs w:val="18"/>
                <w:color w:val="auto"/>
              </w:rPr>
              <w:t>80.4</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82.5</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162.4</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160.6</w:t>
            </w: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 Non-utility</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5.9</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11.9</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r>
      <w:tr>
        <w:trPr>
          <w:trHeight w:val="237"/>
        </w:trPr>
        <w:tc>
          <w:tcPr>
            <w:tcW w:w="53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Operating Revenue</w:t>
            </w:r>
          </w:p>
        </w:tc>
        <w:tc>
          <w:tcPr>
            <w:tcW w:w="28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344.1</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353.3</w:t>
            </w:r>
          </w:p>
        </w:tc>
        <w:tc>
          <w:tcPr>
            <w:tcW w:w="12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702.3</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718.9</w:t>
            </w:r>
          </w:p>
        </w:tc>
      </w:tr>
      <w:tr>
        <w:trPr>
          <w:trHeight w:val="27"/>
        </w:trPr>
        <w:tc>
          <w:tcPr>
            <w:tcW w:w="5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860" w:type="dxa"/>
            <w:vAlign w:val="bottom"/>
          </w:tcPr>
          <w:p>
            <w:pPr>
              <w:jc w:val="right"/>
              <w:ind w:right="370"/>
              <w:spacing w:after="0"/>
              <w:rPr>
                <w:sz w:val="20"/>
                <w:szCs w:val="20"/>
                <w:color w:val="auto"/>
              </w:rPr>
            </w:pPr>
            <w:r>
              <w:rPr>
                <w:rFonts w:ascii="Arial" w:cs="Arial" w:eastAsia="Arial" w:hAnsi="Arial"/>
                <w:sz w:val="18"/>
                <w:szCs w:val="18"/>
                <w:color w:val="auto"/>
              </w:rPr>
              <w:t>96.5</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93.1</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197.4</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189.7</w:t>
            </w: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Transmission Services – Utility</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16.8</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17.6</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35.2</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Cost of Sales – Non-utility</w:t>
            </w:r>
          </w:p>
        </w:tc>
        <w:tc>
          <w:tcPr>
            <w:tcW w:w="2860" w:type="dxa"/>
            <w:vAlign w:val="bottom"/>
          </w:tcPr>
          <w:p>
            <w:pPr>
              <w:jc w:val="right"/>
              <w:ind w:right="370"/>
              <w:spacing w:after="0"/>
              <w:rPr>
                <w:sz w:val="20"/>
                <w:szCs w:val="20"/>
                <w:color w:val="auto"/>
              </w:rPr>
            </w:pPr>
            <w:r>
              <w:rPr>
                <w:rFonts w:ascii="Arial" w:cs="Arial" w:eastAsia="Arial" w:hAnsi="Arial"/>
                <w:sz w:val="18"/>
                <w:szCs w:val="18"/>
                <w:color w:val="auto"/>
              </w:rPr>
              <w:t>37.0</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38.4</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69.9</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69.9</w:t>
            </w: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86.8</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85.9</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173.3</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170.3</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60" w:type="dxa"/>
            <w:vAlign w:val="bottom"/>
          </w:tcPr>
          <w:p>
            <w:pPr>
              <w:jc w:val="right"/>
              <w:ind w:right="370"/>
              <w:spacing w:after="0"/>
              <w:rPr>
                <w:sz w:val="20"/>
                <w:szCs w:val="20"/>
                <w:color w:val="auto"/>
              </w:rPr>
            </w:pPr>
            <w:r>
              <w:rPr>
                <w:rFonts w:ascii="Arial" w:cs="Arial" w:eastAsia="Arial" w:hAnsi="Arial"/>
                <w:sz w:val="18"/>
                <w:szCs w:val="18"/>
                <w:color w:val="auto"/>
              </w:rPr>
              <w:t>56.1</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50.1</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101.9</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100.6</w:t>
            </w: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Taxes Other than Income Taxes</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14.4</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14.2</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30.7</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r>
      <w:tr>
        <w:trPr>
          <w:trHeight w:val="237"/>
        </w:trPr>
        <w:tc>
          <w:tcPr>
            <w:tcW w:w="53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28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307.6</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299.3</w:t>
            </w:r>
          </w:p>
        </w:tc>
        <w:tc>
          <w:tcPr>
            <w:tcW w:w="12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608.4</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593.3</w:t>
            </w:r>
          </w:p>
        </w:tc>
      </w:tr>
      <w:tr>
        <w:trPr>
          <w:trHeight w:val="27"/>
        </w:trPr>
        <w:tc>
          <w:tcPr>
            <w:tcW w:w="5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36.5</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54.0</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93.9</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w:t>
            </w:r>
          </w:p>
        </w:tc>
      </w:tr>
      <w:tr>
        <w:trPr>
          <w:trHeight w:val="237"/>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(17.1)</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(16.7)</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Equity Earnings in ATC</w:t>
            </w:r>
          </w:p>
        </w:tc>
        <w:tc>
          <w:tcPr>
            <w:tcW w:w="2860" w:type="dxa"/>
            <w:vAlign w:val="bottom"/>
          </w:tcPr>
          <w:p>
            <w:pPr>
              <w:jc w:val="right"/>
              <w:ind w:right="370"/>
              <w:spacing w:after="0"/>
              <w:rPr>
                <w:sz w:val="20"/>
                <w:szCs w:val="20"/>
                <w:color w:val="auto"/>
              </w:rPr>
            </w:pPr>
            <w:r>
              <w:rPr>
                <w:rFonts w:ascii="Arial" w:cs="Arial" w:eastAsia="Arial" w:hAnsi="Arial"/>
                <w:sz w:val="18"/>
                <w:szCs w:val="18"/>
                <w:color w:val="auto"/>
              </w:rPr>
              <w:t>4.3</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5.3</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9.0</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4.3</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37"/>
        </w:trPr>
        <w:tc>
          <w:tcPr>
            <w:tcW w:w="53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28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(10.6)</w:t>
            </w: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(9.8)</w:t>
            </w:r>
          </w:p>
        </w:tc>
        <w:tc>
          <w:tcPr>
            <w:tcW w:w="1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(20.7)</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5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25.9</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44.2</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73.2</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860" w:type="dxa"/>
            <w:vAlign w:val="bottom"/>
          </w:tcPr>
          <w:p>
            <w:pPr>
              <w:jc w:val="right"/>
              <w:ind w:right="310"/>
              <w:spacing w:after="0"/>
              <w:rPr>
                <w:sz w:val="20"/>
                <w:szCs w:val="20"/>
                <w:color w:val="auto"/>
              </w:rPr>
            </w:pPr>
            <w:r>
              <w:rPr>
                <w:rFonts w:ascii="Arial" w:cs="Arial" w:eastAsia="Arial" w:hAnsi="Arial"/>
                <w:sz w:val="18"/>
                <w:szCs w:val="18"/>
                <w:color w:val="auto"/>
              </w:rPr>
              <w:t>(5.4)</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7.3</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(9.1)</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20.4</w:t>
            </w:r>
          </w:p>
        </w:tc>
      </w:tr>
      <w:tr>
        <w:trPr>
          <w:trHeight w:val="27"/>
        </w:trPr>
        <w:tc>
          <w:tcPr>
            <w:tcW w:w="5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$31.3</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$36.9</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$82.3</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r>
      <w:tr>
        <w:trPr>
          <w:trHeight w:val="237"/>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8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51.3</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50.9</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51.2</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860" w:type="dxa"/>
            <w:vAlign w:val="bottom"/>
          </w:tcPr>
          <w:p>
            <w:pPr>
              <w:jc w:val="right"/>
              <w:ind w:right="370"/>
              <w:spacing w:after="0"/>
              <w:rPr>
                <w:sz w:val="20"/>
                <w:szCs w:val="20"/>
                <w:color w:val="auto"/>
              </w:rPr>
            </w:pPr>
            <w:r>
              <w:rPr>
                <w:rFonts w:ascii="Arial" w:cs="Arial" w:eastAsia="Arial" w:hAnsi="Arial"/>
                <w:sz w:val="18"/>
                <w:szCs w:val="18"/>
                <w:color w:val="auto"/>
              </w:rPr>
              <w:t>51.5</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51.1</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51.4</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50.7</w:t>
            </w:r>
          </w:p>
        </w:tc>
      </w:tr>
      <w:tr>
        <w:trPr>
          <w:trHeight w:val="27"/>
        </w:trPr>
        <w:tc>
          <w:tcPr>
            <w:tcW w:w="5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$0.61</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$0.73</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$1.61</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860" w:type="dxa"/>
            <w:vAlign w:val="bottom"/>
          </w:tcPr>
          <w:p>
            <w:pPr>
              <w:jc w:val="right"/>
              <w:ind w:right="370"/>
              <w:spacing w:after="0"/>
              <w:rPr>
                <w:sz w:val="20"/>
                <w:szCs w:val="20"/>
                <w:color w:val="auto"/>
              </w:rPr>
            </w:pPr>
            <w:r>
              <w:rPr>
                <w:rFonts w:ascii="Arial" w:cs="Arial" w:eastAsia="Arial" w:hAnsi="Arial"/>
                <w:sz w:val="18"/>
                <w:szCs w:val="18"/>
                <w:color w:val="auto"/>
              </w:rPr>
              <w:t>$0.61</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$0.72</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$1.60</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$1.69</w:t>
            </w: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$0.56</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$0.535</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$1.12</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r>
      <w:tr>
        <w:trPr>
          <w:trHeight w:val="20"/>
        </w:trPr>
        <w:tc>
          <w:tcPr>
            <w:tcW w:w="532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Jun.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40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Jun.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200" w:type="dxa"/>
            <w:vAlign w:val="bottom"/>
          </w:tcPr>
          <w:p>
            <w:pPr>
              <w:spacing w:after="0"/>
              <w:rPr>
                <w:sz w:val="23"/>
                <w:szCs w:val="23"/>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4020" w:type="dxa"/>
            <w:vAlign w:val="bottom"/>
          </w:tcPr>
          <w:p>
            <w:pPr>
              <w:spacing w:after="0"/>
              <w:rPr>
                <w:sz w:val="23"/>
                <w:szCs w:val="23"/>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r>
      <w:tr>
        <w:trPr>
          <w:trHeight w:val="27"/>
        </w:trPr>
        <w:tc>
          <w:tcPr>
            <w:tcW w:w="3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320" w:type="dxa"/>
            <w:vAlign w:val="bottom"/>
          </w:tcPr>
          <w:p>
            <w:pPr>
              <w:jc w:val="right"/>
              <w:spacing w:after="0"/>
              <w:rPr>
                <w:sz w:val="20"/>
                <w:szCs w:val="20"/>
                <w:color w:val="auto"/>
              </w:rPr>
            </w:pPr>
            <w:r>
              <w:rPr>
                <w:rFonts w:ascii="Arial" w:cs="Arial" w:eastAsia="Arial" w:hAnsi="Arial"/>
                <w:sz w:val="18"/>
                <w:szCs w:val="18"/>
                <w:color w:val="auto"/>
              </w:rPr>
              <w:t>302.1</w:t>
            </w:r>
          </w:p>
        </w:tc>
        <w:tc>
          <w:tcPr>
            <w:tcW w:w="920" w:type="dxa"/>
            <w:vAlign w:val="bottom"/>
          </w:tcPr>
          <w:p>
            <w:pPr>
              <w:jc w:val="right"/>
              <w:spacing w:after="0"/>
              <w:rPr>
                <w:sz w:val="20"/>
                <w:szCs w:val="20"/>
                <w:color w:val="auto"/>
              </w:rPr>
            </w:pPr>
            <w:r>
              <w:rPr>
                <w:rFonts w:ascii="Arial" w:cs="Arial" w:eastAsia="Arial" w:hAnsi="Arial"/>
                <w:sz w:val="18"/>
                <w:szCs w:val="18"/>
                <w:color w:val="auto"/>
              </w:rPr>
              <w:t>268.6</w:t>
            </w:r>
          </w:p>
        </w:tc>
        <w:tc>
          <w:tcPr>
            <w:tcW w:w="402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1,462.2</w:t>
            </w:r>
          </w:p>
        </w:tc>
        <w:tc>
          <w:tcPr>
            <w:tcW w:w="840" w:type="dxa"/>
            <w:vAlign w:val="bottom"/>
          </w:tcPr>
          <w:p>
            <w:pPr>
              <w:jc w:val="right"/>
              <w:spacing w:after="0"/>
              <w:rPr>
                <w:sz w:val="20"/>
                <w:szCs w:val="20"/>
                <w:color w:val="auto"/>
              </w:rPr>
            </w:pPr>
            <w:r>
              <w:rPr>
                <w:rFonts w:ascii="Arial" w:cs="Arial" w:eastAsia="Arial" w:hAnsi="Arial"/>
                <w:sz w:val="18"/>
                <w:szCs w:val="18"/>
                <w:color w:val="auto"/>
              </w:rPr>
              <w:t>1,439.2</w:t>
            </w:r>
          </w:p>
        </w:tc>
      </w:tr>
      <w:tr>
        <w:trPr>
          <w:trHeight w:val="27"/>
        </w:trPr>
        <w:tc>
          <w:tcPr>
            <w:tcW w:w="3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3,822.4</w:t>
            </w:r>
          </w:p>
        </w:tc>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320" w:type="dxa"/>
            <w:vAlign w:val="bottom"/>
          </w:tcPr>
          <w:p>
            <w:pPr>
              <w:jc w:val="right"/>
              <w:spacing w:after="0"/>
              <w:rPr>
                <w:sz w:val="20"/>
                <w:szCs w:val="20"/>
                <w:color w:val="auto"/>
              </w:rPr>
            </w:pPr>
            <w:r>
              <w:rPr>
                <w:rFonts w:ascii="Arial" w:cs="Arial" w:eastAsia="Arial" w:hAnsi="Arial"/>
                <w:sz w:val="18"/>
                <w:szCs w:val="18"/>
                <w:color w:val="auto"/>
              </w:rPr>
              <w:t>374.5</w:t>
            </w:r>
          </w:p>
        </w:tc>
        <w:tc>
          <w:tcPr>
            <w:tcW w:w="920" w:type="dxa"/>
            <w:vAlign w:val="bottom"/>
          </w:tcPr>
          <w:p>
            <w:pPr>
              <w:jc w:val="right"/>
              <w:spacing w:after="0"/>
              <w:rPr>
                <w:sz w:val="20"/>
                <w:szCs w:val="20"/>
                <w:color w:val="auto"/>
              </w:rPr>
            </w:pPr>
            <w:r>
              <w:rPr>
                <w:rFonts w:ascii="Arial" w:cs="Arial" w:eastAsia="Arial" w:hAnsi="Arial"/>
                <w:sz w:val="18"/>
                <w:szCs w:val="18"/>
                <w:color w:val="auto"/>
              </w:rPr>
              <w:t>384.7</w:t>
            </w:r>
          </w:p>
        </w:tc>
        <w:tc>
          <w:tcPr>
            <w:tcW w:w="4020" w:type="dxa"/>
            <w:vAlign w:val="bottom"/>
          </w:tcPr>
          <w:p>
            <w:pPr>
              <w:ind w:left="100"/>
              <w:spacing w:after="0"/>
              <w:rPr>
                <w:sz w:val="20"/>
                <w:szCs w:val="20"/>
                <w:color w:val="auto"/>
              </w:rPr>
            </w:pPr>
            <w:r>
              <w:rPr>
                <w:rFonts w:ascii="Arial" w:cs="Arial" w:eastAsia="Arial" w:hAnsi="Arial"/>
                <w:sz w:val="18"/>
                <w:szCs w:val="18"/>
                <w:color w:val="auto"/>
              </w:rPr>
              <w:t>Regulatory Liabilities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516.0</w:t>
            </w:r>
          </w:p>
        </w:tc>
        <w:tc>
          <w:tcPr>
            <w:tcW w:w="840" w:type="dxa"/>
            <w:vAlign w:val="bottom"/>
          </w:tcPr>
          <w:p>
            <w:pPr>
              <w:jc w:val="right"/>
              <w:spacing w:after="0"/>
              <w:rPr>
                <w:sz w:val="20"/>
                <w:szCs w:val="20"/>
                <w:color w:val="auto"/>
              </w:rPr>
            </w:pPr>
            <w:r>
              <w:rPr>
                <w:rFonts w:ascii="Arial" w:cs="Arial" w:eastAsia="Arial" w:hAnsi="Arial"/>
                <w:sz w:val="18"/>
                <w:szCs w:val="18"/>
                <w:color w:val="auto"/>
              </w:rPr>
              <w:t>532.0</w:t>
            </w:r>
          </w:p>
        </w:tc>
      </w:tr>
      <w:tr>
        <w:trPr>
          <w:trHeight w:val="27"/>
        </w:trPr>
        <w:tc>
          <w:tcPr>
            <w:tcW w:w="3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Defined Benefit Pension and Other Postretirement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r>
      <w:tr>
        <w:trPr>
          <w:trHeight w:val="189"/>
        </w:trPr>
        <w:tc>
          <w:tcPr>
            <w:tcW w:w="3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Benefit Plans</w:t>
            </w: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320" w:type="dxa"/>
            <w:vAlign w:val="bottom"/>
          </w:tcPr>
          <w:p>
            <w:pPr>
              <w:jc w:val="right"/>
              <w:spacing w:after="0"/>
              <w:rPr>
                <w:sz w:val="20"/>
                <w:szCs w:val="20"/>
                <w:color w:val="auto"/>
              </w:rPr>
            </w:pPr>
            <w:r>
              <w:rPr>
                <w:rFonts w:ascii="Arial" w:cs="Arial" w:eastAsia="Arial" w:hAnsi="Arial"/>
                <w:sz w:val="18"/>
                <w:szCs w:val="18"/>
                <w:color w:val="auto"/>
              </w:rPr>
              <w:t>52.5</w:t>
            </w:r>
          </w:p>
        </w:tc>
        <w:tc>
          <w:tcPr>
            <w:tcW w:w="920" w:type="dxa"/>
            <w:vAlign w:val="bottom"/>
          </w:tcPr>
          <w:p>
            <w:pPr>
              <w:jc w:val="right"/>
              <w:spacing w:after="0"/>
              <w:rPr>
                <w:sz w:val="20"/>
                <w:szCs w:val="20"/>
                <w:color w:val="auto"/>
              </w:rPr>
            </w:pPr>
            <w:r>
              <w:rPr>
                <w:rFonts w:ascii="Arial" w:cs="Arial" w:eastAsia="Arial" w:hAnsi="Arial"/>
                <w:sz w:val="18"/>
                <w:szCs w:val="18"/>
                <w:color w:val="auto"/>
              </w:rPr>
              <w:t>53.1</w:t>
            </w:r>
          </w:p>
        </w:tc>
        <w:tc>
          <w:tcPr>
            <w:tcW w:w="402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274.4</w:t>
            </w:r>
          </w:p>
        </w:tc>
        <w:tc>
          <w:tcPr>
            <w:tcW w:w="840" w:type="dxa"/>
            <w:vAlign w:val="bottom"/>
          </w:tcPr>
          <w:p>
            <w:pPr>
              <w:jc w:val="right"/>
              <w:spacing w:after="0"/>
              <w:rPr>
                <w:sz w:val="20"/>
                <w:szCs w:val="20"/>
                <w:color w:val="auto"/>
              </w:rPr>
            </w:pPr>
            <w:r>
              <w:rPr>
                <w:rFonts w:ascii="Arial" w:cs="Arial" w:eastAsia="Arial" w:hAnsi="Arial"/>
                <w:sz w:val="18"/>
                <w:szCs w:val="18"/>
                <w:color w:val="auto"/>
              </w:rPr>
              <w:t>267.1</w:t>
            </w:r>
          </w:p>
        </w:tc>
      </w:tr>
      <w:tr>
        <w:trPr>
          <w:trHeight w:val="27"/>
        </w:trPr>
        <w:tc>
          <w:tcPr>
            <w:tcW w:w="3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320" w:type="dxa"/>
            <w:vAlign w:val="bottom"/>
          </w:tcPr>
          <w:p>
            <w:pPr>
              <w:jc w:val="right"/>
              <w:spacing w:after="0"/>
              <w:rPr>
                <w:sz w:val="20"/>
                <w:szCs w:val="20"/>
                <w:color w:val="auto"/>
              </w:rPr>
            </w:pPr>
            <w:r>
              <w:rPr>
                <w:rFonts w:ascii="Arial" w:cs="Arial" w:eastAsia="Arial" w:hAnsi="Arial"/>
                <w:sz w:val="18"/>
                <w:szCs w:val="18"/>
                <w:color w:val="auto"/>
              </w:rPr>
              <w:t>105.0</w:t>
            </w:r>
          </w:p>
        </w:tc>
        <w:tc>
          <w:tcPr>
            <w:tcW w:w="920" w:type="dxa"/>
            <w:vAlign w:val="bottom"/>
          </w:tcPr>
          <w:p>
            <w:pPr>
              <w:jc w:val="right"/>
              <w:spacing w:after="0"/>
              <w:rPr>
                <w:sz w:val="20"/>
                <w:szCs w:val="20"/>
                <w:color w:val="auto"/>
              </w:rPr>
            </w:pPr>
            <w:r>
              <w:rPr>
                <w:rFonts w:ascii="Arial" w:cs="Arial" w:eastAsia="Arial" w:hAnsi="Arial"/>
                <w:sz w:val="18"/>
                <w:szCs w:val="18"/>
                <w:color w:val="auto"/>
              </w:rPr>
              <w:t>107.7</w:t>
            </w:r>
          </w:p>
        </w:tc>
        <w:tc>
          <w:tcPr>
            <w:tcW w:w="4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 and Shareholders’ Equity</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$5,114.7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$5,080.0</w:t>
            </w:r>
          </w:p>
        </w:tc>
      </w:tr>
      <w:tr>
        <w:trPr>
          <w:trHeight w:val="20"/>
        </w:trPr>
        <w:tc>
          <w:tcPr>
            <w:tcW w:w="3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340" w:type="dxa"/>
            <w:vAlign w:val="bottom"/>
          </w:tcPr>
          <w:p>
            <w:pPr>
              <w:spacing w:after="0"/>
              <w:rPr>
                <w:sz w:val="20"/>
                <w:szCs w:val="20"/>
                <w:color w:val="auto"/>
              </w:rPr>
            </w:pPr>
          </w:p>
        </w:tc>
        <w:tc>
          <w:tcPr>
            <w:tcW w:w="312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36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340" w:type="dxa"/>
            <w:vAlign w:val="bottom"/>
          </w:tcPr>
          <w:p>
            <w:pPr>
              <w:spacing w:after="0"/>
              <w:rPr>
                <w:sz w:val="23"/>
                <w:szCs w:val="23"/>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20" w:type="dxa"/>
            <w:vAlign w:val="bottom"/>
          </w:tcPr>
          <w:p>
            <w:pPr>
              <w:spacing w:after="0"/>
              <w:rPr>
                <w:sz w:val="23"/>
                <w:szCs w:val="23"/>
                <w:color w:val="auto"/>
              </w:rPr>
            </w:pP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36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2018</w:t>
            </w:r>
          </w:p>
        </w:tc>
        <w:tc>
          <w:tcPr>
            <w:tcW w:w="1340" w:type="dxa"/>
            <w:vAlign w:val="bottom"/>
          </w:tcPr>
          <w:p>
            <w:pPr>
              <w:jc w:val="right"/>
              <w:ind w:right="850"/>
              <w:spacing w:after="0"/>
              <w:rPr>
                <w:sz w:val="20"/>
                <w:szCs w:val="20"/>
                <w:color w:val="auto"/>
              </w:rPr>
            </w:pPr>
            <w:r>
              <w:rPr>
                <w:rFonts w:ascii="Arial" w:cs="Arial" w:eastAsia="Arial" w:hAnsi="Arial"/>
                <w:sz w:val="18"/>
                <w:szCs w:val="18"/>
                <w:b w:val="1"/>
                <w:bCs w:val="1"/>
                <w:color w:val="auto"/>
                <w:w w:val="94"/>
              </w:rPr>
              <w:t>2017</w:t>
            </w:r>
          </w:p>
        </w:tc>
        <w:tc>
          <w:tcPr>
            <w:tcW w:w="190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27"/>
        </w:trPr>
        <w:tc>
          <w:tcPr>
            <w:tcW w:w="4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Millions</w:t>
            </w:r>
          </w:p>
        </w:tc>
        <w:tc>
          <w:tcPr>
            <w:tcW w:w="2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36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$26.0</w:t>
            </w:r>
          </w:p>
        </w:tc>
        <w:tc>
          <w:tcPr>
            <w:tcW w:w="13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$32.4</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$69.9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$75.9</w:t>
            </w:r>
          </w:p>
        </w:tc>
      </w:tr>
      <w:tr>
        <w:trPr>
          <w:trHeight w:val="216"/>
        </w:trPr>
        <w:tc>
          <w:tcPr>
            <w:tcW w:w="4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6.8</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14.9</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10.5</w:t>
            </w: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3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0.6</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(1.2)</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r>
      <w:tr>
        <w:trPr>
          <w:trHeight w:val="216"/>
        </w:trPr>
        <w:tc>
          <w:tcPr>
            <w:tcW w:w="4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5"/>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3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(1.7)</w:t>
            </w:r>
          </w:p>
        </w:tc>
        <w:tc>
          <w:tcPr>
            <w:tcW w:w="13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(0.8)</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236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$31.3</w:t>
            </w:r>
          </w:p>
        </w:tc>
        <w:tc>
          <w:tcPr>
            <w:tcW w:w="13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$36.9</w:t>
            </w:r>
          </w:p>
        </w:tc>
        <w:tc>
          <w:tcPr>
            <w:tcW w:w="1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$82.3</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$85.9</w:t>
            </w:r>
          </w:p>
        </w:tc>
      </w:tr>
      <w:tr>
        <w:trPr>
          <w:trHeight w:val="27"/>
        </w:trPr>
        <w:tc>
          <w:tcPr>
            <w:tcW w:w="4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36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$0.61</w:t>
            </w:r>
          </w:p>
        </w:tc>
        <w:tc>
          <w:tcPr>
            <w:tcW w:w="13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$0.72</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$1.60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$1.69</w:t>
            </w:r>
          </w:p>
        </w:tc>
      </w:tr>
      <w:tr>
        <w:trPr>
          <w:trHeight w:val="588"/>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High</w:t>
            </w:r>
          </w:p>
        </w:tc>
        <w:tc>
          <w:tcPr>
            <w:tcW w:w="2360" w:type="dxa"/>
            <w:vAlign w:val="bottom"/>
          </w:tcPr>
          <w:p>
            <w:pPr>
              <w:jc w:val="right"/>
              <w:ind w:right="510"/>
              <w:spacing w:after="0"/>
              <w:rPr>
                <w:sz w:val="20"/>
                <w:szCs w:val="20"/>
                <w:color w:val="auto"/>
              </w:rPr>
            </w:pPr>
            <w:r>
              <w:rPr>
                <w:rFonts w:ascii="Arial" w:cs="Arial" w:eastAsia="Arial" w:hAnsi="Arial"/>
                <w:sz w:val="18"/>
                <w:szCs w:val="18"/>
                <w:color w:val="auto"/>
              </w:rPr>
              <w:t>$79.86</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$74.59</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$79.86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$74.59</w:t>
            </w: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$70.40</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$66.81</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$66.64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$61.64</w:t>
            </w: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Close</w:t>
            </w:r>
          </w:p>
        </w:tc>
        <w:tc>
          <w:tcPr>
            <w:tcW w:w="2360" w:type="dxa"/>
            <w:vAlign w:val="bottom"/>
          </w:tcPr>
          <w:p>
            <w:pPr>
              <w:jc w:val="right"/>
              <w:ind w:right="510"/>
              <w:spacing w:after="0"/>
              <w:rPr>
                <w:sz w:val="20"/>
                <w:szCs w:val="20"/>
                <w:color w:val="auto"/>
              </w:rPr>
            </w:pPr>
            <w:r>
              <w:rPr>
                <w:rFonts w:ascii="Arial" w:cs="Arial" w:eastAsia="Arial" w:hAnsi="Arial"/>
                <w:sz w:val="18"/>
                <w:szCs w:val="18"/>
                <w:color w:val="auto"/>
              </w:rPr>
              <w:t>$77.41</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$71.68</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$77.41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$71.68</w:t>
            </w: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$41.05</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$39.58</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$41.05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$39.58</w:t>
            </w:r>
          </w:p>
        </w:tc>
      </w:tr>
      <w:tr>
        <w:trPr>
          <w:trHeight w:val="588"/>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Millions</w:t>
            </w:r>
          </w:p>
        </w:tc>
        <w:tc>
          <w:tcPr>
            <w:tcW w:w="2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243</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229</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585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552</w:t>
            </w:r>
          </w:p>
        </w:tc>
      </w:tr>
      <w:tr>
        <w:trPr>
          <w:trHeight w:val="243"/>
        </w:trPr>
        <w:tc>
          <w:tcPr>
            <w:tcW w:w="460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360" w:type="dxa"/>
            <w:vAlign w:val="bottom"/>
          </w:tcPr>
          <w:p>
            <w:pPr>
              <w:jc w:val="right"/>
              <w:ind w:right="510"/>
              <w:spacing w:after="0"/>
              <w:rPr>
                <w:sz w:val="20"/>
                <w:szCs w:val="20"/>
                <w:color w:val="auto"/>
              </w:rPr>
            </w:pPr>
            <w:r>
              <w:rPr>
                <w:rFonts w:ascii="Arial" w:cs="Arial" w:eastAsia="Arial" w:hAnsi="Arial"/>
                <w:sz w:val="18"/>
                <w:szCs w:val="18"/>
                <w:color w:val="auto"/>
              </w:rPr>
              <w:t>339</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328</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706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697</w:t>
            </w: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2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1,781</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1,816</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3,624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3,578</w:t>
            </w:r>
          </w:p>
        </w:tc>
      </w:tr>
      <w:tr>
        <w:trPr>
          <w:trHeight w:val="243"/>
        </w:trPr>
        <w:tc>
          <w:tcPr>
            <w:tcW w:w="460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2360" w:type="dxa"/>
            <w:vAlign w:val="bottom"/>
          </w:tcPr>
          <w:p>
            <w:pPr>
              <w:jc w:val="right"/>
              <w:ind w:right="510"/>
              <w:spacing w:after="0"/>
              <w:rPr>
                <w:sz w:val="20"/>
                <w:szCs w:val="20"/>
                <w:color w:val="auto"/>
              </w:rPr>
            </w:pPr>
            <w:r>
              <w:rPr>
                <w:rFonts w:ascii="Arial" w:cs="Arial" w:eastAsia="Arial" w:hAnsi="Arial"/>
                <w:sz w:val="18"/>
                <w:szCs w:val="18"/>
                <w:color w:val="auto"/>
              </w:rPr>
              <w:t>188</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181</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407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396</w:t>
            </w:r>
          </w:p>
        </w:tc>
      </w:tr>
      <w:tr>
        <w:trPr>
          <w:trHeight w:val="27"/>
        </w:trPr>
        <w:tc>
          <w:tcPr>
            <w:tcW w:w="4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2,551</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2,554</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5,322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5,223</w:t>
            </w: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360" w:type="dxa"/>
            <w:vAlign w:val="bottom"/>
          </w:tcPr>
          <w:p>
            <w:pPr>
              <w:jc w:val="right"/>
              <w:ind w:right="510"/>
              <w:spacing w:after="0"/>
              <w:rPr>
                <w:sz w:val="20"/>
                <w:szCs w:val="20"/>
                <w:color w:val="auto"/>
              </w:rPr>
            </w:pPr>
            <w:r>
              <w:rPr>
                <w:rFonts w:ascii="Arial" w:cs="Arial" w:eastAsia="Arial" w:hAnsi="Arial"/>
                <w:sz w:val="18"/>
                <w:szCs w:val="18"/>
                <w:color w:val="auto"/>
              </w:rPr>
              <w:t>1,005</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1,004</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2,008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2,045</w:t>
            </w:r>
          </w:p>
        </w:tc>
      </w:tr>
      <w:tr>
        <w:trPr>
          <w:trHeight w:val="27"/>
        </w:trPr>
        <w:tc>
          <w:tcPr>
            <w:tcW w:w="4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2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3,556</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3,558</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7,330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7,268</w:t>
            </w:r>
          </w:p>
        </w:tc>
      </w:tr>
      <w:tr>
        <w:trPr>
          <w:trHeight w:val="588"/>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Millions</w:t>
            </w:r>
          </w:p>
        </w:tc>
        <w:tc>
          <w:tcPr>
            <w:tcW w:w="2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Retail and Municipal Electric Revenue</w:t>
            </w:r>
          </w:p>
        </w:tc>
        <w:tc>
          <w:tcPr>
            <w:tcW w:w="2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$28.0</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$25.1</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$63.5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$59.8</w:t>
            </w:r>
          </w:p>
        </w:tc>
      </w:tr>
      <w:tr>
        <w:trPr>
          <w:trHeight w:val="243"/>
        </w:trPr>
        <w:tc>
          <w:tcPr>
            <w:tcW w:w="460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360" w:type="dxa"/>
            <w:vAlign w:val="bottom"/>
          </w:tcPr>
          <w:p>
            <w:pPr>
              <w:jc w:val="right"/>
              <w:ind w:right="510"/>
              <w:spacing w:after="0"/>
              <w:rPr>
                <w:sz w:val="20"/>
                <w:szCs w:val="20"/>
                <w:color w:val="auto"/>
              </w:rPr>
            </w:pPr>
            <w:r>
              <w:rPr>
                <w:rFonts w:ascii="Arial" w:cs="Arial" w:eastAsia="Arial" w:hAnsi="Arial"/>
                <w:sz w:val="18"/>
                <w:szCs w:val="18"/>
                <w:color w:val="auto"/>
              </w:rPr>
              <w:t>35.2</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32.4</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69.2</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68.4</w:t>
            </w: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2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114.7</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121.0</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228.0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241.5</w:t>
            </w:r>
          </w:p>
        </w:tc>
      </w:tr>
      <w:tr>
        <w:trPr>
          <w:trHeight w:val="243"/>
        </w:trPr>
        <w:tc>
          <w:tcPr>
            <w:tcW w:w="460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2360" w:type="dxa"/>
            <w:vAlign w:val="bottom"/>
          </w:tcPr>
          <w:p>
            <w:pPr>
              <w:jc w:val="right"/>
              <w:ind w:right="510"/>
              <w:spacing w:after="0"/>
              <w:rPr>
                <w:sz w:val="20"/>
                <w:szCs w:val="20"/>
                <w:color w:val="auto"/>
              </w:rPr>
            </w:pPr>
            <w:r>
              <w:rPr>
                <w:rFonts w:ascii="Arial" w:cs="Arial" w:eastAsia="Arial" w:hAnsi="Arial"/>
                <w:sz w:val="18"/>
                <w:szCs w:val="18"/>
                <w:color w:val="auto"/>
              </w:rPr>
              <w:t>13.7</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12.3</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27.7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30.5</w:t>
            </w:r>
          </w:p>
        </w:tc>
      </w:tr>
      <w:tr>
        <w:trPr>
          <w:trHeight w:val="27"/>
        </w:trPr>
        <w:tc>
          <w:tcPr>
            <w:tcW w:w="4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 Electric Revenue</w:t>
            </w:r>
          </w:p>
        </w:tc>
        <w:tc>
          <w:tcPr>
            <w:tcW w:w="2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191.6</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190.8</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388.4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400.2</w:t>
            </w: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360" w:type="dxa"/>
            <w:vAlign w:val="bottom"/>
          </w:tcPr>
          <w:p>
            <w:pPr>
              <w:jc w:val="right"/>
              <w:ind w:right="510"/>
              <w:spacing w:after="0"/>
              <w:rPr>
                <w:sz w:val="20"/>
                <w:szCs w:val="20"/>
                <w:color w:val="auto"/>
              </w:rPr>
            </w:pPr>
            <w:r>
              <w:rPr>
                <w:rFonts w:ascii="Arial" w:cs="Arial" w:eastAsia="Arial" w:hAnsi="Arial"/>
                <w:sz w:val="18"/>
                <w:szCs w:val="18"/>
                <w:color w:val="auto"/>
              </w:rPr>
              <w:t>42.7</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41.7</w:t>
            </w: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86.4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82.9</w:t>
            </w:r>
          </w:p>
        </w:tc>
      </w:tr>
      <w:tr>
        <w:trPr>
          <w:trHeight w:val="27"/>
        </w:trPr>
        <w:tc>
          <w:tcPr>
            <w:tcW w:w="4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(Includes Water and Gas Revenue)</w:t>
            </w:r>
          </w:p>
        </w:tc>
        <w:tc>
          <w:tcPr>
            <w:tcW w:w="2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23.5</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32.4</w:t>
            </w:r>
          </w:p>
        </w:tc>
        <w:tc>
          <w:tcPr>
            <w:tcW w:w="19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53.2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63.4</w:t>
            </w:r>
          </w:p>
        </w:tc>
      </w:tr>
      <w:tr>
        <w:trPr>
          <w:trHeight w:val="237"/>
        </w:trPr>
        <w:tc>
          <w:tcPr>
            <w:tcW w:w="46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3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$257.8</w:t>
            </w:r>
          </w:p>
        </w:tc>
        <w:tc>
          <w:tcPr>
            <w:tcW w:w="13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$264.9</w:t>
            </w:r>
          </w:p>
        </w:tc>
        <w:tc>
          <w:tcPr>
            <w:tcW w:w="19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$528.0</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$546.5</w:t>
            </w:r>
          </w:p>
        </w:tc>
      </w:tr>
      <w:tr>
        <w:trPr>
          <w:trHeight w:val="27"/>
        </w:trPr>
        <w:tc>
          <w:tcPr>
            <w:tcW w:w="4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4"/>
      <w:numFmt w:val="bullet"/>
      <w:start w:val="1"/>
    </w:lvl>
  </w:abstractNum>
  <w:abstractNum w:abstractNumId="22">
    <w:nsid w:val="2901D82"/>
    <w:multiLevelType w:val="hybridMultilevel"/>
    <w:lvl w:ilvl="0">
      <w:lvlJc w:val="left"/>
      <w:lvlText w:val="%1"/>
      <w:numFmt w:val="decimal"/>
      <w:start w:val="32"/>
    </w:lvl>
  </w:abstractNum>
  <w:abstractNum w:abstractNumId="23">
    <w:nsid w:val="3A95F874"/>
    <w:multiLevelType w:val="hybridMultilevel"/>
    <w:lvl w:ilvl="0">
      <w:lvlJc w:val="left"/>
      <w:lvlText w:val="%1"/>
      <w:numFmt w:val="decimal"/>
      <w:start w:val="99"/>
    </w:lvl>
  </w:abstractNum>
  <w:abstractNum w:abstractNumId="24">
    <w:nsid w:val="8138641"/>
    <w:multiLevelType w:val="hybridMultilevel"/>
    <w:lvl w:ilvl="0">
      <w:lvlJc w:val="left"/>
      <w:lvlText w:val="(%1)"/>
      <w:numFmt w:val="upperLetter"/>
      <w:start w:val="1"/>
    </w:lvl>
  </w:abstractNum>
  <w:abstractNum w:abstractNumId="25">
    <w:nsid w:val="1E7FF521"/>
    <w:multiLevelType w:val="hybridMultilevel"/>
    <w:lvl w:ilvl="0">
      <w:lvlJc w:val="left"/>
      <w:lvlText w:val="(%1)"/>
      <w:numFmt w:val="lowerLetter"/>
      <w:start w:val="2"/>
    </w:lvl>
    <w:lvl w:ilvl="1">
      <w:lvlJc w:val="left"/>
      <w:lvlText w:val="(%2)"/>
      <w:numFmt w:val="lowerRoman"/>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4"/>
    </w:lvl>
  </w:abstractNum>
  <w:abstractNum w:abstractNumId="28">
    <w:nsid w:val="6CEAF087"/>
    <w:multiLevelType w:val="hybridMultilevel"/>
    <w:lvl w:ilvl="0">
      <w:lvlJc w:val="left"/>
      <w:lvlText w:val="(%1)"/>
      <w:numFmt w:val="lowerRoman"/>
      <w:start w:val="1"/>
    </w:lvl>
  </w:abstractNum>
  <w:abstractNum w:abstractNumId="29">
    <w:nsid w:val="22221A70"/>
    <w:multiLevelType w:val="hybridMultilevel"/>
    <w:lvl w:ilvl="0">
      <w:lvlJc w:val="left"/>
      <w:lvlText w:val="(%1)"/>
      <w:numFmt w:val="lowerRoman"/>
      <w:start w:val="9"/>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2019-12-28T20:39:41Z</dcterms:created>
  <dcterms:modified xsi:type="dcterms:W3CDTF">2019-12-28T20:39:41Z</dcterms:modified>
</cp:coreProperties>
</file>