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2023 </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 to ______________</w:t>
            </w:r>
          </w:p>
        </w:tc>
      </w:tr>
    </w:tbl>
    <w:p>
      <w:pPr>
        <w:pStyle w:val="TextBody"/>
        <w:bidi w:val="0"/>
        <w:spacing w:lineRule="auto" w:line="288" w:before="0" w:after="10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1-3548</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ALLETE, Inc. </w:t>
      </w:r>
    </w:p>
    <w:p>
      <w:pPr>
        <w:pStyle w:val="TextBody"/>
        <w:bidi w:val="0"/>
        <w:spacing w:lineRule="auto" w:line="288" w:before="0" w:after="10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187"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41-0418150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 West Superior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Duluth, Minnesota 55802-2093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(218) 279-5000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84" w:type="dxa"/>
        <w:jc w:val="center"/>
        <w:tblInd w:w="0" w:type="dxa"/>
        <w:tblLayout w:type="fixed"/>
        <w:tblCellMar>
          <w:top w:w="28" w:type="dxa"/>
          <w:left w:w="28" w:type="dxa"/>
          <w:bottom w:w="28" w:type="dxa"/>
          <w:right w:w="28" w:type="dxa"/>
        </w:tblCellMar>
      </w:tblPr>
      <w:tblGrid>
        <w:gridCol w:w="1081"/>
        <w:gridCol w:w="946"/>
        <w:gridCol w:w="958"/>
        <w:gridCol w:w="464"/>
        <w:gridCol w:w="464"/>
        <w:gridCol w:w="466"/>
        <w:gridCol w:w="1085"/>
        <w:gridCol w:w="1085"/>
        <w:gridCol w:w="1535"/>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without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Large Accelerated Filer    </w:t>
      </w:r>
      <w:r>
        <w:rPr>
          <w:color w:val="000000"/>
        </w:rPr>
        <w:t xml:space="preserve">☒             </w:t>
      </w:r>
      <w:r>
        <w:rPr>
          <w:rFonts w:ascii="Times New Roman;sans-serif" w:hAnsi="Times New Roman;sans-serif"/>
          <w:b w:val="false"/>
          <w:color w:val="000000"/>
          <w:sz w:val="20"/>
        </w:rPr>
        <w:t>Accelerated Filer    </w:t>
      </w:r>
      <w:r>
        <w:rPr>
          <w:color w:val="000000"/>
        </w:rPr>
        <w: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Non-Accelerated Filer    </w:t>
      </w:r>
      <w:r>
        <w:rPr>
          <w:color w:val="000000"/>
        </w:rPr>
        <w:t xml:space="preserve">☐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120"/>
        <w:jc w:val="both"/>
        <w:rPr/>
      </w:pPr>
      <w:r>
        <w:rPr>
          <w:color w:val="000000"/>
        </w:rPr>
        <w:t xml:space="preserve">                             </w:t>
      </w: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57,398,158 shares outstanding</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506" w:type="dxa"/>
        <w:jc w:val="left"/>
        <w:tblInd w:w="0" w:type="dxa"/>
        <w:tblLayout w:type="fixed"/>
        <w:tblCellMar>
          <w:top w:w="28" w:type="dxa"/>
          <w:left w:w="28" w:type="dxa"/>
          <w:bottom w:w="28" w:type="dxa"/>
          <w:right w:w="28" w:type="dxa"/>
        </w:tblCellMar>
      </w:tblPr>
      <w:tblGrid>
        <w:gridCol w:w="305"/>
        <w:gridCol w:w="269"/>
        <w:gridCol w:w="269"/>
        <w:gridCol w:w="309"/>
        <w:gridCol w:w="309"/>
        <w:gridCol w:w="309"/>
        <w:gridCol w:w="2397"/>
        <w:gridCol w:w="2397"/>
        <w:gridCol w:w="2570"/>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0">
              <w:r>
                <w:rPr>
                  <w:rStyle w:val="InternetLink"/>
                  <w:rFonts w:ascii="Times New Roman;sans-serif" w:hAnsi="Times New Roman;sans-serif"/>
                  <w:b w:val="false"/>
                  <w:color w:val="0000FF"/>
                  <w:sz w:val="20"/>
                  <w:u w:val="single"/>
                </w:rPr>
                <w:t>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0">
              <w:r>
                <w:rPr>
                  <w:rStyle w:val="InternetLink"/>
                  <w:rFonts w:ascii="Times New Roman;sans-serif" w:hAnsi="Times New Roman;sans-serif"/>
                  <w:b w:val="false"/>
                  <w:color w:val="0000FF"/>
                  <w:sz w:val="20"/>
                  <w:u w:val="single"/>
                </w:rPr>
                <w:t>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3">
              <w:r>
                <w:rPr>
                  <w:rStyle w:val="InternetLink"/>
                  <w:rFonts w:ascii="Times New Roman;sans-serif" w:hAnsi="Times New Roman;sans-serif"/>
                  <w:b w:val="false"/>
                  <w:color w:val="0000FF"/>
                  <w:sz w:val="20"/>
                  <w:u w:val="single"/>
                </w:rPr>
                <w:t>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3">
              <w:r>
                <w:rPr>
                  <w:rStyle w:val="InternetLink"/>
                  <w:rFonts w:ascii="Times New Roman;sans-serif" w:hAnsi="Times New Roman;sans-serif"/>
                  <w:b w:val="false"/>
                  <w:color w:val="0000FF"/>
                  <w:sz w:val="20"/>
                  <w:u w:val="single"/>
                </w:rPr>
                <w:t>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6">
              <w:r>
                <w:rPr>
                  <w:rStyle w:val="InternetLink"/>
                  <w:rFonts w:ascii="Times New Roman;sans-serif" w:hAnsi="Times New Roman;sans-serif"/>
                  <w:b w:val="false"/>
                  <w:color w:val="0000FF"/>
                  <w:sz w:val="20"/>
                  <w:u w:val="single"/>
                </w:rPr>
                <w:t>Part I.</w:t>
              </w:r>
            </w:hyperlink>
          </w:p>
        </w:tc>
        <w:tc>
          <w:tcPr>
            <w:tcW w:w="82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6">
              <w:r>
                <w:rPr>
                  <w:rStyle w:val="InternetLink"/>
                  <w:rFonts w:ascii="Times New Roman;sans-serif" w:hAnsi="Times New Roman;sans-serif"/>
                  <w:b w:val="false"/>
                  <w:color w:val="0000FF"/>
                  <w:sz w:val="20"/>
                  <w:u w:val="single"/>
                </w:rPr>
                <w:t>Financial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
              <w:r>
                <w:rPr>
                  <w:rStyle w:val="InternetLink"/>
                  <w:rFonts w:ascii="Times New Roman;sans-serif" w:hAnsi="Times New Roman;sans-serif"/>
                  <w:b w:val="false"/>
                  <w:color w:val="0000FF"/>
                  <w:sz w:val="20"/>
                  <w:u w:val="single"/>
                </w:rPr>
                <w:t>Consolidated Financial Statements -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9">
              <w:r>
                <w:rPr>
                  <w:rStyle w:val="InternetLink"/>
                  <w:rFonts w:ascii="Times New Roman;sans-serif" w:hAnsi="Times New Roman;sans-serif"/>
                  <w:b w:val="false"/>
                  <w:color w:val="0000FF"/>
                  <w:sz w:val="20"/>
                  <w:u w:val="single"/>
                </w:rPr>
                <w:t>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2">
              <w:r>
                <w:rPr>
                  <w:rStyle w:val="InternetLink"/>
                  <w:rFonts w:ascii="Times New Roman;sans-serif" w:hAnsi="Times New Roman;sans-serif"/>
                  <w:b w:val="false"/>
                  <w:color w:val="0000FF"/>
                  <w:sz w:val="20"/>
                  <w:u w:val="single"/>
                </w:rPr>
                <w:t>Consolidated Balance Sheet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2">
              <w:r>
                <w:rPr>
                  <w:rStyle w:val="InternetLink"/>
                  <w:rFonts w:ascii="Times New Roman;sans-serif" w:hAnsi="Times New Roman;sans-serif"/>
                  <w:b w:val="false"/>
                  <w:color w:val="0000FF"/>
                  <w:sz w:val="20"/>
                  <w:u w:val="single"/>
                </w:rPr>
                <w:t>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8">
              <w:r>
                <w:rPr>
                  <w:rStyle w:val="InternetLink"/>
                  <w:rFonts w:ascii="Times New Roman;sans-serif" w:hAnsi="Times New Roman;sans-serif"/>
                  <w:b w:val="false"/>
                  <w:color w:val="0000FF"/>
                  <w:sz w:val="20"/>
                  <w:u w:val="single"/>
                </w:rPr>
                <w:t>Consolidated Statement of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8">
              <w:r>
                <w:rPr>
                  <w:rStyle w:val="InternetLink"/>
                  <w:rFonts w:ascii="Times New Roman;sans-serif" w:hAnsi="Times New Roman;sans-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31">
              <w:r>
                <w:rPr>
                  <w:rStyle w:val="InternetLink"/>
                  <w:rFonts w:ascii="Times New Roman;sans-serif" w:hAnsi="Times New Roman;sans-serif"/>
                  <w:b w:val="false"/>
                  <w:color w:val="0000FF"/>
                  <w:sz w:val="20"/>
                  <w:u w:val="single"/>
                </w:rPr>
                <w:t>Consolidated Statement of Comprehensive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31">
              <w:r>
                <w:rPr>
                  <w:rStyle w:val="InternetLink"/>
                  <w:rFonts w:ascii="Times New Roman;sans-serif" w:hAnsi="Times New Roman;sans-serif"/>
                  <w:b w:val="false"/>
                  <w:color w:val="0000FF"/>
                  <w:sz w:val="20"/>
                  <w:u w:val="single"/>
                </w:rPr>
                <w:t>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37">
              <w:r>
                <w:rPr>
                  <w:rStyle w:val="InternetLink"/>
                  <w:rFonts w:ascii="Times New Roman;sans-serif" w:hAnsi="Times New Roman;sans-serif"/>
                  <w:b w:val="false"/>
                  <w:color w:val="0000FF"/>
                  <w:sz w:val="20"/>
                  <w:u w:val="single"/>
                </w:rPr>
                <w:t>Consolidated Statement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37">
              <w:r>
                <w:rPr>
                  <w:rStyle w:val="InternetLink"/>
                  <w:rFonts w:ascii="Times New Roman;sans-serif" w:hAnsi="Times New Roman;sans-serif"/>
                  <w:b w:val="false"/>
                  <w:color w:val="0000FF"/>
                  <w:sz w:val="20"/>
                  <w:u w:val="single"/>
                </w:rPr>
                <w:t>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40">
              <w:r>
                <w:rPr>
                  <w:rStyle w:val="InternetLink"/>
                  <w:rFonts w:ascii="Times New Roman;sans-serif" w:hAnsi="Times New Roman;sans-serif"/>
                  <w:b w:val="false"/>
                  <w:color w:val="0000FF"/>
                  <w:sz w:val="20"/>
                  <w:u w:val="single"/>
                </w:rPr>
                <w:t>Consolidated Statement of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40">
              <w:r>
                <w:rPr>
                  <w:rStyle w:val="InternetLink"/>
                  <w:rFonts w:ascii="Times New Roman;sans-serif" w:hAnsi="Times New Roman;sans-serif"/>
                  <w:b w:val="false"/>
                  <w:color w:val="0000FF"/>
                  <w:sz w:val="20"/>
                  <w:u w:val="single"/>
                </w:rPr>
                <w:t>10</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43">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43">
              <w:r>
                <w:rPr>
                  <w:rStyle w:val="InternetLink"/>
                  <w:rFonts w:ascii="Times New Roman;sans-serif" w:hAnsi="Times New Roman;sans-serif"/>
                  <w:b w:val="false"/>
                  <w:color w:val="0000FF"/>
                  <w:sz w:val="20"/>
                  <w:u w:val="single"/>
                </w:rPr>
                <w:t>11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46">
              <w:r>
                <w:rPr>
                  <w:rStyle w:val="InternetLink"/>
                  <w:rFonts w:ascii="Times New Roman;sans-serif" w:hAnsi="Times New Roman;sans-serif"/>
                  <w:b w:val="false"/>
                  <w:color w:val="0000FF"/>
                  <w:sz w:val="20"/>
                  <w:u w:val="single"/>
                </w:rPr>
                <w:t>Note 1. Operations and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46">
              <w:r>
                <w:rPr>
                  <w:rStyle w:val="InternetLink"/>
                  <w:rFonts w:ascii="Times New Roman;sans-serif" w:hAnsi="Times New Roman;sans-serif"/>
                  <w:b w:val="false"/>
                  <w:color w:val="0000FF"/>
                  <w:sz w:val="20"/>
                  <w:u w:val="single"/>
                </w:rPr>
                <w:t>11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52">
              <w:r>
                <w:rPr>
                  <w:rStyle w:val="InternetLink"/>
                  <w:rFonts w:ascii="Times New Roman;sans-serif" w:hAnsi="Times New Roman;sans-serif"/>
                  <w:b w:val="false"/>
                  <w:color w:val="0000FF"/>
                  <w:sz w:val="20"/>
                  <w:u w:val="single"/>
                </w:rPr>
                <w:t>Note 2.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52">
              <w:r>
                <w:rPr>
                  <w:rStyle w:val="InternetLink"/>
                  <w:rFonts w:ascii="Times New Roman;sans-serif" w:hAnsi="Times New Roman;sans-serif"/>
                  <w:b w:val="false"/>
                  <w:color w:val="0000FF"/>
                  <w:sz w:val="20"/>
                  <w:u w:val="single"/>
                </w:rPr>
                <w:t>14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58">
              <w:r>
                <w:rPr>
                  <w:rStyle w:val="InternetLink"/>
                  <w:rFonts w:ascii="Times New Roman;sans-serif" w:hAnsi="Times New Roman;sans-serif"/>
                  <w:b w:val="false"/>
                  <w:color w:val="0000FF"/>
                  <w:sz w:val="20"/>
                  <w:u w:val="single"/>
                </w:rPr>
                <w:t>Note 3. Equity Investments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58">
              <w:r>
                <w:rPr>
                  <w:rStyle w:val="InternetLink"/>
                  <w:rFonts w:ascii="Times New Roman;sans-serif" w:hAnsi="Times New Roman;sans-serif"/>
                  <w:b w:val="false"/>
                  <w:color w:val="0000FF"/>
                  <w:sz w:val="20"/>
                  <w:u w:val="single"/>
                </w:rPr>
                <w:t>16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61">
              <w:r>
                <w:rPr>
                  <w:rStyle w:val="InternetLink"/>
                  <w:rFonts w:ascii="Times New Roman;sans-serif" w:hAnsi="Times New Roman;sans-serif"/>
                  <w:b w:val="false"/>
                  <w:color w:val="0000FF"/>
                  <w:sz w:val="20"/>
                  <w:u w:val="single"/>
                </w:rPr>
                <w:t>Note 4. Fair Value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61">
              <w:r>
                <w:rPr>
                  <w:rStyle w:val="InternetLink"/>
                  <w:rFonts w:ascii="Times New Roman;sans-serif" w:hAnsi="Times New Roman;sans-serif"/>
                  <w:b w:val="false"/>
                  <w:color w:val="0000FF"/>
                  <w:sz w:val="20"/>
                  <w:u w:val="single"/>
                </w:rPr>
                <w:t>16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64">
              <w:r>
                <w:rPr>
                  <w:rStyle w:val="InternetLink"/>
                  <w:rFonts w:ascii="Times New Roman;sans-serif" w:hAnsi="Times New Roman;sans-serif"/>
                  <w:b w:val="false"/>
                  <w:color w:val="0000FF"/>
                  <w:sz w:val="20"/>
                  <w:u w:val="single"/>
                </w:rPr>
                <w:t>Note 5. Short-Term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64">
              <w:r>
                <w:rPr>
                  <w:rStyle w:val="InternetLink"/>
                  <w:rFonts w:ascii="Times New Roman;sans-serif" w:hAnsi="Times New Roman;sans-serif"/>
                  <w:b w:val="false"/>
                  <w:color w:val="0000FF"/>
                  <w:sz w:val="20"/>
                  <w:u w:val="single"/>
                </w:rPr>
                <w:t>18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67">
              <w:r>
                <w:rPr>
                  <w:rStyle w:val="InternetLink"/>
                  <w:rFonts w:ascii="Times New Roman;sans-serif" w:hAnsi="Times New Roman;sans-serif"/>
                  <w:b w:val="false"/>
                  <w:color w:val="0000FF"/>
                  <w:sz w:val="20"/>
                  <w:u w:val="single"/>
                </w:rPr>
                <w:t>Note 6. Commitments, Guarantees and Contingencies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67">
              <w:r>
                <w:rPr>
                  <w:rStyle w:val="InternetLink"/>
                  <w:rFonts w:ascii="Times New Roman;sans-serif" w:hAnsi="Times New Roman;sans-serif"/>
                  <w:b w:val="false"/>
                  <w:color w:val="0000FF"/>
                  <w:sz w:val="20"/>
                  <w:u w:val="single"/>
                </w:rPr>
                <w:t>19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88">
              <w:r>
                <w:rPr>
                  <w:rStyle w:val="InternetLink"/>
                  <w:rFonts w:ascii="Times New Roman;sans-serif" w:hAnsi="Times New Roman;sans-serif"/>
                  <w:b w:val="false"/>
                  <w:color w:val="0000FF"/>
                  <w:sz w:val="20"/>
                  <w:u w:val="single"/>
                </w:rPr>
                <w:t>Note 7. Earnings Per Share and Common Stock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88">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91">
              <w:r>
                <w:rPr>
                  <w:rStyle w:val="InternetLink"/>
                  <w:rFonts w:ascii="Times New Roman;sans-serif" w:hAnsi="Times New Roman;sans-serif"/>
                  <w:b w:val="false"/>
                  <w:color w:val="0000FF"/>
                  <w:sz w:val="20"/>
                  <w:u w:val="single"/>
                </w:rPr>
                <w:t>Note 8. Income Tax Expense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91">
              <w:r>
                <w:rPr>
                  <w:rStyle w:val="InternetLink"/>
                  <w:rFonts w:ascii="Times New Roman;sans-serif" w:hAnsi="Times New Roman;sans-serif"/>
                  <w:b w:val="false"/>
                  <w:color w:val="0000FF"/>
                  <w:sz w:val="20"/>
                  <w:u w:val="single"/>
                </w:rPr>
                <w:t>25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94">
              <w:r>
                <w:rPr>
                  <w:rStyle w:val="InternetLink"/>
                  <w:rFonts w:ascii="Times New Roman;sans-serif" w:hAnsi="Times New Roman;sans-serif"/>
                  <w:b w:val="false"/>
                  <w:color w:val="0000FF"/>
                  <w:sz w:val="20"/>
                  <w:u w:val="single"/>
                </w:rPr>
                <w:t>Note 9. Pension and Other Postretirement Benefit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94">
              <w:r>
                <w:rPr>
                  <w:rStyle w:val="InternetLink"/>
                  <w:rFonts w:ascii="Times New Roman;sans-serif" w:hAnsi="Times New Roman;sans-serif"/>
                  <w:b w:val="false"/>
                  <w:color w:val="0000FF"/>
                  <w:sz w:val="20"/>
                  <w:u w:val="single"/>
                </w:rPr>
                <w:t>27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00">
              <w:r>
                <w:rPr>
                  <w:rStyle w:val="InternetLink"/>
                  <w:rFonts w:ascii="Times New Roman;sans-serif" w:hAnsi="Times New Roman;sans-serif"/>
                  <w:b w:val="false"/>
                  <w:color w:val="0000FF"/>
                  <w:sz w:val="20"/>
                  <w:u w:val="single"/>
                </w:rPr>
                <w:t>Note 10. Business Segments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00">
              <w:r>
                <w:rPr>
                  <w:rStyle w:val="InternetLink"/>
                  <w:rFonts w:ascii="Times New Roman;sans-serif" w:hAnsi="Times New Roman;sans-serif"/>
                  <w:b w:val="false"/>
                  <w:color w:val="0000FF"/>
                  <w:sz w:val="20"/>
                  <w:u w:val="single"/>
                </w:rPr>
                <w:t>27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21">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21">
              <w:r>
                <w:rPr>
                  <w:rStyle w:val="InternetLink"/>
                  <w:rFonts w:ascii="Times New Roman;sans-serif" w:hAnsi="Times New Roman;sans-serif"/>
                  <w:b w:val="false"/>
                  <w:color w:val="0000FF"/>
                  <w:sz w:val="20"/>
                  <w:u w:val="single"/>
                </w:rPr>
                <w:t>29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24">
              <w:r>
                <w:rPr>
                  <w:rStyle w:val="InternetLink"/>
                  <w:rFonts w:ascii="Times New Roman;sans-serif" w:hAnsi="Times New Roman;sans-serif"/>
                  <w:b w:val="false"/>
                  <w:color w:val="0000FF"/>
                  <w:sz w:val="20"/>
                  <w:u w:val="single"/>
                </w:rPr>
                <w:t>Comparison of the Quarters Ended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24">
              <w:r>
                <w:rPr>
                  <w:rStyle w:val="InternetLink"/>
                  <w:rFonts w:ascii="Times New Roman;sans-serif" w:hAnsi="Times New Roman;sans-serif"/>
                  <w:b w:val="false"/>
                  <w:color w:val="0000FF"/>
                  <w:sz w:val="20"/>
                  <w:u w:val="single"/>
                </w:rPr>
                <w:t>30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39">
              <w:r>
                <w:rPr>
                  <w:rStyle w:val="InternetLink"/>
                  <w:rFonts w:ascii="Times New Roman;sans-serif" w:hAnsi="Times New Roman;sans-serif"/>
                  <w:b w:val="false"/>
                  <w:color w:val="000080"/>
                  <w:sz w:val="20"/>
                  <w:u w:val="single"/>
                </w:rPr>
                <w:t>Comparison of the</w:t>
              </w:r>
            </w:hyperlink>
            <w:hyperlink w:anchor="ifaeb20f1b7b74f5ab7ec1ed9031f8ce9_139">
              <w:r>
                <w:rPr>
                  <w:rStyle w:val="InternetLink"/>
                  <w:rFonts w:ascii="Times New Roman;sans-serif" w:hAnsi="Times New Roman;sans-serif"/>
                  <w:b w:val="false"/>
                  <w:color w:val="000080"/>
                  <w:sz w:val="20"/>
                  <w:u w:val="single"/>
                </w:rPr>
                <w:t xml:space="preserve"> S</w:t>
              </w:r>
            </w:hyperlink>
            <w:hyperlink w:anchor="ifaeb20f1b7b74f5ab7ec1ed9031f8ce9_139">
              <w:r>
                <w:rPr>
                  <w:rStyle w:val="InternetLink"/>
                  <w:rFonts w:ascii="Times New Roman;sans-serif" w:hAnsi="Times New Roman;sans-serif"/>
                  <w:b w:val="false"/>
                  <w:color w:val="000080"/>
                  <w:sz w:val="20"/>
                  <w:u w:val="single"/>
                </w:rPr>
                <w:t>ix</w:t>
              </w:r>
            </w:hyperlink>
            <w:hyperlink w:anchor="ifaeb20f1b7b74f5ab7ec1ed9031f8ce9_139">
              <w:r>
                <w:rPr>
                  <w:rStyle w:val="InternetLink"/>
                  <w:rFonts w:ascii="Times New Roman;sans-serif" w:hAnsi="Times New Roman;sans-serif"/>
                  <w:b w:val="false"/>
                  <w:color w:val="000080"/>
                  <w:sz w:val="20"/>
                  <w:u w:val="single"/>
                </w:rPr>
                <w:t xml:space="preserve"> Months Ended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39">
              <w:r>
                <w:rPr>
                  <w:rStyle w:val="InternetLink"/>
                  <w:rFonts w:ascii="Times New Roman;sans-serif" w:hAnsi="Times New Roman;sans-serif"/>
                  <w:b w:val="false"/>
                  <w:color w:val="0000FF"/>
                  <w:sz w:val="20"/>
                  <w:u w:val="single"/>
                </w:rPr>
                <w:t>33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54">
              <w:r>
                <w:rPr>
                  <w:rStyle w:val="InternetLink"/>
                  <w:rFonts w:ascii="Times New Roman;sans-serif" w:hAnsi="Times New Roman;sans-serif"/>
                  <w:b w:val="false"/>
                  <w:color w:val="0000FF"/>
                  <w:sz w:val="20"/>
                  <w:u w:val="single"/>
                </w:rPr>
                <w:t>Critical Accounting Policies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54">
              <w:r>
                <w:rPr>
                  <w:rStyle w:val="InternetLink"/>
                  <w:rFonts w:ascii="Times New Roman;sans-serif" w:hAnsi="Times New Roman;sans-serif"/>
                  <w:b w:val="false"/>
                  <w:color w:val="0000FF"/>
                  <w:sz w:val="20"/>
                  <w:u w:val="single"/>
                </w:rPr>
                <w:t>37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57">
              <w:r>
                <w:rPr>
                  <w:rStyle w:val="InternetLink"/>
                  <w:rFonts w:ascii="Times New Roman;sans-serif" w:hAnsi="Times New Roman;sans-serif"/>
                  <w:b w:val="false"/>
                  <w:color w:val="0000FF"/>
                  <w:sz w:val="20"/>
                  <w:u w:val="single"/>
                </w:rPr>
                <w:t>Outlook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57">
              <w:r>
                <w:rPr>
                  <w:rStyle w:val="InternetLink"/>
                  <w:rFonts w:ascii="Times New Roman;sans-serif" w:hAnsi="Times New Roman;sans-serif"/>
                  <w:b w:val="false"/>
                  <w:color w:val="0000FF"/>
                  <w:sz w:val="20"/>
                  <w:u w:val="single"/>
                </w:rPr>
                <w:t>37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84">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84">
              <w:r>
                <w:rPr>
                  <w:rStyle w:val="InternetLink"/>
                  <w:rFonts w:ascii="Times New Roman;sans-serif" w:hAnsi="Times New Roman;sans-serif"/>
                  <w:b w:val="false"/>
                  <w:color w:val="0000FF"/>
                  <w:sz w:val="20"/>
                  <w:u w:val="single"/>
                </w:rPr>
                <w:t>40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87">
              <w:r>
                <w:rPr>
                  <w:rStyle w:val="InternetLink"/>
                  <w:rFonts w:ascii="Times New Roman;sans-serif" w:hAnsi="Times New Roman;sans-serif"/>
                  <w:b w:val="false"/>
                  <w:color w:val="0000FF"/>
                  <w:sz w:val="20"/>
                  <w:u w:val="single"/>
                </w:rPr>
                <w:t>Other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87">
              <w:r>
                <w:rPr>
                  <w:rStyle w:val="InternetLink"/>
                  <w:rFonts w:ascii="Times New Roman;sans-serif" w:hAnsi="Times New Roman;sans-serif"/>
                  <w:b w:val="false"/>
                  <w:color w:val="0000FF"/>
                  <w:sz w:val="20"/>
                  <w:u w:val="single"/>
                </w:rPr>
                <w:t>42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0">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0">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90">
              <w:r>
                <w:rPr>
                  <w:rStyle w:val="InternetLink"/>
                  <w:rFonts w:ascii="Times New Roman;sans-serif" w:hAnsi="Times New Roman;sans-serif"/>
                  <w:b w:val="false"/>
                  <w:color w:val="0000FF"/>
                  <w:sz w:val="20"/>
                  <w:u w:val="single"/>
                </w:rPr>
                <w:t>42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3">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3">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93">
              <w:r>
                <w:rPr>
                  <w:rStyle w:val="InternetLink"/>
                  <w:rFonts w:ascii="Times New Roman;sans-serif" w:hAnsi="Times New Roman;sans-serif"/>
                  <w:b w:val="false"/>
                  <w:color w:val="0000FF"/>
                  <w:sz w:val="20"/>
                  <w:u w:val="single"/>
                </w:rPr>
                <w:t>43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6">
              <w:r>
                <w:rPr>
                  <w:rStyle w:val="InternetLink"/>
                  <w:rFonts w:ascii="Times New Roman;sans-serif" w:hAnsi="Times New Roman;sans-serif"/>
                  <w:b w:val="false"/>
                  <w:color w:val="0000FF"/>
                  <w:sz w:val="20"/>
                  <w:u w:val="single"/>
                </w:rPr>
                <w:t>Part II.</w:t>
              </w:r>
            </w:hyperlink>
          </w:p>
        </w:tc>
        <w:tc>
          <w:tcPr>
            <w:tcW w:w="82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6">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9">
              <w:r>
                <w:rPr>
                  <w:rStyle w:val="InternetLink"/>
                  <w:rFonts w:ascii="Times New Roman;sans-serif" w:hAnsi="Times New Roman;sans-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199">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199">
              <w:r>
                <w:rPr>
                  <w:rStyle w:val="InternetLink"/>
                  <w:rFonts w:ascii="Times New Roman;sans-serif" w:hAnsi="Times New Roman;sans-serif"/>
                  <w:b w:val="false"/>
                  <w:color w:val="0000FF"/>
                  <w:sz w:val="20"/>
                  <w:u w:val="single"/>
                </w:rPr>
                <w:t>43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2">
              <w:r>
                <w:rPr>
                  <w:rStyle w:val="InternetLink"/>
                  <w:rFonts w:ascii="Times New Roman;sans-serif" w:hAnsi="Times New Roman;sans-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2">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02">
              <w:r>
                <w:rPr>
                  <w:rStyle w:val="InternetLink"/>
                  <w:rFonts w:ascii="Times New Roman;sans-serif" w:hAnsi="Times New Roman;sans-serif"/>
                  <w:b w:val="false"/>
                  <w:color w:val="0000FF"/>
                  <w:sz w:val="20"/>
                  <w:u w:val="single"/>
                </w:rPr>
                <w:t>43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5">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5">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05">
              <w:r>
                <w:rPr>
                  <w:rStyle w:val="InternetLink"/>
                  <w:rFonts w:ascii="Times New Roman;sans-serif" w:hAnsi="Times New Roman;sans-serif"/>
                  <w:b w:val="false"/>
                  <w:color w:val="0000FF"/>
                  <w:sz w:val="20"/>
                  <w:u w:val="single"/>
                </w:rPr>
                <w:t>43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8">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08">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08">
              <w:r>
                <w:rPr>
                  <w:rStyle w:val="InternetLink"/>
                  <w:rFonts w:ascii="Times New Roman;sans-serif" w:hAnsi="Times New Roman;sans-serif"/>
                  <w:b w:val="false"/>
                  <w:color w:val="0000FF"/>
                  <w:sz w:val="20"/>
                  <w:u w:val="single"/>
                </w:rPr>
                <w:t>43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1">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1">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11">
              <w:r>
                <w:rPr>
                  <w:rStyle w:val="InternetLink"/>
                  <w:rFonts w:ascii="Times New Roman;sans-serif" w:hAnsi="Times New Roman;sans-serif"/>
                  <w:b w:val="false"/>
                  <w:color w:val="0000FF"/>
                  <w:sz w:val="20"/>
                  <w:u w:val="single"/>
                </w:rPr>
                <w:t>44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4">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4">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14">
              <w:r>
                <w:rPr>
                  <w:rStyle w:val="InternetLink"/>
                  <w:rFonts w:ascii="Times New Roman;sans-serif" w:hAnsi="Times New Roman;sans-serif"/>
                  <w:b w:val="false"/>
                  <w:color w:val="0000FF"/>
                  <w:sz w:val="20"/>
                  <w:u w:val="single"/>
                </w:rPr>
                <w:t>44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7">
              <w:r>
                <w:rPr>
                  <w:rStyle w:val="InternetLink"/>
                  <w:rFonts w:ascii="Times New Roman;sans-serif" w:hAnsi="Times New Roman;sans-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17">
              <w:r>
                <w:rPr>
                  <w:rStyle w:val="InternetLink"/>
                  <w:rFonts w:ascii="Times New Roman;sans-serif" w:hAnsi="Times New Roman;sans-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17">
              <w:r>
                <w:rPr>
                  <w:rStyle w:val="InternetLink"/>
                  <w:rFonts w:ascii="Times New Roman;sans-serif" w:hAnsi="Times New Roman;sans-serif"/>
                  <w:b w:val="false"/>
                  <w:color w:val="0000FF"/>
                  <w:sz w:val="20"/>
                  <w:u w:val="single"/>
                </w:rPr>
                <w:t>44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eb20f1b7b74f5ab7ec1ed9031f8ce9_220">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eb20f1b7b74f5ab7ec1ed9031f8ce9_220">
              <w:r>
                <w:rPr>
                  <w:rStyle w:val="InternetLink"/>
                  <w:rFonts w:ascii="Times New Roman;sans-serif" w:hAnsi="Times New Roman;sans-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6540"/>
                <wp:effectExtent l="0" t="0" r="0" b="0"/>
                <wp:wrapNone/>
                <wp:docPr id="2" name="Frame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abbreviations or acronyms are used in the text. References in this report to “we,” “us” and “our” are to ALLETE, Inc., and its subsidiaries, collectively.</w:t>
      </w:r>
    </w:p>
    <w:tbl>
      <w:tblPr>
        <w:tblW w:w="10205" w:type="dxa"/>
        <w:jc w:val="left"/>
        <w:tblInd w:w="0" w:type="dxa"/>
        <w:tblLayout w:type="fixed"/>
        <w:tblCellMar>
          <w:top w:w="28" w:type="dxa"/>
          <w:left w:w="28" w:type="dxa"/>
          <w:bottom w:w="28" w:type="dxa"/>
          <w:right w:w="28" w:type="dxa"/>
        </w:tblCellMar>
      </w:tblPr>
      <w:tblGrid>
        <w:gridCol w:w="756"/>
        <w:gridCol w:w="666"/>
        <w:gridCol w:w="667"/>
        <w:gridCol w:w="2453"/>
        <w:gridCol w:w="2325"/>
        <w:gridCol w:w="3338"/>
      </w:tblGrid>
      <w:tr>
        <w:trPr/>
        <w:tc>
          <w:tcPr>
            <w:tcW w:w="7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8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Funds Used During Construction – the cost of both debt and equity funds used to finance regulated utility plant additions during construction periods</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Inc. and its subsidiaries</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 LLC and its subsidiaries</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 LLC</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 Inc.</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ATC</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Transmission Company LLC</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Wind Energy Center</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 Inc. and its subsidiary</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Energy Center</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Cleveland-Cliffs Inc.</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 and its subsidiaries</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CSAPR</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Cross-State Air Pollution Rule</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ESOP</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Ownership Plan</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Annual Report on Form 10-K</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Quarterly Report on Form 10-Q</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of America</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ALLETE’s Direct Stock Purchase and Dividend Reinvestment Plan</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 of this Form 10-Q</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kWh</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Kilowatt-hour(s)</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 Energy Center</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 Inc.</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Power</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operating division of ALLETE, Inc.</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 Cooperative, Inc.</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MISO</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 Independent System Operator, Inc.</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MPCA</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Pollution Control Agency</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MPUC</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Public Utilities Commission</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Megawatt(s)</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Standards</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NDPSC</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Public Service Commission</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 Equity LLC</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 Power Partners, LLC</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 Company, a wholly-owned subsidiary of Cleveland-Cliffs Inc.</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 to the Consolidated Financial Statements in this Form 10-Q</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NPDES</w:t>
            </w:r>
          </w:p>
        </w:tc>
        <w:tc>
          <w:tcPr>
            <w:tcW w:w="8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Pollutant Discharge Elimination System</w:t>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NTEC</w:t>
            </w:r>
          </w:p>
        </w:tc>
        <w:tc>
          <w:tcPr>
            <w:tcW w:w="8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Nemadji Trail Energy Center</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81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6540"/>
                <wp:effectExtent l="0" t="0" r="0" b="0"/>
                <wp:wrapNone/>
                <wp:docPr id="3" name="Frame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938" w:type="dxa"/>
        <w:jc w:val="left"/>
        <w:tblInd w:w="0" w:type="dxa"/>
        <w:tblLayout w:type="fixed"/>
        <w:tblCellMar>
          <w:top w:w="28" w:type="dxa"/>
          <w:left w:w="28" w:type="dxa"/>
          <w:bottom w:w="28" w:type="dxa"/>
          <w:right w:w="28" w:type="dxa"/>
        </w:tblCellMar>
      </w:tblPr>
      <w:tblGrid>
        <w:gridCol w:w="841"/>
        <w:gridCol w:w="741"/>
        <w:gridCol w:w="742"/>
        <w:gridCol w:w="1928"/>
        <w:gridCol w:w="1928"/>
        <w:gridCol w:w="2758"/>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 PSA</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 / Power Sales Agreement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of 2010</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PSCW</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Service Commission of Wisconsin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Bay Power</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Bay Power Company, a wholly-owned subsidiary of Cleveland-Cliffs Inc.</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 Electric Cooperative, a North Dakota cooperative corporation</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 LLC</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 LLC</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SWL&amp;P</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Water, Light and Power Company</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 Energy Center</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tc>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Steel Corporation</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6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6540"/>
                <wp:effectExtent l="0" t="0" r="0" b="0"/>
                <wp:wrapNone/>
                <wp:docPr id="4" name="Frame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strategic objectives;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and domestic economic conditions affecting us or our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and compliance with laws and regulations or changes in tax rates or policies;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rates of inflation or availability of key materials and supplies;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legal and administrative proceedings (whether civil or criminal)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weather conditions, natural disasters and pandemic diseases;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markets, bank financing and other financing 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 performance of the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project delays or changes in project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operating expenses and capital expenditures and our ability to raise revenues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commodity prices on ALLETE and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qualified, skilled and experienced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emerging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 acts of terrorism and cybersecurity attacks;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expansion and integrate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population growth rates and demographic patterns;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wholesale power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competition, including competition for retail and wholesale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restructuring initiatives in the electric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on our businesses of climate change and future regulation to restrict the emissions of GHG;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increased deployment of distributed low-carbon electricity generation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laws and regulations related to renewable and distributed generation;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pricing, availability and transportation of fuel and other commodities and the ability to recover the costs of such commodities;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and potential industrial and municipal customers’ ability to execute announced expansion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real estate market conditions where our legacy Florida real estate investment is located may deteriorate;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success of efforts to realize value from, invest in, and develop new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regarding factors that could cause our results or performance to differ from those anticipated by this report are discussed in Part I, Item 1A. Risk Factors of our 2022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6540"/>
                <wp:effectExtent l="0" t="0" r="0" b="0"/>
                <wp:wrapNone/>
                <wp:docPr id="5" name="Frame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3"/>
        <w:gridCol w:w="2324"/>
        <w:gridCol w:w="2313"/>
        <w:gridCol w:w="435"/>
        <w:gridCol w:w="436"/>
        <w:gridCol w:w="254"/>
        <w:gridCol w:w="109"/>
        <w:gridCol w:w="109"/>
        <w:gridCol w:w="109"/>
        <w:gridCol w:w="454"/>
        <w:gridCol w:w="417"/>
        <w:gridCol w:w="522"/>
      </w:tblGrid>
      <w:tr>
        <w:trPr/>
        <w:tc>
          <w:tcPr>
            <w:tcW w:w="272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of $1.6 and $1.6)</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3,497.3 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Guarantees and Contingencies (Note 6)</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 80.0 Shares Authorized, 57.4 and 57.2 Shares Issued and Outstanding</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Equity</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2,691.9 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$6,567.9 </w:t>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5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6540"/>
                <wp:effectExtent l="0" t="0" r="0" b="0"/>
                <wp:wrapNone/>
                <wp:docPr id="6" name="Frame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96" w:type="dxa"/>
        <w:jc w:val="left"/>
        <w:tblInd w:w="0" w:type="dxa"/>
        <w:tblLayout w:type="fixed"/>
        <w:tblCellMar>
          <w:top w:w="28" w:type="dxa"/>
          <w:left w:w="28" w:type="dxa"/>
          <w:bottom w:w="28" w:type="dxa"/>
          <w:right w:w="28" w:type="dxa"/>
        </w:tblCellMar>
      </w:tblPr>
      <w:tblGrid>
        <w:gridCol w:w="1493"/>
        <w:gridCol w:w="1311"/>
        <w:gridCol w:w="1321"/>
        <w:gridCol w:w="419"/>
        <w:gridCol w:w="302"/>
        <w:gridCol w:w="229"/>
        <w:gridCol w:w="423"/>
        <w:gridCol w:w="298"/>
        <w:gridCol w:w="235"/>
        <w:gridCol w:w="109"/>
        <w:gridCol w:w="109"/>
        <w:gridCol w:w="109"/>
        <w:gridCol w:w="490"/>
        <w:gridCol w:w="276"/>
        <w:gridCol w:w="260"/>
        <w:gridCol w:w="474"/>
        <w:gridCol w:w="260"/>
        <w:gridCol w:w="37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6540"/>
                <wp:effectExtent l="0" t="0" r="0" b="0"/>
                <wp:wrapNone/>
                <wp:docPr id="7" name="Frame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5" w:type="dxa"/>
        <w:jc w:val="left"/>
        <w:tblInd w:w="0" w:type="dxa"/>
        <w:tblLayout w:type="fixed"/>
        <w:tblCellMar>
          <w:top w:w="28" w:type="dxa"/>
          <w:left w:w="28" w:type="dxa"/>
          <w:bottom w:w="28" w:type="dxa"/>
          <w:right w:w="28" w:type="dxa"/>
        </w:tblCellMar>
      </w:tblPr>
      <w:tblGrid>
        <w:gridCol w:w="1908"/>
        <w:gridCol w:w="1678"/>
        <w:gridCol w:w="1693"/>
        <w:gridCol w:w="308"/>
        <w:gridCol w:w="308"/>
        <w:gridCol w:w="176"/>
        <w:gridCol w:w="153"/>
        <w:gridCol w:w="153"/>
        <w:gridCol w:w="153"/>
        <w:gridCol w:w="308"/>
        <w:gridCol w:w="308"/>
        <w:gridCol w:w="176"/>
        <w:gridCol w:w="109"/>
        <w:gridCol w:w="109"/>
        <w:gridCol w:w="109"/>
        <w:gridCol w:w="360"/>
        <w:gridCol w:w="361"/>
        <w:gridCol w:w="178"/>
        <w:gridCol w:w="178"/>
        <w:gridCol w:w="178"/>
        <w:gridCol w:w="178"/>
        <w:gridCol w:w="360"/>
        <w:gridCol w:w="361"/>
        <w:gridCol w:w="252"/>
      </w:tblGrid>
      <w:tr>
        <w:trPr/>
        <w:tc>
          <w:tcPr>
            <w:tcW w:w="190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Securities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of $–, $(0.2), $0.1 and $(0.2)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of $(0.1), $–, $(0.1) and $0.1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6540"/>
                <wp:effectExtent l="0" t="0" r="0" b="0"/>
                <wp:wrapNone/>
                <wp:docPr id="8" name="Frame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39" w:type="dxa"/>
        <w:jc w:val="center"/>
        <w:tblInd w:w="0" w:type="dxa"/>
        <w:tblLayout w:type="fixed"/>
        <w:tblCellMar>
          <w:top w:w="28" w:type="dxa"/>
          <w:left w:w="28" w:type="dxa"/>
          <w:bottom w:w="28" w:type="dxa"/>
          <w:right w:w="28" w:type="dxa"/>
        </w:tblCellMar>
      </w:tblPr>
      <w:tblGrid>
        <w:gridCol w:w="2671"/>
        <w:gridCol w:w="2352"/>
        <w:gridCol w:w="2372"/>
        <w:gridCol w:w="344"/>
        <w:gridCol w:w="346"/>
        <w:gridCol w:w="178"/>
        <w:gridCol w:w="178"/>
        <w:gridCol w:w="178"/>
        <w:gridCol w:w="178"/>
        <w:gridCol w:w="344"/>
        <w:gridCol w:w="346"/>
        <w:gridCol w:w="252"/>
      </w:tblGrid>
      <w:tr>
        <w:trPr/>
        <w:tc>
          <w:tcPr>
            <w:tcW w:w="2671"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7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Millions</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Cash provided by (used in) Operating Activities:</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AFUDC – Equity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Equity Investments – Net of Dividends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Investments and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PSAs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Other Intangible Assets and Other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and ESOP Compensation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Defined Benefit Pension and Postretirement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Fuel Adjustment Clause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Interim Rate Refund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 Interim Rate Adjustment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Prepayments and Other</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Contributions to Defined Benefit Pension Plans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Assets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Operating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Available-for-sale Securities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Purchase of Available-for-sale Securities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of Subsidiaries - Net of Cash &amp; Restricted Cash Acquired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Equity Method Investments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Issuance Costs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Short-Term and Long-Term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Short-Term and Long-Term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(531.5)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Non-Controlling Interest in Subsidiaries –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Financing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End of Period</w:t>
            </w:r>
          </w:p>
        </w:tc>
        <w:tc>
          <w:tcPr>
            <w:tcW w:w="6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$51.1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6540"/>
                <wp:effectExtent l="0" t="0" r="0" b="0"/>
                <wp:wrapNone/>
                <wp:docPr id="9" name="Frame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97" w:type="dxa"/>
        <w:jc w:val="center"/>
        <w:tblInd w:w="0" w:type="dxa"/>
        <w:tblLayout w:type="fixed"/>
        <w:tblCellMar>
          <w:top w:w="28" w:type="dxa"/>
          <w:left w:w="28" w:type="dxa"/>
          <w:bottom w:w="28" w:type="dxa"/>
          <w:right w:w="28" w:type="dxa"/>
        </w:tblCellMar>
      </w:tblPr>
      <w:tblGrid>
        <w:gridCol w:w="1840"/>
        <w:gridCol w:w="1616"/>
        <w:gridCol w:w="1628"/>
        <w:gridCol w:w="506"/>
        <w:gridCol w:w="365"/>
        <w:gridCol w:w="229"/>
        <w:gridCol w:w="511"/>
        <w:gridCol w:w="360"/>
        <w:gridCol w:w="235"/>
        <w:gridCol w:w="109"/>
        <w:gridCol w:w="109"/>
        <w:gridCol w:w="109"/>
        <w:gridCol w:w="559"/>
        <w:gridCol w:w="312"/>
        <w:gridCol w:w="260"/>
        <w:gridCol w:w="573"/>
        <w:gridCol w:w="298"/>
        <w:gridCol w:w="378"/>
      </w:tblGrid>
      <w:tr>
        <w:trPr/>
        <w:tc>
          <w:tcPr>
            <w:tcW w:w="184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 Net of Income Taxes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Debt Securities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Dividends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 in Subsidiaries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Non-Controlling Interest in Subsidiaries – Net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 of Common Stock</w:t>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$0.6775 </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6540"/>
                <wp:effectExtent l="0" t="0" r="0" b="0"/>
                <wp:wrapNone/>
                <wp:docPr id="10" name="Frame1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UNAUDITED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2022,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six months ended June 30, 2023, are not necessarily indicative of results that may be expected for any other interim period or for the year ending December 31, 2023. For further information, refer to the Consolidated Financial Statements and notes included in our 2022 Form 10-K.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Cash, Cash Equivalents and Restricted Cash. </w:t>
      </w:r>
      <w:r>
        <w:rPr>
          <w:rFonts w:ascii="Times New Roman;sans-serif" w:hAnsi="Times New Roman;sans-serif"/>
          <w:b w:val="false"/>
          <w:color w:val="000000"/>
          <w:sz w:val="20"/>
        </w:rPr>
        <w:t xml:space="preserve">We consider all investments purchased with original maturities of three months or less to be cash equivalents. As of June 30, 2023,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 </w:t>
      </w:r>
    </w:p>
    <w:tbl>
      <w:tblPr>
        <w:tblW w:w="10205" w:type="dxa"/>
        <w:jc w:val="center"/>
        <w:tblInd w:w="0" w:type="dxa"/>
        <w:tblLayout w:type="fixed"/>
        <w:tblCellMar>
          <w:top w:w="28" w:type="dxa"/>
          <w:left w:w="28" w:type="dxa"/>
          <w:bottom w:w="28" w:type="dxa"/>
          <w:right w:w="28" w:type="dxa"/>
        </w:tblCellMar>
      </w:tblPr>
      <w:tblGrid>
        <w:gridCol w:w="1892"/>
        <w:gridCol w:w="1630"/>
        <w:gridCol w:w="1640"/>
        <w:gridCol w:w="308"/>
        <w:gridCol w:w="308"/>
        <w:gridCol w:w="236"/>
        <w:gridCol w:w="109"/>
        <w:gridCol w:w="109"/>
        <w:gridCol w:w="109"/>
        <w:gridCol w:w="382"/>
        <w:gridCol w:w="382"/>
        <w:gridCol w:w="384"/>
        <w:gridCol w:w="109"/>
        <w:gridCol w:w="109"/>
        <w:gridCol w:w="109"/>
        <w:gridCol w:w="308"/>
        <w:gridCol w:w="308"/>
        <w:gridCol w:w="236"/>
        <w:gridCol w:w="109"/>
        <w:gridCol w:w="109"/>
        <w:gridCol w:w="109"/>
        <w:gridCol w:w="359"/>
        <w:gridCol w:w="349"/>
        <w:gridCol w:w="502"/>
      </w:tblGrid>
      <w:tr>
        <w:trPr/>
        <w:tc>
          <w:tcPr>
            <w:tcW w:w="189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5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included in Prepayments and Other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on the Consolidated Statement of Cash Flows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Inventories – Net.</w:t>
      </w:r>
      <w:r>
        <w:rPr>
          <w:color w:val="000000"/>
        </w:rPr>
        <w:t xml:space="preserve"> </w:t>
      </w:r>
      <w:r>
        <w:rPr>
          <w:rFonts w:ascii="Times New Roman;sans-serif" w:hAnsi="Times New Roman;sans-serif"/>
          <w:b w:val="false"/>
          <w:color w:val="000000"/>
          <w:sz w:val="20"/>
        </w:rPr>
        <w:t xml:space="preserve">Inventories are stated at the lower of cost or net realizable value. Inventories in our Regulated Operations segment are carried at an average cost or first-in, first-out basis. Inventories in our ALLETE Clean Energy segment and Corporate and Other businesses are carried at an average cost, first-in, first-out or specific identification basis. </w:t>
      </w:r>
    </w:p>
    <w:p>
      <w:pPr>
        <w:pStyle w:val="TextBody"/>
        <w:bidi w:val="0"/>
        <w:spacing w:before="0" w:after="0"/>
        <w:jc w:val="both"/>
        <w:rPr/>
      </w:pPr>
      <w:r>
        <w:rPr/>
      </w:r>
    </w:p>
    <w:tbl>
      <w:tblPr>
        <w:tblW w:w="7002" w:type="dxa"/>
        <w:jc w:val="left"/>
        <w:tblInd w:w="0" w:type="dxa"/>
        <w:tblLayout w:type="fixed"/>
        <w:tblCellMar>
          <w:top w:w="28" w:type="dxa"/>
          <w:left w:w="28" w:type="dxa"/>
          <w:bottom w:w="28" w:type="dxa"/>
          <w:right w:w="28" w:type="dxa"/>
        </w:tblCellMar>
      </w:tblPr>
      <w:tblGrid>
        <w:gridCol w:w="1584"/>
        <w:gridCol w:w="1393"/>
        <w:gridCol w:w="1402"/>
        <w:gridCol w:w="360"/>
        <w:gridCol w:w="361"/>
        <w:gridCol w:w="271"/>
        <w:gridCol w:w="109"/>
        <w:gridCol w:w="109"/>
        <w:gridCol w:w="109"/>
        <w:gridCol w:w="381"/>
        <w:gridCol w:w="381"/>
        <w:gridCol w:w="542"/>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 – Net</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Facilities Under Development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 Net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Fuel consists primarily of coal inventory at Minnesota Power.</w:t>
      </w:r>
    </w:p>
    <w:p>
      <w:pPr>
        <w:pStyle w:val="TextBody"/>
        <w:bidi w:val="0"/>
        <w:spacing w:lineRule="auto" w:line="288" w:before="0" w:after="0"/>
        <w:ind w:left="0" w:right="0" w:hanging="360"/>
        <w:jc w:val="both"/>
        <w:rPr/>
      </w:pPr>
      <w:r>
        <w:rPr>
          <w:rFonts w:ascii="Times New Roman;sans-serif" w:hAnsi="Times New Roman;sans-serif"/>
          <w:b w:val="false"/>
          <w:i/>
          <w:color w:val="000000"/>
          <w:sz w:val="18"/>
        </w:rPr>
        <w:t>(b)    Renewable Energy Facilities Under Development as of June 30, 2023 consists primarily of project costs related to renewable energy development projects at New Energy. As of December 31, 2022, it consisted primarily of project costs related to ALLETE Clean Energy’s Northern Wind and Red Barn wind projects sold in the first quarter of 2023 and second quarter of 2023, respectively.</w:t>
      </w:r>
      <w:r>
        <w:rPr>
          <w:color w:val="000000"/>
        </w:rPr>
        <w:t xml:space="preserve"> </w:t>
      </w:r>
      <w:r>
        <w:rPr>
          <w:rFonts w:ascii="Times New Roman;sans-serif" w:hAnsi="Times New Roman;sans-serif"/>
          <w:b w:val="false"/>
          <w:i/>
          <w:color w:val="000000"/>
          <w:sz w:val="18"/>
        </w:rPr>
        <w:t>(See Other Current Liabilities.)</w:t>
      </w:r>
    </w:p>
    <w:p>
      <w:pPr>
        <w:pStyle w:val="TextBody"/>
        <w:bidi w:val="0"/>
        <w:spacing w:lineRule="auto" w:line="288" w:before="0" w:after="0"/>
        <w:ind w:left="0" w:right="0" w:hanging="360"/>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The aggregate carrying amount of goodwill was $154.9 million as of June 30, 2023 ($154.9 million as of December 31, 2022). There have been no changes to goodwill by reportable segment for the quarter and six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6540"/>
                <wp:effectExtent l="0" t="0" r="0" b="0"/>
                <wp:wrapNone/>
                <wp:docPr id="11" name="Frame1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ind w:left="0" w:right="0" w:hanging="360"/>
        <w:jc w:val="both"/>
        <w:rPr/>
      </w:pPr>
      <w:r>
        <w:rPr/>
      </w:r>
    </w:p>
    <w:tbl>
      <w:tblPr>
        <w:tblW w:w="5682" w:type="dxa"/>
        <w:jc w:val="center"/>
        <w:tblInd w:w="0" w:type="dxa"/>
        <w:tblLayout w:type="fixed"/>
        <w:tblCellMar>
          <w:top w:w="28" w:type="dxa"/>
          <w:left w:w="28" w:type="dxa"/>
          <w:bottom w:w="28" w:type="dxa"/>
          <w:right w:w="28" w:type="dxa"/>
        </w:tblCellMar>
      </w:tblPr>
      <w:tblGrid>
        <w:gridCol w:w="1108"/>
        <w:gridCol w:w="973"/>
        <w:gridCol w:w="978"/>
        <w:gridCol w:w="360"/>
        <w:gridCol w:w="361"/>
        <w:gridCol w:w="271"/>
        <w:gridCol w:w="109"/>
        <w:gridCol w:w="109"/>
        <w:gridCol w:w="109"/>
        <w:gridCol w:w="381"/>
        <w:gridCol w:w="381"/>
        <w:gridCol w:w="542"/>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Assets</w:t>
            </w:r>
            <w:r>
              <w:rPr>
                <w:color w:val="000000"/>
              </w:rPr>
              <w:t xml:space="preserve">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Contract Assets consist of payments made to customers as an incentive to execute or extend service agreements. The contract payments are being amortized over the term of the respective agreements as a reduction to revenue.     </w:t>
      </w:r>
    </w:p>
    <w:p>
      <w:pPr>
        <w:pStyle w:val="TextBody"/>
        <w:bidi w:val="0"/>
        <w:spacing w:before="0" w:after="0"/>
        <w:ind w:left="0" w:right="0" w:hanging="360"/>
        <w:jc w:val="left"/>
        <w:rPr/>
      </w:pPr>
      <w:r>
        <w:rPr/>
      </w:r>
    </w:p>
    <w:tbl>
      <w:tblPr>
        <w:tblW w:w="5488" w:type="dxa"/>
        <w:jc w:val="left"/>
        <w:tblInd w:w="0" w:type="dxa"/>
        <w:tblLayout w:type="fixed"/>
        <w:tblCellMar>
          <w:top w:w="28" w:type="dxa"/>
          <w:left w:w="28" w:type="dxa"/>
          <w:bottom w:w="28" w:type="dxa"/>
          <w:right w:w="28" w:type="dxa"/>
        </w:tblCellMar>
      </w:tblPr>
      <w:tblGrid>
        <w:gridCol w:w="1038"/>
        <w:gridCol w:w="910"/>
        <w:gridCol w:w="917"/>
        <w:gridCol w:w="379"/>
        <w:gridCol w:w="342"/>
        <w:gridCol w:w="271"/>
        <w:gridCol w:w="109"/>
        <w:gridCol w:w="109"/>
        <w:gridCol w:w="109"/>
        <w:gridCol w:w="381"/>
        <w:gridCol w:w="381"/>
        <w:gridCol w:w="54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Customer Deposits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Interim Rate Refund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Manufactured Gas Plant </w:t>
            </w:r>
            <w:r>
              <w:rPr>
                <w:rFonts w:ascii="Times New Roman;sans-serif" w:hAnsi="Times New Roman;sans-serif"/>
                <w:b w:val="false"/>
                <w:i/>
                <w:color w:val="000000"/>
                <w:sz w:val="18"/>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Customer Deposits as of December 31, 2022 primarily related to deposits received by ALLETE Clean Energy for the Northern Wind and Red Barn wind projects sold in the first quarter of 2023 and second quarter of 2023, respectively. (See Inventories – Net.)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 The manufactured gas plant represents the current liability for remediation of a former manufactured gas plant site located in Superior, Wisconsin, and formerly operated by SWL&amp;P. </w:t>
      </w:r>
    </w:p>
    <w:p>
      <w:pPr>
        <w:pStyle w:val="TextBody"/>
        <w:bidi w:val="0"/>
        <w:spacing w:before="0" w:after="0"/>
        <w:ind w:left="0" w:right="0" w:hanging="360"/>
        <w:jc w:val="both"/>
        <w:rPr/>
      </w:pPr>
      <w:r>
        <w:rPr/>
      </w:r>
    </w:p>
    <w:tbl>
      <w:tblPr>
        <w:tblW w:w="5623" w:type="dxa"/>
        <w:jc w:val="left"/>
        <w:tblInd w:w="0" w:type="dxa"/>
        <w:tblLayout w:type="fixed"/>
        <w:tblCellMar>
          <w:top w:w="28" w:type="dxa"/>
          <w:left w:w="28" w:type="dxa"/>
          <w:bottom w:w="28" w:type="dxa"/>
          <w:right w:w="28" w:type="dxa"/>
        </w:tblCellMar>
      </w:tblPr>
      <w:tblGrid>
        <w:gridCol w:w="1086"/>
        <w:gridCol w:w="954"/>
        <w:gridCol w:w="960"/>
        <w:gridCol w:w="360"/>
        <w:gridCol w:w="361"/>
        <w:gridCol w:w="271"/>
        <w:gridCol w:w="109"/>
        <w:gridCol w:w="109"/>
        <w:gridCol w:w="109"/>
        <w:gridCol w:w="381"/>
        <w:gridCol w:w="381"/>
        <w:gridCol w:w="542"/>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Retirement Obligation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$32.4 million in Other Non-Current Assets on the Consolidated Balance Sheet as of June 30, 2023 ($32.4 million as of December 31,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2" name="Frame1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tbl>
      <w:tblPr>
        <w:tblW w:w="9512" w:type="dxa"/>
        <w:jc w:val="center"/>
        <w:tblInd w:w="0" w:type="dxa"/>
        <w:tblLayout w:type="fixed"/>
        <w:tblCellMar>
          <w:top w:w="28" w:type="dxa"/>
          <w:left w:w="28" w:type="dxa"/>
          <w:bottom w:w="28" w:type="dxa"/>
          <w:right w:w="28" w:type="dxa"/>
        </w:tblCellMar>
      </w:tblPr>
      <w:tblGrid>
        <w:gridCol w:w="2307"/>
        <w:gridCol w:w="1745"/>
        <w:gridCol w:w="1753"/>
        <w:gridCol w:w="297"/>
        <w:gridCol w:w="229"/>
        <w:gridCol w:w="229"/>
        <w:gridCol w:w="361"/>
        <w:gridCol w:w="255"/>
        <w:gridCol w:w="235"/>
        <w:gridCol w:w="109"/>
        <w:gridCol w:w="109"/>
        <w:gridCol w:w="109"/>
        <w:gridCol w:w="260"/>
        <w:gridCol w:w="260"/>
        <w:gridCol w:w="260"/>
        <w:gridCol w:w="313"/>
        <w:gridCol w:w="303"/>
        <w:gridCol w:w="378"/>
      </w:tblGrid>
      <w:tr>
        <w:trPr/>
        <w:tc>
          <w:tcPr>
            <w:tcW w:w="230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Income</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Pension and Other Postretirement Benefit Plan Non-Service Credits </w:t>
            </w:r>
            <w:r>
              <w:rPr>
                <w:rFonts w:ascii="Times New Roman;sans-serif" w:hAnsi="Times New Roman;sans-serif"/>
                <w:b w:val="false"/>
                <w:i/>
                <w:color w:val="000000"/>
                <w:sz w:val="18"/>
              </w:rPr>
              <w:t>(a)</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Investment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PSA Liability </w:t>
            </w:r>
            <w:r>
              <w:rPr>
                <w:rFonts w:ascii="Times New Roman;sans-serif" w:hAnsi="Times New Roman;sans-serif"/>
                <w:b w:val="false"/>
                <w:i/>
                <w:color w:val="000000"/>
                <w:sz w:val="18"/>
              </w:rPr>
              <w:t>(b)</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are components of net periodic pension and other postretirement benefit cost other than service cost. (See Note 9. Pension and Other Postretirement Benefit Plans.)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(b)The gain on removal of the PSA liability for the Northern Wind project upon decommissioning of the legacy wind energy facility assets, which was more than offset by a reserve for an anticipated loss on the sale of the Northern Wind project that was recorded in Cost of Sales - Non-Utility on the Consolidated Statement of Income.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Supplemental Statement of Cash Flows Information.</w:t>
      </w:r>
    </w:p>
    <w:tbl>
      <w:tblPr>
        <w:tblW w:w="9417" w:type="dxa"/>
        <w:jc w:val="left"/>
        <w:tblInd w:w="0" w:type="dxa"/>
        <w:tblLayout w:type="fixed"/>
        <w:tblCellMar>
          <w:top w:w="28" w:type="dxa"/>
          <w:left w:w="28" w:type="dxa"/>
          <w:bottom w:w="28" w:type="dxa"/>
          <w:right w:w="28" w:type="dxa"/>
        </w:tblCellMar>
      </w:tblPr>
      <w:tblGrid>
        <w:gridCol w:w="2857"/>
        <w:gridCol w:w="2511"/>
        <w:gridCol w:w="2522"/>
        <w:gridCol w:w="193"/>
        <w:gridCol w:w="193"/>
        <w:gridCol w:w="198"/>
        <w:gridCol w:w="109"/>
        <w:gridCol w:w="109"/>
        <w:gridCol w:w="109"/>
        <w:gridCol w:w="180"/>
        <w:gridCol w:w="180"/>
        <w:gridCol w:w="256"/>
      </w:tblGrid>
      <w:tr>
        <w:trPr/>
        <w:tc>
          <w:tcPr>
            <w:tcW w:w="2857"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 Net of Amounts Capitalized</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 Net </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for Capital Additions to Property, Plant and Equipment</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of Property, Plant and Equipment to Inventory </w:t>
            </w:r>
            <w:r>
              <w:rPr>
                <w:rFonts w:ascii="Times New Roman;sans-serif" w:hAnsi="Times New Roman;sans-serif"/>
                <w:b w:val="false"/>
                <w:i/>
                <w:color w:val="000000"/>
                <w:sz w:val="18"/>
              </w:rPr>
              <w:t>(a)</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r>
      <w:tr>
        <w:trPr/>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 Retirement Costs</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7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AFUDC–Equity</w:t>
            </w:r>
          </w:p>
        </w:tc>
        <w:tc>
          <w:tcPr>
            <w:tcW w:w="5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890"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decommissioning of the legacy Northern Wind assets resulted in a reclassification from Property, Plant and Equipment – Net to Inventories – Net in the second quarter of 2022 as they were repowered and subsequently sold to a subsidiary of Xcel Energy Inc.</w:t>
      </w:r>
    </w:p>
    <w:p>
      <w:pPr>
        <w:pStyle w:val="TextBody"/>
        <w:bidi w:val="0"/>
        <w:spacing w:before="0" w:after="2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Non-Controlling Interest in Subsidiaries. </w:t>
      </w:r>
      <w:r>
        <w:rPr>
          <w:rFonts w:ascii="Times New Roman;sans-serif" w:hAnsi="Times New Roman;sans-serif"/>
          <w:b w:val="false"/>
          <w:color w:val="000000"/>
          <w:sz w:val="20"/>
        </w:rPr>
        <w:t xml:space="preserve">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are primarily related to the tax equity financing structures for ALLETE Clean Energy’s 106 MW Glen Ullin, 80 MW South Peak, 303 MW Diamond Spring and 303 MW Caddo wind energy facilities as well as ALLETE’s equity investment in the 250 MW Nobles 2 wind energy facility. </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color w:val="000000"/>
          <w:sz w:val="20"/>
        </w:rPr>
        <w:t>Subsequent Events.</w:t>
      </w:r>
      <w:r>
        <w:rPr>
          <w:color w:val="000000"/>
        </w:rPr>
        <w:t xml:space="preserve"> </w:t>
      </w:r>
      <w:r>
        <w:rPr>
          <w:rFonts w:ascii="Times New Roman;sans-serif" w:hAnsi="Times New Roman;sans-serif"/>
          <w:b w:val="false"/>
          <w:color w:val="000000"/>
          <w:sz w:val="20"/>
        </w:rPr>
        <w:t xml:space="preserve">The Company performed an evaluation of subsequent events for potential recognition and disclosure through the date of the financial statements issuance.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6540"/>
                <wp:effectExtent l="0" t="0" r="0" b="0"/>
                <wp:wrapNone/>
                <wp:docPr id="13" name="Frame1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REGULATORY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matters are summarized in Note 4. Regulatory Matters to the Consolidated Financial Statements in our 2022 Form 10-K, with additional disclosure provided in the following paragraphs.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Electric Rates.</w:t>
      </w:r>
      <w:r>
        <w:rPr>
          <w:color w:val="000000"/>
        </w:rPr>
        <w:t xml:space="preserve"> </w:t>
      </w:r>
      <w:r>
        <w:rPr>
          <w:rFonts w:ascii="Times New Roman;sans-serif" w:hAnsi="Times New Roman;sans-serif"/>
          <w:b w:val="false"/>
          <w:color w:val="000000"/>
          <w:sz w:val="20"/>
        </w:rPr>
        <w:t xml:space="preserve">Entities within our Regulated Operations segment file for periodic rate revisions with the MPUC, PSCW or FERC. As authorized by the MPUC, Minnesota Power also recognizes revenue under cost recovery riders for transmission, renewable, and environmental investments and expenditures. Revenue from cost recovery riders was $31.5 million for the six months ended June 30, 2023 ($11.9 million for the six months ended June 30, 2022).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2022 Minnesota General Rate Case. </w:t>
      </w:r>
      <w:r>
        <w:rPr>
          <w:rFonts w:ascii="Times New Roman;sans-serif" w:hAnsi="Times New Roman;sans-serif"/>
          <w:b w:val="false"/>
          <w:color w:val="000000"/>
          <w:sz w:val="20"/>
        </w:rPr>
        <w:t xml:space="preserve">On November 1, 2021, Minnesota Power filed a retail rate increase request with the MPUC seeking an average increase of approximately 18 percent for retail customers. The rate filing sought a return on equity of 10.25 percent and a 53.81 percent equity ratio. On an annualized basis, the requested final rate increase would have generated approximately $108 million in additional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 order dated February 28,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 rates are expected to commence in the third quarter of 2023; interim rates will be collected through this period with reserves recorded as necessary. Minnesota Power has recorded a reserve for an interim rate refund of $31.8 million pre-tax as of June 30, 2023 ($18.4 million as of December 31, 2022), which is subject to MPUC approval of Minnesota Power’s compliance filing and interim rate refund calculation that was submitted to the MPUC on June 14,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2023, Minnesota Power filed notice with the Minnesota Court of Appeals (Court) to appeal specific aspects of the MPUC’s rate case orders. Minnesota Power is appealing the ratemaking treatment of Taconite Harbor and Minnesota Power’s prepaid pension asset. We are unable to predict the outcome of this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Renewable Cost Recovery Rider.</w:t>
      </w:r>
      <w:r>
        <w:rPr>
          <w:color w:val="000000"/>
        </w:rPr>
        <w:t xml:space="preserve"> </w:t>
      </w:r>
      <w:r>
        <w:rPr>
          <w:rFonts w:ascii="Times New Roman;sans-serif" w:hAnsi="Times New Roman;sans-serif"/>
          <w:b w:val="false"/>
          <w:color w:val="000000"/>
          <w:sz w:val="20"/>
        </w:rPr>
        <w:t>Minnesota Power has an approved cost recovery rider in place to charge retail customers on a current basis for the costs of certain renewable investments and expenditures, including a return on the capital invested. Current customer billing rates for the renewable cost recovery rider were approved by the MPUC in an order dated January 24, 2023. On March 29, 2023, Minnesota Power submitted its latest renewable factor filing. If the filing is approved, Minnesota Power would be authorized to include updated billing rates on customer bills.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Adjustment Clause. </w:t>
      </w:r>
      <w:r>
        <w:rPr>
          <w:rFonts w:ascii="Times New Roman;sans-serif" w:hAnsi="Times New Roman;sans-serif"/>
          <w:b w:val="false"/>
          <w:color w:val="000000"/>
          <w:sz w:val="20"/>
        </w:rPr>
        <w:t>Minnesota Power incurred higher fuel and purchased power costs in 2022 than those factored in its fuel adjustment forecast filed in May 2021 for 2022, which resulted in the recognition of an approximately $13 million regulatory asset in 2022. Minnesota Power requested recovery of the regulatory asset over 12 months as part of its annual true-up filing submitted to the MPUC on March 1, 2023, which was approved by the MPUC in an order dated July 31, 2023. We expect to begin recovery of the regulatory asset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has incurred lower fuel and purchased power costs in 2023 than those factored in its fuel adjustment forecast filed in May 2022 for 2023, which resulted in the recognition of an $17.8 million regulatory liability as of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Energy Conservation and Optimization (ECO) Plan.</w:t>
      </w:r>
      <w:r>
        <w:rPr>
          <w:color w:val="000000"/>
        </w:rPr>
        <w:t xml:space="preserve"> </w:t>
      </w:r>
      <w:r>
        <w:rPr>
          <w:rFonts w:ascii="Times New Roman;sans-serif" w:hAnsi="Times New Roman;sans-serif"/>
          <w:b w:val="false"/>
          <w:color w:val="000000"/>
          <w:sz w:val="20"/>
        </w:rPr>
        <w:t>On April 3, 2023, Minnesota Power submitted its 2022 ECO, formally known as the conservation improvement program, annual filing detailing Minnesota Power’s ECO plan results and proposed financial incentive, which was approved by the MPUC at a hearing on July 20, 2023. As a result, Minnesota Power recognized revenue of $2.2 million for the approved financial inventive in the third quarter of 2023. A financial incentive of $1.9 million was recognized in the second quarter of 2022 upon approval by the MPUC of Minnesota Power’s 2021 ECO annual filing. The financial incentives are recognized in the period in which the MPUC approves the filing.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6540"/>
                <wp:effectExtent l="0" t="0" r="0" b="0"/>
                <wp:wrapNone/>
                <wp:docPr id="14" name="Frame1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REGULATORY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Minnesota Power submitted its triennial filing for 2024 through 2026 to the MPUC and Minnesota Department of Commerce, which outlines Minnesota Power’s ECO spending and energy-saving goals for those years. Minnesota Power’s investment goals are $12.5 million for 2024, $12.7 million for 2025 and $12.8 million for 2026, subject to MPUC and Minnesota Department of Commerce approval.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Regulatory Assets and Liabilities.</w:t>
      </w:r>
      <w:r>
        <w:rPr>
          <w:color w:val="000000"/>
        </w:rPr>
        <w:t xml:space="preserve"> </w:t>
      </w:r>
      <w:r>
        <w:rPr>
          <w:rFonts w:ascii="Times New Roman;sans-serif" w:hAnsi="Times New Roman;sans-serif"/>
          <w:b w:val="false"/>
          <w:color w:val="000000"/>
          <w:sz w:val="20"/>
        </w:rPr>
        <w:t>Our regulated utility operations are subject to accounting standards for the effects of certain types of regulation.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pStyle w:val="TextBody"/>
        <w:bidi w:val="0"/>
        <w:spacing w:before="0" w:after="0"/>
        <w:jc w:val="both"/>
        <w:rPr/>
      </w:pPr>
      <w:r>
        <w:rPr/>
      </w:r>
    </w:p>
    <w:tbl>
      <w:tblPr>
        <w:tblW w:w="8121" w:type="dxa"/>
        <w:jc w:val="left"/>
        <w:tblInd w:w="0" w:type="dxa"/>
        <w:tblLayout w:type="fixed"/>
        <w:tblCellMar>
          <w:top w:w="28" w:type="dxa"/>
          <w:left w:w="28" w:type="dxa"/>
          <w:bottom w:w="28" w:type="dxa"/>
          <w:right w:w="28" w:type="dxa"/>
        </w:tblCellMar>
      </w:tblPr>
      <w:tblGrid>
        <w:gridCol w:w="1910"/>
        <w:gridCol w:w="1680"/>
        <w:gridCol w:w="1690"/>
        <w:gridCol w:w="360"/>
        <w:gridCol w:w="361"/>
        <w:gridCol w:w="271"/>
        <w:gridCol w:w="109"/>
        <w:gridCol w:w="109"/>
        <w:gridCol w:w="109"/>
        <w:gridCol w:w="419"/>
        <w:gridCol w:w="419"/>
        <w:gridCol w:w="421"/>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Assets and Liabilities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Assets </w:t>
            </w:r>
            <w:r>
              <w:rPr>
                <w:rFonts w:ascii="Times New Roman;sans-serif" w:hAnsi="Times New Roman;sans-serif"/>
                <w:b w:val="false"/>
                <w:i/>
                <w:color w:val="000000"/>
                <w:sz w:val="18"/>
              </w:rPr>
              <w:t>(a)</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Regulatory Assets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Assets</w:t>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Recovery Riders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Retirement Obligations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Taconite Harbor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Manufactured Gas Plant</w:t>
            </w:r>
            <w:r>
              <w:rPr>
                <w:color w:val="000000"/>
              </w:rPr>
              <w:t xml:space="preserv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 Income Tax Deferral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Assets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Liabilities </w:t>
            </w:r>
            <w:r>
              <w:rPr>
                <w:rFonts w:ascii="Times New Roman;sans-serif" w:hAnsi="Times New Roman;sans-serif"/>
                <w:b w:val="false"/>
                <w:i/>
                <w:color w:val="000000"/>
                <w:sz w:val="18"/>
              </w:rPr>
              <w:t>(c)</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Provision for Interim Rate Refund </w:t>
            </w:r>
            <w:r>
              <w:rPr>
                <w:rFonts w:ascii="Times New Roman;sans-serif" w:hAnsi="Times New Roman;sans-serif"/>
                <w:b w:val="false"/>
                <w:i/>
                <w:color w:val="000000"/>
                <w:sz w:val="18"/>
              </w:rPr>
              <w:t>(d)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Formula Rates Refund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Regulatory Liabilities </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Liabilities</w:t>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Wholesale and Retail Contra AFUDC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Removal Obligations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 Dakota Investment Tax Credits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Non-Jurisdictional Land Sales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Units 1 and 2 Net Plant and Equipment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Liabilities</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(a)Current regulatory assets are presented within Prepayments and Other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(b)In the first quarter of 2023, Minnesota Power retired Taconite Harbor Units 1 and 2. The remaining net book value was reclassified from property, plant and equipment to a regulatory asset on the Consolidated Balance Sheet when the units were retired. Minnesota Power expects to receive recovery of the remaining net book value from customers.</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(c)Current regulatory liabilities are presented within Other Current Liabilities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(d)See 2022 Minnesota General Rate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6540"/>
                <wp:effectExtent l="0" t="0" r="0" b="0"/>
                <wp:wrapNone/>
                <wp:docPr id="15" name="Frame1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3. EQUITY INVESTMENTS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Investment in ATC</w:t>
      </w:r>
      <w:r>
        <w:rPr>
          <w:rFonts w:ascii="Times New Roman;sans-serif" w:hAnsi="Times New Roman;sans-serif"/>
          <w:b w:val="false"/>
          <w:color w:val="000000"/>
          <w:sz w:val="20"/>
        </w:rPr>
        <w:t xml:space="preserve">. 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w:t>
      </w:r>
    </w:p>
    <w:tbl>
      <w:tblPr>
        <w:tblW w:w="6034" w:type="dxa"/>
        <w:jc w:val="left"/>
        <w:tblInd w:w="0" w:type="dxa"/>
        <w:tblLayout w:type="fixed"/>
        <w:tblCellMar>
          <w:top w:w="28" w:type="dxa"/>
          <w:left w:w="28" w:type="dxa"/>
          <w:bottom w:w="28" w:type="dxa"/>
          <w:right w:w="28" w:type="dxa"/>
        </w:tblCellMar>
      </w:tblPr>
      <w:tblGrid>
        <w:gridCol w:w="1869"/>
        <w:gridCol w:w="1639"/>
        <w:gridCol w:w="1651"/>
        <w:gridCol w:w="360"/>
        <w:gridCol w:w="36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ATC</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ATC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ATC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Remeasurement of Deferred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June 30, 2023</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We cannot predict the return on equity the FERC will ultimately authorize in the remanded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FERC issued a Notice of Proposed Rulemaking in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Investment in Nobles 2. </w:t>
      </w:r>
      <w:r>
        <w:rPr>
          <w:rFonts w:ascii="Times New Roman;sans-serif" w:hAnsi="Times New Roman;sans-serif"/>
          <w:b w:val="false"/>
          <w:color w:val="000000"/>
          <w:sz w:val="20"/>
        </w:rPr>
        <w:t xml:space="preserve">Our subsidiary, ALLETE South Wind, owns 49 percent of Nobles 2, the entity that owns and operates a 250 MW wind energy facility in southwestern Minnesota pursuant to a 20-year PPA with Minnesota Power. We account for our investment in Nobles 2 under the equity method of accounting. </w:t>
      </w:r>
    </w:p>
    <w:p>
      <w:pPr>
        <w:pStyle w:val="TextBody"/>
        <w:bidi w:val="0"/>
        <w:spacing w:before="0" w:after="0"/>
        <w:jc w:val="left"/>
        <w:rPr/>
      </w:pPr>
      <w:r>
        <w:rPr/>
      </w:r>
    </w:p>
    <w:tbl>
      <w:tblPr>
        <w:tblW w:w="5239" w:type="dxa"/>
        <w:jc w:val="left"/>
        <w:tblInd w:w="0" w:type="dxa"/>
        <w:tblLayout w:type="fixed"/>
        <w:tblCellMar>
          <w:top w:w="28" w:type="dxa"/>
          <w:left w:w="28" w:type="dxa"/>
          <w:bottom w:w="28" w:type="dxa"/>
          <w:right w:w="28" w:type="dxa"/>
        </w:tblCellMar>
      </w:tblPr>
      <w:tblGrid>
        <w:gridCol w:w="1581"/>
        <w:gridCol w:w="1388"/>
        <w:gridCol w:w="1395"/>
        <w:gridCol w:w="360"/>
        <w:gridCol w:w="361"/>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Nobles 2</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in Nobles 2 Earnings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Nobles 2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June 30, 2023</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Company also recorded earnings from net loss attributable to non-controlling interest of $5.9 million related to its investment in Nobles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2022 Form 10-K.</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6540"/>
                <wp:effectExtent l="0" t="0" r="0" b="0"/>
                <wp:wrapNone/>
                <wp:docPr id="16"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by level within the fair value hierarchy, our assets and liabilities that were accounted for at fair value on a recurring basis as of June 30, 2023, and December 31, 2022.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on the Consolidated Balance Sheet approximates the carrying amount and therefore is excluded from the recurring fair value measures in the following tables.</w:t>
      </w:r>
    </w:p>
    <w:p>
      <w:pPr>
        <w:pStyle w:val="TextBody"/>
        <w:bidi w:val="0"/>
        <w:spacing w:before="0" w:after="0"/>
        <w:jc w:val="both"/>
        <w:rPr/>
      </w:pPr>
      <w:r>
        <w:rPr/>
      </w:r>
    </w:p>
    <w:tbl>
      <w:tblPr>
        <w:tblW w:w="10118" w:type="dxa"/>
        <w:jc w:val="left"/>
        <w:tblInd w:w="0" w:type="dxa"/>
        <w:tblLayout w:type="fixed"/>
        <w:tblCellMar>
          <w:top w:w="28" w:type="dxa"/>
          <w:left w:w="28" w:type="dxa"/>
          <w:bottom w:w="28" w:type="dxa"/>
          <w:right w:w="28" w:type="dxa"/>
        </w:tblCellMar>
      </w:tblPr>
      <w:tblGrid>
        <w:gridCol w:w="2049"/>
        <w:gridCol w:w="1797"/>
        <w:gridCol w:w="1808"/>
        <w:gridCol w:w="307"/>
        <w:gridCol w:w="309"/>
        <w:gridCol w:w="246"/>
        <w:gridCol w:w="126"/>
        <w:gridCol w:w="126"/>
        <w:gridCol w:w="126"/>
        <w:gridCol w:w="319"/>
        <w:gridCol w:w="297"/>
        <w:gridCol w:w="246"/>
        <w:gridCol w:w="126"/>
        <w:gridCol w:w="126"/>
        <w:gridCol w:w="126"/>
        <w:gridCol w:w="244"/>
        <w:gridCol w:w="244"/>
        <w:gridCol w:w="246"/>
        <w:gridCol w:w="126"/>
        <w:gridCol w:w="126"/>
        <w:gridCol w:w="126"/>
        <w:gridCol w:w="307"/>
        <w:gridCol w:w="309"/>
        <w:gridCol w:w="256"/>
      </w:tblGrid>
      <w:tr>
        <w:trPr/>
        <w:tc>
          <w:tcPr>
            <w:tcW w:w="204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June 30, 2023</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Available-for-sale – Corporate and Governmental Debt Securities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6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2022</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Corporate and Governmental Debt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(a)Included in Other Non-Current Assets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(b)As of June 30, 2023, the aggregate amount of available-for-sale corporate and governmental debt securities maturing in one year or less was $1.2 million, in one year to less than three years was $2.7 million, in three years to less than five years was $1.4 million and in five or more years was $0.4 million.</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(c)Included in Other Non-Current Liabilities on the Consolidated Balance Sheet.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Fair Value of Financial Instruments.</w:t>
      </w:r>
      <w:r>
        <w:rPr>
          <w:color w:val="000000"/>
        </w:rPr>
        <w:t xml:space="preserve"> </w:t>
      </w:r>
      <w:r>
        <w:rPr>
          <w:rFonts w:ascii="Times New Roman;sans-serif" w:hAnsi="Times New Roman;sans-serif"/>
          <w:b w:val="false"/>
          <w:color w:val="000000"/>
          <w:sz w:val="20"/>
        </w:rPr>
        <w:t>With the exception of the item listed in the following table, the estimated fair value of all financial instruments approximates the carrying amount. The fair value of the item listed in the following table was based on quoted market prices for the same or similar instruments (Level 2).</w:t>
      </w:r>
    </w:p>
    <w:tbl>
      <w:tblPr>
        <w:tblW w:w="6040"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311"/>
        <w:gridCol w:w="311"/>
        <w:gridCol w:w="44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6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Assets and Liabilities Measured at Fair Value on a Nonrecurring Basis. </w:t>
      </w:r>
      <w:r>
        <w:rPr>
          <w:rFonts w:ascii="Times New Roman;sans-serif" w:hAnsi="Times New Roman;sans-serif"/>
          <w:b w:val="false"/>
          <w:color w:val="000000"/>
          <w:sz w:val="20"/>
        </w:rPr>
        <w:t xml:space="preserve">Non-financial assets such as equity method investments, land inventory, and property, plant and equipment are measured at fair value when there is an indicator of impairment and recorded at fair value only when an impairment is recognized. For the quarter and six months ended June 30, 2023, and the year ended December 31, 2022, there were no indicators of impairment for these non-financial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7"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changes in the broader energy markets along with wind resource expectations that could indicate impairment at ALLETE Clean Energy wind energy facilities upon contract expirations or for facilities without long-term contracts for their entire output. A continued decline or volatility in energy prices or lower wind resource expectations could result in a future impairment.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SHORT-TERM AND LONG-TERM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short-term and long-term debt as of June 30, 2023, and December 31, 2022:</w:t>
      </w:r>
    </w:p>
    <w:tbl>
      <w:tblPr>
        <w:tblW w:w="7331" w:type="dxa"/>
        <w:jc w:val="left"/>
        <w:tblInd w:w="0" w:type="dxa"/>
        <w:tblLayout w:type="fixed"/>
        <w:tblCellMar>
          <w:top w:w="28" w:type="dxa"/>
          <w:left w:w="28" w:type="dxa"/>
          <w:bottom w:w="28" w:type="dxa"/>
          <w:right w:w="28" w:type="dxa"/>
        </w:tblCellMar>
      </w:tblPr>
      <w:tblGrid>
        <w:gridCol w:w="531"/>
        <w:gridCol w:w="466"/>
        <w:gridCol w:w="472"/>
        <w:gridCol w:w="434"/>
        <w:gridCol w:w="437"/>
        <w:gridCol w:w="301"/>
        <w:gridCol w:w="109"/>
        <w:gridCol w:w="109"/>
        <w:gridCol w:w="109"/>
        <w:gridCol w:w="969"/>
        <w:gridCol w:w="969"/>
        <w:gridCol w:w="971"/>
        <w:gridCol w:w="109"/>
        <w:gridCol w:w="109"/>
        <w:gridCol w:w="109"/>
        <w:gridCol w:w="434"/>
        <w:gridCol w:w="437"/>
        <w:gridCol w:w="256"/>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June 30, 2023</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01" w:type="dxa"/>
        <w:jc w:val="left"/>
        <w:tblInd w:w="0" w:type="dxa"/>
        <w:tblLayout w:type="fixed"/>
        <w:tblCellMar>
          <w:top w:w="28" w:type="dxa"/>
          <w:left w:w="28" w:type="dxa"/>
          <w:bottom w:w="28" w:type="dxa"/>
          <w:right w:w="28" w:type="dxa"/>
        </w:tblCellMar>
      </w:tblPr>
      <w:tblGrid>
        <w:gridCol w:w="629"/>
        <w:gridCol w:w="554"/>
        <w:gridCol w:w="556"/>
        <w:gridCol w:w="434"/>
        <w:gridCol w:w="437"/>
        <w:gridCol w:w="301"/>
        <w:gridCol w:w="109"/>
        <w:gridCol w:w="109"/>
        <w:gridCol w:w="109"/>
        <w:gridCol w:w="969"/>
        <w:gridCol w:w="969"/>
        <w:gridCol w:w="971"/>
        <w:gridCol w:w="109"/>
        <w:gridCol w:w="109"/>
        <w:gridCol w:w="109"/>
        <w:gridCol w:w="434"/>
        <w:gridCol w:w="437"/>
        <w:gridCol w:w="25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Debt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$17.8 million outstanding in standby letters of credit and $29.4 million outstanding draws under our lines of credit as of June 30, 2023 ($32.8 million in standby letters of credit and $31.3 million outstanding draws as of December 31, 2022). We also have standby letters of credit outstanding under other letter of credit facilities.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ALLETE issued $125 million of its First Mortgage Bonds (Bonds) to certain institutional buyers in the private placement market. The Bonds, which bear interest at 4.98 percent, will mature in April 2033 and pay interest semi-annually in May and November of each year, commencing on November 1, 2023.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Our long-term debt arrangements contain customary covenants. In addition, our lines of credit and letters of credit supporting certain 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2023, our ratio was approximately 0.37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2023, ALLETE was in compliance with its financial covenants.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8"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Power Purchase and Sale Agreements.</w:t>
      </w:r>
      <w:r>
        <w:rPr>
          <w:color w:val="000000"/>
        </w:rPr>
        <w:t xml:space="preserve"> </w:t>
      </w:r>
      <w:r>
        <w:rPr>
          <w:rFonts w:ascii="Times New Roman;sans-serif" w:hAnsi="Times New Roman;sans-serif"/>
          <w:b w:val="false"/>
          <w:color w:val="000000"/>
          <w:sz w:val="20"/>
        </w:rPr>
        <w:t>Our long-term PPAs have been evaluated under the accounting guidance for variable interest entities. We 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PPAs are summarized in Note 9. Commitments, Guarantees and Contingencies to the Consolidated Financial Statements in our 2022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Square Butte PPA.</w:t>
      </w:r>
      <w:r>
        <w:rPr>
          <w:color w:val="000000"/>
        </w:rPr>
        <w:t xml:space="preserve"> </w:t>
      </w:r>
      <w:r>
        <w:rPr>
          <w:rFonts w:ascii="Times New Roman;sans-serif" w:hAnsi="Times New Roman;sans-serif"/>
          <w:b w:val="false"/>
          <w:color w:val="000000"/>
          <w:sz w:val="20"/>
        </w:rPr>
        <w:t>As of June 30, 2023, Square Butte had total debt outstanding of $182.4 million. Fuel expenses are recoverable through Minnesota Power’s fuel adjustment clause and include the cost of coal purchased from BNI Energy under a long-term contract. Minnesota Power’s cost of power purchased from Square Butte during the six months ended June 30, 2023, was $44.0 million ($41.0 million for the same period in 2022). This reflects Minnesota Power’s pro rata share of total Square Butte costs based on the 50 percent output entitlement. Included in this amount was Minnesota Power’s pro rata share of interest expense of $2.7 million ($2.6 million for the same period in 2022). Minnesota Power’s payments to Square Butte are approved as a purchased power expense for ratemaking purposes by both the MPUC and the FERC.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Minnkota Power PSA.</w:t>
      </w:r>
      <w:r>
        <w:rPr>
          <w:color w:val="000000"/>
        </w:rPr>
        <w:t xml:space="preserve"> </w:t>
      </w:r>
      <w:r>
        <w:rPr>
          <w:rFonts w:ascii="Times New Roman;sans-serif" w:hAnsi="Times New Roman;sans-serif"/>
          <w:b w:val="false"/>
          <w:color w:val="000000"/>
          <w:sz w:val="20"/>
        </w:rPr>
        <w:t>Minnesota Power has a PSA with Minnkota Power, which commenced in 2014. Under the PSA,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37 percent in 2023 and 32 percent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Coal, Rail and Shipping Contracts.</w:t>
      </w:r>
      <w:r>
        <w:rPr>
          <w:color w:val="000000"/>
        </w:rPr>
        <w:t xml:space="preserve"> </w:t>
      </w:r>
      <w:r>
        <w:rPr>
          <w:rFonts w:ascii="Times New Roman;sans-serif" w:hAnsi="Times New Roman;sans-serif"/>
          <w:b w:val="false"/>
          <w:color w:val="000000"/>
          <w:sz w:val="20"/>
        </w:rPr>
        <w:t xml:space="preserve">Minnesota Power has coal supply agreements providing for the purchase of a significant portion of its coal requirements through December 2025. Minnesota Power also has coal transportation agreements in place for the delivery of a significant portion of its coal requirements through December 2024. The costs of fuel and related transportation costs for Minnesota Power’s generation are recoverable from Minnesota Power’s retail and municipal utility customers through the fuel adjustment clause.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Air.</w:t>
      </w:r>
      <w:r>
        <w:rPr>
          <w:color w:val="000000"/>
        </w:rPr>
        <w:t xml:space="preserve"> </w:t>
      </w:r>
      <w:r>
        <w:rPr>
          <w:rFonts w:ascii="Times New Roman;sans-serif" w:hAnsi="Times New Roman;sans-serif"/>
          <w:b w:val="false"/>
          <w:color w:val="000000"/>
          <w:sz w:val="20"/>
        </w:rPr>
        <w:t>The electric utility industry is regulated both at the federal and state level to address air emissions. Minnesota Power’s thermal generating facilities mainly burn low-sulfur western sub-bituminous coal. All of Minnesota Power’s coal-fired generating facilities are equipped with pollution control equipment such as scrubbers, baghouses and low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technologies. Under currently applicable environmental regulations, these facilities are substantially compliant with emission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19"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Cross-State Air Pollution Rule (CSAPR).</w:t>
      </w:r>
      <w:r>
        <w:rPr>
          <w:color w:val="000000"/>
        </w:rPr>
        <w:t xml:space="preserve"> </w:t>
      </w:r>
      <w:r>
        <w:rPr>
          <w:rFonts w:ascii="Times New Roman;sans-serif" w:hAnsi="Times New Roman;sans-serif"/>
          <w:b w:val="false"/>
          <w:color w:val="000000"/>
          <w:sz w:val="20"/>
        </w:rPr>
        <w:t>The CSAPR requires certain states in the eastern half of the U.S., including Minnesota, to reduce power plant 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The EPA’s CSAPR Update Rule issued in March 2021 revising the 2016 CSAPR Update does not apply to the state of Minnesota and is therefore not currently projected to affect Minnesota Power’s CSAPR compliance. Minnesota Power will continue to monitor ongoing CSAPR rulemakings and compliance implementation, including the EPA’s new Good Neighbor Plan published June 5, 2023, to modify certain aspects of the CSAPR’s program scope and extent.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National Ambient Air Quality Standards (NAAQS).</w:t>
      </w:r>
      <w:r>
        <w:rPr>
          <w:color w:val="000000"/>
        </w:rPr>
        <w:t xml:space="preserve"> </w:t>
      </w:r>
      <w:r>
        <w:rPr>
          <w:rFonts w:ascii="Times New Roman;sans-serif" w:hAnsi="Times New Roman;sans-serif"/>
          <w:b w:val="false"/>
          <w:color w:val="000000"/>
          <w:sz w:val="20"/>
        </w:rPr>
        <w:t>The EPA is required to review the NAAQS every five years. If the EPA determines that a state’s air 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and SO</w:t>
      </w: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 as well as particulate matter. In June 2021, the EPA announced it would reconsider the December 2020 final rule retaining the 2012 particulate matter NAAQS. On January 6, 2023, the EPA announced a proposed rule to revise the primary annual particulate matter NAAQS from its current level while retaining the other primary and secondary particulate matter NAAQS. A final rule is expected by the end of 2023. The EPA also announced in October 2021 that it was reconsidering the 2020 Ozone NAAQS rule finalized in December 2020, and issued an initial draft policy assessment on April 28, 2022, recommending retention of the current standard. A second version of the draft policy assessment was then published for public comment on March 1, 2023. The EPA plans to finalize this 2023 policy assessment and to issue a notice of proposed rulemaking for a 2020 ozone NAAQS revision rule during 2024. Anticipated compliance costs related to the proposed and expected NAAQS revisions cannot yet be estimated; however, costs could be material. Minnesota Power would seek recovery of additional costs through a rate proceeding.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 On June 5, 2023, the EPA published a final rule in the Federal Register, the Good Neighbor Plan, to address regional ozone transport for the 2015 Ozone NAAQS by reducing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emissions during the period of May 1 through September 30 (ozone season). This rule addresses certain good neighbor or interstate transport provisions of the Clean Air Act relative to the 2015 Ozone NAAQS. In the justification for the final rule, the EPA asserts that 23 states, including Minnesota, are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reduction strategies, including federal implementation plan requirements,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 xml:space="preserve">emission limitations, and ozone season allowance program requirements, beginning during the 2023 ozone season and sixty days after the final rule is published in the Federal Register. The final rule imposes restrictions on fossil-fuel fired power plants in 22 states and on certain industrial sources in 20 states. Implementation of the rule will occur in part through changes to the existing CSAPR program for power plants.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Minnesota Power previously submitted public comments to the EPA on the April 2022 proposed Good Neighbor Plan. Concerns noted by Minnesota Power and other entities included the technical accuracy of the EPA’s assumptions and methods used to identify Minnesota as a significant contributor state, as well as the proposed rule’s intended timeline. On February 13, 2023, the EPA also published its final rule to partially disapprove the Good Neighbor State Implementation Plans (SIPs) for the states of Minnesota and Wisconsin, and to disapprove 19 other SIP submissions. The SIP final action subjects Minnesota to the final Good Neighbor Plan and associated compliance costs will be known when the final SIP rule evaluation and implementation has been completed. On April 14, 2023, Minnesota Power and a coalition of other Minnesota utilities and industry (the parties) co-filed challenges to the EPA’s final Minnesota SIP disapproval, submitting a petition for reconsideration and stay to the EPA and a petition for judicial review to the U. S. Court of Appeals for the Eighth Circuit (Eighth Circuit Court). The parties are challenging and requesting reconsideration of certain technical components of the EPA’s review and subsequent partial disapproval of the state of Minnesota’s SIP, including the rulemaking process, air modeling practices and other emissions inventory aspects. On May 31, 2023, the parties filed a motion to stay the SIP disapproval with the Eighth Circuit Court, which granted the stay on July 5, 2023, which prevents the Good Neighbor Plan from taking effect in Minnesota while the stay remains in effect. The Company therefore does not currently anticipate that the state of Minnesota will be subject to compliance obligations for the 2023 ozone season, which would have went into effect on August 4, 2023. Future compliance obligations will depend on the eventual resolution of the stay and appeal. Anticipated compliance costs related to final Good Neighbor Plan compliance cannot yet be estimated due to uncertainties about SIP approval status, implementation timing, allowance costs and facility emissions during the ozone season; however, the costs could be material, including costs of additional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controls, emission allowance program participation, or operational changes, if any are required. Minnesota Power would seek recovery of additional costs through a rate proceeding.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0"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National Emission Standards for Hazardous Air Pollutants for Major Sources: Industrial, Commercial and Institutional Boilers and Process Heaters (Industrial Boiler MACT) Rule</w:t>
      </w:r>
      <w:r>
        <w:rPr>
          <w:rFonts w:ascii="Times New Roman;sans-serif" w:hAnsi="Times New Roman;sans-serif"/>
          <w:b w:val="false"/>
          <w:color w:val="000000"/>
          <w:sz w:val="20"/>
        </w:rPr>
        <w:t>. A final rule issued by the EPA for Industrial Boiler MACT became effective in 2013 with compliance required at major 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October 6, 2022, the EPA published a final rule in the Federal Register incorporating these changes. The rule became effective on December 5, 2022, imposing a compliance deadline of October 6, 2025. Minnesota Power’s review of this new rule indicates that the revisions should not significantly impact its affected units. As such, compliance costs associated with the new Industrial Boiler MACT Rule are not currently expected to be material; however,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Mercury and Air Toxics Standards (MATS) Rule</w:t>
      </w:r>
      <w:r>
        <w:rPr>
          <w:rFonts w:ascii="Times New Roman;sans-serif" w:hAnsi="Times New Roman;sans-serif"/>
          <w:b w:val="false"/>
          <w:color w:val="000000"/>
          <w:sz w:val="20"/>
        </w:rPr>
        <w:t>. On April 24, 2023, the EPA published a proposed revision to the existing MATS Rule as part of its mandatory 2020 MATS review. In this proposed rule, the EPA is proposing to alter certain compliance and operational requirements, and to lower several emission limits including filterable particulate matter as well as mercury for lignite units. Compliance would be due in the 2026 to 2027 timeframe. The MATS regulation applies at Minnesota Power’s Boswell facility, which is currently well-controlled for these emissions and is in full compliance with existing requirements. Initial review of this draft regulation indicates that compliance costs should not be material based on the proposed revision. The EPA expects to issue the final rule in March 2024. Compliance costs cannot yet be estimated; however, recovery of any additional costs would be sought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The scientific community generally accepts that emissions of GHGs are linked to global climate change which creates physical and 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Expanding renewable power supply for both our operations and the operations of others;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Providing energy conservation initiatives for our customers and engaging in other demand side management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Improving efficiency of our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Supporting research of technologies to reduce carbon emissions from generating facilities and carbon sequestration efforts;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developing less carbon intensive future generating assets such as efficient and flexible natural gas</w:t>
        <w:noBreakHyphen/>
        <w:t>fired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Managing vegetation on right-of-way corridors to reduce potential wildfire or storm damage risks;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Practicing sound forestry management in our service territories to create landscapes more resilient to disruption from climate-related changes, including planting and managing long-lived conifer species.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EPA Regulation of GHG Emissions. </w:t>
      </w:r>
      <w:r>
        <w:rPr>
          <w:rFonts w:ascii="Times New Roman;sans-serif" w:hAnsi="Times New Roman;sans-serif"/>
          <w:b w:val="false"/>
          <w:color w:val="000000"/>
          <w:sz w:val="20"/>
        </w:rPr>
        <w:t>On May 23, 2023, the EPA published in the Federal Register a proposal for five separate regulatory actions under Section 111 of the Clean Air Act (CAA) addressing greenhouse gas (GHG) emissions from fossil fuel-fired electric generating units (EGUs). The EPA is proposing revised new source performance standards (NSPS) for new, modified and reconstructed EGUs (Section 111(b) of the CAA) as well as emission guidelines for certain existing (Section 111(d) of the CAA) EGUs. The EPA is also proposing in this action to officially repeal the predecessor regulation “Affordable Clean Energy Rule”, first issued in 2019 and later vacated in 2021. We are analyzing the proposed new regulations to assess potential impacts of the draft Section 111 rules, which would apply to several Company assets including existing EGUs at the Boswell and Laskin as well as the proposed combined cycle natural gas-fired generating facility, NTEC. The draft rules are open for public comment until August 8, 2023, and the EPA’s Spring 2023 unified agenda identifies the EPA’s goal of issuing final regulations in April 2024. We will continue to monitor this GHG rulemaking and analyze its potential impacts to our existing and proposed thermal generating facilities, and may submit comments on the proposed rules. Minnesota Power continues implementing its Energy</w:t>
      </w:r>
      <w:r>
        <w:rPr>
          <w:rFonts w:ascii="Times New Roman;sans-serif" w:hAnsi="Times New Roman;sans-serif"/>
          <w:b w:val="false"/>
          <w:i/>
          <w:color w:val="000000"/>
          <w:sz w:val="20"/>
        </w:rPr>
        <w:t xml:space="preserve">Forward </w:t>
      </w:r>
      <w:r>
        <w:rPr>
          <w:rFonts w:ascii="Times New Roman;sans-serif" w:hAnsi="Times New Roman;sans-serif"/>
          <w:b w:val="false"/>
          <w:color w:val="000000"/>
          <w:sz w:val="20"/>
        </w:rPr>
        <w:t>strategic plan that provides for significant emissions reductions and diversifying its electricity generation mix to include more renewable and natural gas energy. We are unable to predict compliance costs due to the draft status of the rules and the need for a state implementation plan for Section 111(d) existing units; however, the costs could be material. Minnesota Power would seek recovery of additional costs through a rate proceeding.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1"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Water.</w:t>
      </w:r>
      <w:r>
        <w:rPr>
          <w:color w:val="000000"/>
        </w:rPr>
        <w:t xml:space="preserve"> </w:t>
      </w:r>
      <w:r>
        <w:rPr>
          <w:rFonts w:ascii="Times New Roman;sans-serif" w:hAnsi="Times New Roman;sans-serif"/>
          <w:b w:val="false"/>
          <w:color w:val="000000"/>
          <w:sz w:val="20"/>
        </w:rPr>
        <w:t>The Clean Water Act requires NPDES permits be obtained from the EPA (or, when delegated, from individual state pollution control agencies) for any wastewater discharged into navigable waters. We have obtained all necessary NPDES permits, including NPDES storm water permits for applicable facilities, to conduct our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Steam Electric Power Generating Effluent Limitations Guidelines. </w:t>
      </w:r>
      <w:r>
        <w:rPr>
          <w:rFonts w:ascii="Times New Roman;sans-serif" w:hAnsi="Times New Roman;sans-serif"/>
          <w:b w:val="false"/>
          <w:color w:val="000000"/>
          <w:sz w:val="20"/>
        </w:rPr>
        <w:t>In 2015, the EPA issued revised federal effluent limitation guidelines (ELG) for steam 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its preliminary effluent guidelines program plan. In the plan, the EPA confirmed the agency is initiating a rulemaking process to strengthen wastewater pollution limitations from FGD and bottom ash transport water discharges while the 2020 ELG Rule remains in effect.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29, 2023, the EPA published a proposed new ELG rule in the Federal Register to update the 2020 ELGs; the public comment period was open until May 30, 2023. In the proposed rule, the EPA is revising ELGs for existing sources, including establishing zero discharge limitations for BATW and FGD wastewater; new limits for combustion residual leachate; and allowing states to set discharge limits for legacy wastewater in surface impoundments based on best professional judgement. The rule proposes to preserve flexibility and maintain exemptions for units permanently ceasing coal combustion by 2028, and adds a new category for units that have already complied with the 2020 ELG rule and which will retire by 2032. Additionally, the EPA is encouraging state permitting authorities to conduct functional equivalency tests for facilities with landfills or CCR surface impoundments to identify groundwater to surface water point source discharges. More stringent limitations would apply where point source discharges occur.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Bottom ash transport and FGD wastewater ELGs are not expected to have a significant impact on Minnesota Power operations. Boswell, where these ELGs are applicable, completed conversion to dry bottom ash handling and installed a FGD dewatering system in September 2022. The dry conversion projects eliminated bottom ash transport water and minimized wastewater from the FGD system. Re-use and onsite consumption is planned for the remaining FGD waste stream and for dewatering legacy wastewater from Boswell’s existing impoundments.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EPA’s reconsideration of legacy wastewater and leachate discharge requirements has the potential to impact dewatering associated with the closed impoundment at Laskin and the closed Taconite Harbor dry ash landfill.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2"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Permitted Water Discharges – Sulfate</w:t>
      </w:r>
      <w:r>
        <w:rPr>
          <w:rFonts w:ascii="Times New Roman;sans-serif" w:hAnsi="Times New Roman;sans-serif"/>
          <w:b w:val="false"/>
          <w:color w:val="000000"/>
          <w:sz w:val="20"/>
        </w:rPr>
        <w:t xml:space="preserve">. In 2017, the MPCA released a draft water quality standard in an attempt to update Minnesota’s existing 10 mg/L 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in November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Solid and Hazardous Waste.</w:t>
      </w:r>
      <w:r>
        <w:rPr>
          <w:color w:val="000000"/>
        </w:rPr>
        <w:t xml:space="preserve"> </w:t>
      </w:r>
      <w:r>
        <w:rPr>
          <w:rFonts w:ascii="Times New Roman;sans-serif" w:hAnsi="Times New Roman;sans-serif"/>
          <w:b w:val="false"/>
          <w:color w:val="000000"/>
          <w:sz w:val="20"/>
        </w:rPr>
        <w:t>The Resource Conservation and Recovery Act of 1976 regulates the management and disposal of solid and hazardous wastes. We are required to notify the EPA of hazardous waste activity and, consequently, routinely submit reports to the EPA.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Coal Ash Management Facilities.</w:t>
      </w:r>
      <w:r>
        <w:rPr>
          <w:color w:val="000000"/>
        </w:rPr>
        <w:t xml:space="preserve"> </w:t>
      </w:r>
      <w:r>
        <w:rPr>
          <w:rFonts w:ascii="Times New Roman;sans-serif" w:hAnsi="Times New Roman;sans-serif"/>
          <w:b w:val="false"/>
          <w:color w:val="000000"/>
          <w:sz w:val="20"/>
        </w:rPr>
        <w:t xml:space="preserve">Minnesota Power produces the majority of its coal ash at Boswell, with small amounts of ash generated at Hibbard Renewable Energy Center. Ash storage and disposal methods include storing ash in clay-lined onsite impoundments (ash ponds), disposing of dry ash in a lined dry ash landfill, applying ash to land as an approved beneficial use, and trucking ash to state permitted landfills.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Coal Combustion Residuals from Electric Utilities (CCR). </w:t>
      </w:r>
      <w:r>
        <w:rPr>
          <w:rFonts w:ascii="Times New Roman;sans-serif" w:hAnsi="Times New Roman;sans-serif"/>
          <w:b w:val="false"/>
          <w:color w:val="000000"/>
          <w:sz w:val="20"/>
        </w:rPr>
        <w:t>In 2015, the EPA published the final rule (2015 Rule) regulating CCR as nonhazardous waste under Subtitle 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the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Upon completion of dry ash conversion activities, Boswell ceased disposal in both impoundments in September 2022. Both impoundments are now inactive and have initiated 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the EPA released a proposed rule for CCR legacy surface impoundments. The proposal expands the scope of units regulated under the CCR rule to include legacy ponds (inactive surface impoundments at inactive facilities) and creates a new category of units called CCR management units, which includes inactive and closed impoundments and landfills as well as other non-containerized accumulations of CCR. The proposed rule was published in the Federal Register on May 18, 2023, and the 60-day public comment period ended on July 17, 2023. The EPA is proposing to require that all generating facilities evaluate and identify all past deposits of CCR materials on their sites and close or re-close existing CCR units to meet current closure standards, as well as install groundwater monitoring systems, conduct groundwater monitoring and implement groundwater corrective actions as necessary. This rule has the potential to impact Boswell and Laskin. Compliance costs for Minnesota Power facilities cannot be estimated at this time; however, the costs could be material. Minnesota Power would seek recovery of additional costs through a rate proceeding.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3"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updated spring 2023 regulatory agenda, finalization of the remainder of the proposed Part B rule has been moved to the agency’s long-term agenda. The final federal permit rule is still expected in late-2023. The final federal permit rule will finalize procedures for implementing a CCR federal permit program.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Manufactured Gas Plant Site.</w:t>
      </w:r>
      <w:r>
        <w:rPr>
          <w:color w:val="000000"/>
        </w:rPr>
        <w:t xml:space="preserve"> </w:t>
      </w:r>
      <w:r>
        <w:rPr>
          <w:rFonts w:ascii="Times New Roman;sans-serif" w:hAnsi="Times New Roman;sans-serif"/>
          <w:b w:val="false"/>
          <w:color w:val="000000"/>
          <w:sz w:val="20"/>
        </w:rPr>
        <w:t xml:space="preserve">SWL&amp;P continues working with the Wisconsin Department of Natural Resources (WDNR) to address and remediate environmental conditions at a former manufactured gas plant site located in Superior, Wisconsin, and formerly operated by SWL&amp;P. As of June 30, 2023, we have recorded a liability of approximately $9 million for remediation costs at this site. SWL&amp;P has also recorded an associated regulatory asset as we expect recovery of these remediation costs to be allowed by the PSCW. Remediation costs are expected to be incurred through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Letters of Credit and Surety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multiple credit facility agreements in place that provide the ability to issue standby letters of credit to satisfy contractual security requirements across our businesses. As of June 30, 2023, we had $161.9 million of outstanding letters of credit issued, including those issued under our revolving credit facility.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Regulated Operations. </w:t>
      </w:r>
      <w:r>
        <w:rPr>
          <w:rFonts w:ascii="Times New Roman;sans-serif" w:hAnsi="Times New Roman;sans-serif"/>
          <w:b w:val="false"/>
          <w:color w:val="000000"/>
          <w:sz w:val="20"/>
        </w:rPr>
        <w:t xml:space="preserve">As of June 30, 2023, we had $22.2 million outstanding in standby letters of credit at our Regulated Operations which are pledged as security to MISO, the NDPSC and a state agency.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ALLETE Clean Energy.</w:t>
      </w:r>
      <w:r>
        <w:rPr>
          <w:color w:val="000000"/>
        </w:rPr>
        <w:t xml:space="preserve"> </w:t>
      </w:r>
      <w:r>
        <w:rPr>
          <w:rFonts w:ascii="Times New Roman;sans-serif" w:hAnsi="Times New Roman;sans-serif"/>
          <w:b w:val="false"/>
          <w:color w:val="000000"/>
          <w:sz w:val="20"/>
        </w:rPr>
        <w:t>ALLETE Clean Energy’s wind energy facilities have various PSAs in place for some or all of their output that expire in various years between 2024 and 2039. As of June 30, 2023, ALLETE Clean Energy has $105.6 million outstanding in standby letters of credit, the majority of which are pledged as security under these PSAs and PSAs for wind energy facilities developed for others. ALLETE Clean Energy does not believe it is likely that any of these outstanding letters of credit will be drawn upon.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BNI Energy</w:t>
      </w:r>
      <w:r>
        <w:rPr>
          <w:rFonts w:ascii="Times New Roman;sans-serif" w:hAnsi="Times New Roman;sans-serif"/>
          <w:b w:val="false"/>
          <w:color w:val="000000"/>
          <w:sz w:val="20"/>
        </w:rPr>
        <w:t>. As of June 30, 2023,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Investment in Nobles 2</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Nobles 2 wind energy facility requires standby letters of credit as security for certain contractual obligations. As of June 30, 2023, ALLETE South Wind has $10.1 million outstanding in standby letters of credit, related to its portion of the security requirements relative to its ownership in Nobles 2. We do not believe it is likely that any of these outstanding letters of credit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South Shore Energy</w:t>
      </w:r>
      <w:r>
        <w:rPr>
          <w:rFonts w:ascii="Times New Roman;sans-serif" w:hAnsi="Times New Roman;sans-serif"/>
          <w:b w:val="false"/>
          <w:color w:val="000000"/>
          <w:sz w:val="20"/>
        </w:rPr>
        <w:t>. As of June 30, 2023, South Shore Energy had $23.9 million outstanding in standby letters of credit pledged as security in connection with the development of NTEC. South Shore Energy does not believe it is likely that any of these outstanding letters of credit will be drawn upon.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4"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an ALLETE Clean Energy subsidiary initiated arbitration proceedings seeking damages against a counterparty for non-performance under a contract. Arbitration hearings were held in June and July 2023 with a decision expected in the third quarter of 2023. We are unable to predict the outcome of the arbitration proceedings.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EARNINGS PER SHARE AND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 </w:t>
      </w:r>
    </w:p>
    <w:tbl>
      <w:tblPr>
        <w:tblW w:w="10205" w:type="dxa"/>
        <w:jc w:val="left"/>
        <w:tblInd w:w="0" w:type="dxa"/>
        <w:tblLayout w:type="fixed"/>
        <w:tblCellMar>
          <w:top w:w="28" w:type="dxa"/>
          <w:left w:w="28" w:type="dxa"/>
          <w:bottom w:w="28" w:type="dxa"/>
          <w:right w:w="28" w:type="dxa"/>
        </w:tblCellMar>
      </w:tblPr>
      <w:tblGrid>
        <w:gridCol w:w="1043"/>
        <w:gridCol w:w="916"/>
        <w:gridCol w:w="922"/>
        <w:gridCol w:w="360"/>
        <w:gridCol w:w="361"/>
        <w:gridCol w:w="191"/>
        <w:gridCol w:w="109"/>
        <w:gridCol w:w="109"/>
        <w:gridCol w:w="109"/>
        <w:gridCol w:w="308"/>
        <w:gridCol w:w="308"/>
        <w:gridCol w:w="315"/>
        <w:gridCol w:w="109"/>
        <w:gridCol w:w="109"/>
        <w:gridCol w:w="109"/>
        <w:gridCol w:w="360"/>
        <w:gridCol w:w="361"/>
        <w:gridCol w:w="241"/>
        <w:gridCol w:w="109"/>
        <w:gridCol w:w="109"/>
        <w:gridCol w:w="109"/>
        <w:gridCol w:w="360"/>
        <w:gridCol w:w="361"/>
        <w:gridCol w:w="191"/>
        <w:gridCol w:w="109"/>
        <w:gridCol w:w="109"/>
        <w:gridCol w:w="109"/>
        <w:gridCol w:w="308"/>
        <w:gridCol w:w="308"/>
        <w:gridCol w:w="315"/>
        <w:gridCol w:w="109"/>
        <w:gridCol w:w="109"/>
        <w:gridCol w:w="109"/>
        <w:gridCol w:w="360"/>
        <w:gridCol w:w="361"/>
        <w:gridCol w:w="320"/>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Basic and Diluted</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2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w:t>
      </w:r>
    </w:p>
    <w:tbl>
      <w:tblPr>
        <w:tblW w:w="7864"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91"/>
        <w:gridCol w:w="294"/>
        <w:gridCol w:w="176"/>
        <w:gridCol w:w="153"/>
        <w:gridCol w:w="153"/>
        <w:gridCol w:w="153"/>
        <w:gridCol w:w="204"/>
        <w:gridCol w:w="204"/>
        <w:gridCol w:w="177"/>
        <w:gridCol w:w="109"/>
        <w:gridCol w:w="109"/>
        <w:gridCol w:w="109"/>
        <w:gridCol w:w="307"/>
        <w:gridCol w:w="309"/>
        <w:gridCol w:w="178"/>
        <w:gridCol w:w="178"/>
        <w:gridCol w:w="178"/>
        <w:gridCol w:w="178"/>
        <w:gridCol w:w="255"/>
        <w:gridCol w:w="256"/>
        <w:gridCol w:w="252"/>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Income Tax Expense </w:t>
            </w:r>
            <w:r>
              <w:rPr>
                <w:rFonts w:ascii="Times New Roman;sans-serif" w:hAnsi="Times New Roman;sans-serif"/>
                <w:b w:val="false"/>
                <w:i/>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(a)For the quarter and six months ended June 30, 2022, the federal and state current tax expense was minimal due to NOLs which resulted from the bonus depreciation provisions of certain tax legislation. For the quarter and six months ended June 30, 2023, the federal current tax expense was partially offset by production tax credits.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(b)For the quarter and six months ended June 30, 2023 and 2022, the federal income tax benefit is primarily due to production tax credits.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6540"/>
                <wp:effectExtent l="0" t="0" r="0" b="0"/>
                <wp:wrapNone/>
                <wp:docPr id="25" name="Frame2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pStyle w:val="TextBody"/>
        <w:bidi w:val="0"/>
        <w:spacing w:before="0" w:after="0"/>
        <w:jc w:val="both"/>
        <w:rPr/>
      </w:pPr>
      <w:r>
        <w:rPr/>
      </w:r>
    </w:p>
    <w:tbl>
      <w:tblPr>
        <w:tblW w:w="9373" w:type="dxa"/>
        <w:jc w:val="center"/>
        <w:tblInd w:w="0" w:type="dxa"/>
        <w:tblLayout w:type="fixed"/>
        <w:tblCellMar>
          <w:top w:w="28" w:type="dxa"/>
          <w:left w:w="28" w:type="dxa"/>
          <w:bottom w:w="28" w:type="dxa"/>
          <w:right w:w="28" w:type="dxa"/>
        </w:tblCellMar>
      </w:tblPr>
      <w:tblGrid>
        <w:gridCol w:w="1754"/>
        <w:gridCol w:w="1542"/>
        <w:gridCol w:w="1549"/>
        <w:gridCol w:w="308"/>
        <w:gridCol w:w="308"/>
        <w:gridCol w:w="292"/>
        <w:gridCol w:w="115"/>
        <w:gridCol w:w="115"/>
        <w:gridCol w:w="115"/>
        <w:gridCol w:w="308"/>
        <w:gridCol w:w="308"/>
        <w:gridCol w:w="292"/>
        <w:gridCol w:w="326"/>
        <w:gridCol w:w="290"/>
        <w:gridCol w:w="337"/>
        <w:gridCol w:w="135"/>
        <w:gridCol w:w="135"/>
        <w:gridCol w:w="135"/>
        <w:gridCol w:w="326"/>
        <w:gridCol w:w="290"/>
        <w:gridCol w:w="393"/>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Taxes from Federal Statutory</w:t>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 to Total Income Tax Expense</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Computed at Statutory Federal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Income Tax Due to:</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 Net of Federal Income Tax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Revaluation – Net of Federal Income Tax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Production Tax Credits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Tax Credits</w:t>
            </w:r>
            <w:r>
              <w:rPr>
                <w:color w:val="000000"/>
              </w:rPr>
              <w:t xml:space="preserve"> </w:t>
            </w:r>
            <w:r>
              <w:rPr>
                <w:rFonts w:ascii="Times New Roman;sans-serif" w:hAnsi="Times New Roman;sans-serif"/>
                <w:b w:val="false"/>
                <w:i/>
                <w:color w:val="000000"/>
                <w:sz w:val="18"/>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Differences – Excess Deferred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9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4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(a)For the quarter and six months ended June 30, 2023, the credits are presented net of any estimated discount on the sale of certain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effective tax rate was an expense of 1.4 percent (benefit of 22.1 percent for the six months ended June 30, 2022). The effective tax rates for 2023 and 2022 were primarily impacted by production tax credits.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Uncertain Tax Positions.</w:t>
      </w:r>
      <w:r>
        <w:rPr>
          <w:color w:val="000000"/>
        </w:rPr>
        <w:t xml:space="preserve"> </w:t>
      </w:r>
      <w:r>
        <w:rPr>
          <w:rFonts w:ascii="Times New Roman;sans-serif" w:hAnsi="Times New Roman;sans-serif"/>
          <w:b w:val="false"/>
          <w:color w:val="000000"/>
          <w:sz w:val="20"/>
        </w:rPr>
        <w:t>As of June 30, 2023, we had gross unrecognized tax benefits of $1.1 million ($1.3 million as of December 31, 2022). Of 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and its subsidiaries file a consolidated federal income tax return as well as combined and separate state income tax returns in various jurisdictions. The examination by the state of Wisconsin for the tax years 2018 through 2020 has been closed with no findings. ALLETE has no open federal or state audits, and is no longer subject to federal examination for years before 2019, or state examination for years before 2018. Additionally, the statute of limitations related to the federal tax credit carryforwards will remain open until those credits are utilized in subsequent returns.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6540"/>
                <wp:effectExtent l="0" t="0" r="0" b="0"/>
                <wp:wrapNone/>
                <wp:docPr id="26" name="Frame2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PENSION AND OTHER POSTRETIREMENT BENEFIT PLANS</w:t>
      </w:r>
    </w:p>
    <w:tbl>
      <w:tblPr>
        <w:tblW w:w="8309" w:type="dxa"/>
        <w:jc w:val="left"/>
        <w:tblInd w:w="0" w:type="dxa"/>
        <w:tblLayout w:type="fixed"/>
        <w:tblCellMar>
          <w:top w:w="28" w:type="dxa"/>
          <w:left w:w="28" w:type="dxa"/>
          <w:bottom w:w="28" w:type="dxa"/>
          <w:right w:w="28" w:type="dxa"/>
        </w:tblCellMar>
      </w:tblPr>
      <w:tblGrid>
        <w:gridCol w:w="1537"/>
        <w:gridCol w:w="1352"/>
        <w:gridCol w:w="1356"/>
        <w:gridCol w:w="291"/>
        <w:gridCol w:w="294"/>
        <w:gridCol w:w="176"/>
        <w:gridCol w:w="109"/>
        <w:gridCol w:w="109"/>
        <w:gridCol w:w="109"/>
        <w:gridCol w:w="291"/>
        <w:gridCol w:w="294"/>
        <w:gridCol w:w="176"/>
        <w:gridCol w:w="109"/>
        <w:gridCol w:w="109"/>
        <w:gridCol w:w="109"/>
        <w:gridCol w:w="255"/>
        <w:gridCol w:w="256"/>
        <w:gridCol w:w="176"/>
        <w:gridCol w:w="149"/>
        <w:gridCol w:w="149"/>
        <w:gridCol w:w="149"/>
        <w:gridCol w:w="255"/>
        <w:gridCol w:w="256"/>
        <w:gridCol w:w="243"/>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br/>
              <w:t>Postretirement</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 (Credit)</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(Credit)</w:t>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Return on Plan Assets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Credits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(Credit)</w:t>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4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components of net periodic benefit cost (credit) are included in the line item “Other” under Other Income (Expense) on the Consolidated Statement of Income.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Employer Contributions.</w:t>
      </w:r>
      <w:r>
        <w:rPr>
          <w:color w:val="000000"/>
        </w:rPr>
        <w:t xml:space="preserve"> </w:t>
      </w:r>
      <w:r>
        <w:rPr>
          <w:rFonts w:ascii="Times New Roman;sans-serif" w:hAnsi="Times New Roman;sans-serif"/>
          <w:b w:val="false"/>
          <w:color w:val="000000"/>
          <w:sz w:val="20"/>
        </w:rPr>
        <w:t>For the six months ended June 30, 2023, we contributed $6.5 million in cash to the defined benefit pension plans (none for the six months ended June 30, 2022); we expect to contribute an additional approximately $10 million to our defined benefit pension plans in 2023. For the six months ended June 30, 2023 and 2022, we made no contributions to our other postretirement benefit plans; we do not expect to make any contributions to our other postretirement benefit plans in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BUSINESS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two reportable segments: Regulated Operations and ALLETE Clean Energy. We measure performance of our operations through budgeting and monitoring of contributions to consolidated net income by each business segment.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New Energy, a renewable energy development company, BNI Energy, our coal mining operations in North Dakota,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6540"/>
                <wp:effectExtent l="0" t="0" r="0" b="0"/>
                <wp:wrapNone/>
                <wp:docPr id="27" name="Frame2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10. BUSINESS SEGMENTS (Continued)</w:t>
      </w:r>
    </w:p>
    <w:p>
      <w:pPr>
        <w:pStyle w:val="TextBody"/>
        <w:bidi w:val="0"/>
        <w:spacing w:before="0" w:after="0"/>
        <w:ind w:left="0" w:right="0" w:hanging="360"/>
        <w:jc w:val="both"/>
        <w:rPr/>
      </w:pPr>
      <w:r>
        <w:rPr/>
      </w:r>
    </w:p>
    <w:tbl>
      <w:tblPr>
        <w:tblW w:w="8210" w:type="dxa"/>
        <w:jc w:val="center"/>
        <w:tblInd w:w="0" w:type="dxa"/>
        <w:tblLayout w:type="fixed"/>
        <w:tblCellMar>
          <w:top w:w="28" w:type="dxa"/>
          <w:left w:w="28" w:type="dxa"/>
          <w:bottom w:w="28" w:type="dxa"/>
          <w:right w:w="28" w:type="dxa"/>
        </w:tblCellMar>
      </w:tblPr>
      <w:tblGrid>
        <w:gridCol w:w="1351"/>
        <w:gridCol w:w="1187"/>
        <w:gridCol w:w="1196"/>
        <w:gridCol w:w="419"/>
        <w:gridCol w:w="302"/>
        <w:gridCol w:w="229"/>
        <w:gridCol w:w="422"/>
        <w:gridCol w:w="299"/>
        <w:gridCol w:w="235"/>
        <w:gridCol w:w="109"/>
        <w:gridCol w:w="109"/>
        <w:gridCol w:w="109"/>
        <w:gridCol w:w="558"/>
        <w:gridCol w:w="313"/>
        <w:gridCol w:w="260"/>
        <w:gridCol w:w="474"/>
        <w:gridCol w:w="260"/>
        <w:gridCol w:w="378"/>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Operations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Clean Energy</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Renewable Development Projects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and Other</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(a)Net Income in 2022 includes a $4.0 million after-tax expense as a result of purchase price accounting related to projects under development at the time of acquisition and $3.0 million after-tax of transaction costs related to the acquisition of New Energy.</w:t>
      </w:r>
    </w:p>
    <w:p>
      <w:pPr>
        <w:pStyle w:val="TextBody"/>
        <w:bidi w:val="0"/>
        <w:spacing w:before="0" w:after="0"/>
        <w:jc w:val="both"/>
        <w:rPr/>
      </w:pPr>
      <w:r>
        <w:rPr/>
      </w:r>
    </w:p>
    <w:tbl>
      <w:tblPr>
        <w:tblW w:w="4610" w:type="dxa"/>
        <w:jc w:val="left"/>
        <w:tblInd w:w="0" w:type="dxa"/>
        <w:tblLayout w:type="fixed"/>
        <w:tblCellMar>
          <w:top w:w="28" w:type="dxa"/>
          <w:left w:w="28" w:type="dxa"/>
          <w:bottom w:w="28" w:type="dxa"/>
          <w:right w:w="28" w:type="dxa"/>
        </w:tblCellMar>
      </w:tblPr>
      <w:tblGrid>
        <w:gridCol w:w="744"/>
        <w:gridCol w:w="653"/>
        <w:gridCol w:w="658"/>
        <w:gridCol w:w="435"/>
        <w:gridCol w:w="436"/>
        <w:gridCol w:w="271"/>
        <w:gridCol w:w="435"/>
        <w:gridCol w:w="436"/>
        <w:gridCol w:w="542"/>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$6,567.9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6540"/>
                <wp:effectExtent l="0" t="0" r="0" b="0"/>
                <wp:wrapNone/>
                <wp:docPr id="28" name="Frame2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notes to those statements, Management’s Discussion and Analysis of Financial Condition and Results of Operations from our 2022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2022 Form 10-K under the headings: “Forward-Looking Statements” located on page 6 and “Risk Factors” located in Part I, Item 1A, beginning on page 24 of our 2022 Form 10-K. The risks and uncertainties described in this Form 10-Q and our 2022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 xml:space="preserve">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New Energy, a renewable development company;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incorporated under the laws of Minnesota. Our corporate headquarters are in Duluth, Minnesota. Statistical information is presented as of June 30, 2023, unless otherwise indicated. All subsidiaries are wholly-owned unless otherwise specifically indicated. References in this report to “we,” “us” and “our” are to ALLETE and its subsidiaries,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net income discussion summarizes a comparison of the six months ended June 30, 2023, to the six months ended June 30,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 for the six months ended June 30, 2023, was $109.7 million, or $1.91 per diluted share, compared to $103.9 million, or $1.89 per diluted share, for the same period in 2022. Earnings per share dilution in 2023 was $0.09 due to additional average shares of common stock outstanding in 2023 compared to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net income attributable to ALLETE was $78.4 million for the six months ended June 30, 2023, compared to $81.1 million for the same period in 2022. Net income at Minnesota Power was lower than 2022 primarily due to interim rate refund reserves recognized during 2023 as a result of Minnesota Power’s 2022 general rate case, and higher operating and maintenance expense. These decreases were partially offset by higher kWh sales to industrial customers and lower property tax expense resulting from the favorable impact of an updated estimate for 2022 property tax expense recorded in 2023. Net income at SWL&amp;P and our after-tax equity earnings in ATC were similar to 2022. (See Note 3. Equity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6540"/>
                <wp:effectExtent l="0" t="0" r="0" b="0"/>
                <wp:wrapNone/>
                <wp:docPr id="29" name="Frame2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 (Continued)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ALLETE Clean Energy</w:t>
      </w:r>
      <w:r>
        <w:rPr>
          <w:color w:val="000000"/>
        </w:rPr>
        <w:t xml:space="preserve"> </w:t>
      </w:r>
      <w:r>
        <w:rPr>
          <w:rFonts w:ascii="Times New Roman;sans-serif" w:hAnsi="Times New Roman;sans-serif"/>
          <w:b w:val="false"/>
          <w:color w:val="000000"/>
          <w:sz w:val="20"/>
        </w:rPr>
        <w:t xml:space="preserve">net income attributable to ALLETE was $11.6 million for the six months ended June 30, 2023, compared to $22.3 million for the same period in 2022. Net income in 2023 reflected lower wind resources and availability at its wind energy facilities resulting in lower revenue as well as the impact of net losses attributable to non-controlling interests for tax equity financed wind energy facilities. These decreases were partially offset by the gain on sale of the Red Barn project in 2023 of $4.3 million after-tax. Net income in 2022 included earnings from the legacy Northern Wind facilities, which were decommissioned in April 2022 as part of ALLETE Clean Energy’s project to repower and sell the Northern Wind project.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 xml:space="preserve">Corporate and Other </w:t>
      </w:r>
      <w:r>
        <w:rPr>
          <w:rFonts w:ascii="Times New Roman;sans-serif" w:hAnsi="Times New Roman;sans-serif"/>
          <w:b w:val="false"/>
          <w:color w:val="000000"/>
          <w:sz w:val="20"/>
        </w:rPr>
        <w:t>net income attributable to ALLETE was $19.7 million for the six months ended June 30, 2023, compared to $0.5 million for the same period in 2022. Net income in 2023 reflects higher earnings from New Energy in 2023 compared to 2022 as a result of more renewable development projects closed during 2023 and the impact of purchase price accounting in 2022. Net income from New Energy in 2023 was $11.5 million. The net loss from New Energy in 2022 was $1.1 million, which included a $4.0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Net income in 2022 included transaction costs of $3.0 million after-tax related to the acquisition of New Energy in April 2022.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QUARTER ENDED JUNE 30, 2023 AND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tbl>
      <w:tblPr>
        <w:tblW w:w="5215" w:type="dxa"/>
        <w:jc w:val="right"/>
        <w:tblInd w:w="0" w:type="dxa"/>
        <w:tblLayout w:type="fixed"/>
        <w:tblCellMar>
          <w:top w:w="28" w:type="dxa"/>
          <w:left w:w="28" w:type="dxa"/>
          <w:bottom w:w="28" w:type="dxa"/>
          <w:right w:w="28" w:type="dxa"/>
        </w:tblCellMar>
      </w:tblPr>
      <w:tblGrid>
        <w:gridCol w:w="1218"/>
        <w:gridCol w:w="1069"/>
        <w:gridCol w:w="1073"/>
        <w:gridCol w:w="360"/>
        <w:gridCol w:w="361"/>
        <w:gridCol w:w="176"/>
        <w:gridCol w:w="360"/>
        <w:gridCol w:w="361"/>
        <w:gridCol w:w="23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color w:val="000000"/>
        </w:rPr>
        <w:t xml:space="preserve">– </w:t>
      </w:r>
      <w:r>
        <w:rPr>
          <w:rFonts w:ascii="Times New Roman;sans-serif" w:hAnsi="Times New Roman;sans-serif"/>
          <w:b/>
          <w:i/>
          <w:color w:val="000000"/>
          <w:sz w:val="20"/>
        </w:rPr>
        <w:t>Utility</w:t>
      </w:r>
      <w:r>
        <w:rPr>
          <w:color w:val="000000"/>
        </w:rPr>
        <w:t xml:space="preserve"> </w:t>
      </w:r>
      <w:r>
        <w:rPr>
          <w:rFonts w:ascii="Times New Roman;sans-serif" w:hAnsi="Times New Roman;sans-serif"/>
          <w:b w:val="false"/>
          <w:color w:val="000000"/>
          <w:sz w:val="20"/>
        </w:rPr>
        <w:t>decreased $16.5 million from 2022 primarily due to lower fuel adjustment clause recoveries and interim rate revenue, net of reserves, as well as timing of financial incentives under Minnesota Power’s energy conservation and optimization plan, partially offset by higher cost recovery rider revenue, transmission revenue, kWh sales and FERC formula-based rates.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decreased $25.7 million due to lower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retail rate revenue, net of reserves, for Minnesota Power decreased $6.6 million from 2022 primarily due to interim refund reserves recognized during 2023 as a result of Minnesota Power’s 2022 general rate case. (See Note 2.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incentives under Minnesota Power’s energy conservation and optimization plan were $1.9 million lower than 2022 due to the timing of MPUC approval in 2022. (See Note 2.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recovery rider revenue increased $9.8 million primarily due to fewer production tax credits generated by Minnesota Power. If production tax credits are generated at a level below those assumed in Minnesota Power’s retail rates, an increase in cost recovery rider revenue is recognized to offset the impact of lower production tax credits on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6540"/>
                <wp:effectExtent l="0" t="0" r="0" b="0"/>
                <wp:wrapNone/>
                <wp:docPr id="30" name="Frame3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2023 AND 2022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 increased $4.5 million primarily due to higher MISO-related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Higher kWh sales increased revenue by $3.9 million from 2022 reflecting higher sales to industrial customers. Sales to industrial customers increased primarily due to higher sales to taconite customers reflecting Cliffs’ Northshore mine being idled in 2022 and resumed partial pellet plant production in April 2023 (see </w:t>
      </w:r>
      <w:r>
        <w:rPr>
          <w:rFonts w:ascii="Times New Roman;sans-serif" w:hAnsi="Times New Roman;sans-serif"/>
          <w:b w:val="false"/>
          <w:i/>
          <w:color w:val="000000"/>
          <w:sz w:val="20"/>
        </w:rPr>
        <w:t>Outlook – Customers – Northshore Mining</w:t>
      </w:r>
      <w:r>
        <w:rPr>
          <w:rFonts w:ascii="Times New Roman;sans-serif" w:hAnsi="Times New Roman;sans-serif"/>
          <w:b w:val="false"/>
          <w:color w:val="000000"/>
          <w:sz w:val="20"/>
        </w:rPr>
        <w:t xml:space="preserve">) as well as sales to ST Paper, which became a large power customer in 2023 (see </w:t>
      </w:r>
      <w:r>
        <w:rPr>
          <w:rFonts w:ascii="Times New Roman;sans-serif" w:hAnsi="Times New Roman;sans-serif"/>
          <w:b w:val="false"/>
          <w:i/>
          <w:color w:val="000000"/>
          <w:sz w:val="20"/>
        </w:rPr>
        <w:t>Outlook – Customers – ST Paper</w:t>
      </w:r>
      <w:r>
        <w:rPr>
          <w:rFonts w:ascii="Times New Roman;sans-serif" w:hAnsi="Times New Roman;sans-serif"/>
          <w:b w:val="false"/>
          <w:color w:val="000000"/>
          <w:sz w:val="20"/>
        </w:rPr>
        <w:t>), and higher sales to pipeline and other customers.</w:t>
      </w:r>
    </w:p>
    <w:p>
      <w:pPr>
        <w:pStyle w:val="TextBody"/>
        <w:bidi w:val="0"/>
        <w:spacing w:before="0" w:after="0"/>
        <w:jc w:val="both"/>
        <w:rPr/>
      </w:pPr>
      <w:r>
        <w:rPr/>
      </w:r>
    </w:p>
    <w:tbl>
      <w:tblPr>
        <w:tblW w:w="8026" w:type="dxa"/>
        <w:jc w:val="left"/>
        <w:tblInd w:w="0" w:type="dxa"/>
        <w:tblLayout w:type="fixed"/>
        <w:tblCellMar>
          <w:top w:w="28" w:type="dxa"/>
          <w:left w:w="28" w:type="dxa"/>
          <w:bottom w:w="28" w:type="dxa"/>
          <w:right w:w="28" w:type="dxa"/>
        </w:tblCellMar>
      </w:tblPr>
      <w:tblGrid>
        <w:gridCol w:w="1343"/>
        <w:gridCol w:w="1178"/>
        <w:gridCol w:w="1183"/>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0"/>
        <w:gridCol w:w="295"/>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customers accounted for 32 percent of regulated operating revenue in 2023 (34 percent in 2022). Revenue from electric sales to paper, pulp and secondary wood product customers accounted for 5 percent of regulated operating revenue in 2023 (5 percent in 2022). Revenue from electric sales to pipelines and other industrial customers accounted for 11 percent of regulated operating revenue in 2023 (9 percent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wholesale customers under FERC formula-based rates increased $2.1 million primarily due to higher rates.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decreased $31.3 million, or 11 percent, from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decreased $35.6 million, or 25 percent, from 2022 primarily due to lower purchased power prices and fuel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expense increased $5.2 million, or 28 percent, from 2022 primarily due to higher MISO-related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Maintenance</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increased $4.4 million, or 8 percent, from 2022 primarily due to higher salaries and wages, vegetation management costs and materials purchased for use in generation facilities.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Taxes Other than Income Taxes</w:t>
      </w:r>
      <w:r>
        <w:rPr>
          <w:color w:val="000000"/>
        </w:rPr>
        <w:t xml:space="preserve"> </w:t>
      </w:r>
      <w:r>
        <w:rPr>
          <w:rFonts w:ascii="Times New Roman;sans-serif" w:hAnsi="Times New Roman;sans-serif"/>
          <w:b w:val="false"/>
          <w:color w:val="000000"/>
          <w:sz w:val="20"/>
        </w:rPr>
        <w:t xml:space="preserve">decreased $6.3 million, or 53 percent, from 2022 primarily due to lower property tax expense resulting from the favorable impact of an updated estimate for 2022 property tax expense recorded in 2023.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increased $4.9 million from 2022 primarily due to higher pre-tax income. We expect our annual effective tax rate in 2023 to be an income tax expense compared to a benefit in 2022 primarily due to lower production tax credits.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6540"/>
                <wp:effectExtent l="0" t="0" r="0" b="0"/>
                <wp:wrapNone/>
                <wp:docPr id="31" name="Frame3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2023 AND 2022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tbl>
      <w:tblPr>
        <w:tblW w:w="5875" w:type="dxa"/>
        <w:jc w:val="right"/>
        <w:tblInd w:w="0" w:type="dxa"/>
        <w:tblLayout w:type="fixed"/>
        <w:tblCellMar>
          <w:top w:w="28" w:type="dxa"/>
          <w:left w:w="28" w:type="dxa"/>
          <w:bottom w:w="28" w:type="dxa"/>
          <w:right w:w="28" w:type="dxa"/>
        </w:tblCellMar>
      </w:tblPr>
      <w:tblGrid>
        <w:gridCol w:w="1495"/>
        <w:gridCol w:w="1312"/>
        <w:gridCol w:w="1318"/>
        <w:gridCol w:w="360"/>
        <w:gridCol w:w="361"/>
        <w:gridCol w:w="176"/>
        <w:gridCol w:w="308"/>
        <w:gridCol w:w="308"/>
        <w:gridCol w:w="23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89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8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increased $159.9 million compared to 2022 primarily due to the sale of ALLETE Clean Energy’s Red Barn project in 2023. This increase was partially offset by lower wind resources at wind energy facilities in all regions in 2023 compared to 2022. Wind availability was down across the nation in 2023 and consequently ALLETE Clean Energy revenue was negatively impacted during the quarter. In 2022, operating revenue also included revenue from the legacy Northern Wind facilities, which were decommissioned in April 2022 as part of ALLETE Clean Energy’s Northern Wind project.</w:t>
      </w:r>
    </w:p>
    <w:p>
      <w:pPr>
        <w:pStyle w:val="TextBody"/>
        <w:bidi w:val="0"/>
        <w:spacing w:before="0" w:after="0"/>
        <w:jc w:val="both"/>
        <w:rPr/>
      </w:pPr>
      <w:r>
        <w:rPr/>
      </w:r>
    </w:p>
    <w:tbl>
      <w:tblPr>
        <w:tblW w:w="7171" w:type="dxa"/>
        <w:jc w:val="left"/>
        <w:tblInd w:w="0" w:type="dxa"/>
        <w:tblLayout w:type="fixed"/>
        <w:tblCellMar>
          <w:top w:w="28" w:type="dxa"/>
          <w:left w:w="28" w:type="dxa"/>
          <w:bottom w:w="28" w:type="dxa"/>
          <w:right w:w="28" w:type="dxa"/>
        </w:tblCellMar>
      </w:tblPr>
      <w:tblGrid>
        <w:gridCol w:w="1255"/>
        <w:gridCol w:w="1102"/>
        <w:gridCol w:w="1108"/>
        <w:gridCol w:w="307"/>
        <w:gridCol w:w="309"/>
        <w:gridCol w:w="175"/>
        <w:gridCol w:w="360"/>
        <w:gridCol w:w="361"/>
        <w:gridCol w:w="276"/>
        <w:gridCol w:w="381"/>
        <w:gridCol w:w="385"/>
        <w:gridCol w:w="175"/>
        <w:gridCol w:w="307"/>
        <w:gridCol w:w="309"/>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9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Production and Operating Revenue</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Energy Regions</w:t>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Operating Revenue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Sales – Non-utility</w:t>
      </w:r>
      <w:r>
        <w:rPr>
          <w:color w:val="000000"/>
        </w:rPr>
        <w:t xml:space="preserve"> </w:t>
      </w:r>
      <w:r>
        <w:rPr>
          <w:rFonts w:ascii="Times New Roman;sans-serif" w:hAnsi="Times New Roman;sans-serif"/>
          <w:b w:val="false"/>
          <w:color w:val="000000"/>
          <w:sz w:val="20"/>
        </w:rPr>
        <w:t xml:space="preserve">increased $150.5 million from 2022 reflecting the sale of ALLETE Clean Energy’s Red Barn project in 2023. Cost of Sales – Non-utility in 2022 reflected a $10.2 million reserve in the second quarter related to the sale of the Northern Wind project, which was fully offset by a gain on removal of the PSA liability for the Northern Wind project upon decommissioning of the wind energy facilities. (See </w:t>
      </w:r>
      <w:r>
        <w:rPr>
          <w:rFonts w:ascii="Times New Roman;sans-serif" w:hAnsi="Times New Roman;sans-serif"/>
          <w:b w:val="false"/>
          <w:i/>
          <w:color w:val="000000"/>
          <w:sz w:val="20"/>
        </w:rPr>
        <w:t>Other Income</w:t>
      </w:r>
      <w:r>
        <w:rPr>
          <w:color w:val="000000"/>
        </w:rPr>
        <w:t xml:space="preserve"> </w:t>
      </w:r>
      <w:r>
        <w:rPr>
          <w:rFonts w:ascii="Times New Roman;sans-serif" w:hAnsi="Times New Roman;sans-serif"/>
          <w:b w:val="false"/>
          <w:color w:val="000000"/>
          <w:sz w:val="20"/>
        </w:rPr>
        <w:t>and Outlook – ALLETE Clean Energy.)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and Maintenance</w:t>
      </w:r>
      <w:r>
        <w:rPr>
          <w:color w:val="000000"/>
        </w:rPr>
        <w:t xml:space="preserve"> </w:t>
      </w:r>
      <w:r>
        <w:rPr>
          <w:rFonts w:ascii="Times New Roman;sans-serif" w:hAnsi="Times New Roman;sans-serif"/>
          <w:b w:val="false"/>
          <w:color w:val="000000"/>
          <w:sz w:val="20"/>
        </w:rPr>
        <w:t>expense increased $1.8 million from 2022 primarily due to higher contract and professional services in 2023.</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 xml:space="preserve">decreased $9.3 million from 2022 primarily due to a gain on removal of the PSA liability for the Northern Wind project upon decommissioning of the wind energy facilities in 2022. (See </w:t>
      </w:r>
      <w:r>
        <w:rPr>
          <w:rFonts w:ascii="Times New Roman;sans-serif" w:hAnsi="Times New Roman;sans-serif"/>
          <w:b w:val="false"/>
          <w:i/>
          <w:color w:val="000000"/>
          <w:sz w:val="20"/>
        </w:rPr>
        <w:t>Cost of Sales – Non-utility</w:t>
      </w:r>
      <w:r>
        <w:rPr>
          <w:color w:val="000000"/>
        </w:rPr>
        <w:t xml:space="preserve"> </w:t>
      </w:r>
      <w:r>
        <w:rPr>
          <w:rFonts w:ascii="Times New Roman;sans-serif" w:hAnsi="Times New Roman;sans-serif"/>
          <w:b w:val="false"/>
          <w:color w:val="000000"/>
          <w:sz w:val="20"/>
        </w:rPr>
        <w:t>and Outlook – ALLETE Clean Energy.)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Benefit</w:t>
      </w:r>
      <w:r>
        <w:rPr>
          <w:color w:val="000000"/>
        </w:rPr>
        <w:t xml:space="preserve"> </w:t>
      </w:r>
      <w:r>
        <w:rPr>
          <w:rFonts w:ascii="Times New Roman;sans-serif" w:hAnsi="Times New Roman;sans-serif"/>
          <w:b w:val="false"/>
          <w:color w:val="000000"/>
          <w:sz w:val="20"/>
        </w:rPr>
        <w:t xml:space="preserve">increased $2.7 million from 2022 primarily due to lower income from net losses attributable to non-controlling interests for tax equity financed wind energy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6540"/>
                <wp:effectExtent l="0" t="0" r="0" b="0"/>
                <wp:wrapNone/>
                <wp:docPr id="32" name="Frame3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QUARTER ENDED JUNE 30, 2023 AND 2022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Loss Attributable to Non-Controlling Interest </w:t>
      </w:r>
      <w:r>
        <w:rPr>
          <w:rFonts w:ascii="Times New Roman;sans-serif" w:hAnsi="Times New Roman;sans-serif"/>
          <w:b w:val="false"/>
          <w:color w:val="000000"/>
          <w:sz w:val="20"/>
        </w:rPr>
        <w:t>decreased $5.6 million from 2022 reflecting lower wind resources at our tax equity financed wind energy facilities. This decrease was partially offset by a higher production tax credit value per MWh, as determined by the Internal Revenue Service, in 2023 compared to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Revenue</w:t>
      </w:r>
      <w:r>
        <w:rPr>
          <w:color w:val="000000"/>
        </w:rPr>
        <w:t xml:space="preserve"> </w:t>
      </w:r>
      <w:r>
        <w:rPr>
          <w:rFonts w:ascii="Times New Roman;sans-serif" w:hAnsi="Times New Roman;sans-serif"/>
          <w:b w:val="false"/>
          <w:color w:val="000000"/>
          <w:sz w:val="20"/>
        </w:rPr>
        <w:t>increased $16.9 million from 2022 reflecting higher revenue from New Energy, which was acquired in April 2022, and higher revenue at BNI Energy, which operates under cost-plus fixed fee contracts, as a result of higher expenses in 2023 compared to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Income Attributable to ALLETE</w:t>
      </w:r>
      <w:r>
        <w:rPr>
          <w:color w:val="000000"/>
        </w:rPr>
        <w:t xml:space="preserve"> </w:t>
      </w:r>
      <w:r>
        <w:rPr>
          <w:rFonts w:ascii="Times New Roman;sans-serif" w:hAnsi="Times New Roman;sans-serif"/>
          <w:b w:val="false"/>
          <w:color w:val="000000"/>
          <w:sz w:val="20"/>
        </w:rPr>
        <w:t>of $10.6 million in 2023 compared to $2.2 million in 2022. Net income in 2023 reflects higher earnings from New Energy in 2023 compared to 2022 as a result of more renewable development projects sold and fewer impacts from purchase price accounting in 2023 compared to 2022. Net income from New Energy in 2023 was $7.4 million. The net loss from New Energy in 2022 was $1.1 million, which included a $4.0 million after-tax expense as a result of purchase price accounting related to projects under development at the time of acquisition. This increase was partially offset by higher income taxes in 2023. Net income in 2022 included transaction costs of $1.6 million after-tax related to the acquisition of New Energy in April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June 30, 2023, the effective tax rate was an benefit of 1.0 percent (benefit of 66.4 percent for the quarter ended June 30, 2022). The effective tax rate for 2023 was a lower benefit primarily due to higher pre-tax income and lower production tax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annual effective tax rate in 2023 to be an expense primarily due to lower production tax credits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SIX MONTHS ENDED JUNE 30, 2023 AND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tbl>
      <w:tblPr>
        <w:tblW w:w="5214" w:type="dxa"/>
        <w:jc w:val="right"/>
        <w:tblInd w:w="0" w:type="dxa"/>
        <w:tblLayout w:type="fixed"/>
        <w:tblCellMar>
          <w:top w:w="28" w:type="dxa"/>
          <w:left w:w="28" w:type="dxa"/>
          <w:bottom w:w="28" w:type="dxa"/>
          <w:right w:w="28" w:type="dxa"/>
        </w:tblCellMar>
      </w:tblPr>
      <w:tblGrid>
        <w:gridCol w:w="1217"/>
        <w:gridCol w:w="1069"/>
        <w:gridCol w:w="1073"/>
        <w:gridCol w:w="360"/>
        <w:gridCol w:w="361"/>
        <w:gridCol w:w="176"/>
        <w:gridCol w:w="360"/>
        <w:gridCol w:w="361"/>
        <w:gridCol w:w="237"/>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color w:val="000000"/>
        </w:rPr>
        <w:t xml:space="preserve">– </w:t>
      </w:r>
      <w:r>
        <w:rPr>
          <w:rFonts w:ascii="Times New Roman;sans-serif" w:hAnsi="Times New Roman;sans-serif"/>
          <w:b/>
          <w:i/>
          <w:color w:val="000000"/>
          <w:sz w:val="20"/>
        </w:rPr>
        <w:t>Utility</w:t>
      </w:r>
      <w:r>
        <w:rPr>
          <w:color w:val="000000"/>
        </w:rPr>
        <w:t xml:space="preserve"> </w:t>
      </w:r>
      <w:r>
        <w:rPr>
          <w:rFonts w:ascii="Times New Roman;sans-serif" w:hAnsi="Times New Roman;sans-serif"/>
          <w:b w:val="false"/>
          <w:color w:val="000000"/>
          <w:sz w:val="20"/>
        </w:rPr>
        <w:t>decreased $32.9 million from 2022 primarily due to lower fuel adjustment clause recoveries, kWh sales and interim rate revenue, net of reserves, as well as timing of financial incentives under Minnesota Power’s energy conservation and optimization plan, partially offset by higher cost recovery rider revenue, transmission revenue and FERC formula-based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6540"/>
                <wp:effectExtent l="0" t="0" r="0" b="0"/>
                <wp:wrapNone/>
                <wp:docPr id="33" name="Frame3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decreased $30.4 million due to lower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Lower kWh sales reduced revenue by $16.0 million from 2022 reflecting lower sales to residential, commercial and municipal customers as well as lower sales to other power suppliers. Sales to residential, commercial and municipal customers decreased from 2022 primarily due to milder weather in 2023 compared to 2022. Sales to municipal customers also decreased as a result of a new contract entered into with Hibbing Public Utilities in 2022 with sales under the new contract now classified under other power suppliers. Sales to industrial customers increased primarily due to higher sales to most taconite customers, sales to ST Paper, which became a large power customer in 2023 (see </w:t>
      </w:r>
      <w:r>
        <w:rPr>
          <w:rFonts w:ascii="Times New Roman;sans-serif" w:hAnsi="Times New Roman;sans-serif"/>
          <w:b w:val="false"/>
          <w:i/>
          <w:color w:val="000000"/>
          <w:sz w:val="20"/>
        </w:rPr>
        <w:t>Outlook – Customers – ST Paper</w:t>
      </w:r>
      <w:r>
        <w:rPr>
          <w:rFonts w:ascii="Times New Roman;sans-serif" w:hAnsi="Times New Roman;sans-serif"/>
          <w:b w:val="false"/>
          <w:color w:val="000000"/>
          <w:sz w:val="20"/>
        </w:rPr>
        <w:t xml:space="preserve">), and higher sales to pipeline and other customers, partially offset by lower sales to Cliffs’ Northshore mine as it was idled beginning in the second quarter of 2022 until it resumed partial pellet plant production in April 2023. (See </w:t>
      </w:r>
      <w:r>
        <w:rPr>
          <w:rFonts w:ascii="Times New Roman;sans-serif" w:hAnsi="Times New Roman;sans-serif"/>
          <w:b w:val="false"/>
          <w:i/>
          <w:color w:val="000000"/>
          <w:sz w:val="20"/>
        </w:rPr>
        <w:t>Outlook – Customers – Northshore Mining.</w:t>
      </w:r>
      <w:r>
        <w:rPr>
          <w:rFonts w:ascii="Times New Roman;sans-serif" w:hAnsi="Times New Roman;sans-serif"/>
          <w:b w:val="false"/>
          <w:color w:val="000000"/>
          <w:sz w:val="20"/>
        </w:rPr>
        <w:t>) Sales to other power suppliers, which are sold at market-based prices into the MISO market on a daily basis or through PSAs of various durations, decreased in 2023 compared to 2022 primarily due to fewer market sales and lower market prices in 2023 compared to 2022.</w:t>
      </w:r>
    </w:p>
    <w:p>
      <w:pPr>
        <w:pStyle w:val="TextBody"/>
        <w:bidi w:val="0"/>
        <w:spacing w:before="0" w:after="0"/>
        <w:jc w:val="left"/>
        <w:rPr/>
      </w:pPr>
      <w:r>
        <w:rPr/>
      </w:r>
    </w:p>
    <w:tbl>
      <w:tblPr>
        <w:tblW w:w="8027" w:type="dxa"/>
        <w:jc w:val="left"/>
        <w:tblInd w:w="0" w:type="dxa"/>
        <w:tblLayout w:type="fixed"/>
        <w:tblCellMar>
          <w:top w:w="28" w:type="dxa"/>
          <w:left w:w="28" w:type="dxa"/>
          <w:bottom w:w="28" w:type="dxa"/>
          <w:right w:w="28" w:type="dxa"/>
        </w:tblCellMar>
      </w:tblPr>
      <w:tblGrid>
        <w:gridCol w:w="1343"/>
        <w:gridCol w:w="1178"/>
        <w:gridCol w:w="1184"/>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1"/>
        <w:gridCol w:w="294"/>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customers accounted for 31 percent of regulated operating revenue in 2023 (33 percent in 2022). Revenue from electric sales to paper, pulp and secondary wood product customers accounted for 5 percent of regulated operating revenue in 2023 (5 percent in 2022). Revenue from electric sales to pipelines and other industrial customers accounted for 11 percent of regulated operating revenue in 2023 (9 percent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Interim retail rate revenue, net of reserves, for Minnesota Power decreased $13.2 million from 2022 primarily due to interim refund reserves recognized during 2023 as a result of Minnesota Power’s 2022 general rate case. Interim rate refund reserves in 2022 were not recognized until the fourth quarter. (See Note 2.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incentives under Minnesota Power’s energy conservation and optimization plan were $1.9 million lower than 2022 due to the timing of MPUC approval in 2022. (See Note 2.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recovery rider revenue increased $19.6 million primarily due to fewer production tax credits generated by Minnesota Power. If production tax credits are generated at a level below those assumed in Minnesota Power’s retail rates, an increase in cost recovery rider revenue is recognized to offset the impact of lower production tax credits on 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revenue increased $6.1 million primarily due to higher MISO-related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wholesale customers under FERC formula-based rates increased $3.5 million primarily due to higher rates.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decreased $44.6 million, or 8 percent, from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decreased $54.4 million, or 19 percent, from 2022 primarily due to lower kWh sales, purchased power prices and fuel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expense increased $5.4 million, or 14 percent, from 2022 primarily due to higher MISO-related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6540"/>
                <wp:effectExtent l="0" t="0" r="0" b="0"/>
                <wp:wrapNone/>
                <wp:docPr id="34" name="Frame3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Maintenance</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increased $7.9 million, or 7 percent, from 2022 primarily due to higher salaries and wages, vegetation management costs, and materials purchased for use in generation facilities. These increases were partially offset by lower benefit costs.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expense increased $2.1 million, or 2 percent, from 2022 primarily due to a higher plant in service balance in 2023.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Taxes Other than Income Taxes </w:t>
      </w:r>
      <w:r>
        <w:rPr>
          <w:rFonts w:ascii="Times New Roman;sans-serif" w:hAnsi="Times New Roman;sans-serif"/>
          <w:b w:val="false"/>
          <w:color w:val="000000"/>
          <w:sz w:val="20"/>
        </w:rPr>
        <w:t xml:space="preserve">decreased $5.6 million, or 21 percent, from 2022 primarily due to lower property tax expense resulting from the favorable impact of an updated estimate for 2022 property tax expense recorded in 2023.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increased $12.4 million from 2022 primarily due to lower production tax credits. We expect our annual effective tax rate in 2023 to be an income tax expense compared to a benefit in 2022 primarily due to lower production tax credits.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tbl>
      <w:tblPr>
        <w:tblW w:w="5875" w:type="dxa"/>
        <w:jc w:val="right"/>
        <w:tblInd w:w="0" w:type="dxa"/>
        <w:tblLayout w:type="fixed"/>
        <w:tblCellMar>
          <w:top w:w="28" w:type="dxa"/>
          <w:left w:w="28" w:type="dxa"/>
          <w:bottom w:w="28" w:type="dxa"/>
          <w:right w:w="28" w:type="dxa"/>
        </w:tblCellMar>
      </w:tblPr>
      <w:tblGrid>
        <w:gridCol w:w="1494"/>
        <w:gridCol w:w="1313"/>
        <w:gridCol w:w="1318"/>
        <w:gridCol w:w="360"/>
        <w:gridCol w:w="361"/>
        <w:gridCol w:w="176"/>
        <w:gridCol w:w="308"/>
        <w:gridCol w:w="308"/>
        <w:gridCol w:w="23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increased $333.2 million from 2022 primarily due to the sales of ALLETE Clean Energy’s Northern Wind and Red Barn projects in 2023. This increase was partially offset by lower wind resources and availability at wind energy facilities in all regions in 2023 compared to 2022. Wind availability was down across the nation during the second quarter of 2023 and consequently, ALLETE Clean Energy revenue was negatively impacted in 2023. In 2022, operating revenue also included revenue from the legacy Northern Wind facilities, which were decommissioned in April 2022 as part of ALLETE Clean Energy’s Northern Wind project.</w:t>
      </w:r>
    </w:p>
    <w:tbl>
      <w:tblPr>
        <w:tblW w:w="7361" w:type="dxa"/>
        <w:jc w:val="left"/>
        <w:tblInd w:w="0" w:type="dxa"/>
        <w:tblLayout w:type="fixed"/>
        <w:tblCellMar>
          <w:top w:w="28" w:type="dxa"/>
          <w:left w:w="28" w:type="dxa"/>
          <w:bottom w:w="28" w:type="dxa"/>
          <w:right w:w="28" w:type="dxa"/>
        </w:tblCellMar>
      </w:tblPr>
      <w:tblGrid>
        <w:gridCol w:w="1255"/>
        <w:gridCol w:w="1102"/>
        <w:gridCol w:w="1108"/>
        <w:gridCol w:w="383"/>
        <w:gridCol w:w="383"/>
        <w:gridCol w:w="195"/>
        <w:gridCol w:w="360"/>
        <w:gridCol w:w="361"/>
        <w:gridCol w:w="276"/>
        <w:gridCol w:w="383"/>
        <w:gridCol w:w="383"/>
        <w:gridCol w:w="195"/>
        <w:gridCol w:w="308"/>
        <w:gridCol w:w="308"/>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9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Production and Operating Revenue</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kWh</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Energy Regions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Midwest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Wind Energy Facility</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Operating Revenue</w:t>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2,286.8 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6540"/>
                <wp:effectExtent l="0" t="0" r="0" b="0"/>
                <wp:wrapNone/>
                <wp:docPr id="35" name="Frame3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 (Continued)</w:t>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ALLETE Clean Energy (Continued)</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Sales – Non-utility</w:t>
      </w:r>
      <w:r>
        <w:rPr>
          <w:color w:val="000000"/>
        </w:rPr>
        <w:t xml:space="preserve"> </w:t>
      </w:r>
      <w:r>
        <w:rPr>
          <w:rFonts w:ascii="Times New Roman;sans-serif" w:hAnsi="Times New Roman;sans-serif"/>
          <w:b w:val="false"/>
          <w:color w:val="000000"/>
          <w:sz w:val="20"/>
        </w:rPr>
        <w:t xml:space="preserve">increased $332.1 million from 2022 reflecting the sales of ALLETE Clean Energy’s Northern Wind and Red Barn projects in 2023. Cost of Sales – Non-utility in 2022 reflected a $10.2 million reserve in the second quarter related to the sale of the Northern Wind project, which was fully offset by a gain on removal of the PSA liability for the Northern Wind project upon decommissioning of the wind energy facilities. (See </w:t>
      </w:r>
      <w:r>
        <w:rPr>
          <w:rFonts w:ascii="Times New Roman;sans-serif" w:hAnsi="Times New Roman;sans-serif"/>
          <w:b w:val="false"/>
          <w:i/>
          <w:color w:val="000000"/>
          <w:sz w:val="20"/>
        </w:rPr>
        <w:t>Other Income</w:t>
      </w:r>
      <w:r>
        <w:rPr>
          <w:color w:val="000000"/>
        </w:rPr>
        <w:t xml:space="preserve"> </w:t>
      </w:r>
      <w:r>
        <w:rPr>
          <w:rFonts w:ascii="Times New Roman;sans-serif" w:hAnsi="Times New Roman;sans-serif"/>
          <w:b w:val="false"/>
          <w:color w:val="000000"/>
          <w:sz w:val="20"/>
        </w:rPr>
        <w:t>and Outlook – ALLETE Clean Energy.)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and Maintenance</w:t>
      </w:r>
      <w:r>
        <w:rPr>
          <w:color w:val="000000"/>
        </w:rPr>
        <w:t xml:space="preserve"> </w:t>
      </w:r>
      <w:r>
        <w:rPr>
          <w:rFonts w:ascii="Times New Roman;sans-serif" w:hAnsi="Times New Roman;sans-serif"/>
          <w:b w:val="false"/>
          <w:color w:val="000000"/>
          <w:sz w:val="20"/>
        </w:rPr>
        <w:t>expense increased $4.7 million, or 20 percent, from 2022 primarily due to higher contract and professional services in 2023.</w:t>
      </w:r>
    </w:p>
    <w:p>
      <w:pPr>
        <w:pStyle w:val="TextBody"/>
        <w:bidi w:val="0"/>
        <w:spacing w:before="0" w:after="0"/>
        <w:jc w:val="right"/>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 xml:space="preserve">decreased $9.2 million from 2022 primarily due to a gain on removal of the PSA liability for the Northern Wind project upon decommissioning of the wind energy facilities in 2022. (See </w:t>
      </w:r>
      <w:r>
        <w:rPr>
          <w:rFonts w:ascii="Times New Roman;sans-serif" w:hAnsi="Times New Roman;sans-serif"/>
          <w:b w:val="false"/>
          <w:i/>
          <w:color w:val="000000"/>
          <w:sz w:val="20"/>
        </w:rPr>
        <w:t>Cost of Sales – Non-utility</w:t>
      </w:r>
      <w:r>
        <w:rPr>
          <w:color w:val="000000"/>
        </w:rPr>
        <w:t xml:space="preserve"> </w:t>
      </w:r>
      <w:r>
        <w:rPr>
          <w:rFonts w:ascii="Times New Roman;sans-serif" w:hAnsi="Times New Roman;sans-serif"/>
          <w:b w:val="false"/>
          <w:color w:val="000000"/>
          <w:sz w:val="20"/>
        </w:rPr>
        <w:t>and Outlook – ALLETE Clean Energy.)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Benefit</w:t>
      </w:r>
      <w:r>
        <w:rPr>
          <w:color w:val="000000"/>
        </w:rPr>
        <w:t xml:space="preserve"> </w:t>
      </w:r>
      <w:r>
        <w:rPr>
          <w:rFonts w:ascii="Times New Roman;sans-serif" w:hAnsi="Times New Roman;sans-serif"/>
          <w:b w:val="false"/>
          <w:color w:val="000000"/>
          <w:sz w:val="20"/>
        </w:rPr>
        <w:t>increased $3.2 million from 2022 primarily due to a higher pre-tax loss in 2023 compared to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Loss Attributable to Non-Controlling Interest</w:t>
      </w:r>
      <w:r>
        <w:rPr>
          <w:color w:val="000000"/>
        </w:rPr>
        <w:t xml:space="preserve"> </w:t>
      </w:r>
      <w:r>
        <w:rPr>
          <w:rFonts w:ascii="Times New Roman;sans-serif" w:hAnsi="Times New Roman;sans-serif"/>
          <w:b w:val="false"/>
          <w:color w:val="000000"/>
          <w:sz w:val="20"/>
        </w:rPr>
        <w:t>decreased $4.9 million from 2022 reflecting lower wind resources at our tax equity financed wind energy facilities. This decrease was partially offset by a higher production tax credit value per MWh, as determined by the Internal Revenue Service, in 2023 compared to 2022.</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increased $41.4 million, or 60 percent, from 2022 reflecting higher revenue from New Energy, which was acquired in April 2022, and higher revenue at BNI Energy, which operates under cost-plus fixed fee contracts, as a result of higher expenses in 2023 compared to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Income Attributable to ALLETE </w:t>
      </w:r>
      <w:r>
        <w:rPr>
          <w:rFonts w:ascii="Times New Roman;sans-serif" w:hAnsi="Times New Roman;sans-serif"/>
          <w:b w:val="false"/>
          <w:color w:val="000000"/>
          <w:sz w:val="20"/>
        </w:rPr>
        <w:t>was $19.7 million in 2023 compared to $0.5 million in 2022. Net income in 2023 reflects higher earnings from New Energy in 2023 compared to 2022 as a result of more renewable development projects closed during 2023 and the impact of purchase price accounting in 2022. Net income from New Energy in 2023 was $11.5 million. The net loss from New Energy in 2022 was $1.1 million, which included a $4.0 million after-tax expense as a result of purchase price accounting related to projects under development at the time of acquisition. Net income in 2023 also reflects earnings from Minnesota solar projects placed into service in the fourth quarter of 2022 and second quarter of 2023. Net income in 2022 included transaction costs of $3.0 million after-tax related to the acquisition of New Energy in April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the effective tax rate was an expense of 1.4 percent (benefit of 22.1 percent for the six months ended June 30, 2022). The effective tax rate for 2023 was an expense primarily due to higher pre-tax income and lower production tax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annual effective tax rate in 2023 to be an expense primarily due to lower production tax credits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6540"/>
                <wp:effectExtent l="0" t="0" r="0" b="0"/>
                <wp:wrapNone/>
                <wp:docPr id="36" name="Frame3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2022 Form 10-K.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our 2022 Form 10-K.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2023. ALLETE expects its businesses to generally provide regulated, contracted or recurring revenues, and to support sustained growth in net income and cash flow.</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Minnesota Carbon-Free Legislation.</w:t>
      </w:r>
      <w:r>
        <w:rPr>
          <w:color w:val="000000"/>
        </w:rPr>
        <w:t xml:space="preserve"> </w:t>
      </w:r>
      <w:r>
        <w:rPr>
          <w:rFonts w:ascii="Times New Roman;sans-serif" w:hAnsi="Times New Roman;sans-serif"/>
          <w:b w:val="false"/>
          <w:color w:val="000000"/>
          <w:sz w:val="20"/>
        </w:rPr>
        <w:t>On February 7, 2023, the Minnesota Governor signed into law legislation that updates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Minnesota Power’s long-term strategy is to be the leading electric energy provider in northeastern Minnesota by providing safe, 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plans to file its next rate case in the fourth quarter of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2022 Minnesota General Rate Case. </w:t>
      </w:r>
      <w:r>
        <w:rPr>
          <w:rFonts w:ascii="Times New Roman;sans-serif" w:hAnsi="Times New Roman;sans-serif"/>
          <w:b w:val="false"/>
          <w:color w:val="000000"/>
          <w:sz w:val="20"/>
        </w:rPr>
        <w:t xml:space="preserve">On November 1, 2021, Minnesota Power filed a retail rate increase request with the MPUC seeking an average increase of approximately 18 percent for retail customers. The rate filing sought a return on equity of 10.25 percent and a 53.81 percent equity ratio. On an annualized basis, the requested final rate increase would have generated approximately $108 million in additional revenue.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6540"/>
                <wp:effectExtent l="0" t="0" r="0" b="0"/>
                <wp:wrapNone/>
                <wp:docPr id="37" name="Frame3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an order dated February 28,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On March 20, 2023, Minnesota Power filed a petition for reconsideration with the MPUC requesting reconsideration and clarification of certain decisions in the MPUC’s order. Minnesota Power’s petition included requesting reconsideration of the ratemaking treatment of Taconite Harbor and Minnesota Power’s prepaid pension asset as well as clarification on interim rate treatment for sales to certain customers that did not operate during 2022. The MPUC denied the requests for reconsideration in an order dated May 15, 2023, and provided clarification in support of the interim rate refund treatment for sales to certain customers that did not operate during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 rates are expected to commence in the third quarter of 2023; interim rates will be collected through this period with reserves recorded as necessary. Minnesota Power has recorded a reserve for an interim rate refund of $31.8 million pre-tax as of June 30, 2023 ($18.4 million as of December 31, 2022), which is subject to MPUC approval of Minnesota Power’s compliance filing and interim rate refund calculation that was submitted to the MPUC on June 14,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2023, Minnesota Power filed notice with the Minnesota Court of Appeals (Court) to appeal specific aspects of the MPUC’s rate case orders. Minnesota Power is appealing the ratemaking treatment of Taconite Harbor and Minnesota Power’s prepaid pension asset. We are unable to predict the outcome of this proceeding.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Industrial and Municipal Customers and Prospective Additional Load.</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Industrial Customers.</w:t>
      </w:r>
      <w:r>
        <w:rPr>
          <w:color w:val="000000"/>
        </w:rPr>
        <w:t xml:space="preserve"> </w:t>
      </w:r>
      <w:r>
        <w:rPr>
          <w:rFonts w:ascii="Times New Roman;sans-serif" w:hAnsi="Times New Roman;sans-serif"/>
          <w:b w:val="false"/>
          <w:color w:val="000000"/>
          <w:sz w:val="20"/>
        </w:rPr>
        <w:t>Electric power is one of several key inputs in the taconite mining, paper, pulp and secondary wood products, pipeline and other industries. Approximately 54 percent of our regulated utility kWh sales in the six months ended June 30, 2023, were made to our industrial customers (50 percent in the six months ended June 30,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Taconite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Northshore Mining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Cliffs idled all production at its Northshore mine in 2022. Northshore Mining resumed partial pellet plant production in April 2023. Cliffs indicated it will continue to utilize Northshore Mining as a swing facility and does not expect it to operate at full production in 2023. Northshore Mining has the capability to produce approximately 6 million tons annually. Minnesota Power has a PSA through 2031 with Silver Bay Power, which provides the majority of the electric service requirements for Northshore Mining.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USS Corporation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USS Corporation has announced plans to invest approximately $150 million to construct a system dedicated to producing direct reduced-grade (DR-grade) pellets at its Keetac plant. USS Corporation broke ground on the project in the third quarter of 2022, which is expected to be completed in late 2023.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Hibbing Taconite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On May 25, 2023, the Minnesota Executive Council approved state mineral leases near Nashwauk, Minnesota, with Hibbing Taconite providing the mine with more than two decades of additional mineral reserves. Prior to the leases being awarded, Hibbing Taconite had proven mineral reserves to support its operations through 2026. Hibbing Taconite has the capability of producing 8 million tons of taconite annually.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u w:val="single"/>
        </w:rPr>
        <w:t>Paper, Pulp and Secondary Wood Products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ST Paper</w:t>
      </w:r>
      <w:r>
        <w:rPr>
          <w:rFonts w:ascii="Times New Roman;sans-serif" w:hAnsi="Times New Roman;sans-serif"/>
          <w:b w:val="false"/>
          <w:color w:val="000000"/>
          <w:sz w:val="20"/>
        </w:rPr>
        <w:t>. In May 2021, ST Paper announced it had completed the purchase of the Duluth Mill from Verso Corporation. ST Paper completed a project at the Duluth Mill to produce tissue and began production early in 2023. In January 2022, Minnesota Power entered into an electric service agreement with ST Paper that would begin large power customer service with a minimum term of six years upon start-up of operations. ST Paper has completed start-up of operations and is now a large power customer.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6540"/>
                <wp:effectExtent l="0" t="0" r="0" b="0"/>
                <wp:wrapNone/>
                <wp:docPr id="38" name="Frame3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Industrial and Municipal Customers and Prospective Additional Load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Pipeline and Other Industries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Cenovus Energy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 2018, a fire at Cenovus Energy’s refinery in Superior, Wisconsin, which was owned by Husky Energy at that time, disrupted operations at the facility. Under normal operating conditions, SWL&amp;P provides approximately 14 MW of average monthly demand to the refinery in addition to water service. Cenovus Energy announced in April 2023 that it had commenced restart of the facility, and the refinery is expected to resume normal operations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Transmission.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Duluth Loop Reliability Project.</w:t>
      </w:r>
      <w:r>
        <w:rPr>
          <w:color w:val="000000"/>
        </w:rPr>
        <w:t xml:space="preserve"> </w:t>
      </w:r>
      <w:r>
        <w:rPr>
          <w:rFonts w:ascii="Times New Roman;sans-serif" w:hAnsi="Times New Roman;sans-serif"/>
          <w:b w:val="false"/>
          <w:color w:val="000000"/>
          <w:sz w:val="20"/>
        </w:rPr>
        <w:t xml:space="preserve">In October 2021, Minnesota Power submitted an application for a certificate of need for the Duluth Loop Reliability 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2025, with an estimated cost of $50 million to $70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HVDC Transmission System Project.</w:t>
      </w:r>
      <w:r>
        <w:rPr>
          <w:color w:val="000000"/>
        </w:rPr>
        <w:t xml:space="preserve"> </w:t>
      </w:r>
      <w:r>
        <w:rPr>
          <w:rFonts w:ascii="Times New Roman;sans-serif" w:hAnsi="Times New Roman;sans-serif"/>
          <w:b w:val="false"/>
          <w:color w:val="000000"/>
          <w:sz w:val="20"/>
        </w:rPr>
        <w:t>On June 1, 2023, Minnesota Power submitted an application for a certificate of need and route permit with the MPUC to replace aging critical infrastructure and modernize the terminal stations of its HVDC transmission line.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Pending regulatory approvals in Minnesota and North Dakota, construction could begin as early as 2024, with an in-service date expected between 2028 and 2030. The project is estimated to cost between $800 million and $900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Northland Reliability Project</w:t>
      </w:r>
      <w:r>
        <w:rPr>
          <w:rFonts w:ascii="Times New Roman;sans-serif" w:hAnsi="Times New Roman;sans-serif"/>
          <w:b w:val="false"/>
          <w:color w:val="000000"/>
          <w:sz w:val="20"/>
        </w:rPr>
        <w:t>. Minnesota Power and Great River Energy announced in July 2022, their intent to build a 150-mile, 345-kV 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transmission line, as initially estimated through the MISO planning process,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Subject to regulatory approvals, the transmission line is expected to be in service in 2030.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ALLETE Clean Energy.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Clean Energy signed an asset sale agreement for the Red Barn wind project with Wisconsin Public Service Corporation and Madison Gas and Electric Company in 2021. The sale of the Red Barn wind project closed in the second quarter of 2023 at which time ALLETE Clean Energy received cash proceeds of approximately $160 million and recorded a gain on sale of $4.3 million after-tax.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6540"/>
                <wp:effectExtent l="0" t="0" r="0" b="0"/>
                <wp:wrapNone/>
                <wp:docPr id="39" name="Frame3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Corporate and Other.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Liquidity Position.</w:t>
      </w:r>
      <w:r>
        <w:rPr>
          <w:color w:val="000000"/>
        </w:rPr>
        <w:t xml:space="preserve"> </w:t>
      </w:r>
      <w:r>
        <w:rPr>
          <w:rFonts w:ascii="Times New Roman;sans-serif" w:hAnsi="Times New Roman;sans-serif"/>
          <w:b w:val="false"/>
          <w:color w:val="000000"/>
          <w:sz w:val="20"/>
        </w:rPr>
        <w:t>ALLETE is well-positioned to meet the Company’s liquidity needs. As of June 30, 2023, we had cash and cash equivalents of $47.9 million, $421.0 million in available consolidated lines of credit, 2.1 million original issue shares of common stock available for issuance through a distribution agreement with Lampert Capital Markets and a debt-to-capital ratio of 35 percent.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Capital Structure.</w:t>
      </w:r>
      <w:r>
        <w:rPr>
          <w:color w:val="000000"/>
        </w:rPr>
        <w:t xml:space="preserve"> </w:t>
      </w:r>
      <w:r>
        <w:rPr>
          <w:rFonts w:ascii="Times New Roman;sans-serif" w:hAnsi="Times New Roman;sans-serif"/>
          <w:b w:val="false"/>
          <w:color w:val="000000"/>
          <w:sz w:val="20"/>
        </w:rPr>
        <w:t>ALLETE’s capital structure is as follows:</w:t>
      </w:r>
    </w:p>
    <w:tbl>
      <w:tblPr>
        <w:tblW w:w="7984" w:type="dxa"/>
        <w:jc w:val="left"/>
        <w:tblInd w:w="0" w:type="dxa"/>
        <w:tblLayout w:type="fixed"/>
        <w:tblCellMar>
          <w:top w:w="28" w:type="dxa"/>
          <w:left w:w="28" w:type="dxa"/>
          <w:bottom w:w="28" w:type="dxa"/>
          <w:right w:w="28" w:type="dxa"/>
        </w:tblCellMar>
      </w:tblPr>
      <w:tblGrid>
        <w:gridCol w:w="1217"/>
        <w:gridCol w:w="1072"/>
        <w:gridCol w:w="1085"/>
        <w:gridCol w:w="435"/>
        <w:gridCol w:w="436"/>
        <w:gridCol w:w="271"/>
        <w:gridCol w:w="109"/>
        <w:gridCol w:w="109"/>
        <w:gridCol w:w="109"/>
        <w:gridCol w:w="232"/>
        <w:gridCol w:w="234"/>
        <w:gridCol w:w="109"/>
        <w:gridCol w:w="109"/>
        <w:gridCol w:w="109"/>
        <w:gridCol w:w="109"/>
        <w:gridCol w:w="435"/>
        <w:gridCol w:w="436"/>
        <w:gridCol w:w="421"/>
        <w:gridCol w:w="109"/>
        <w:gridCol w:w="109"/>
        <w:gridCol w:w="109"/>
        <w:gridCol w:w="232"/>
        <w:gridCol w:w="234"/>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$5,169.8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$5,277.4 </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Cash Flows.</w:t>
      </w:r>
      <w:r>
        <w:rPr>
          <w:color w:val="000000"/>
        </w:rPr>
        <w:t xml:space="preserve"> </w:t>
      </w:r>
      <w:r>
        <w:rPr>
          <w:rFonts w:ascii="Times New Roman;sans-serif" w:hAnsi="Times New Roman;sans-serif"/>
          <w:b w:val="false"/>
          <w:color w:val="000000"/>
          <w:sz w:val="20"/>
        </w:rPr>
        <w:t>Selected information from the Consolidated Statement of Cash Flows is as follows:</w:t>
      </w:r>
    </w:p>
    <w:tbl>
      <w:tblPr>
        <w:tblW w:w="7714" w:type="dxa"/>
        <w:jc w:val="left"/>
        <w:tblInd w:w="0" w:type="dxa"/>
        <w:tblLayout w:type="fixed"/>
        <w:tblCellMar>
          <w:top w:w="28" w:type="dxa"/>
          <w:left w:w="28" w:type="dxa"/>
          <w:bottom w:w="28" w:type="dxa"/>
          <w:right w:w="28" w:type="dxa"/>
        </w:tblCellMar>
      </w:tblPr>
      <w:tblGrid>
        <w:gridCol w:w="2027"/>
        <w:gridCol w:w="1780"/>
        <w:gridCol w:w="1787"/>
        <w:gridCol w:w="344"/>
        <w:gridCol w:w="346"/>
        <w:gridCol w:w="176"/>
        <w:gridCol w:w="109"/>
        <w:gridCol w:w="109"/>
        <w:gridCol w:w="109"/>
        <w:gridCol w:w="344"/>
        <w:gridCol w:w="346"/>
        <w:gridCol w:w="237"/>
      </w:tblGrid>
      <w:tr>
        <w:trPr/>
        <w:tc>
          <w:tcPr>
            <w:tcW w:w="202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Cash provided by operating activities was higher in 2023 compared to 2022. Cash provided by operating activities in 2023 reflected cash proceeds from the sales of ALLETE Clean Energy’s Northern Wind and Red Barn projects which were sold to third parties in 2023, as well as lower payments for inventories compared to 2022 primarily related to the Northern Wind and Red Barn projects. Cash provided by operating activities in 2023 also increased due to the timing of recovery under Minnesota Power’s fuel adjustment clause.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 xml:space="preserve">Cash used in investing activities was lower in 2023 compared to 2022. Cash used in investing activities in 2022 reflected cash payments for the acquisition of New Energy.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xml:space="preserve">Cash used in financing activities in 2023 reflected lower proceeds from the issuance of common stock and the issuance of long-term debt, and lower proceeds from the issuance of non-controlling interest in subsidiaries compared to 2022.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6540"/>
                <wp:effectExtent l="0" t="0" r="0" b="0"/>
                <wp:wrapNone/>
                <wp:docPr id="40" name="Frame4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Working Capital.</w:t>
      </w:r>
      <w:r>
        <w:rPr>
          <w:color w:val="000000"/>
        </w:rPr>
        <w:t xml:space="preserve"> </w:t>
      </w:r>
      <w:r>
        <w:rPr>
          <w:rFonts w:ascii="Times New Roman;sans-serif" w:hAnsi="Times New Roman;sans-serif"/>
          <w:b w:val="false"/>
          <w:color w:val="000000"/>
          <w:sz w:val="20"/>
        </w:rPr>
        <w:t>Additional working capital, if and when needed, generally is provided by consolidated bank lines of credit and the issuance of securities, including long-term debt, common stock and commercial paper. As of June 30, 2023, we had consolidated bank lines of credit aggregating $468.1 million ($475.7 million as of December 31, 2022), the majority of which expire in January 2026. We had $17.8 million outstanding in standby letters of credit and $29.4 million outstanding draws under our lines of credit as of June 30, 2023 ($32.8 million in standby letters of credit and $31.3 million outstanding draws as of December 31, 2022). As of June 30, 2023, we also had $144.1 million outstanding in standby letters of credit under other credit facility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addition, as of June 30, 2023, we had 2.8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sans-serif" w:hAnsi="Times New Roman;sans-serif"/>
          <w:b w:val="false"/>
          <w:i/>
          <w:color w:val="000000"/>
          <w:sz w:val="20"/>
        </w:rPr>
        <w:t>Securities</w:t>
      </w:r>
      <w:r>
        <w:rPr>
          <w:rFonts w:ascii="Times New Roman;sans-serif" w:hAnsi="Times New Roman;sans-serif"/>
          <w:b w:val="false"/>
          <w:color w:val="000000"/>
          <w:sz w:val="20"/>
        </w:rPr>
        <w:t>.) The amount and timing of future sales of our securities will depend upon market conditions and our specific needs.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Securities.</w:t>
      </w:r>
      <w:r>
        <w:rPr>
          <w:color w:val="000000"/>
        </w:rPr>
        <w:t xml:space="preserve"> </w:t>
      </w:r>
      <w:r>
        <w:rPr>
          <w:rFonts w:ascii="Times New Roman;sans-serif" w:hAnsi="Times New Roman;sans-serif"/>
          <w:b w:val="false"/>
          <w:color w:val="000000"/>
          <w:sz w:val="20"/>
        </w:rPr>
        <w:t xml:space="preserve">During the six months ended June 30, 2023, we issued 0.2 million shares of common stock through Invest Direct, the Employee Stock Purchase Plan, and the Retirement Savings and Stock Ownership Plan, resulting in net proceeds of $7.7 million (0.2 million shares were issued for the six months ended June 30, 2022, resulting in net proceeds of $8.3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See Note 5. Short-Term and Long-Term Debt for information regarding our financial covenants.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Pension and Other Postretirement Benefit Plans.</w:t>
      </w:r>
      <w:r>
        <w:rPr>
          <w:color w:val="000000"/>
        </w:rPr>
        <w:t> </w:t>
      </w:r>
      <w:r>
        <w:rPr>
          <w:rFonts w:ascii="Times New Roman;sans-serif" w:hAnsi="Times New Roman;sans-serif"/>
          <w:b w:val="false"/>
          <w:color w:val="000000"/>
          <w:sz w:val="20"/>
        </w:rPr>
        <w:t>Management considers various factors when making funding decisions, such as regulatory requirements, actuarially determined minimum contribution requirements and contributions required to avoid benefit restrictions for the defined benefit pension plans. (See Note 9. Pension and Other Postretirement Benefit Plans.)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Off-Balance Sheet Arrangements. </w:t>
      </w:r>
      <w:r>
        <w:rPr>
          <w:rFonts w:ascii="Times New Roman;sans-serif" w:hAnsi="Times New Roman;sans-serif"/>
          <w:b w:val="false"/>
          <w:color w:val="000000"/>
          <w:sz w:val="20"/>
        </w:rPr>
        <w:t>Off-balance sheet arrangements are summarized in our 2022 Form 10-K, with additional disclosure in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Credit Ratings</w:t>
      </w:r>
      <w:r>
        <w:rPr>
          <w:rFonts w:ascii="Times New Roman;sans-serif" w:hAnsi="Times New Roman;sans-serif"/>
          <w:b w:val="false"/>
          <w:color w:val="000000"/>
          <w:sz w:val="20"/>
        </w:rPr>
        <w:t>. Access to reasonably priced capital markets is dependent in part on credit and ratings. Our securities have been rated by S&amp;P Global 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tbl>
      <w:tblPr>
        <w:tblW w:w="4590" w:type="dxa"/>
        <w:jc w:val="left"/>
        <w:tblInd w:w="0" w:type="dxa"/>
        <w:tblLayout w:type="fixed"/>
        <w:tblCellMar>
          <w:top w:w="28" w:type="dxa"/>
          <w:left w:w="28" w:type="dxa"/>
          <w:bottom w:w="28" w:type="dxa"/>
          <w:right w:w="28" w:type="dxa"/>
        </w:tblCellMar>
      </w:tblPr>
      <w:tblGrid>
        <w:gridCol w:w="683"/>
        <w:gridCol w:w="602"/>
        <w:gridCol w:w="605"/>
        <w:gridCol w:w="604"/>
        <w:gridCol w:w="604"/>
        <w:gridCol w:w="606"/>
        <w:gridCol w:w="259"/>
        <w:gridCol w:w="259"/>
        <w:gridCol w:w="36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 Global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Credit Rating</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P-2</w:t>
            </w:r>
          </w:p>
        </w:tc>
      </w:tr>
      <w:tr>
        <w:trPr/>
        <w:tc>
          <w:tcPr>
            <w:tcW w:w="1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18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w:t>
            </w:r>
          </w:p>
        </w:tc>
        <w:tc>
          <w:tcPr>
            <w:tcW w:w="8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Not rated by S&amp;P Global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Capital Requirements.</w:t>
      </w:r>
      <w:r>
        <w:rPr>
          <w:color w:val="000000"/>
        </w:rPr>
        <w:t xml:space="preserve"> </w:t>
      </w:r>
      <w:r>
        <w:rPr>
          <w:rFonts w:ascii="Times New Roman;sans-serif" w:hAnsi="Times New Roman;sans-serif"/>
          <w:b w:val="false"/>
          <w:color w:val="000000"/>
          <w:sz w:val="20"/>
        </w:rPr>
        <w:t>For the six months ended June 30, 2023, capital expenditures totaled $110.6 million ($94.0 million for the six months ended June 30, 2022). The expenditures were primarily made in the Regulated Operations segment. In addition, we incurred costs of approximately $25 million in 2023 related to ALLETE Clean Energy’s projects to develop and sell wind energy facilities.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6540"/>
                <wp:effectExtent l="0" t="0" r="0" b="0"/>
                <wp:wrapNone/>
                <wp:docPr id="41" name="Frame4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ALLETE had 1,559 employees, of which 1,495 were full-time.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and SWL&amp;P have an aggregate of 479 employees covered under collective bargaining agreements, of which most are members of International Brotherhood of Electrical Workers (IBEW) Local 31. The current labor agreements with IBEW Local 31 expire on April 30, 2026, for Minnesota Power and January 31, 2024, for SWL&amp;P.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BNI Energy has 179 employees, of which 129 are subject to a labor agreement with IBEW Local 1593. The current labor agreement with IBEW Local 1593 expires on March 31, 2026.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accounting pronouncements are discussed in Note 1. Operations and Significant Accounting Policies.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Available-for-Sale Securities</w:t>
      </w:r>
      <w:r>
        <w:rPr>
          <w:rFonts w:ascii="Times New Roman;sans-serif" w:hAnsi="Times New Roman;sans-serif"/>
          <w:b w:val="false"/>
          <w:color w:val="000000"/>
          <w:sz w:val="20"/>
        </w:rPr>
        <w:t>. As of June 30, 2023, our available-for-sale securities portfolio consisted primarily of securities held in other postretirement plans to fund employee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MARKETING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primarily through our power marketing activities. We use credit policies to manage credit risk, which includes utilizing an established credit approval process and monitoring counterparty limits.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6540"/>
                <wp:effectExtent l="0" t="0" r="0" b="0"/>
                <wp:wrapNone/>
                <wp:docPr id="42" name="Frame4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(Continued)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2023, an increase of 100 basis points in interest rates would impact the amount of pre-tax interest expense by $0.4 million. This amount was determined by considering the impact of a hypothetical 100 basis point increase to the average variable interest rate on the variable rate debt outstanding as of June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June 30, 2023,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Changes in Internal Controls.</w:t>
      </w:r>
      <w:r>
        <w:rPr>
          <w:color w:val="000000"/>
        </w:rPr>
        <w:t xml:space="preserve"> </w:t>
      </w:r>
      <w:r>
        <w:rPr>
          <w:rFonts w:ascii="Times New Roman;sans-serif" w:hAnsi="Times New Roman;sans-serif"/>
          <w:b w:val="false"/>
          <w:color w:val="000000"/>
          <w:sz w:val="20"/>
        </w:rPr>
        <w:t>There has been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material legal and regulatory proceedings, see Note 4. Regulatory Matters and Note 9. Commitments, Guarantees and Contingencies to the Consolidated Financial Statements in our 2022 Form 10-K and Note 2. Regulatory Matters and Note 6. Commitments, Guarantees and Contingencies herein. Such information is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disclosed in Part I, Item 1A. Risk Factors of our 2022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6540"/>
                <wp:effectExtent l="0" t="0" r="0" b="0"/>
                <wp:wrapNone/>
                <wp:docPr id="43" name="Frame4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Submission of Matters to a Vote of Security Holders.</w:t>
      </w:r>
      <w:r>
        <w:rPr>
          <w:color w:val="000000"/>
        </w:rPr>
        <w:t xml:space="preserve"> </w:t>
      </w:r>
      <w:r>
        <w:rPr>
          <w:rFonts w:ascii="Times New Roman;sans-serif" w:hAnsi="Times New Roman;sans-serif"/>
          <w:b w:val="false"/>
          <w:color w:val="000000"/>
          <w:sz w:val="20"/>
        </w:rPr>
        <w:t>At its meeting on July 28, 2023, our Board of Directors determined to hold future non-binding shareholder advisory votes on executive compensation on an annual basis until the next non-binding advisory vote on the frequency of shareholder votes on executive compensation. Such determination is consistent with the previous recommendation of the Board of Directors and the preference of Company shareholders, as represented by their votes at the annual meeting of shareholders on May 9,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Trading Plans. </w:t>
      </w:r>
      <w:r>
        <w:rPr>
          <w:rFonts w:ascii="Times New Roman;sans-serif" w:hAnsi="Times New Roman;sans-serif"/>
          <w:b w:val="false"/>
          <w:color w:val="000000"/>
          <w:sz w:val="20"/>
        </w:rPr>
        <w:t>During the quarter ended June 30, 2023,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161"/>
        <w:gridCol w:w="164"/>
        <w:gridCol w:w="109"/>
        <w:gridCol w:w="109"/>
        <w:gridCol w:w="109"/>
        <w:gridCol w:w="3041"/>
        <w:gridCol w:w="2928"/>
        <w:gridCol w:w="2935"/>
        <w:gridCol w:w="109"/>
        <w:gridCol w:w="109"/>
        <w:gridCol w:w="157"/>
      </w:tblGrid>
      <w:tr>
        <w:trPr/>
        <w:tc>
          <w:tcPr>
            <w:tcW w:w="2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4.htm">
              <w:r>
                <w:rPr>
                  <w:rStyle w:val="InternetLink"/>
                  <w:rFonts w:ascii="Times New Roman;sans-serif" w:hAnsi="Times New Roman;sans-serif"/>
                  <w:b w:val="false"/>
                  <w:color w:val="0000FF"/>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4.htm">
              <w:r>
                <w:rPr>
                  <w:rStyle w:val="InternetLink"/>
                  <w:rFonts w:ascii="Times New Roman;sans-serif" w:hAnsi="Times New Roman;sans-serif"/>
                  <w:b w:val="false"/>
                  <w:color w:val="0000FF"/>
                  <w:sz w:val="20"/>
                  <w:u w:val="single"/>
                </w:rPr>
                <w:t>Forty-Fourth Supplemental Indenture, dated as of April 27, 2023, between ALLETE, Inc. and The Bank of New York Mellon, as corporate trustee, and Janet Lee, as co-trustee.</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31a.htm">
              <w:r>
                <w:rPr>
                  <w:rStyle w:val="InternetLink"/>
                  <w:rFonts w:ascii="Times New Roman;sans-serif" w:hAnsi="Times New Roman;sans-serif"/>
                  <w:b w:val="false"/>
                  <w:color w:val="0000FF"/>
                  <w:sz w:val="20"/>
                  <w:u w:val="single"/>
                </w:rPr>
                <w:t>31(a)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31a.htm">
              <w:r>
                <w:rPr>
                  <w:rStyle w:val="InternetLink"/>
                  <w:rFonts w:ascii="Times New Roman;sans-serif" w:hAnsi="Times New Roman;sans-serif"/>
                  <w:b w:val="false"/>
                  <w:color w:val="0000FF"/>
                  <w:sz w:val="20"/>
                  <w:u w:val="single"/>
                </w:rPr>
                <w:t>Rule 13a-14(a)/15d-14(a) Certification by the Chief Executive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31b.htm">
              <w:r>
                <w:rPr>
                  <w:rStyle w:val="InternetLink"/>
                  <w:rFonts w:ascii="Times New Roman;sans-serif" w:hAnsi="Times New Roman;sans-serif"/>
                  <w:b w:val="false"/>
                  <w:color w:val="0000FF"/>
                  <w:sz w:val="20"/>
                  <w:u w:val="single"/>
                </w:rPr>
                <w:t>31(b)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31b.htm">
              <w:r>
                <w:rPr>
                  <w:rStyle w:val="InternetLink"/>
                  <w:rFonts w:ascii="Times New Roman;sans-serif" w:hAnsi="Times New Roman;sans-serif"/>
                  <w:b w:val="false"/>
                  <w:color w:val="0000FF"/>
                  <w:sz w:val="20"/>
                  <w:u w:val="single"/>
                </w:rPr>
                <w:t>Rule 13a-14(a)/15d-14(a) Certification by the Chief Financial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32.htm">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32.htm">
              <w:r>
                <w:rPr>
                  <w:rStyle w:val="InternetLink"/>
                  <w:rFonts w:ascii="Times New Roman;sans-serif" w:hAnsi="Times New Roman;sans-serif"/>
                  <w:b w:val="false"/>
                  <w:color w:val="0000FF"/>
                  <w:sz w:val="20"/>
                  <w:u w:val="single"/>
                </w:rPr>
                <w:t>Section 1350 Certification of Periodic Report by the Chief Executive Officer and the Chief Financial Officer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95.htm">
              <w:r>
                <w:rPr>
                  <w:rStyle w:val="InternetLink"/>
                  <w:rFonts w:ascii="Times New Roman;sans-serif" w:hAnsi="Times New Roman;sans-serif"/>
                  <w:b w:val="false"/>
                  <w:color w:val="0000FF"/>
                  <w:sz w:val="20"/>
                  <w:u w:val="single"/>
                </w:rPr>
                <w:t>95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95.htm">
              <w:r>
                <w:rPr>
                  <w:rStyle w:val="InternetLink"/>
                  <w:rFonts w:ascii="Times New Roman;sans-serif" w:hAnsi="Times New Roman;sans-serif"/>
                  <w:b w:val="false"/>
                  <w:color w:val="0000FF"/>
                  <w:sz w:val="20"/>
                  <w:u w:val="single"/>
                </w:rPr>
                <w:t>Mine Safety.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6-30x2023exx99.htm">
              <w:r>
                <w:rPr>
                  <w:rStyle w:val="InternetLink"/>
                  <w:rFonts w:ascii="Times New Roman;sans-serif" w:hAnsi="Times New Roman;sans-serif"/>
                  <w:b w:val="false"/>
                  <w:color w:val="0000FF"/>
                  <w:sz w:val="20"/>
                  <w:u w:val="single"/>
                </w:rPr>
                <w:t>99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6-30x2023exx99.htm">
              <w:r>
                <w:rPr>
                  <w:rStyle w:val="InternetLink"/>
                  <w:rFonts w:ascii="Times New Roman;sans-serif" w:hAnsi="Times New Roman;sans-serif"/>
                  <w:b w:val="false"/>
                  <w:color w:val="0000FF"/>
                  <w:sz w:val="20"/>
                  <w:u w:val="single"/>
                </w:rPr>
                <w:t>ALLETE News Release dated August 8, 2023, announcing 2023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Presentation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agrees to furnish to the SEC upon request any instrument with respect to long-term debt that ALLETE has not filed as an exhibit pursuant to the exemption provided by Item 601(b)(4)(iii)(A)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6540"/>
                <wp:effectExtent l="0" t="0" r="0" b="0"/>
                <wp:wrapNone/>
                <wp:docPr id="44" name="Frame4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3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504"/>
        <w:gridCol w:w="1504"/>
        <w:gridCol w:w="213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INC.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6540"/>
                <wp:effectExtent l="0" t="0" r="0" b="0"/>
                <wp:wrapNone/>
                <wp:docPr id="45" name="Frame4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Second Quarter 2023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ans-serif" w:hAnsi="Times New Roman;sans-serif"/>
          <w:b/>
          <w:color w:val="000000"/>
          <w:sz w:val="36"/>
        </w:rPr>
        <w:t>ALLETE, Inc</w:t>
      </w:r>
      <w:r>
        <w:rPr>
          <w:rFonts w:ascii="Times New Roman;sans-serif" w:hAnsi="Times New Roman;sans-serif"/>
          <w:b/>
          <w:color w:val="000000"/>
          <w:sz w:val="22"/>
        </w:rPr>
        <w:t>.</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(formerly Minnesota Power &amp; Light Company</w:t>
        <w:br/>
        <w:t>and formerly Minnesota Power, Inc.)</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THE BANK OF NEW YORK MELLON</w:t>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(formerly The Bank of New York </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(formerly Irving Trust Company))</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JANET LEE</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(successor to Richard H. West, J. A. Austin, E. J. McCabe, D. W. May, J. A. Vaughan, W. T. Cunningham, Douglas J. MacInnes, Ming Ryan, Philip L. Watson, Andres Serrano and Eva Waite)</w:t>
      </w:r>
    </w:p>
    <w:p>
      <w:pPr>
        <w:pStyle w:val="TextBody"/>
        <w:bidi w:val="0"/>
        <w:spacing w:lineRule="auto" w:line="240" w:before="0" w:after="120"/>
        <w:jc w:val="left"/>
        <w:rPr>
          <w:rFonts w:ascii="Times New Roman;sans-serif" w:hAnsi="Times New Roman;sans-serif"/>
          <w:b/>
          <w:color w:val="000000"/>
          <w:sz w:val="22"/>
        </w:rPr>
      </w:pPr>
      <w:r>
        <w:rPr>
          <w:rFonts w:ascii="Times New Roman;sans-serif" w:hAnsi="Times New Roman;sans-serif"/>
          <w:b/>
          <w:color w:val="000000"/>
          <w:sz w:val="22"/>
        </w:rPr>
        <w:t>As Trustees under ALLETE, Inc.’s Mortgage and Deed of Trust dated as of September 1, 1945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Forty-fourth Supplemental Indenture</w:t>
        <w:br/>
        <w:t>Providing, among other things, for</w: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br/>
        <w:t>First Mortgage Bonds, 4.98% Series due April 27, 2033</w:t>
        <w:br/>
        <w:t>(Sixty-third Series),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4" w:before="0" w:after="480"/>
        <w:jc w:val="center"/>
        <w:rPr/>
      </w:pPr>
      <w:r>
        <w:rPr>
          <w:rFonts w:ascii="Times New Roman;sans-serif" w:hAnsi="Times New Roman;sans-serif"/>
          <w:b/>
          <w:i/>
          <w:color w:val="000000"/>
          <w:sz w:val="22"/>
        </w:rPr>
        <w:t>Dated as of</w:t>
      </w:r>
      <w:r>
        <w:rPr>
          <w:color w:val="000000"/>
        </w:rPr>
        <w:t xml:space="preserve"> </w:t>
      </w:r>
      <w:r>
        <w:rPr>
          <w:rFonts w:ascii="Times New Roman;sans-serif" w:hAnsi="Times New Roman;sans-serif"/>
          <w:b/>
          <w:i/>
          <w:color w:val="000000"/>
          <w:sz w:val="22"/>
        </w:rPr>
        <w:t>April 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center"/>
        <w:rPr>
          <w:rFonts w:ascii="Times New Roman;sans-serif" w:hAnsi="Times New Roman;sans-serif"/>
          <w:b/>
          <w:color w:val="000000"/>
          <w:sz w:val="22"/>
        </w:rPr>
      </w:pPr>
      <w:r>
        <w:rPr>
          <w:rFonts w:ascii="Times New Roman;sans-serif" w:hAnsi="Times New Roman;sans-serif"/>
          <w:b/>
          <w:color w:val="000000"/>
          <w:sz w:val="22"/>
        </w:rPr>
        <w:t>FORTY-FOURTH SUPPLEMENTAL INDENTURE</w:t>
      </w:r>
    </w:p>
    <w:p>
      <w:pPr>
        <w:pStyle w:val="TextBody"/>
        <w:bidi w:val="0"/>
        <w:spacing w:lineRule="auto" w:line="304" w:before="0" w:after="240"/>
        <w:ind w:left="0" w:right="0" w:firstLine="720"/>
        <w:jc w:val="both"/>
        <w:rPr/>
      </w:pPr>
      <w:r>
        <w:rPr>
          <w:rFonts w:ascii="Times New Roman;sans-serif" w:hAnsi="Times New Roman;sans-serif"/>
          <w:b/>
          <w:color w:val="000000"/>
          <w:sz w:val="22"/>
        </w:rPr>
        <w:t>THIS INDENTURE,</w:t>
      </w:r>
      <w:r>
        <w:rPr>
          <w:color w:val="000000"/>
        </w:rPr>
        <w:t xml:space="preserve"> </w:t>
      </w:r>
      <w:r>
        <w:rPr>
          <w:rFonts w:ascii="Times New Roman;sans-serif" w:hAnsi="Times New Roman;sans-serif"/>
          <w:b w:val="false"/>
          <w:color w:val="000000"/>
          <w:sz w:val="22"/>
        </w:rPr>
        <w:t>dated as of April 1, 2023,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Janet Lee (successor to Richard H. West, J. A. Austin, E. J. McCabe, D. W. May, J. A. Vaughan, W. T. Cunningham, Douglas J. MacInnes, Ming Ryan, Philip L. Watson, Andres Serrano and Eva Waite), whose post office address is c/o The Bank of New York Mellon, 240 Greenwich Street, New York, New York 10286 (said Janet Lee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“Forty-fourth Supplemental Indenture”) being supplemental thereto:</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Mortgage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under the Sixth Supplemental Indenture, dated as of August 1, 1975, to which reference is hereinafter made, D. W. May in turn succeeded E. J. McCabe as Co-Trustee under the Mortgage;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on May 12, 1998, the Company filed Amended and Restated Articles of Incorporation with the Secretary of State of the State of Minnesota changing its name from Minnesota Power &amp; Light Company to Minnesota Power, Inc. effective May 27, 1998; and</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on May 8, 2001, the Company filed Amended and Restated Articles of Incorporation with the Secretary of State of the State of Minnesota changing its name from Minnesota Power, Inc. to ALLETE, Inc.;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under the Thirty-second Supplemental Indenture, dated as of August 1, 2010, to which reference is hereinafter made, Ming Ryan in turn succeeded Douglas J. MacInnes as Co-Trustee under the Mortgage;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 the State of North Dakota;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 the State of North Dakota; and </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an instrument, dated as of July 29, 2021, was executed and delivered under which Eva Waite in turn succeeded Andres Serrano as Co-Trustee under the Mortgage effective at the close of business on July 29, 2021, and such instrument was filed and recorded in various official records in the State of Minnesota and the State of North Dakota; and </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an instrument, dated as of April 27, 2022, was executed and delivered under which Janet Lee in turn succeeded Eva Waite as Co-Trustee under the Mortgage effective at the close of business on April 27, 2022, and such instrument was filed and recorded in various official records in the State of Minnesota and the State of North Dakota; and </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for said purposes, among others, the Company executed and delivered the following indentures supplemental to the Mortgage: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tbl>
      <w:tblPr>
        <w:tblW w:w="5834" w:type="dxa"/>
        <w:jc w:val="left"/>
        <w:tblInd w:w="0" w:type="dxa"/>
        <w:tblLayout w:type="fixed"/>
        <w:tblCellMar>
          <w:top w:w="28" w:type="dxa"/>
          <w:left w:w="28" w:type="dxa"/>
          <w:bottom w:w="28" w:type="dxa"/>
          <w:right w:w="28" w:type="dxa"/>
        </w:tblCellMar>
      </w:tblPr>
      <w:tblGrid>
        <w:gridCol w:w="1417"/>
        <w:gridCol w:w="1244"/>
        <w:gridCol w:w="1253"/>
        <w:gridCol w:w="561"/>
        <w:gridCol w:w="561"/>
        <w:gridCol w:w="798"/>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Designation</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Dated as of</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1, 1949</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1951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1, 1957</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January 1, 1968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 1971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 1975</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1, 1976</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Eighth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1, 1977</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Ninth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 1978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 1978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Eleventh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December 1, 1982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Twelfth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 1987</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Fourteenth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June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Fifteenth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Sixteenth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1992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Seventeenth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February 1, 1993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Eighteenth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1993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Nineteenth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February 1, 1997</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Twentieth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November 1, 1997</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October 1, 2000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2003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 2004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1, 2005</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December 1, 2005</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October 1, 2006</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February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Twenty-eighth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May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Twenty-ninth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November 1, 2008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Thirtieth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January 1, 2009</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Thirty-first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February 1, 2010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Thirty-second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 2010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 2012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Thirty-fourth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1, 2013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Thirty-fifth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Thirty-sixth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June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Thirty-seventh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1, 2014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Thirty-eighth Supplemental Indenture</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Thirty-ninth Supplemental Indenture</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Fortieth Supplemental Indenture</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Forty-first Supplemental Indenture</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Forty-second Supplemental Indenture</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Forty-third Supplemental Indenture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1, 2015</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April 1, 2018</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March 1, 2019</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 2020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September 1, 2021</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August 1, 2022</w:t>
            </w:r>
          </w:p>
        </w:tc>
      </w:tr>
    </w:tbl>
    <w:p>
      <w:pPr>
        <w:pStyle w:val="TextBody"/>
        <w:bidi w:val="0"/>
        <w:spacing w:lineRule="auto" w:line="304"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which supplemental indentures were filed and recorded in various official records in the State of Minnesota and the State of North Dakota; and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has heretofore issued, in accordance with the provisions of the Mortgage, as heretofore supplemented, the following series of First Mortgage Bonds:</w:t>
      </w:r>
    </w:p>
    <w:tbl>
      <w:tblPr>
        <w:tblW w:w="6752" w:type="dxa"/>
        <w:jc w:val="left"/>
        <w:tblInd w:w="0" w:type="dxa"/>
        <w:tblLayout w:type="fixed"/>
        <w:tblCellMar>
          <w:top w:w="28" w:type="dxa"/>
          <w:left w:w="28" w:type="dxa"/>
          <w:bottom w:w="28" w:type="dxa"/>
          <w:right w:w="28" w:type="dxa"/>
        </w:tblCellMar>
      </w:tblPr>
      <w:tblGrid>
        <w:gridCol w:w="1480"/>
        <w:gridCol w:w="1303"/>
        <w:gridCol w:w="1312"/>
        <w:gridCol w:w="434"/>
        <w:gridCol w:w="434"/>
        <w:gridCol w:w="438"/>
        <w:gridCol w:w="395"/>
        <w:gridCol w:w="395"/>
        <w:gridCol w:w="561"/>
      </w:tblGrid>
      <w:tr>
        <w:trPr/>
        <w:tc>
          <w:tcPr>
            <w:tcW w:w="148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Series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color w:val="000000"/>
                <w:sz w:val="22"/>
              </w:rPr>
              <w:t>Principal</w:t>
              <w:br/>
              <w:t>Amount</w:t>
              <w:br/>
            </w:r>
            <w:r>
              <w:rPr>
                <w:color w:val="000000"/>
                <w:u w:val="single"/>
              </w:rPr>
              <w:t>  </w:t>
            </w:r>
            <w:r>
              <w:rPr>
                <w:rFonts w:ascii="Times New Roman;sans-serif" w:hAnsi="Times New Roman;sans-serif"/>
                <w:b/>
                <w:color w:val="000000"/>
                <w:sz w:val="22"/>
                <w:u w:val="single"/>
              </w:rPr>
              <w:t>Issued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40"/>
              <w:jc w:val="center"/>
              <w:rPr/>
            </w:pPr>
            <w:r>
              <w:rPr>
                <w:rFonts w:ascii="Times New Roman;sans-serif" w:hAnsi="Times New Roman;sans-serif"/>
                <w:b/>
                <w:color w:val="000000"/>
                <w:sz w:val="22"/>
              </w:rPr>
              <w:t>Principal</w:t>
              <w:br/>
              <w:t>Amount</w:t>
              <w:br/>
            </w:r>
            <w:r>
              <w:rPr>
                <w:rFonts w:ascii="Times New Roman;sans-serif" w:hAnsi="Times New Roman;sans-serif"/>
                <w:b/>
                <w:color w:val="000000"/>
                <w:sz w:val="22"/>
                <w:u w:val="single"/>
              </w:rPr>
              <w:t>Outstanding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3-1/8% Series due 1975</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$26,000,000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3-1/8% Series due 1979</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3-5/8% Series due 1981</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4-3/4% Series due 1987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6-1/2% Series due 1998</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8-1/8% Series due 2001</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23,000,000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10-1/2% Series due 2005</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8.70% Series due 2006</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8.35% Series due 2007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9-1/4% Series due 2008</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A</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Industrial Development Series A</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Industrial Development Series B</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Industrial Development Series C</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1,150,000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B</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13,500,000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C</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D</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3,600,000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7-3/4% Series due 1994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7-3/8% Series due March 1, 1997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7-3/4% Series due June 1, 2007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7-1/2% Series due August 1, 2007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E</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 Series due March 1, 2008</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6-1/4% Series due July 1, 2003</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 Series due February 15, 2007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6.68% Series due November 15, 2007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Floating Rate Series due October 20, 2003</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Collateral Series A</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Pollution Control Series F</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111,000,000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5.28% Series due August 1, 2020</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5.69% Series due March 1, 2036</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5.99% Series due February 1, 2027</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4.86% Series due April 1, 2013</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6.02% Series due May 1, 2023</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75,000,000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6.94% Series due January 15, 2014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7.70% Series due January 15, 2016</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8.17% Series due January 15, 2019</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42,000,000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4.85% Series due April 15, 2021</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15,000,000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5.10% Series due April 15, 2025</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30,000,000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tbl>
      <w:tblPr>
        <w:tblW w:w="6527" w:type="dxa"/>
        <w:jc w:val="left"/>
        <w:tblInd w:w="0" w:type="dxa"/>
        <w:tblLayout w:type="fixed"/>
        <w:tblCellMar>
          <w:top w:w="28" w:type="dxa"/>
          <w:left w:w="28" w:type="dxa"/>
          <w:bottom w:w="28" w:type="dxa"/>
          <w:right w:w="28" w:type="dxa"/>
        </w:tblCellMar>
      </w:tblPr>
      <w:tblGrid>
        <w:gridCol w:w="1336"/>
        <w:gridCol w:w="1175"/>
        <w:gridCol w:w="1179"/>
        <w:gridCol w:w="434"/>
        <w:gridCol w:w="434"/>
        <w:gridCol w:w="438"/>
        <w:gridCol w:w="447"/>
        <w:gridCol w:w="447"/>
        <w:gridCol w:w="637"/>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 Series due April 15, 2040</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4.90% Series due October 15, 2025</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5.82% Series due April 15, 2040</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3.20% Series due July 15, 2026</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75,000,000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4.08% Series due July 15, 2042</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1.83% Series due April 15, 2018</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3.30% Series due October 15, 2028</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4.21% Series due October 15, 2043</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3.69% Series due March 15, 2024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4.95% Series due March 15, 2044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3.40% Series due July 15, 2022</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5.05% Series due July 15, 2044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3.02% Series due September 15, 2021</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3.74% Series due September 15, 2029</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4.39% Series due September 15, 2044</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50,000,000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2.80% Series due September 15, 2020</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3.86% Series due September 16, 2030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4.07% Series due April 16, 2048</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4.08% Series due March 1, 2029</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4.47% Series due March 1, 2049</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2.50% Series due August 1, 2030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3.30% Series due August 1, 2050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2.79% Series due September 1, 2031</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4.54% Series due August 9, 2032</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70,000,000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30,000,000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46,000,000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94,000,000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100,000,000</w:t>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75,000,000</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94,000,000</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2"/>
              </w:rPr>
              <w:t>100,000,000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75,000,000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4"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which bonds are also hereinafter sometimes called bonds of the First through Sixty-third Series, respectively; and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Company now desires to create one new series of bonds and (pursuant to the provisions of Section 120 of the Mortgage) to add to its covenants and agreements contained in the Mortgage, as heretofore supplemented, certain other covenants and agreements to be observed by it and to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alter and amend in certain respects the covenants and provisions contained in the Mortgage, as heretofore supplemented; and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execution and delivery by the Company of this Forty-fourth Supplemental Indenture, and the terms of the bonds of the Sixty-fourth Series, hereinafter referred to, have been duly authorized by the Board of Directors of the Company by appropriate resolutions of said Board of Directors;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This Indenture Witnesseth:</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Janet Lee,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Forty-fourth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Forty-fourth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Forty-fourth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In trust nevertheless, for the same purposes and upon the same terms, trusts and conditions and subject to and with the same provisos and covenants as are set forth in the Mortgage, as supplemented, this Forty-fourth Supplemental Indenture being supplemental thereto.</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pStyle w:val="TextBody"/>
        <w:bidi w:val="0"/>
        <w:spacing w:lineRule="auto" w:line="240" w:before="0" w:after="48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further covenants and agrees to and with the Trustees and their successors in said trust under the Mortgage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ARTICLE I</w:t>
      </w:r>
    </w:p>
    <w:p>
      <w:pPr>
        <w:pStyle w:val="TextBody"/>
        <w:bidi w:val="0"/>
        <w:spacing w:lineRule="auto" w:line="304" w:before="0" w:after="480"/>
        <w:jc w:val="center"/>
        <w:rPr>
          <w:rFonts w:ascii="Times New Roman;sans-serif" w:hAnsi="Times New Roman;sans-serif"/>
          <w:b/>
          <w:color w:val="000000"/>
          <w:sz w:val="22"/>
        </w:rPr>
      </w:pPr>
      <w:r>
        <w:rPr>
          <w:rFonts w:ascii="Times New Roman;sans-serif" w:hAnsi="Times New Roman;sans-serif"/>
          <w:b/>
          <w:color w:val="000000"/>
          <w:sz w:val="22"/>
        </w:rPr>
        <w:t>Sixty-fourth Series of Bonds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1. There shall be a series of bonds designated “4.98% Series due April 27, 2033” (herein sometimes referred to as the “Sixty-fourth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Sixty-fourth Series shall be dated as in Section 10 of the Mortgage provided, mature on April 27, 2033 (the “Sixty-fourth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April 27, 2023 (computed on the basis of a 360-day year of twelve thirty-day months) at the rate of 4.98% per annum, payable semi-annually on May 1 and November 1 of each year, commencing November 1, 2023,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Any payment of principal of or interest on any bond of the Sixty-fourth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Sixty-fourth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lineRule="auto" w:line="240" w:before="0" w:after="240"/>
        <w:ind w:left="0" w:right="0" w:firstLine="690"/>
        <w:jc w:val="both"/>
        <w:rPr/>
      </w:pPr>
      <w:r>
        <w:rPr>
          <w:rFonts w:ascii="Times New Roman;sans-serif" w:hAnsi="Times New Roman;sans-serif"/>
          <w:b w:val="false"/>
          <w:color w:val="000000"/>
          <w:sz w:val="22"/>
        </w:rPr>
        <w:t>(I)    </w:t>
      </w:r>
      <w:r>
        <w:rPr>
          <w:rFonts w:ascii="Times New Roman;sans-serif" w:hAnsi="Times New Roman;sans-serif"/>
          <w:b/>
          <w:color w:val="000000"/>
          <w:sz w:val="22"/>
        </w:rPr>
        <w:t>Optional Prepayment.</w:t>
      </w:r>
      <w:r>
        <w:rPr>
          <w:color w:val="000000"/>
        </w:rPr>
        <w:t xml:space="preserve"> </w:t>
      </w:r>
      <w:r>
        <w:rPr>
          <w:rFonts w:ascii="Times New Roman;sans-serif" w:hAnsi="Times New Roman;sans-serif"/>
          <w:b w:val="false"/>
          <w:color w:val="000000"/>
          <w:sz w:val="22"/>
        </w:rPr>
        <w:t xml:space="preserve">At any time prior to January 27, 2033 (three months prior to the Sixty-fourth Series Stated Maturity) the Company may, at its option, upon notice as provided below, prepay at any time all, or from time to time any part of, the bonds of the Sixty-fourth Series at 100% of the principal amount so prepaid, and the Make-Whole Amount determined for the Settlement Date specified by the Company in such notice with respect to such principal amount. The Company will give each registered owner of bonds of the Sixty-fourth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Sixty-fourth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Sixty-fourth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At any time on or after January 27, 2033, the bonds of the Sixty-fourth Series will be redeemable at the option of the Company, in whole or in part, on not less than 30 nor more than 60 days’ notice prior to the Settlement Date, at a redemption price equal to 100% of the principal amount of the bonds of the Sixty-fourth Series to be redeemed, plus accrued and unpaid interest thereon to the Settlement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The bonds of the Sixty-fourth Series are not otherwise subject to voluntary or optional prepayment.</w:t>
      </w:r>
    </w:p>
    <w:p>
      <w:pPr>
        <w:pStyle w:val="TextBody"/>
        <w:bidi w:val="0"/>
        <w:spacing w:lineRule="auto" w:line="240" w:before="0" w:after="240"/>
        <w:ind w:left="0" w:right="0" w:firstLine="690"/>
        <w:jc w:val="both"/>
        <w:rPr/>
      </w:pPr>
      <w:r>
        <w:rPr>
          <w:color w:val="000000"/>
        </w:rPr>
        <w:t>    </w:t>
      </w:r>
      <w:r>
        <w:rPr>
          <w:rFonts w:ascii="Times New Roman;sans-serif" w:hAnsi="Times New Roman;sans-serif"/>
          <w:b w:val="false"/>
          <w:color w:val="000000"/>
          <w:sz w:val="22"/>
        </w:rPr>
        <w:t>(II)    </w:t>
      </w:r>
      <w:r>
        <w:rPr>
          <w:rFonts w:ascii="Times New Roman;sans-serif" w:hAnsi="Times New Roman;sans-serif"/>
          <w:b/>
          <w:color w:val="000000"/>
          <w:sz w:val="22"/>
        </w:rPr>
        <w:t xml:space="preserve">Allocation of Partial Prepayments. </w:t>
      </w:r>
      <w:r>
        <w:rPr>
          <w:rFonts w:ascii="Times New Roman;sans-serif" w:hAnsi="Times New Roman;sans-serif"/>
          <w:b w:val="false"/>
          <w:color w:val="000000"/>
          <w:sz w:val="22"/>
        </w:rPr>
        <w:t>In the case of each partial prepayment of the bonds of the Sixty-fourth Series, the principal amount of the bonds of the Sixty-fourth Series to be prepaid shall be allocated by the Company among all of the bonds of the Sixty-fourth Series at the time outstanding in proportion, as nearly as practicable, to the respective unpaid principal amounts thereof not theretofore called for prepayment.</w:t>
      </w:r>
    </w:p>
    <w:p>
      <w:pPr>
        <w:pStyle w:val="TextBody"/>
        <w:bidi w:val="0"/>
        <w:spacing w:lineRule="auto" w:line="240" w:before="0" w:after="240"/>
        <w:ind w:left="0" w:right="0" w:firstLine="690"/>
        <w:jc w:val="both"/>
        <w:rPr/>
      </w:pPr>
      <w:r>
        <w:rPr>
          <w:color w:val="000000"/>
        </w:rPr>
        <w:t>    </w:t>
      </w:r>
      <w:r>
        <w:rPr>
          <w:rFonts w:ascii="Times New Roman;sans-serif" w:hAnsi="Times New Roman;sans-serif"/>
          <w:b w:val="false"/>
          <w:color w:val="000000"/>
          <w:sz w:val="22"/>
        </w:rPr>
        <w:t>(III)     </w:t>
      </w:r>
      <w:r>
        <w:rPr>
          <w:rFonts w:ascii="Times New Roman;sans-serif" w:hAnsi="Times New Roman;sans-serif"/>
          <w:b/>
          <w:color w:val="000000"/>
          <w:sz w:val="22"/>
        </w:rPr>
        <w:t>Maturity; Surrender, Etc.</w:t>
      </w:r>
      <w:r>
        <w:rPr>
          <w:color w:val="000000"/>
        </w:rPr>
        <w:t xml:space="preserve">     </w:t>
      </w:r>
      <w:r>
        <w:rPr>
          <w:rFonts w:ascii="Times New Roman;sans-serif" w:hAnsi="Times New Roman;sans-serif"/>
          <w:b w:val="false"/>
          <w:color w:val="000000"/>
          <w:sz w:val="22"/>
        </w:rPr>
        <w:t>In the case of each notice of prepayment of bonds of the Sixty-fourth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Sixty-fourth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pStyle w:val="TextBody"/>
        <w:bidi w:val="0"/>
        <w:spacing w:lineRule="auto" w:line="240" w:before="0" w:after="240"/>
        <w:ind w:left="0" w:right="0" w:firstLine="691"/>
        <w:jc w:val="both"/>
        <w:rPr/>
      </w:pPr>
      <w:r>
        <w:rPr>
          <w:color w:val="000000"/>
        </w:rPr>
        <w:t>    </w:t>
      </w:r>
      <w:r>
        <w:rPr>
          <w:rFonts w:ascii="Times New Roman;sans-serif" w:hAnsi="Times New Roman;sans-serif"/>
          <w:b w:val="false"/>
          <w:color w:val="000000"/>
          <w:sz w:val="22"/>
        </w:rPr>
        <w:t>(IV)    </w:t>
      </w:r>
      <w:r>
        <w:rPr>
          <w:rFonts w:ascii="Times New Roman;sans-serif" w:hAnsi="Times New Roman;sans-serif"/>
          <w:b/>
          <w:color w:val="000000"/>
          <w:sz w:val="22"/>
        </w:rPr>
        <w:t>Make-Whole Amount.</w:t>
      </w:r>
    </w:p>
    <w:p>
      <w:pPr>
        <w:pStyle w:val="TextBody"/>
        <w:bidi w:val="0"/>
        <w:spacing w:lineRule="auto" w:line="240" w:before="0" w:after="240"/>
        <w:ind w:left="0" w:right="0" w:firstLine="691"/>
        <w:jc w:val="both"/>
        <w:rPr>
          <w:rFonts w:ascii="Times New Roman;sans-serif" w:hAnsi="Times New Roman;sans-serif"/>
          <w:b w:val="false"/>
          <w:color w:val="000000"/>
          <w:sz w:val="22"/>
        </w:rPr>
      </w:pPr>
      <w:r>
        <w:rPr>
          <w:rFonts w:ascii="Times New Roman;sans-serif" w:hAnsi="Times New Roman;sans-serif"/>
          <w:b w:val="false"/>
          <w:color w:val="000000"/>
          <w:sz w:val="22"/>
        </w:rPr>
        <w:t>The term “Make-Whole Amount” means, with respect to any bond of the Sixty-fourth Series, an amount equal to the excess, if any, of the Discounted Value of the Remaining Scheduled Payments with respect to the Called Principal of such bond of the Sixty-fourth Series over the amount of such Called Principal, provided that the Make-Whole Amount may in no event be less than zero. For the purposes of determining the Make-Whole Amount, the following terms have the following meanings:</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Business Day” means any day other than a Saturday, a Sunday or a day on which commercial banks in New York City are required or authorized to be closed.</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Called Principal” means, with respect to any bond of the Sixty-fourth Series, the principal of such bond that is to be prepaid pursuant to subsection (I) of this section.</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Discounted Value” means, with respect to the Called Principal of any bond of the Sixty-fourth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Sixty-fourth Series is payable) equal to the Reinvestment Yield with respect to such Called Principal.</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 xml:space="preserve">Reinvestment Yield” means, with respect to the Called Principal of any bond of the Sixty-fourth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Sixty-fourth Series.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If such yields are not Reported or the yields Reported as of such time are not ascertainable (including by way of interpolation), then “Reinvestment Yield” means, with respect to the Called Principal of any bond of the Sixty-fourth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Sixty-fourth Series.</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Remaining Scheduled Payments” means, with respect to the Called Principal of any bond of the Sixty-fourth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Sixty-fourth Series, then the amount of the next succeeding scheduled interest payment will be reduced by the amount of interest accrued to such Settlement Date and required to be paid on such Settlement Date pursuant to subsection (I) of this section.</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Settlement Date” means, with respect to the Called Principal of any bond of the Sixty-fourth Series, the date on which such Called Principal is to be prepaid pursuant to subsection (I) of this section.</w:t>
      </w:r>
    </w:p>
    <w:p>
      <w:pPr>
        <w:pStyle w:val="TextBody"/>
        <w:bidi w:val="0"/>
        <w:spacing w:lineRule="auto" w:line="240" w:before="0" w:after="240"/>
        <w:ind w:left="0" w:right="0" w:firstLine="690"/>
        <w:jc w:val="both"/>
        <w:rPr>
          <w:color w:val="000000"/>
        </w:rPr>
      </w:pPr>
      <w:r>
        <w:rPr>
          <w:color w:val="000000"/>
        </w:rPr>
        <w:t>“</w:t>
      </w:r>
      <w:r>
        <w:rPr>
          <w:rFonts w:ascii="Times New Roman;sans-serif" w:hAnsi="Times New Roman;sans-serif"/>
          <w:b w:val="false"/>
          <w:color w:val="000000"/>
          <w:sz w:val="22"/>
        </w:rPr>
        <w:t>Senior Financial Officer” means the chief financial officer, principal accounting officer, treasurer or comptroller of the Company.</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(V)    At the option of the registered owner, any bonds of the Sixty-fourth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Bonds of the Sixty-fourth Series shall be transferable (subject to the provisions of Section 12 of the Mortgage) at the office or agency of the Company in the Borough of Manhattan, The City of New York. The Company shall not be required to make transfers or exchanges of bonds of the Sixty-fourth Series for a period of ten (10) days next preceding any interest payment date for bonds of such series, or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next preceding any designation of bonds of said series to be prepaid, and the Company shall not be required to make transfers or exchanges of any bonds of said series designated in whole or in part for prepayment.</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Upon any exchange or transfer of bonds of the Sixty-fourth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Sixty-fourth Series.</w:t>
      </w:r>
    </w:p>
    <w:p>
      <w:pPr>
        <w:pStyle w:val="TextBody"/>
        <w:bidi w:val="0"/>
        <w:spacing w:lineRule="auto" w:line="240" w:before="0" w:after="0"/>
        <w:ind w:left="0" w:right="0" w:firstLine="691"/>
        <w:jc w:val="both"/>
        <w:rPr>
          <w:rFonts w:ascii="Times New Roman;sans-serif" w:hAnsi="Times New Roman;sans-serif"/>
          <w:b w:val="false"/>
          <w:color w:val="000000"/>
          <w:sz w:val="22"/>
        </w:rPr>
      </w:pPr>
      <w:r>
        <w:rPr>
          <w:rFonts w:ascii="Times New Roman;sans-serif" w:hAnsi="Times New Roman;sans-serif"/>
          <w:b w:val="false"/>
          <w:color w:val="000000"/>
          <w:sz w:val="22"/>
        </w:rPr>
        <w:t>After the delivery of this Forty-fourth Supplemental Indenture and upon compliance with the applicable provisions of the Mortgage and receipt of consideration therefor by the Company, there shall be an initial issue of bonds of the Sixty-fourth Series for the aggregate principal amount of $125,000,000.</w:t>
      </w:r>
    </w:p>
    <w:p>
      <w:pPr>
        <w:pStyle w:val="TextBody"/>
        <w:bidi w:val="0"/>
        <w:spacing w:before="0" w:after="0"/>
        <w:ind w:left="0" w:right="0" w:firstLine="691"/>
        <w:jc w:val="both"/>
        <w:rPr/>
      </w:pPr>
      <w:r>
        <w:rPr/>
      </w:r>
    </w:p>
    <w:p>
      <w:pPr>
        <w:pStyle w:val="TextBody"/>
        <w:bidi w:val="0"/>
        <w:spacing w:before="0" w:after="0"/>
        <w:jc w:val="both"/>
        <w:rPr/>
      </w:pPr>
      <w:r>
        <w:rPr/>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ARTICLE II</w:t>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Consent to Amendments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690"/>
        <w:jc w:val="both"/>
        <w:rPr/>
      </w:pPr>
      <w:r>
        <w:rPr>
          <w:rFonts w:ascii="Times New Roman;sans-serif" w:hAnsi="Times New Roman;sans-serif"/>
          <w:b w:val="false"/>
          <w:color w:val="000000"/>
          <w:sz w:val="22"/>
        </w:rPr>
        <w:t>Section 1.  </w:t>
      </w:r>
      <w:r>
        <w:rPr>
          <w:rFonts w:ascii="Times New Roman;sans-serif" w:hAnsi="Times New Roman;sans-serif"/>
          <w:b w:val="false"/>
          <w:color w:val="000000"/>
          <w:sz w:val="22"/>
          <w:u w:val="single"/>
        </w:rPr>
        <w:t>Consent to Amendments</w:t>
      </w:r>
      <w:r>
        <w:rPr>
          <w:color w:val="000000"/>
        </w:rPr>
        <w:t xml:space="preserve">  </w:t>
      </w:r>
      <w:r>
        <w:rPr>
          <w:rFonts w:ascii="Times New Roman;sans-serif" w:hAnsi="Times New Roman;sans-serif"/>
          <w:b w:val="false"/>
          <w:color w:val="000000"/>
          <w:sz w:val="22"/>
        </w:rPr>
        <w:t>Each initial and future holder of bonds of the Sixty-fourth Series, by its acquisition of an interest in such bonds, irrevocably (a) consents to the amendments set forth in Article IV of the Thirty-first Supplemental Indenture, dated as of February 1, 2010, and Article III of this Forty-fourth Supplemental Indenture,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pStyle w:val="TextBody"/>
        <w:bidi w:val="0"/>
        <w:spacing w:before="0" w:after="0"/>
        <w:jc w:val="left"/>
        <w:rPr/>
      </w:pPr>
      <w:r>
        <w:rPr/>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ARTICLE III</w:t>
      </w:r>
    </w:p>
    <w:p>
      <w:pPr>
        <w:pStyle w:val="TextBody"/>
        <w:bidi w:val="0"/>
        <w:spacing w:lineRule="auto" w:line="304"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Reservation of Right to Amend Sections 35(a), 99, 101 and 102 of the Mortgage </w:t>
      </w:r>
    </w:p>
    <w:p>
      <w:pPr>
        <w:pStyle w:val="TextBody"/>
        <w:bidi w:val="0"/>
        <w:spacing w:before="0" w:after="240"/>
        <w:ind w:left="0" w:right="0" w:firstLine="691"/>
        <w:jc w:val="both"/>
        <w:rPr/>
      </w:pPr>
      <w:r>
        <w:rPr/>
      </w:r>
    </w:p>
    <w:p>
      <w:pPr>
        <w:pStyle w:val="TextBody"/>
        <w:bidi w:val="0"/>
        <w:spacing w:lineRule="auto" w:line="240" w:before="0" w:after="240"/>
        <w:ind w:left="0" w:right="0" w:firstLine="691"/>
        <w:jc w:val="both"/>
        <w:rPr>
          <w:rFonts w:ascii="Times New Roman;sans-serif" w:hAnsi="Times New Roman;sans-serif"/>
          <w:b w:val="false"/>
          <w:color w:val="000000"/>
          <w:sz w:val="22"/>
        </w:rPr>
      </w:pPr>
      <w:r>
        <w:rPr>
          <w:rFonts w:ascii="Times New Roman;sans-serif" w:hAnsi="Times New Roman;sans-serif"/>
          <w:b w:val="false"/>
          <w:color w:val="000000"/>
          <w:sz w:val="22"/>
        </w:rPr>
        <w:t>Section 1. The Company reserves the right, without any vote, consent or other action by the holders of bonds of the Sixty-fourth Series, or any subsequent series, to amend the Mortgage, as herein or heretofore supplemented as follows:</w:t>
      </w:r>
    </w:p>
    <w:p>
      <w:pPr>
        <w:pStyle w:val="TextBody"/>
        <w:bidi w:val="0"/>
        <w:spacing w:lineRule="auto" w:line="240" w:before="0" w:after="480"/>
        <w:ind w:left="0" w:right="0" w:firstLine="690"/>
        <w:jc w:val="both"/>
        <w:rPr>
          <w:color w:val="000000"/>
        </w:rPr>
      </w:pPr>
      <w:r>
        <w:rPr>
          <w:color w:val="000000"/>
        </w:rPr>
        <w:t>        </w:t>
      </w:r>
      <w:r>
        <w:rPr>
          <w:rFonts w:ascii="Times New Roman;sans-serif" w:hAnsi="Times New Roman;sans-serif"/>
          <w:b w:val="false"/>
          <w:color w:val="000000"/>
          <w:sz w:val="22"/>
        </w:rPr>
        <w:t>(A) to amend Section 35(a) to delete the phrase “having its principal office and place of business in the Borough of Manhattan, The City of New York” and the word “such” at the location in said Section 35(a) at which such word first appears; and</w:t>
      </w:r>
    </w:p>
    <w:p>
      <w:pPr>
        <w:pStyle w:val="TextBody"/>
        <w:bidi w:val="0"/>
        <w:spacing w:lineRule="auto" w:line="240" w:before="0" w:after="480"/>
        <w:ind w:left="0" w:right="0" w:firstLine="690"/>
        <w:jc w:val="both"/>
        <w:rPr>
          <w:color w:val="000000"/>
        </w:rPr>
      </w:pPr>
      <w:r>
        <w:rPr>
          <w:color w:val="000000"/>
        </w:rPr>
        <w:t>        </w:t>
      </w:r>
      <w:r>
        <w:rPr>
          <w:rFonts w:ascii="Times New Roman;sans-serif" w:hAnsi="Times New Roman;sans-serif"/>
          <w:b w:val="false"/>
          <w:color w:val="000000"/>
          <w:sz w:val="22"/>
        </w:rPr>
        <w:t>(B) to amend Sections 99, 101 and 102 to remove all requirements for the publishing of notices of the resignation, removal or appointment of any Trustee and to delete all references to the publication of such notices in the Mortgage, as herein or heretofore supplemented, including deletion of words “the first publication of notice of” in the last sentence of the first paragraph of Section 102.</w:t>
      </w:r>
    </w:p>
    <w:p>
      <w:pPr>
        <w:pStyle w:val="TextBody"/>
        <w:bidi w:val="0"/>
        <w:spacing w:lineRule="auto" w:line="304" w:before="240" w:after="283"/>
        <w:jc w:val="center"/>
        <w:rPr>
          <w:rFonts w:ascii="Times New Roman;sans-serif" w:hAnsi="Times New Roman;sans-serif"/>
          <w:b/>
          <w:color w:val="000000"/>
          <w:sz w:val="22"/>
        </w:rPr>
      </w:pPr>
      <w:r>
        <w:rPr>
          <w:rFonts w:ascii="Times New Roman;sans-serif" w:hAnsi="Times New Roman;sans-serif"/>
          <w:b/>
          <w:color w:val="000000"/>
          <w:sz w:val="22"/>
        </w:rPr>
        <w:t>ARTICLE IV</w:t>
      </w:r>
    </w:p>
    <w:p>
      <w:pPr>
        <w:pStyle w:val="TextBody"/>
        <w:bidi w:val="0"/>
        <w:spacing w:lineRule="auto" w:line="304" w:before="0" w:after="480"/>
        <w:jc w:val="center"/>
        <w:rPr>
          <w:rFonts w:ascii="Times New Roman;sans-serif" w:hAnsi="Times New Roman;sans-serif"/>
          <w:b/>
          <w:color w:val="000000"/>
          <w:sz w:val="22"/>
        </w:rPr>
      </w:pPr>
      <w:r>
        <w:rPr>
          <w:rFonts w:ascii="Times New Roman;sans-serif" w:hAnsi="Times New Roman;sans-serif"/>
          <w:b/>
          <w:color w:val="000000"/>
          <w:sz w:val="22"/>
        </w:rPr>
        <w:t>Miscellaneous Provisions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1. Section 126 of the Mortgage, as heretofore amended, is hereby further amended by adding the words “and April 27, 2033” after the words “and August 9, 2032”.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2. Subject to the amendments provided for in this Forty-fourth Supplemental Indenture, the terms defined in the Mortgage, as heretofore supplemented, shall, for all purposes of this Forty-fourth Supplemental Indenture, have the meanings specified in the Mortgage, as heretofore supplemented.</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3. The holders of bonds of the Sixty-fourth Series consent that the Company may, but shall not be obligated to, fix a record date for the purpose of determining the holders of bonds of the Sixty-fourth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4. The Trustees hereby accept the trusts herein declared, provided, created or supplemented and agree to perform the same upon the terms and conditions herein and in the Mortgage set forth and upon the following terms and conditions:</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The Trustees shall not be responsible in any manner whatsoever for or in respect of the validity or sufficiency of this Forty-fourth Supplemental Indenture or for or in respect of the recitals contained herein, all of which recitals are made by the Company solely. In general, each and every term and condition contained in Article XVII of the Mortgage shall apply to and form part of this Forty-fourth Supplemental Indenture with the same force and effect as if the same were herein set forth in full with such omissions, variations and insertions, if any, as may be appropriate to make the same conform to the provisions of this Forty-fourth Supplemental Indenture.</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5. Whenever in this Forty-fourth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Forty-fourth Supplemental Indenture contained by or on behalf of the Company, or by or on behalf of the Trustees shall, subject as aforesaid, bind and inure to the benefit of the respective successors and assigns of such party whether so expressed or not.</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6. Nothing in this Forty-fourth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Forty-fourth Supplemental Indenture or any covenant, condition, stipulation, promise or agreement hereof, and all the covenants, conditions, stipulations, promises and agreements in this Forty-fourth Supplemental Indenture contained by and on behalf of the Company shall be for the sole and exclusive benefit of the parties hereto, and of the holders of the bonds and of the coupons Outstanding under the Mortgage.</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7. This Forty-fourth Supplemental Indenture shall be executed in several counterparts, each of which shall be an original and all of which shall constitute but one and the same instrument.</w:t>
      </w:r>
    </w:p>
    <w:p>
      <w:pPr>
        <w:pStyle w:val="TextBody"/>
        <w:bidi w:val="0"/>
        <w:spacing w:lineRule="auto" w:line="240" w:before="0" w:after="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Section 8. The Company, the mortgagor named herein, by its execution hereof acknowledges receipt of a full, true and complete copy of this Forty-fourth Supplemental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304"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Janet Lee has hereunto set her hand, all in The City of New York, as of the day and year first above written.</w:t>
      </w:r>
    </w:p>
    <w:p>
      <w:pPr>
        <w:pStyle w:val="TextBody"/>
        <w:bidi w:val="0"/>
        <w:spacing w:lineRule="auto" w:line="240" w:before="0" w:after="480"/>
        <w:ind w:left="0" w:right="0" w:firstLine="5010"/>
        <w:jc w:val="both"/>
        <w:rPr>
          <w:rFonts w:ascii="Times New Roman;sans-serif" w:hAnsi="Times New Roman;sans-serif"/>
          <w:b w:val="false"/>
          <w:color w:val="000000"/>
          <w:sz w:val="22"/>
        </w:rPr>
      </w:pPr>
      <w:r>
        <w:rPr>
          <w:rFonts w:ascii="Times New Roman;sans-serif" w:hAnsi="Times New Roman;sans-serif"/>
          <w:b w:val="false"/>
          <w:color w:val="000000"/>
          <w:sz w:val="22"/>
        </w:rPr>
        <w:t>ALLETE, Inc.</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Patrick L. Cutshall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and Corporate Treasurer</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Attest:</w:t>
      </w:r>
    </w:p>
    <w:p>
      <w:pPr>
        <w:pStyle w:val="TextBody"/>
        <w:bidi w:val="0"/>
        <w:spacing w:lineRule="auto" w:line="240" w:before="0" w:after="0"/>
        <w:jc w:val="both"/>
        <w:rPr>
          <w:color w:val="000000"/>
          <w:u w:val="single"/>
        </w:rPr>
      </w:pP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Margaret A. Thickens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 Chief Legal Officer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Corporate Secretary</w:t>
      </w:r>
    </w:p>
    <w:p>
      <w:pPr>
        <w:pStyle w:val="TextBody"/>
        <w:bidi w:val="0"/>
        <w:spacing w:before="0" w:after="0"/>
        <w:ind w:left="0" w:right="0" w:firstLine="5010"/>
        <w:jc w:val="left"/>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Trustees’ Signature Pages Follow</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40" w:before="0" w:after="0"/>
        <w:ind w:left="0" w:right="0" w:firstLine="5011"/>
        <w:jc w:val="both"/>
        <w:rPr>
          <w:rFonts w:ascii="Times New Roman;sans-serif" w:hAnsi="Times New Roman;sans-serif"/>
          <w:b w:val="false"/>
          <w:color w:val="000000"/>
          <w:sz w:val="22"/>
        </w:rPr>
      </w:pPr>
      <w:r>
        <w:rPr>
          <w:rFonts w:ascii="Times New Roman;sans-serif" w:hAnsi="Times New Roman;sans-serif"/>
          <w:b w:val="false"/>
          <w:color w:val="000000"/>
          <w:sz w:val="22"/>
        </w:rPr>
        <w:t>The Bank of New York Mellon,</w:t>
      </w:r>
    </w:p>
    <w:p>
      <w:pPr>
        <w:pStyle w:val="TextBody"/>
        <w:bidi w:val="0"/>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as Trustee</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Francine Kincaid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Vice President</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Forty-fourth Supplemental Indenture dated as of April 1, 2023</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 Mortgage and Deed of Trust dated as of September 1, 1945</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Corporate Trustee’s Signature Page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JANET LEE</w:t>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before="0" w:after="48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Forty-fourth Supplemental Indenture dated as of April 1, 2023</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 Mortgage and Deed of Trust dated as of September 1, 1945</w:t>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before="0" w:after="0"/>
        <w:ind w:left="0" w:right="0" w:firstLine="5010"/>
        <w:jc w:val="both"/>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Co-Trustee’s Signature Page</w:t>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 OF MINNESOTA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SS</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COUNTY OF ST. LOUIS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On this ________ day of April, 2023, the foregoing instrument was acknowledged before me by Patrick L. Cutshall , Vice President and Corporate Treasurer of ALLETE, Inc., a Minnesota corporation, behalf of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NOTARIAL STAMP OR SEAL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________________________________________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Jodi Nash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 OF MINNESOTA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SS</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COUNTY OF ST. LOUIS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On this ______ day of April, 2023, the foregoing instrument was acknowledged before me by Margaret A. Thickens, Vice President, Chief Legal Officer and Corporate Secretary of ALLETE, Inc., a Minnesota corporation, on behalf of the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NOTARIAL STAMP OR SEAL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2"/>
        </w:rPr>
        <w:t>________________________________________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Jodi Nash</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0255"/>
                <wp:effectExtent l="0" t="0" r="0" b="0"/>
                <wp:wrapNone/>
                <wp:docPr id="62" name="Frame62"/>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 of New York        )</w:t>
      </w:r>
    </w:p>
    <w:p>
      <w:pPr>
        <w:pStyle w:val="TextBody"/>
        <w:bidi w:val="0"/>
        <w:spacing w:lineRule="auto" w:line="240" w:before="0" w:after="0"/>
        <w:ind w:left="0" w:right="0" w:firstLine="2850"/>
        <w:jc w:val="both"/>
        <w:rPr>
          <w:rFonts w:ascii="Times New Roman;sans-serif" w:hAnsi="Times New Roman;sans-serif"/>
          <w:b w:val="false"/>
          <w:color w:val="000000"/>
          <w:sz w:val="22"/>
        </w:rPr>
      </w:pPr>
      <w:r>
        <w:rPr>
          <w:rFonts w:ascii="Times New Roman;sans-serif" w:hAnsi="Times New Roman;sans-serif"/>
          <w:b w:val="false"/>
          <w:color w:val="000000"/>
          <w:sz w:val="22"/>
        </w:rPr>
        <w:t>)  ss: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County of New York        )</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On this _____ day of April, 2023, the foregoing instrument was acknowledged before me by Francine Kincaid, a Vice President of The Bank of New York Mellon, the corporation named in the foregoing instrument.</w:t>
      </w:r>
    </w:p>
    <w:p>
      <w:pPr>
        <w:pStyle w:val="TextBody"/>
        <w:bidi w:val="0"/>
        <w:spacing w:lineRule="auto" w:line="240" w:before="0" w:after="480"/>
        <w:ind w:left="0" w:right="0" w:firstLine="691"/>
        <w:jc w:val="left"/>
        <w:rPr>
          <w:rFonts w:ascii="Times New Roman;sans-serif" w:hAnsi="Times New Roman;sans-serif"/>
          <w:b w:val="false"/>
          <w:color w:val="000000"/>
          <w:sz w:val="22"/>
        </w:rPr>
      </w:pPr>
      <w:r>
        <w:rPr>
          <w:rFonts w:ascii="Times New Roman;sans-serif" w:hAnsi="Times New Roman;sans-serif"/>
          <w:b w:val="false"/>
          <w:color w:val="000000"/>
          <w:sz w:val="22"/>
        </w:rPr>
        <w:t>Given under my hand and notarial seal this ______ day of April, 2023.</w:t>
      </w:r>
    </w:p>
    <w:p>
      <w:pPr>
        <w:pStyle w:val="TextBody"/>
        <w:bidi w:val="0"/>
        <w:spacing w:lineRule="auto" w:line="240" w:before="0" w:after="0"/>
        <w:jc w:val="center"/>
        <w:rPr>
          <w:color w:val="000000"/>
          <w:u w:val="single"/>
        </w:rPr>
      </w:pPr>
      <w:r>
        <w:rPr>
          <w:color w:val="000000"/>
          <w:u w:val="single"/>
        </w:rPr>
        <w:t>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Edward Cofie</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Notary Public, State of New York    </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No. 01CO6440109</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Qualified in New York County</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Commission Expires September 6, 2026</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 of New York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ss: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County of New York        )</w:t>
      </w:r>
    </w:p>
    <w:p>
      <w:pPr>
        <w:pStyle w:val="TextBody"/>
        <w:bidi w:val="0"/>
        <w:spacing w:lineRule="auto" w:line="240" w:before="0" w:after="240"/>
        <w:ind w:left="0" w:right="0" w:firstLine="690"/>
        <w:jc w:val="both"/>
        <w:rPr>
          <w:rFonts w:ascii="Times New Roman;sans-serif" w:hAnsi="Times New Roman;sans-serif"/>
          <w:b w:val="false"/>
          <w:color w:val="000000"/>
          <w:sz w:val="22"/>
        </w:rPr>
      </w:pPr>
      <w:r>
        <w:rPr>
          <w:rFonts w:ascii="Times New Roman;sans-serif" w:hAnsi="Times New Roman;sans-serif"/>
          <w:b w:val="false"/>
          <w:color w:val="000000"/>
          <w:sz w:val="22"/>
        </w:rPr>
        <w:t>On this _______ day of April, 2023, the foregoing instrument was acknowledged before me by Janet Lee, the person described in and who executed the foregoing instrument.</w:t>
      </w:r>
    </w:p>
    <w:p>
      <w:pPr>
        <w:pStyle w:val="TextBody"/>
        <w:bidi w:val="0"/>
        <w:spacing w:lineRule="auto" w:line="240" w:before="0" w:after="480"/>
        <w:ind w:left="0" w:right="0" w:firstLine="691"/>
        <w:jc w:val="both"/>
        <w:rPr>
          <w:rFonts w:ascii="Times New Roman;sans-serif" w:hAnsi="Times New Roman;sans-serif"/>
          <w:b w:val="false"/>
          <w:color w:val="000000"/>
          <w:sz w:val="22"/>
        </w:rPr>
      </w:pPr>
      <w:r>
        <w:rPr>
          <w:rFonts w:ascii="Times New Roman;sans-serif" w:hAnsi="Times New Roman;sans-serif"/>
          <w:b w:val="false"/>
          <w:color w:val="000000"/>
          <w:sz w:val="22"/>
        </w:rPr>
        <w:t>Given under my hand and notarial seal this ______ day of April, 2023.</w:t>
      </w:r>
    </w:p>
    <w:p>
      <w:pPr>
        <w:pStyle w:val="TextBody"/>
        <w:bidi w:val="0"/>
        <w:spacing w:lineRule="auto" w:line="240" w:before="0" w:after="0"/>
        <w:jc w:val="center"/>
        <w:rPr>
          <w:color w:val="000000"/>
          <w:u w:val="single"/>
        </w:rPr>
      </w:pPr>
      <w:r>
        <w:rPr>
          <w:color w:val="000000"/>
          <w:u w:val="single"/>
        </w:rPr>
        <w:t>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Edward Cofie</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Notary Public, State of New York    </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No. 01CO6440109</w:t>
      </w:r>
    </w:p>
    <w:p>
      <w:pPr>
        <w:pStyle w:val="TextBody"/>
        <w:bidi w:val="0"/>
        <w:spacing w:lineRule="auto" w:line="240" w:before="0" w:after="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Qualified in New York County</w:t>
      </w:r>
    </w:p>
    <w:p>
      <w:pPr>
        <w:pStyle w:val="TextBody"/>
        <w:bidi w:val="0"/>
        <w:spacing w:lineRule="auto" w:line="240"/>
        <w:ind w:left="0" w:right="0" w:firstLine="504"/>
        <w:jc w:val="left"/>
        <w:rPr>
          <w:rFonts w:ascii="Times New Roman;sans-serif" w:hAnsi="Times New Roman;sans-serif"/>
          <w:b w:val="false"/>
          <w:color w:val="000000"/>
          <w:sz w:val="22"/>
        </w:rPr>
      </w:pPr>
      <w:r>
        <w:rPr>
          <w:rFonts w:ascii="Times New Roman;sans-serif" w:hAnsi="Times New Roman;sans-serif"/>
          <w:b w:val="false"/>
          <w:color w:val="000000"/>
          <w:sz w:val="22"/>
        </w:rPr>
        <w:t>Commission Expires September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Bethany M. Owen,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44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095"/>
        <w:gridCol w:w="1095"/>
        <w:gridCol w:w="155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W. Morris,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83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10"/>
        <w:gridCol w:w="1210"/>
        <w:gridCol w:w="172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W. Morris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Periodic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By the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each of the undersigned officers of ALLETE, Inc. (ALLETE), does hereby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ALLETE for the period ended June 30, 2023, (Report) fully complies with the requirements of Section 13(a) of the Securities Exchange Act of 1934 (15 U.S.C. 78m);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ALLETE.</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576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33"/>
        <w:gridCol w:w="1233"/>
        <w:gridCol w:w="123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615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363"/>
        <w:gridCol w:w="1363"/>
        <w:gridCol w:w="136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Steven W. Morris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W. Morris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 Safety Disclosure</w:t>
      </w:r>
    </w:p>
    <w:tbl>
      <w:tblPr>
        <w:tblW w:w="10205" w:type="dxa"/>
        <w:jc w:val="center"/>
        <w:tblInd w:w="0" w:type="dxa"/>
        <w:tblLayout w:type="fixed"/>
        <w:tblCellMar>
          <w:top w:w="28" w:type="dxa"/>
          <w:left w:w="28" w:type="dxa"/>
          <w:bottom w:w="28" w:type="dxa"/>
          <w:right w:w="28" w:type="dxa"/>
        </w:tblCellMar>
      </w:tblPr>
      <w:tblGrid>
        <w:gridCol w:w="400"/>
        <w:gridCol w:w="351"/>
        <w:gridCol w:w="353"/>
        <w:gridCol w:w="244"/>
        <w:gridCol w:w="244"/>
        <w:gridCol w:w="245"/>
        <w:gridCol w:w="212"/>
        <w:gridCol w:w="212"/>
        <w:gridCol w:w="213"/>
        <w:gridCol w:w="218"/>
        <w:gridCol w:w="218"/>
        <w:gridCol w:w="219"/>
        <w:gridCol w:w="215"/>
        <w:gridCol w:w="215"/>
        <w:gridCol w:w="216"/>
        <w:gridCol w:w="212"/>
        <w:gridCol w:w="212"/>
        <w:gridCol w:w="213"/>
        <w:gridCol w:w="333"/>
        <w:gridCol w:w="333"/>
        <w:gridCol w:w="334"/>
        <w:gridCol w:w="250"/>
        <w:gridCol w:w="250"/>
        <w:gridCol w:w="251"/>
        <w:gridCol w:w="275"/>
        <w:gridCol w:w="275"/>
        <w:gridCol w:w="276"/>
        <w:gridCol w:w="273"/>
        <w:gridCol w:w="273"/>
        <w:gridCol w:w="274"/>
        <w:gridCol w:w="243"/>
        <w:gridCol w:w="243"/>
        <w:gridCol w:w="244"/>
        <w:gridCol w:w="238"/>
        <w:gridCol w:w="238"/>
        <w:gridCol w:w="240"/>
        <w:gridCol w:w="258"/>
        <w:gridCol w:w="258"/>
        <w:gridCol w:w="260"/>
        <w:gridCol w:w="174"/>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Mine or Operating Name/MSHA Identification Number</w:t>
            </w:r>
          </w:p>
        </w:tc>
        <w:tc>
          <w:tcPr>
            <w:tcW w:w="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 S&amp;S Citations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104(b) Orders (#)</w:t>
            </w:r>
          </w:p>
        </w:tc>
        <w:tc>
          <w:tcPr>
            <w:tcW w:w="65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104(d) Citations and Orders (#)</w:t>
            </w:r>
          </w:p>
        </w:tc>
        <w:tc>
          <w:tcPr>
            <w:tcW w:w="6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110(b)(2) Violations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107(a) Orders (#)</w:t>
            </w:r>
          </w:p>
        </w:tc>
        <w:tc>
          <w:tcPr>
            <w:tcW w:w="100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Dollar Value of MSHA Assessments Proposed ($)</w:t>
            </w:r>
          </w:p>
        </w:tc>
        <w:tc>
          <w:tcPr>
            <w:tcW w:w="7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 Mining Related Fatalities (#)</w:t>
            </w:r>
          </w:p>
        </w:tc>
        <w:tc>
          <w:tcPr>
            <w:tcW w:w="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Pattern of Violation Under Section 104(e) (yes/no)</w:t>
            </w:r>
          </w:p>
        </w:tc>
        <w:tc>
          <w:tcPr>
            <w:tcW w:w="8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Potential to Have Pattern Under Section 104(e) (yes/no)</w:t>
            </w:r>
          </w:p>
        </w:tc>
        <w:tc>
          <w:tcPr>
            <w:tcW w:w="7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Pending as of Last Day of Period (#)</w:t>
            </w:r>
          </w:p>
        </w:tc>
        <w:tc>
          <w:tcPr>
            <w:tcW w:w="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Initiated During Period (#)</w:t>
            </w:r>
          </w:p>
        </w:tc>
        <w:tc>
          <w:tcPr>
            <w:tcW w:w="7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Resolved During Period (#)</w:t>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 Mine / 3200218</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June 30, 2023, BNI Energy, owner of Center Mine, received one citations under Section 104(a) of the Mine Safety Act. For the quarter ended June 30, 2023, BNI Energy paid no penalties for citations closed during the period. For the quarter ended June 30, 2023, there were no citations, orders, violations or notices under Sections 104(b), 104(d), 107(a), 104(e) or 110(b)(2) of the Mine Safety Act and there were no fatalities.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6137" w:type="dxa"/>
        <w:jc w:val="center"/>
        <w:tblInd w:w="0" w:type="dxa"/>
        <w:tblLayout w:type="fixed"/>
        <w:tblCellMar>
          <w:top w:w="28" w:type="dxa"/>
          <w:left w:w="28" w:type="dxa"/>
          <w:bottom w:w="28" w:type="dxa"/>
          <w:right w:w="28" w:type="dxa"/>
        </w:tblCellMar>
      </w:tblPr>
      <w:tblGrid>
        <w:gridCol w:w="1032"/>
        <w:gridCol w:w="908"/>
        <w:gridCol w:w="911"/>
        <w:gridCol w:w="504"/>
        <w:gridCol w:w="504"/>
        <w:gridCol w:w="507"/>
        <w:gridCol w:w="517"/>
        <w:gridCol w:w="517"/>
        <w:gridCol w:w="737"/>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695325"/>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2"/>
                          <a:stretch>
                            <a:fillRect/>
                          </a:stretch>
                        </pic:blipFill>
                        <pic:spPr bwMode="auto">
                          <a:xfrm>
                            <a:off x="0" y="0"/>
                            <a:ext cx="1524000" cy="695325"/>
                          </a:xfrm>
                          <a:prstGeom prst="rect">
                            <a:avLst/>
                          </a:prstGeom>
                        </pic:spPr>
                      </pic:pic>
                    </a:graphicData>
                  </a:graphic>
                </wp:inline>
              </w:drawing>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99</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Release:</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 Meyer</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218-723-3952</w:t>
            </w:r>
          </w:p>
        </w:tc>
      </w:tr>
      <w:tr>
        <w:trPr/>
        <w:tc>
          <w:tcPr>
            <w:tcW w:w="2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96"/>
              </w:rPr>
            </w:pPr>
            <w:r>
              <w:rPr>
                <w:rFonts w:ascii="Times New Roman;sans-serif" w:hAnsi="Times New Roman;sans-serif"/>
                <w:b/>
                <w:i/>
                <w:color w:val="000000"/>
                <w:sz w:val="96"/>
              </w:rPr>
              <w:t>NEWS</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vmeyer@allete.com</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jc w:val="center"/>
        <w:rPr>
          <w:rFonts w:ascii="Times New Roman;sans-serif" w:hAnsi="Times New Roman;sans-serif"/>
          <w:b/>
          <w:color w:val="000000"/>
          <w:sz w:val="28"/>
        </w:rPr>
      </w:pPr>
      <w:r>
        <w:rPr>
          <w:rFonts w:ascii="Times New Roman;sans-serif" w:hAnsi="Times New Roman;sans-serif"/>
          <w:b/>
          <w:color w:val="000000"/>
          <w:sz w:val="28"/>
        </w:rPr>
        <w:t>ALLETE, Inc. reports second quarter earnings of 90 cents per share;</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reaffirms 2023 earnings guidance range of $3.55 to $3.85 per share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DULUTH, Minn. - ALLETE, Inc. (NYSE: ALE) today reported second quarter 2023 earnings of 90 cents per share on net income of $51.5 million. Last year’s second quarter results were 67 cents per share on net income of $37.6 million. Included in this year’s results were earnings from another strong quarter of financial results at New Energy, which was acquired in April 2022.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2"/>
        </w:rPr>
        <w:t>We are very pleased with this quarter’s solid results,” said ALLETE Chair, President, and Chief Executive Officer Bethany Owen. “Through the first half of this year, we have also made significant progress in executing our Sustainability in Action strategy – working with our diverse stakeholders as we advance the transition to a clean-energy future. Minnesota Power recently filed certificates of need and route permit applications for the modernization of its 465-mile HVDC transmission line, and for the Northland Reliability Project. In addition, New Energy Equity has maintained a robust pipeline of projects and disciplined project execution as reflected in another strong quarter of financial results, and ALLETE Clean Energy successfully closed on its Red Barn project in April.”</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color w:val="000000"/>
          <w:sz w:val="22"/>
        </w:rPr>
        <w:t>Our results for the second quarter 2023 were higher than prior year due to New Energy Equity having another outstanding quarter of project closings, with attractive margins and entry into a new market, and is firmly on track to achieve or slightly exceed full-year earnings projections.” said ALLETE Senior Vice President and Chief Financial Officer Steve Morris. “Our regulated operations were also higher due to increased retail sales and lower property taxes this year, partially offset by reserves for interim rates resulting from Minnesota Power’s February rate case order. Wind resources were down across much of the nation and consequently, results at ALLETE Clean Energy were below our expectations for the quarter, partially offset by the profitable sale of the Red Barn project. We are pleased to reaffirm our 2023 guidance, as we remain confident in our earnings range of $3.55 to $3.85 per share.”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ALLETE’s Regulated Operations segment, which includes Minnesota Power, Superior Water, Light and Power (SWL&amp;P) and the Company’s investment in the American Transmission Company, recorded second quarter 2023 net income of $37.8 million, compared to $29.6 million in the second quarter a year ago. Earnings at Minnesota Power were higher this year compared to 2022, primarily due to lower property taxes and increased sales to retail customers. These increases were partially offset by interim rate refund reserves recognized in 2023, as a result of Minnesota Power’s 2022 general rate case outcome; the full interim rate reserve was recorded in the fourth quarter of 2022. Also reflected in the second quarter of 2023 was higher operating and maintenance expense. Net income at SWL&amp;P was higher during the second quarter of 2023 primarily due to the implementation of new customer rates effective the beginning of this year.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 Clean Energy recorded second quarter 2023 net income of $3.1 million compared to $5.8 million in 2022. Earnings in 2023 reflect lower wind resources across the nation negatively impacting the entire fleet, which was partially offset by the sale of the Red Barn project in April of this year. Net income in 2022 also included earnings from the Northern Wind facilities which were decommissioned in April 2022 as part of ALLETE Clean Energy’s project to repower and sell the Northern Wind project.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6390"/>
                <wp:effectExtent l="0" t="0" r="0" b="0"/>
                <wp:wrapNone/>
                <wp:docPr id="70" name="Frame69"/>
                <a:graphic xmlns:a="http://schemas.openxmlformats.org/drawingml/2006/main">
                  <a:graphicData uri="http://schemas.microsoft.com/office/word/2010/wordprocessingShape">
                    <wps:wsp>
                      <wps:cNvSpPr txBox="1"/>
                      <wps:spPr>
                        <a:xfrm>
                          <a:off x="0" y="0"/>
                          <a:ext cx="6480175" cy="32639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and Other businesses, which include New Energy Equity, BNI Energy, ALLETE Properties and our investments in renewable energy facilities, recorded net income of $10.6 million in the second quarter of 2023, compared to net income of $2.2 million in 2022. Second quarter net income in 2023 reflects New Energy’s earnings of $7.4 million; 2022 net income included purchase price accounting adjustments and transaction costs related to the New Energy acquisition which closed in April last year.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Earnings per share dilution in 2023 was approximately 2 cents due to additional shares of common stock outstanding as of June 30, 2023.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Live Webcast on August 8, 2023; 2023 second quarter slides posted on company website.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ALLETE’s earnings conference call will be at 10:00 a.m. (EST), August 8, 2023, at which time management will discuss the second quarter of 2023 financial results. Interested parties may participate live by registering for the call at www.allete.com/earningscall, or may listen to the live audio-only webcast accompanied by supporting slides, which will be available on ALLETE’s Investor Relations website investor.allete.com/events-presentations. The webcast will be accessible for one year at allete.com.</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rPr>
        <w:t xml:space="preserve">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 ALLETE is available at www.allete.com. </w:t>
      </w:r>
      <w:r>
        <w:rPr>
          <w:rFonts w:ascii="Times New Roman;sans-serif" w:hAnsi="Times New Roman;sans-serif"/>
          <w:b w:val="false"/>
          <w:i/>
          <w:color w:val="000000"/>
          <w:sz w:val="24"/>
        </w:rPr>
        <w:t>ALE-CORP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31495"/>
                <wp:effectExtent l="0" t="0" r="0" b="0"/>
                <wp:wrapNone/>
                <wp:docPr id="71" name="Frame70"/>
                <a:graphic xmlns:a="http://schemas.openxmlformats.org/drawingml/2006/main">
                  <a:graphicData uri="http://schemas.microsoft.com/office/word/2010/wordprocessingShape">
                    <wps:wsp>
                      <wps:cNvSpPr txBox="1"/>
                      <wps:spPr>
                        <a:xfrm>
                          <a:off x="0" y="0"/>
                          <a:ext cx="6480175" cy="531495"/>
                        </a:xfrm>
                        <a:prstGeom prst="rect"/>
                        <a:solidFill>
                          <a:srgbClr val="FFFFFF"/>
                        </a:solidFill>
                      </wps:spPr>
                      <wps:txb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Except Per Share Amounts - Unaudited</w:t>
      </w:r>
    </w:p>
    <w:tbl>
      <w:tblPr>
        <w:tblW w:w="8273" w:type="dxa"/>
        <w:jc w:val="center"/>
        <w:tblInd w:w="0" w:type="dxa"/>
        <w:tblLayout w:type="fixed"/>
        <w:tblCellMar>
          <w:top w:w="28" w:type="dxa"/>
          <w:left w:w="28" w:type="dxa"/>
          <w:bottom w:w="28" w:type="dxa"/>
          <w:right w:w="28" w:type="dxa"/>
        </w:tblCellMar>
      </w:tblPr>
      <w:tblGrid>
        <w:gridCol w:w="1494"/>
        <w:gridCol w:w="1311"/>
        <w:gridCol w:w="1319"/>
        <w:gridCol w:w="480"/>
        <w:gridCol w:w="346"/>
        <w:gridCol w:w="229"/>
        <w:gridCol w:w="423"/>
        <w:gridCol w:w="298"/>
        <w:gridCol w:w="235"/>
        <w:gridCol w:w="490"/>
        <w:gridCol w:w="276"/>
        <w:gridCol w:w="260"/>
        <w:gridCol w:w="474"/>
        <w:gridCol w:w="260"/>
        <w:gridCol w:w="378"/>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1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1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Share of Common Stock</w:t>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$0.6775 </w:t>
            </w:r>
          </w:p>
        </w:tc>
        <w:tc>
          <w:tcPr>
            <w:tcW w:w="2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 Unaudited</w:t>
      </w:r>
    </w:p>
    <w:tbl>
      <w:tblPr>
        <w:tblW w:w="10205" w:type="dxa"/>
        <w:jc w:val="center"/>
        <w:tblInd w:w="0" w:type="dxa"/>
        <w:tblLayout w:type="fixed"/>
        <w:tblCellMar>
          <w:top w:w="28" w:type="dxa"/>
          <w:left w:w="28" w:type="dxa"/>
          <w:bottom w:w="28" w:type="dxa"/>
          <w:right w:w="28" w:type="dxa"/>
        </w:tblCellMar>
      </w:tblPr>
      <w:tblGrid>
        <w:gridCol w:w="906"/>
        <w:gridCol w:w="786"/>
        <w:gridCol w:w="791"/>
        <w:gridCol w:w="344"/>
        <w:gridCol w:w="254"/>
        <w:gridCol w:w="236"/>
        <w:gridCol w:w="290"/>
        <w:gridCol w:w="290"/>
        <w:gridCol w:w="252"/>
        <w:gridCol w:w="109"/>
        <w:gridCol w:w="109"/>
        <w:gridCol w:w="109"/>
        <w:gridCol w:w="1402"/>
        <w:gridCol w:w="1309"/>
        <w:gridCol w:w="1313"/>
        <w:gridCol w:w="290"/>
        <w:gridCol w:w="290"/>
        <w:gridCol w:w="246"/>
        <w:gridCol w:w="268"/>
        <w:gridCol w:w="268"/>
        <w:gridCol w:w="343"/>
      </w:tblGrid>
      <w:tr>
        <w:trPr/>
        <w:tc>
          <w:tcPr>
            <w:tcW w:w="9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 30</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 30</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w:t>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1,648.2</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 Net</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w:t>
            </w:r>
          </w:p>
        </w:tc>
      </w:tr>
      <w:tr>
        <w:trPr/>
        <w:tc>
          <w:tcPr>
            <w:tcW w:w="24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$6,567.9</w:t>
            </w:r>
          </w:p>
        </w:tc>
        <w:tc>
          <w:tcPr>
            <w:tcW w:w="8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8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$6,567.9</w:t>
            </w:r>
          </w:p>
        </w:tc>
        <w:tc>
          <w:tcPr>
            <w:tcW w:w="8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6755"/>
                <wp:effectExtent l="0" t="0" r="0" b="0"/>
                <wp:wrapNone/>
                <wp:docPr id="72" name="Frame71"/>
                <a:graphic xmlns:a="http://schemas.openxmlformats.org/drawingml/2006/main">
                  <a:graphicData uri="http://schemas.microsoft.com/office/word/2010/wordprocessingShape">
                    <wps:wsp>
                      <wps:cNvSpPr txBox="1"/>
                      <wps:spPr>
                        <a:xfrm>
                          <a:off x="0" y="0"/>
                          <a:ext cx="6480175" cy="70675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tbl>
      <w:tblPr>
        <w:tblW w:w="6864" w:type="dxa"/>
        <w:jc w:val="center"/>
        <w:tblInd w:w="0" w:type="dxa"/>
        <w:tblLayout w:type="fixed"/>
        <w:tblCellMar>
          <w:top w:w="28" w:type="dxa"/>
          <w:left w:w="28" w:type="dxa"/>
          <w:bottom w:w="28" w:type="dxa"/>
          <w:right w:w="28" w:type="dxa"/>
        </w:tblCellMar>
      </w:tblPr>
      <w:tblGrid>
        <w:gridCol w:w="1113"/>
        <w:gridCol w:w="979"/>
        <w:gridCol w:w="982"/>
        <w:gridCol w:w="358"/>
        <w:gridCol w:w="258"/>
        <w:gridCol w:w="229"/>
        <w:gridCol w:w="361"/>
        <w:gridCol w:w="255"/>
        <w:gridCol w:w="235"/>
        <w:gridCol w:w="462"/>
        <w:gridCol w:w="260"/>
        <w:gridCol w:w="260"/>
        <w:gridCol w:w="474"/>
        <w:gridCol w:w="260"/>
        <w:gridCol w:w="378"/>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 Ended</w:t>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ALLETE, Inc.</w:t>
            </w:r>
          </w:p>
        </w:tc>
        <w:tc>
          <w:tcPr>
            <w:tcW w:w="16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20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158" w:type="dxa"/>
        <w:jc w:val="center"/>
        <w:tblInd w:w="0" w:type="dxa"/>
        <w:tblLayout w:type="fixed"/>
        <w:tblCellMar>
          <w:top w:w="28" w:type="dxa"/>
          <w:left w:w="28" w:type="dxa"/>
          <w:bottom w:w="28" w:type="dxa"/>
          <w:right w:w="28" w:type="dxa"/>
        </w:tblCellMar>
      </w:tblPr>
      <w:tblGrid>
        <w:gridCol w:w="510"/>
        <w:gridCol w:w="449"/>
        <w:gridCol w:w="450"/>
        <w:gridCol w:w="225"/>
        <w:gridCol w:w="225"/>
        <w:gridCol w:w="226"/>
        <w:gridCol w:w="225"/>
        <w:gridCol w:w="225"/>
        <w:gridCol w:w="226"/>
        <w:gridCol w:w="225"/>
        <w:gridCol w:w="225"/>
        <w:gridCol w:w="226"/>
        <w:gridCol w:w="211"/>
        <w:gridCol w:w="211"/>
        <w:gridCol w:w="299"/>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Statistical Data</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w:t>
            </w:r>
          </w:p>
        </w:tc>
      </w:tr>
      <w:tr>
        <w:trPr/>
        <w:tc>
          <w:tcPr>
            <w:tcW w:w="14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w:t>
            </w:r>
          </w:p>
        </w:tc>
      </w:tr>
    </w:tbl>
    <w:p>
      <w:pPr>
        <w:pStyle w:val="TextBody"/>
        <w:bidi w:val="0"/>
        <w:spacing w:before="0" w:after="0"/>
        <w:jc w:val="left"/>
        <w:rPr/>
      </w:pPr>
      <w:r>
        <w:rPr/>
      </w:r>
    </w:p>
    <w:tbl>
      <w:tblPr>
        <w:tblW w:w="6034" w:type="dxa"/>
        <w:jc w:val="center"/>
        <w:tblInd w:w="0" w:type="dxa"/>
        <w:tblLayout w:type="fixed"/>
        <w:tblCellMar>
          <w:top w:w="28" w:type="dxa"/>
          <w:left w:w="28" w:type="dxa"/>
          <w:bottom w:w="28" w:type="dxa"/>
          <w:right w:w="28" w:type="dxa"/>
        </w:tblCellMar>
      </w:tblPr>
      <w:tblGrid>
        <w:gridCol w:w="1343"/>
        <w:gridCol w:w="1178"/>
        <w:gridCol w:w="1184"/>
        <w:gridCol w:w="189"/>
        <w:gridCol w:w="189"/>
        <w:gridCol w:w="193"/>
        <w:gridCol w:w="189"/>
        <w:gridCol w:w="189"/>
        <w:gridCol w:w="193"/>
        <w:gridCol w:w="189"/>
        <w:gridCol w:w="189"/>
        <w:gridCol w:w="193"/>
        <w:gridCol w:w="179"/>
        <w:gridCol w:w="179"/>
        <w:gridCol w:w="258"/>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w:t>
            </w:r>
          </w:p>
        </w:tc>
        <w:tc>
          <w:tcPr>
            <w:tcW w:w="6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529" w:type="dxa"/>
        <w:jc w:val="center"/>
        <w:tblInd w:w="0" w:type="dxa"/>
        <w:tblLayout w:type="fixed"/>
        <w:tblCellMar>
          <w:top w:w="28" w:type="dxa"/>
          <w:left w:w="28" w:type="dxa"/>
          <w:bottom w:w="28" w:type="dxa"/>
          <w:right w:w="28" w:type="dxa"/>
        </w:tblCellMar>
      </w:tblPr>
      <w:tblGrid>
        <w:gridCol w:w="1368"/>
        <w:gridCol w:w="1205"/>
        <w:gridCol w:w="1207"/>
        <w:gridCol w:w="224"/>
        <w:gridCol w:w="224"/>
        <w:gridCol w:w="228"/>
        <w:gridCol w:w="224"/>
        <w:gridCol w:w="224"/>
        <w:gridCol w:w="228"/>
        <w:gridCol w:w="224"/>
        <w:gridCol w:w="224"/>
        <w:gridCol w:w="228"/>
        <w:gridCol w:w="210"/>
        <w:gridCol w:w="210"/>
        <w:gridCol w:w="301"/>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Revenue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 Revenue</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 Electric Revenue</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 Electric Revenue</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(Includes Water and Gas Revenue)</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r>
      <w:tr>
        <w:trPr/>
        <w:tc>
          <w:tcPr>
            <w:tcW w:w="37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Revenue</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556385"/>
                <wp:effectExtent l="0" t="0" r="0" b="0"/>
                <wp:wrapNone/>
                <wp:docPr id="73" name="Frame72"/>
                <a:graphic xmlns:a="http://schemas.openxmlformats.org/drawingml/2006/main">
                  <a:graphicData uri="http://schemas.microsoft.com/office/word/2010/wordprocessingShape">
                    <wps:wsp>
                      <wps:cNvSpPr txBox="1"/>
                      <wps:spPr>
                        <a:xfrm>
                          <a:off x="0" y="0"/>
                          <a:ext cx="6480175" cy="155638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33149</Words>
  <Characters>182191</Characters>
  <CharactersWithSpaces>213765</CharactersWithSpaces>
  <Paragraphs>3640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