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4" w:lineRule="exact"/>
        <w:rPr>
          <w:sz w:val="24"/>
          <w:szCs w:val="24"/>
          <w:color w:val="auto"/>
        </w:rPr>
      </w:pPr>
    </w:p>
    <w:p>
      <w:pPr>
        <w:ind w:right="4180" w:firstLine="26"/>
        <w:spacing w:after="0" w:line="367" w:lineRule="auto"/>
        <w:tabs>
          <w:tab w:leader="none" w:pos="6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660" w:right="4140" w:hanging="634"/>
        <w:spacing w:after="0" w:line="293"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14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6360" w:space="720"/>
            <w:col w:w="416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ectPr>
          <w:pgSz w:w="11900" w:h="16838" w:orient="portrait"/>
          <w:cols w:equalWidth="0" w:num="1">
            <w:col w:w="11240"/>
          </w:cols>
          <w:pgMar w:left="320" w:top="1039" w:right="339" w:bottom="1440" w:gutter="0" w:footer="0" w:header="0"/>
          <w:type w:val="continuous"/>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39" w:right="339" w:bottom="1440" w:gutter="0" w:footer="0" w:header="0"/>
          <w:type w:val="continuous"/>
        </w:sectPr>
      </w:pPr>
    </w:p>
    <w:p>
      <w:pPr>
        <w:spacing w:after="0" w:line="73" w:lineRule="exact"/>
        <w:rPr>
          <w:sz w:val="24"/>
          <w:szCs w:val="24"/>
          <w:color w:val="auto"/>
        </w:rPr>
      </w:pPr>
    </w:p>
    <w:p>
      <w:pPr>
        <w:jc w:val="center"/>
        <w:ind w:left="2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00"/>
        <w:spacing w:after="0"/>
        <w:rPr>
          <w:sz w:val="20"/>
          <w:szCs w:val="20"/>
          <w:color w:val="auto"/>
        </w:rPr>
      </w:pPr>
      <w:r>
        <w:rPr>
          <w:rFonts w:ascii="Arial" w:cs="Arial" w:eastAsia="Arial" w:hAnsi="Arial"/>
          <w:sz w:val="16"/>
          <w:szCs w:val="16"/>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ALE</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New York Stock Exchange</w:t>
      </w:r>
    </w:p>
    <w:p>
      <w:pPr>
        <w:spacing w:after="0" w:line="116" w:lineRule="exact"/>
        <w:rPr>
          <w:sz w:val="24"/>
          <w:szCs w:val="24"/>
          <w:color w:val="auto"/>
        </w:rPr>
      </w:pPr>
    </w:p>
    <w:p>
      <w:pPr>
        <w:sectPr>
          <w:pgSz w:w="11900" w:h="16838" w:orient="portrait"/>
          <w:cols w:equalWidth="0" w:num="3">
            <w:col w:w="4320" w:space="720"/>
            <w:col w:w="1620" w:space="720"/>
            <w:col w:w="3860"/>
          </w:cols>
          <w:pgMar w:left="320" w:top="1039" w:right="339" w:bottom="1440" w:gutter="0" w:footer="0" w:header="0"/>
          <w:type w:val="continuous"/>
        </w:sect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39" w:right="339" w:bottom="1440" w:gutter="0" w:footer="0" w:header="0"/>
          <w:type w:val="continuous"/>
        </w:sectPr>
      </w:pPr>
    </w:p>
    <w:p>
      <w:pPr>
        <w:spacing w:after="0" w:line="43" w:lineRule="exact"/>
        <w:rPr>
          <w:sz w:val="24"/>
          <w:szCs w:val="24"/>
          <w:color w:val="auto"/>
        </w:rPr>
      </w:pPr>
    </w:p>
    <w:p>
      <w:pPr>
        <w:ind w:left="420"/>
        <w:spacing w:after="0" w:line="25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4880" w:space="180"/>
            <w:col w:w="6180"/>
          </w:cols>
          <w:pgMar w:left="320" w:top="1039" w:right="339" w:bottom="1440" w:gutter="0" w:footer="0" w:header="0"/>
          <w:type w:val="continuous"/>
        </w:sectPr>
      </w:pPr>
    </w:p>
    <w:p>
      <w:pPr>
        <w:ind w:left="1320"/>
        <w:spacing w:after="0" w:line="196" w:lineRule="exact"/>
        <w:tabs>
          <w:tab w:leader="none" w:pos="35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51,974,885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40" w:type="dxa"/>
            <w:vAlign w:val="bottom"/>
          </w:tcPr>
          <w:p>
            <w:pPr>
              <w:ind w:left="480"/>
              <w:spacing w:after="0"/>
              <w:rPr>
                <w:sz w:val="20"/>
                <w:szCs w:val="20"/>
                <w:color w:val="auto"/>
              </w:rPr>
            </w:pPr>
            <w:r>
              <w:rPr>
                <w:rFonts w:ascii="Arial" w:cs="Arial" w:eastAsia="Arial" w:hAnsi="Arial"/>
                <w:sz w:val="18"/>
                <w:szCs w:val="18"/>
                <w:b w:val="1"/>
                <w:bCs w:val="1"/>
                <w:color w:val="auto"/>
              </w:rPr>
              <w:t>Index</w:t>
            </w:r>
          </w:p>
        </w:tc>
        <w:tc>
          <w:tcPr>
            <w:tcW w:w="1540" w:type="dxa"/>
            <w:vAlign w:val="bottom"/>
          </w:tcPr>
          <w:p>
            <w:pPr>
              <w:spacing w:after="0"/>
              <w:rPr>
                <w:sz w:val="20"/>
                <w:szCs w:val="20"/>
                <w:color w:val="auto"/>
              </w:rPr>
            </w:pPr>
          </w:p>
        </w:tc>
      </w:tr>
      <w:tr>
        <w:trPr>
          <w:trHeight w:val="486"/>
        </w:trPr>
        <w:tc>
          <w:tcPr>
            <w:tcW w:w="860" w:type="dxa"/>
            <w:vAlign w:val="bottom"/>
          </w:tcPr>
          <w:p>
            <w:pPr>
              <w:ind w:left="20"/>
              <w:spacing w:after="0"/>
              <w:rPr>
                <w:rFonts w:ascii="Arial" w:cs="Arial" w:eastAsia="Arial" w:hAnsi="Arial"/>
                <w:sz w:val="18"/>
                <w:szCs w:val="18"/>
                <w:u w:val="single" w:color="auto"/>
                <w:color w:val="0000FF"/>
                <w:w w:val="97"/>
              </w:rPr>
            </w:pPr>
            <w:hyperlink w:anchor="page2">
              <w:r>
                <w:rPr>
                  <w:rFonts w:ascii="Arial" w:cs="Arial" w:eastAsia="Arial" w:hAnsi="Arial"/>
                  <w:sz w:val="18"/>
                  <w:szCs w:val="18"/>
                  <w:u w:val="single" w:color="auto"/>
                  <w:color w:val="0000FF"/>
                  <w:w w:val="97"/>
                </w:rPr>
                <w:t>Definitions</w:t>
              </w:r>
            </w:hyperlink>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4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29"/>
        </w:trPr>
        <w:tc>
          <w:tcPr>
            <w:tcW w:w="9660" w:type="dxa"/>
            <w:vAlign w:val="bottom"/>
            <w:gridSpan w:val="5"/>
            <w:shd w:val="clear" w:color="auto" w:fill="CCEEFF"/>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Forward-Looking Statements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30"/>
        </w:trPr>
        <w:tc>
          <w:tcPr>
            <w:tcW w:w="86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Part I.</w:t>
              </w:r>
            </w:hyperlink>
          </w:p>
        </w:tc>
        <w:tc>
          <w:tcPr>
            <w:tcW w:w="8800" w:type="dxa"/>
            <w:vAlign w:val="bottom"/>
            <w:gridSpan w:val="4"/>
          </w:tcPr>
          <w:p>
            <w:pPr>
              <w:ind w:left="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Information</w:t>
              </w:r>
            </w:hyperlink>
          </w:p>
        </w:tc>
        <w:tc>
          <w:tcPr>
            <w:tcW w:w="1540" w:type="dxa"/>
            <w:vAlign w:val="bottom"/>
          </w:tcPr>
          <w:p>
            <w:pPr>
              <w:spacing w:after="0"/>
              <w:rPr>
                <w:sz w:val="19"/>
                <w:szCs w:val="19"/>
                <w:color w:val="auto"/>
              </w:rPr>
            </w:pPr>
          </w:p>
        </w:tc>
      </w:tr>
      <w:tr>
        <w:trPr>
          <w:trHeight w:val="229"/>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w:t>
              </w:r>
            </w:hyperlink>
          </w:p>
        </w:tc>
        <w:tc>
          <w:tcPr>
            <w:tcW w:w="7960" w:type="dxa"/>
            <w:vAlign w:val="bottom"/>
            <w:gridSpan w:val="3"/>
            <w:shd w:val="clear" w:color="auto" w:fill="CCEEFF"/>
          </w:tcPr>
          <w:p>
            <w:pPr>
              <w:ind w:left="1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Financial Statements - Unaudited</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30"/>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3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w:t>
              </w:r>
            </w:hyperlink>
          </w:p>
        </w:tc>
        <w:tc>
          <w:tcPr>
            <w:tcW w:w="15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29"/>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3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 of Income</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29"/>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3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 of Comprehensive Income</w:t>
              </w:r>
            </w:hyperlink>
          </w:p>
        </w:tc>
        <w:tc>
          <w:tcPr>
            <w:tcW w:w="15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30"/>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3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Statement of Cash Flows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29"/>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38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Consolidated Statement of Equity</w:t>
              </w:r>
            </w:hyperlink>
          </w:p>
        </w:tc>
        <w:tc>
          <w:tcPr>
            <w:tcW w:w="15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r>
      <w:tr>
        <w:trPr>
          <w:trHeight w:val="229"/>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38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Notes to Consolidated Financial Statements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11</w:t>
              </w:r>
            </w:hyperlink>
          </w:p>
        </w:tc>
      </w:tr>
      <w:tr>
        <w:trPr>
          <w:trHeight w:val="230"/>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6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 1. Operations and Significant Accounting Policies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229"/>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6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Note 2. Regulatory Matters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13</w:t>
              </w:r>
            </w:hyperlink>
          </w:p>
        </w:tc>
      </w:tr>
      <w:tr>
        <w:trPr>
          <w:trHeight w:val="230"/>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6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Note 3. Equity Investments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17</w:t>
              </w:r>
            </w:hyperlink>
          </w:p>
        </w:tc>
      </w:tr>
      <w:tr>
        <w:trPr>
          <w:trHeight w:val="229"/>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6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Note 4. Fair Value</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17</w:t>
              </w:r>
            </w:hyperlink>
          </w:p>
        </w:tc>
      </w:tr>
      <w:tr>
        <w:trPr>
          <w:trHeight w:val="229"/>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6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Note 5. Short-Term and Long-Term Debt</w:t>
              </w:r>
            </w:hyperlink>
          </w:p>
        </w:tc>
        <w:tc>
          <w:tcPr>
            <w:tcW w:w="154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30"/>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6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6. Commitments, Guarantees and Contingencies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r>
      <w:tr>
        <w:trPr>
          <w:trHeight w:val="229"/>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6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Note 7. Earnings Per Share and Common Stock</w:t>
              </w:r>
            </w:hyperlink>
          </w:p>
        </w:tc>
        <w:tc>
          <w:tcPr>
            <w:tcW w:w="154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r>
      <w:tr>
        <w:trPr>
          <w:trHeight w:val="229"/>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6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Note 8. Income Tax Expense</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26</w:t>
              </w:r>
            </w:hyperlink>
          </w:p>
        </w:tc>
      </w:tr>
      <w:tr>
        <w:trPr>
          <w:trHeight w:val="230"/>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6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Note 9. Pension and Other Postretirement Benefit Plans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29"/>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6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Note 10. Business Segments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30"/>
        </w:trPr>
        <w:tc>
          <w:tcPr>
            <w:tcW w:w="860" w:type="dxa"/>
            <w:vAlign w:val="bottom"/>
          </w:tcPr>
          <w:p>
            <w:pPr>
              <w:spacing w:after="0"/>
              <w:rPr>
                <w:sz w:val="19"/>
                <w:szCs w:val="19"/>
                <w:color w:val="auto"/>
              </w:rPr>
            </w:pPr>
          </w:p>
        </w:tc>
        <w:tc>
          <w:tcPr>
            <w:tcW w:w="840" w:type="dxa"/>
            <w:vAlign w:val="bottom"/>
          </w:tcPr>
          <w:p>
            <w:pPr>
              <w:ind w:lef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2.</w:t>
              </w:r>
            </w:hyperlink>
          </w:p>
        </w:tc>
        <w:tc>
          <w:tcPr>
            <w:tcW w:w="7960" w:type="dxa"/>
            <w:vAlign w:val="bottom"/>
            <w:gridSpan w:val="3"/>
          </w:tcPr>
          <w:p>
            <w:pPr>
              <w:ind w:left="18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229"/>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3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Comparison of the Quarters Ended</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tc>
      </w:tr>
      <w:tr>
        <w:trPr>
          <w:trHeight w:val="189"/>
        </w:trPr>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960" w:type="dxa"/>
            <w:vAlign w:val="bottom"/>
            <w:gridSpan w:val="3"/>
          </w:tcPr>
          <w:p>
            <w:pPr>
              <w:ind w:left="380"/>
              <w:spacing w:after="0" w:line="189" w:lineRule="exact"/>
              <w:rPr>
                <w:rFonts w:ascii="Arial" w:cs="Arial" w:eastAsia="Arial" w:hAnsi="Arial"/>
                <w:sz w:val="18"/>
                <w:szCs w:val="18"/>
                <w:color w:val="0000FF"/>
              </w:rPr>
            </w:pPr>
            <w:hyperlink w:anchor="page33">
              <w:r>
                <w:rPr>
                  <w:rFonts w:ascii="Arial" w:cs="Arial" w:eastAsia="Arial" w:hAnsi="Arial"/>
                  <w:sz w:val="18"/>
                  <w:szCs w:val="18"/>
                  <w:u w:val="single" w:color="auto"/>
                  <w:color w:val="0000FF"/>
                </w:rPr>
                <w:t>Comparison of the</w:t>
              </w:r>
              <w:r>
                <w:rPr>
                  <w:rFonts w:ascii="Arial" w:cs="Arial" w:eastAsia="Arial" w:hAnsi="Arial"/>
                  <w:sz w:val="18"/>
                  <w:szCs w:val="18"/>
                  <w:color w:val="0000FF"/>
                </w:rPr>
                <w:t xml:space="preserve"> Nine Months Ended</w:t>
              </w:r>
            </w:hyperlink>
          </w:p>
        </w:tc>
        <w:tc>
          <w:tcPr>
            <w:tcW w:w="1540" w:type="dxa"/>
            <w:vAlign w:val="bottom"/>
          </w:tcPr>
          <w:p>
            <w:pPr>
              <w:jc w:val="right"/>
              <w:spacing w:after="0" w:line="189" w:lineRule="exact"/>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34</w:t>
              </w:r>
            </w:hyperlink>
          </w:p>
        </w:tc>
      </w:tr>
      <w:tr>
        <w:trPr>
          <w:trHeight w:val="20"/>
        </w:trPr>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30"/>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Critical Accounting Policies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29"/>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38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Outlook</w:t>
              </w:r>
            </w:hyperlink>
          </w:p>
        </w:tc>
        <w:tc>
          <w:tcPr>
            <w:tcW w:w="154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0"/>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3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Liquidity and Capital Resources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45</w:t>
              </w:r>
            </w:hyperlink>
          </w:p>
        </w:tc>
      </w:tr>
      <w:tr>
        <w:trPr>
          <w:trHeight w:val="230"/>
        </w:trPr>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960" w:type="dxa"/>
            <w:vAlign w:val="bottom"/>
            <w:gridSpan w:val="3"/>
          </w:tcPr>
          <w:p>
            <w:pPr>
              <w:ind w:left="38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Other</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47</w:t>
              </w:r>
            </w:hyperlink>
          </w:p>
        </w:tc>
      </w:tr>
      <w:tr>
        <w:trPr>
          <w:trHeight w:val="230"/>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3.</w:t>
              </w:r>
            </w:hyperlink>
          </w:p>
        </w:tc>
        <w:tc>
          <w:tcPr>
            <w:tcW w:w="7960" w:type="dxa"/>
            <w:vAlign w:val="bottom"/>
            <w:gridSpan w:val="3"/>
            <w:shd w:val="clear" w:color="auto" w:fill="CCEEFF"/>
          </w:tcPr>
          <w:p>
            <w:pPr>
              <w:ind w:left="1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Quantitative and Qualitative Disclosures about Market Risk</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229"/>
        </w:trPr>
        <w:tc>
          <w:tcPr>
            <w:tcW w:w="860" w:type="dxa"/>
            <w:vAlign w:val="bottom"/>
          </w:tcPr>
          <w:p>
            <w:pPr>
              <w:spacing w:after="0"/>
              <w:rPr>
                <w:sz w:val="19"/>
                <w:szCs w:val="19"/>
                <w:color w:val="auto"/>
              </w:rPr>
            </w:pPr>
          </w:p>
        </w:tc>
        <w:tc>
          <w:tcPr>
            <w:tcW w:w="840" w:type="dxa"/>
            <w:vAlign w:val="bottom"/>
          </w:tcPr>
          <w:p>
            <w:pPr>
              <w:ind w:left="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4.</w:t>
              </w:r>
            </w:hyperlink>
          </w:p>
        </w:tc>
        <w:tc>
          <w:tcPr>
            <w:tcW w:w="7960" w:type="dxa"/>
            <w:vAlign w:val="bottom"/>
            <w:gridSpan w:val="3"/>
          </w:tcPr>
          <w:p>
            <w:pPr>
              <w:ind w:left="1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Controls and Procedures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49</w:t>
              </w:r>
            </w:hyperlink>
          </w:p>
        </w:tc>
      </w:tr>
      <w:tr>
        <w:trPr>
          <w:trHeight w:val="230"/>
        </w:trPr>
        <w:tc>
          <w:tcPr>
            <w:tcW w:w="860" w:type="dxa"/>
            <w:vAlign w:val="bottom"/>
            <w:shd w:val="clear" w:color="auto" w:fill="CCEEFF"/>
          </w:tcPr>
          <w:p>
            <w:pPr>
              <w:ind w:left="20"/>
              <w:spacing w:after="0"/>
              <w:rPr>
                <w:rFonts w:ascii="Arial" w:cs="Arial" w:eastAsia="Arial" w:hAnsi="Arial"/>
                <w:sz w:val="18"/>
                <w:szCs w:val="18"/>
                <w:color w:val="0000FF"/>
              </w:rPr>
            </w:pPr>
            <w:hyperlink w:anchor="page49">
              <w:r>
                <w:rPr>
                  <w:rFonts w:ascii="Arial" w:cs="Arial" w:eastAsia="Arial" w:hAnsi="Arial"/>
                  <w:sz w:val="18"/>
                  <w:szCs w:val="18"/>
                  <w:u w:val="single" w:color="auto"/>
                  <w:color w:val="0000FF"/>
                </w:rPr>
                <w:t>Part II</w:t>
              </w:r>
              <w:r>
                <w:rPr>
                  <w:rFonts w:ascii="Arial" w:cs="Arial" w:eastAsia="Arial" w:hAnsi="Arial"/>
                  <w:sz w:val="18"/>
                  <w:szCs w:val="18"/>
                  <w:color w:val="0000FF"/>
                </w:rPr>
                <w:t>.</w:t>
              </w:r>
            </w:hyperlink>
          </w:p>
        </w:tc>
        <w:tc>
          <w:tcPr>
            <w:tcW w:w="8800" w:type="dxa"/>
            <w:vAlign w:val="bottom"/>
            <w:gridSpan w:val="4"/>
            <w:shd w:val="clear" w:color="auto" w:fill="CCEEFF"/>
          </w:tcPr>
          <w:p>
            <w:pPr>
              <w:ind w:left="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Other Information</w:t>
              </w:r>
            </w:hyperlink>
          </w:p>
        </w:tc>
        <w:tc>
          <w:tcPr>
            <w:tcW w:w="1540" w:type="dxa"/>
            <w:vAlign w:val="bottom"/>
            <w:shd w:val="clear" w:color="auto" w:fill="CCEEFF"/>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840" w:type="dxa"/>
            <w:vAlign w:val="bottom"/>
          </w:tcPr>
          <w:p>
            <w:pPr>
              <w:ind w:left="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w:t>
              </w:r>
            </w:hyperlink>
          </w:p>
        </w:tc>
        <w:tc>
          <w:tcPr>
            <w:tcW w:w="7960" w:type="dxa"/>
            <w:vAlign w:val="bottom"/>
            <w:gridSpan w:val="3"/>
          </w:tcPr>
          <w:p>
            <w:pPr>
              <w:ind w:left="1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Proceedings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30"/>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1A.</w:t>
              </w:r>
            </w:hyperlink>
          </w:p>
        </w:tc>
        <w:tc>
          <w:tcPr>
            <w:tcW w:w="7960" w:type="dxa"/>
            <w:vAlign w:val="bottom"/>
            <w:gridSpan w:val="3"/>
            <w:shd w:val="clear" w:color="auto" w:fill="CCEEFF"/>
          </w:tcPr>
          <w:p>
            <w:pPr>
              <w:ind w:left="1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Risk Factors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29"/>
        </w:trPr>
        <w:tc>
          <w:tcPr>
            <w:tcW w:w="860" w:type="dxa"/>
            <w:vAlign w:val="bottom"/>
          </w:tcPr>
          <w:p>
            <w:pPr>
              <w:spacing w:after="0"/>
              <w:rPr>
                <w:sz w:val="19"/>
                <w:szCs w:val="19"/>
                <w:color w:val="auto"/>
              </w:rPr>
            </w:pPr>
          </w:p>
        </w:tc>
        <w:tc>
          <w:tcPr>
            <w:tcW w:w="840" w:type="dxa"/>
            <w:vAlign w:val="bottom"/>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2.</w:t>
              </w:r>
            </w:hyperlink>
          </w:p>
        </w:tc>
        <w:tc>
          <w:tcPr>
            <w:tcW w:w="7960" w:type="dxa"/>
            <w:vAlign w:val="bottom"/>
            <w:gridSpan w:val="3"/>
          </w:tcPr>
          <w:p>
            <w:pPr>
              <w:ind w:left="1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Unregistered Sales of Equity Securities and Use of Proceeds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230"/>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3.</w:t>
              </w:r>
            </w:hyperlink>
          </w:p>
        </w:tc>
        <w:tc>
          <w:tcPr>
            <w:tcW w:w="7960" w:type="dxa"/>
            <w:vAlign w:val="bottom"/>
            <w:gridSpan w:val="3"/>
            <w:shd w:val="clear" w:color="auto" w:fill="CCEEFF"/>
          </w:tcPr>
          <w:p>
            <w:pPr>
              <w:ind w:left="1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Defaults Upon Senior Securities</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230"/>
        </w:trPr>
        <w:tc>
          <w:tcPr>
            <w:tcW w:w="860" w:type="dxa"/>
            <w:vAlign w:val="bottom"/>
          </w:tcPr>
          <w:p>
            <w:pPr>
              <w:spacing w:after="0"/>
              <w:rPr>
                <w:sz w:val="19"/>
                <w:szCs w:val="19"/>
                <w:color w:val="auto"/>
              </w:rPr>
            </w:pPr>
          </w:p>
        </w:tc>
        <w:tc>
          <w:tcPr>
            <w:tcW w:w="840" w:type="dxa"/>
            <w:vAlign w:val="bottom"/>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4.</w:t>
              </w:r>
            </w:hyperlink>
          </w:p>
        </w:tc>
        <w:tc>
          <w:tcPr>
            <w:tcW w:w="7960" w:type="dxa"/>
            <w:vAlign w:val="bottom"/>
            <w:gridSpan w:val="3"/>
          </w:tcPr>
          <w:p>
            <w:pPr>
              <w:ind w:left="1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Mine Safety Disclosures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230"/>
        </w:trPr>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5.</w:t>
              </w:r>
            </w:hyperlink>
          </w:p>
        </w:tc>
        <w:tc>
          <w:tcPr>
            <w:tcW w:w="7960" w:type="dxa"/>
            <w:vAlign w:val="bottom"/>
            <w:gridSpan w:val="3"/>
            <w:shd w:val="clear" w:color="auto" w:fill="CCEEFF"/>
          </w:tcPr>
          <w:p>
            <w:pPr>
              <w:ind w:left="1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Other Information</w:t>
              </w:r>
            </w:hyperlink>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29"/>
        </w:trPr>
        <w:tc>
          <w:tcPr>
            <w:tcW w:w="860" w:type="dxa"/>
            <w:vAlign w:val="bottom"/>
          </w:tcPr>
          <w:p>
            <w:pPr>
              <w:spacing w:after="0"/>
              <w:rPr>
                <w:sz w:val="19"/>
                <w:szCs w:val="19"/>
                <w:color w:val="auto"/>
              </w:rPr>
            </w:pPr>
          </w:p>
        </w:tc>
        <w:tc>
          <w:tcPr>
            <w:tcW w:w="840" w:type="dxa"/>
            <w:vAlign w:val="bottom"/>
          </w:tcPr>
          <w:p>
            <w:pPr>
              <w:ind w:left="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6.</w:t>
              </w:r>
            </w:hyperlink>
          </w:p>
        </w:tc>
        <w:tc>
          <w:tcPr>
            <w:tcW w:w="7960" w:type="dxa"/>
            <w:vAlign w:val="bottom"/>
            <w:gridSpan w:val="3"/>
          </w:tcPr>
          <w:p>
            <w:pPr>
              <w:ind w:left="1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Exhibits</w:t>
              </w:r>
            </w:hyperlink>
          </w:p>
        </w:tc>
        <w:tc>
          <w:tcPr>
            <w:tcW w:w="154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30"/>
        </w:trPr>
        <w:tc>
          <w:tcPr>
            <w:tcW w:w="860" w:type="dxa"/>
            <w:vAlign w:val="bottom"/>
            <w:shd w:val="clear" w:color="auto" w:fill="CCEEFF"/>
          </w:tcPr>
          <w:p>
            <w:pPr>
              <w:ind w:left="20"/>
              <w:spacing w:after="0"/>
              <w:rPr>
                <w:rFonts w:ascii="Arial" w:cs="Arial" w:eastAsia="Arial" w:hAnsi="Arial"/>
                <w:sz w:val="18"/>
                <w:szCs w:val="18"/>
                <w:u w:val="single" w:color="auto"/>
                <w:color w:val="0000FF"/>
                <w:w w:val="95"/>
              </w:rPr>
            </w:pPr>
            <w:hyperlink w:anchor="page51">
              <w:r>
                <w:rPr>
                  <w:rFonts w:ascii="Arial" w:cs="Arial" w:eastAsia="Arial" w:hAnsi="Arial"/>
                  <w:sz w:val="18"/>
                  <w:szCs w:val="18"/>
                  <w:u w:val="single" w:color="auto"/>
                  <w:color w:val="0000FF"/>
                  <w:w w:val="95"/>
                </w:rPr>
                <w:t>Signatures</w:t>
              </w:r>
            </w:hyperlink>
          </w:p>
        </w:tc>
        <w:tc>
          <w:tcPr>
            <w:tcW w:w="8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Term</w:t>
            </w: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Allowance for Funds Used During Construction – the cost of both debt and equity funds used to finance</w:t>
            </w:r>
          </w:p>
        </w:tc>
      </w:tr>
      <w:tr>
        <w:trPr>
          <w:trHeight w:val="230"/>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regulated utility plant additions during construction periods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ArcelorMittal</w:t>
            </w:r>
          </w:p>
        </w:tc>
        <w:tc>
          <w:tcPr>
            <w:tcW w:w="8120" w:type="dxa"/>
            <w:vAlign w:val="bottom"/>
            <w:gridSpan w:val="2"/>
          </w:tcPr>
          <w:p>
            <w:pPr>
              <w:spacing w:after="0"/>
              <w:rPr>
                <w:sz w:val="20"/>
                <w:szCs w:val="20"/>
                <w:color w:val="auto"/>
              </w:rPr>
            </w:pPr>
            <w:r>
              <w:rPr>
                <w:rFonts w:ascii="Arial" w:cs="Arial" w:eastAsia="Arial" w:hAnsi="Arial"/>
                <w:sz w:val="18"/>
                <w:szCs w:val="18"/>
                <w:color w:val="auto"/>
              </w:rPr>
              <w:t>ArcelorMittal S.A.</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Bison</w:t>
            </w:r>
          </w:p>
        </w:tc>
        <w:tc>
          <w:tcPr>
            <w:tcW w:w="812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Boswell</w:t>
            </w:r>
          </w:p>
        </w:tc>
        <w:tc>
          <w:tcPr>
            <w:tcW w:w="812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Cliffs</w:t>
            </w:r>
          </w:p>
        </w:tc>
        <w:tc>
          <w:tcPr>
            <w:tcW w:w="8120" w:type="dxa"/>
            <w:vAlign w:val="bottom"/>
            <w:gridSpan w:val="2"/>
          </w:tcPr>
          <w:p>
            <w:pPr>
              <w:spacing w:after="0"/>
              <w:rPr>
                <w:sz w:val="20"/>
                <w:szCs w:val="20"/>
                <w:color w:val="auto"/>
              </w:rPr>
            </w:pPr>
            <w:r>
              <w:rPr>
                <w:rFonts w:ascii="Arial" w:cs="Arial" w:eastAsia="Arial" w:hAnsi="Arial"/>
                <w:sz w:val="18"/>
                <w:szCs w:val="18"/>
                <w:color w:val="auto"/>
              </w:rPr>
              <w:t>Cleveland-Cliffs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8120" w:type="dxa"/>
            <w:vAlign w:val="bottom"/>
            <w:gridSpan w:val="2"/>
          </w:tcPr>
          <w:p>
            <w:pPr>
              <w:spacing w:after="0"/>
              <w:rPr>
                <w:sz w:val="20"/>
                <w:szCs w:val="20"/>
                <w:color w:val="auto"/>
              </w:rPr>
            </w:pPr>
            <w:r>
              <w:rPr>
                <w:rFonts w:ascii="Arial" w:cs="Arial" w:eastAsia="Arial" w:hAnsi="Arial"/>
                <w:sz w:val="18"/>
                <w:szCs w:val="18"/>
                <w:color w:val="auto"/>
              </w:rPr>
              <w:t>2019 novel coronavirus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CSAPR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DC</w:t>
            </w:r>
          </w:p>
        </w:tc>
        <w:tc>
          <w:tcPr>
            <w:tcW w:w="812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EPA</w:t>
            </w:r>
          </w:p>
        </w:tc>
        <w:tc>
          <w:tcPr>
            <w:tcW w:w="812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ESOP</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FASB</w:t>
            </w:r>
          </w:p>
        </w:tc>
        <w:tc>
          <w:tcPr>
            <w:tcW w:w="812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12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GAAP</w:t>
            </w:r>
          </w:p>
        </w:tc>
        <w:tc>
          <w:tcPr>
            <w:tcW w:w="812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GNTL</w:t>
            </w:r>
          </w:p>
        </w:tc>
        <w:tc>
          <w:tcPr>
            <w:tcW w:w="812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 Co.</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Husky Energy</w:t>
            </w:r>
          </w:p>
        </w:tc>
        <w:tc>
          <w:tcPr>
            <w:tcW w:w="8120" w:type="dxa"/>
            <w:vAlign w:val="bottom"/>
            <w:gridSpan w:val="2"/>
          </w:tcPr>
          <w:p>
            <w:pPr>
              <w:spacing w:after="0"/>
              <w:rPr>
                <w:sz w:val="20"/>
                <w:szCs w:val="20"/>
                <w:color w:val="auto"/>
              </w:rPr>
            </w:pPr>
            <w:r>
              <w:rPr>
                <w:rFonts w:ascii="Arial" w:cs="Arial" w:eastAsia="Arial" w:hAnsi="Arial"/>
                <w:sz w:val="18"/>
                <w:szCs w:val="18"/>
                <w:color w:val="auto"/>
              </w:rPr>
              <w:t>Husky Energy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IRP</w:t>
            </w:r>
          </w:p>
        </w:tc>
        <w:tc>
          <w:tcPr>
            <w:tcW w:w="812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kV</w:t>
            </w:r>
          </w:p>
        </w:tc>
        <w:tc>
          <w:tcPr>
            <w:tcW w:w="812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30"/>
        </w:trPr>
        <w:tc>
          <w:tcPr>
            <w:tcW w:w="2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 kWh</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r>
      <w:tr>
        <w:trPr>
          <w:trHeight w:val="175"/>
        </w:trPr>
        <w:tc>
          <w:tcPr>
            <w:tcW w:w="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70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Laskin</w:t>
            </w:r>
          </w:p>
        </w:tc>
        <w:tc>
          <w:tcPr>
            <w:tcW w:w="812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Lampert Capital Markets, Inc.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Manitoba Hydro</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MMTP</w:t>
            </w:r>
          </w:p>
        </w:tc>
        <w:tc>
          <w:tcPr>
            <w:tcW w:w="8120" w:type="dxa"/>
            <w:vAlign w:val="bottom"/>
            <w:gridSpan w:val="2"/>
          </w:tcPr>
          <w:p>
            <w:pPr>
              <w:spacing w:after="0"/>
              <w:rPr>
                <w:sz w:val="20"/>
                <w:szCs w:val="20"/>
                <w:color w:val="auto"/>
              </w:rPr>
            </w:pPr>
            <w:r>
              <w:rPr>
                <w:rFonts w:ascii="Arial" w:cs="Arial" w:eastAsia="Arial" w:hAnsi="Arial"/>
                <w:sz w:val="18"/>
                <w:szCs w:val="18"/>
                <w:color w:val="auto"/>
              </w:rPr>
              <w:t>Manitoba-Minnesota Transmission Project</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Investors Service, Inc.</w:t>
            </w: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MPCA</w:t>
            </w:r>
          </w:p>
        </w:tc>
        <w:tc>
          <w:tcPr>
            <w:tcW w:w="812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708"/>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00" w:type="dxa"/>
            <w:vAlign w:val="bottom"/>
          </w:tcPr>
          <w:p>
            <w:pPr>
              <w:ind w:left="760"/>
              <w:spacing w:after="0"/>
              <w:rPr>
                <w:sz w:val="20"/>
                <w:szCs w:val="20"/>
                <w:color w:val="auto"/>
              </w:rPr>
            </w:pPr>
            <w:r>
              <w:rPr>
                <w:rFonts w:ascii="Arial" w:cs="Arial" w:eastAsia="Arial" w:hAnsi="Arial"/>
                <w:sz w:val="14"/>
                <w:szCs w:val="14"/>
                <w:color w:val="auto"/>
              </w:rPr>
              <w:t>ALLETE, Inc. Third Quarter 2020 Form 10-Q</w:t>
            </w:r>
          </w:p>
        </w:tc>
      </w:tr>
    </w:tbl>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MPUC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MW / MWh</w:t>
            </w:r>
          </w:p>
        </w:tc>
        <w:tc>
          <w:tcPr>
            <w:tcW w:w="812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NAAQS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NDPSC</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 Power Partners, LLC</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NOL</w:t>
            </w:r>
          </w:p>
        </w:tc>
        <w:tc>
          <w:tcPr>
            <w:tcW w:w="812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Northshore Mining</w:t>
            </w:r>
          </w:p>
        </w:tc>
        <w:tc>
          <w:tcPr>
            <w:tcW w:w="812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Cleveland-Cliffs Inc.</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NPDES</w:t>
            </w:r>
          </w:p>
        </w:tc>
        <w:tc>
          <w:tcPr>
            <w:tcW w:w="812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NTEC</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Nemadji Trail Energy Center</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Oliver Wind I</w:t>
            </w:r>
          </w:p>
        </w:tc>
        <w:tc>
          <w:tcPr>
            <w:tcW w:w="812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II</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PolyMet</w:t>
            </w:r>
          </w:p>
        </w:tc>
        <w:tc>
          <w:tcPr>
            <w:tcW w:w="812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 / PSA</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PPACA</w:t>
            </w:r>
          </w:p>
        </w:tc>
        <w:tc>
          <w:tcPr>
            <w:tcW w:w="812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PSCW</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SEC</w:t>
            </w:r>
          </w:p>
        </w:tc>
        <w:tc>
          <w:tcPr>
            <w:tcW w:w="812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Cleveland-Cliffs Inc.</w:t>
            </w:r>
          </w:p>
        </w:tc>
      </w:tr>
      <w:tr>
        <w:trPr>
          <w:trHeight w:val="229"/>
        </w:trPr>
        <w:tc>
          <w:tcPr>
            <w:tcW w:w="20" w:type="dxa"/>
            <w:vAlign w:val="bottom"/>
          </w:tcPr>
          <w:p>
            <w:pPr>
              <w:spacing w:after="0"/>
              <w:rPr>
                <w:sz w:val="19"/>
                <w:szCs w:val="19"/>
                <w:color w:val="auto"/>
              </w:rPr>
            </w:pPr>
          </w:p>
        </w:tc>
        <w:tc>
          <w:tcPr>
            <w:tcW w:w="3080" w:type="dxa"/>
            <w:vAlign w:val="bottom"/>
            <w:gridSpan w:val="2"/>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12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12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Town Center District</w:t>
            </w:r>
          </w:p>
        </w:tc>
        <w:tc>
          <w:tcPr>
            <w:tcW w:w="812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30"/>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U.S. Water Services</w:t>
            </w:r>
          </w:p>
        </w:tc>
        <w:tc>
          <w:tcPr>
            <w:tcW w:w="812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29"/>
        </w:trPr>
        <w:tc>
          <w:tcPr>
            <w:tcW w:w="20" w:type="dxa"/>
            <w:vAlign w:val="bottom"/>
            <w:shd w:val="clear" w:color="auto" w:fill="CCEEFF"/>
          </w:tcPr>
          <w:p>
            <w:pPr>
              <w:spacing w:after="0"/>
              <w:rPr>
                <w:sz w:val="19"/>
                <w:szCs w:val="19"/>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Corporation</w:t>
            </w: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WTG</w:t>
            </w:r>
          </w:p>
        </w:tc>
        <w:tc>
          <w:tcPr>
            <w:tcW w:w="8120" w:type="dxa"/>
            <w:vAlign w:val="bottom"/>
            <w:gridSpan w:val="2"/>
          </w:tcPr>
          <w:p>
            <w:pPr>
              <w:spacing w:after="0"/>
              <w:rPr>
                <w:sz w:val="20"/>
                <w:szCs w:val="20"/>
                <w:color w:val="auto"/>
              </w:rPr>
            </w:pPr>
            <w:r>
              <w:rPr>
                <w:rFonts w:ascii="Arial" w:cs="Arial" w:eastAsia="Arial" w:hAnsi="Arial"/>
                <w:sz w:val="18"/>
                <w:szCs w:val="18"/>
                <w:color w:val="auto"/>
              </w:rPr>
              <w:t>Wind Turbine Generator</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or performance to differ from those anticipated by this report are discussed in Part I, Item 1A. Risk Factors of ALLETE’s 2019 Form 10-K and Part II, Item 1A. Risk Factors of this Form 10-Q.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1"/>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ALLETE</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CONSOLIDATED BALANCE SHEET</w:t>
            </w:r>
          </w:p>
        </w:tc>
        <w:tc>
          <w:tcPr>
            <w:tcW w:w="16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0"/>
              </w:rPr>
              <w:t>Unaudited</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100" w:type="dxa"/>
            <w:vAlign w:val="bottom"/>
          </w:tcPr>
          <w:p>
            <w:pPr>
              <w:spacing w:after="0"/>
              <w:rPr>
                <w:sz w:val="24"/>
                <w:szCs w:val="24"/>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8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$79.0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$1.6 and $0.9)</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92.0</w:t>
            </w:r>
          </w:p>
        </w:tc>
        <w:tc>
          <w:tcPr>
            <w:tcW w:w="136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29"/>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8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265.1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4,697.5</w:t>
            </w:r>
          </w:p>
        </w:tc>
        <w:tc>
          <w:tcPr>
            <w:tcW w:w="1360" w:type="dxa"/>
            <w:vAlign w:val="bottom"/>
          </w:tcPr>
          <w:p>
            <w:pPr>
              <w:jc w:val="right"/>
              <w:spacing w:after="0"/>
              <w:rPr>
                <w:sz w:val="20"/>
                <w:szCs w:val="20"/>
                <w:color w:val="auto"/>
              </w:rPr>
            </w:pPr>
            <w:r>
              <w:rPr>
                <w:rFonts w:ascii="Arial" w:cs="Arial" w:eastAsia="Arial" w:hAnsi="Arial"/>
                <w:sz w:val="18"/>
                <w:szCs w:val="18"/>
                <w:color w:val="auto"/>
              </w:rPr>
              <w:t>4,377.0</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427.9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291.8</w:t>
            </w:r>
          </w:p>
        </w:tc>
        <w:tc>
          <w:tcPr>
            <w:tcW w:w="1360" w:type="dxa"/>
            <w:vAlign w:val="bottom"/>
          </w:tcPr>
          <w:p>
            <w:pPr>
              <w:jc w:val="right"/>
              <w:spacing w:after="0"/>
              <w:rPr>
                <w:sz w:val="20"/>
                <w:szCs w:val="20"/>
                <w:color w:val="auto"/>
              </w:rPr>
            </w:pPr>
            <w:r>
              <w:rPr>
                <w:rFonts w:ascii="Arial" w:cs="Arial" w:eastAsia="Arial" w:hAnsi="Arial"/>
                <w:sz w:val="18"/>
                <w:szCs w:val="18"/>
                <w:color w:val="auto"/>
              </w:rPr>
              <w:t>197.6</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196.2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$5,878.5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$5,482.8</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$79.0</w:t>
            </w:r>
          </w:p>
        </w:tc>
        <w:tc>
          <w:tcPr>
            <w:tcW w:w="1360" w:type="dxa"/>
            <w:vAlign w:val="bottom"/>
          </w:tcPr>
          <w:p>
            <w:pPr>
              <w:jc w:val="right"/>
              <w:spacing w:after="0"/>
              <w:rPr>
                <w:sz w:val="20"/>
                <w:szCs w:val="20"/>
                <w:color w:val="auto"/>
              </w:rPr>
            </w:pPr>
            <w:r>
              <w:rPr>
                <w:rFonts w:ascii="Arial" w:cs="Arial" w:eastAsia="Arial" w:hAnsi="Arial"/>
                <w:sz w:val="18"/>
                <w:szCs w:val="18"/>
                <w:color w:val="auto"/>
              </w:rPr>
              <w:t>$165.2</w:t>
            </w:r>
          </w:p>
        </w:tc>
      </w:tr>
      <w:tr>
        <w:trPr>
          <w:trHeight w:val="229"/>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810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15.8</w:t>
            </w:r>
          </w:p>
        </w:tc>
        <w:tc>
          <w:tcPr>
            <w:tcW w:w="13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Due Within One Year</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404.5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r>
      <w:tr>
        <w:trPr>
          <w:trHeight w:val="230"/>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70.7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23"/>
        </w:trPr>
        <w:tc>
          <w:tcPr>
            <w:tcW w:w="8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1,608.0</w:t>
            </w:r>
          </w:p>
        </w:tc>
        <w:tc>
          <w:tcPr>
            <w:tcW w:w="1360" w:type="dxa"/>
            <w:vAlign w:val="bottom"/>
          </w:tcPr>
          <w:p>
            <w:pPr>
              <w:jc w:val="right"/>
              <w:spacing w:after="0"/>
              <w:rPr>
                <w:sz w:val="20"/>
                <w:szCs w:val="20"/>
                <w:color w:val="auto"/>
              </w:rPr>
            </w:pPr>
            <w:r>
              <w:rPr>
                <w:rFonts w:ascii="Arial" w:cs="Arial" w:eastAsia="Arial" w:hAnsi="Arial"/>
                <w:sz w:val="18"/>
                <w:szCs w:val="18"/>
                <w:color w:val="auto"/>
              </w:rPr>
              <w:t>1,400.9</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204.8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547.1</w:t>
            </w:r>
          </w:p>
        </w:tc>
        <w:tc>
          <w:tcPr>
            <w:tcW w:w="1360" w:type="dxa"/>
            <w:vAlign w:val="bottom"/>
          </w:tcPr>
          <w:p>
            <w:pPr>
              <w:jc w:val="right"/>
              <w:spacing w:after="0"/>
              <w:rPr>
                <w:sz w:val="20"/>
                <w:szCs w:val="20"/>
                <w:color w:val="auto"/>
              </w:rPr>
            </w:pPr>
            <w:r>
              <w:rPr>
                <w:rFonts w:ascii="Arial" w:cs="Arial" w:eastAsia="Arial" w:hAnsi="Arial"/>
                <w:sz w:val="18"/>
                <w:szCs w:val="18"/>
                <w:color w:val="auto"/>
              </w:rPr>
              <w:t>560.3</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157.5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3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285.5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r>
      <w:tr>
        <w:trPr>
          <w:trHeight w:val="223"/>
        </w:trPr>
        <w:tc>
          <w:tcPr>
            <w:tcW w:w="81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3,432.9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3,147.2</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Commitments, Guarantees and Contingencies (Note 6)</w:t>
            </w:r>
          </w:p>
        </w:tc>
        <w:tc>
          <w:tcPr>
            <w:tcW w:w="16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ALLETE Equity</w:t>
            </w:r>
          </w:p>
        </w:tc>
        <w:tc>
          <w:tcPr>
            <w:tcW w:w="16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Common Stock Without Par Value, 80.0 Shares Authorized, 52.0 and 51.7 Shares Issued and Outstanding</w:t>
            </w:r>
          </w:p>
        </w:tc>
        <w:tc>
          <w:tcPr>
            <w:tcW w:w="16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1,454.2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w:t>
            </w:r>
          </w:p>
        </w:tc>
      </w:tr>
      <w:tr>
        <w:trPr>
          <w:trHeight w:val="229"/>
        </w:trPr>
        <w:tc>
          <w:tcPr>
            <w:tcW w:w="81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(23.1)</w:t>
            </w:r>
          </w:p>
        </w:tc>
        <w:tc>
          <w:tcPr>
            <w:tcW w:w="13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849.9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w:t>
            </w:r>
          </w:p>
        </w:tc>
      </w:tr>
      <w:tr>
        <w:trPr>
          <w:trHeight w:val="223"/>
        </w:trPr>
        <w:tc>
          <w:tcPr>
            <w:tcW w:w="8100" w:type="dxa"/>
            <w:vAlign w:val="bottom"/>
          </w:tcPr>
          <w:p>
            <w:pPr>
              <w:ind w:left="460"/>
              <w:spacing w:after="0"/>
              <w:rPr>
                <w:sz w:val="20"/>
                <w:szCs w:val="20"/>
                <w:color w:val="auto"/>
              </w:rPr>
            </w:pPr>
            <w:r>
              <w:rPr>
                <w:rFonts w:ascii="Arial" w:cs="Arial" w:eastAsia="Arial" w:hAnsi="Arial"/>
                <w:sz w:val="18"/>
                <w:szCs w:val="18"/>
                <w:color w:val="auto"/>
              </w:rPr>
              <w:t>Total ALLETE Equity</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2,281.0</w:t>
            </w:r>
          </w:p>
        </w:tc>
        <w:tc>
          <w:tcPr>
            <w:tcW w:w="1360" w:type="dxa"/>
            <w:vAlign w:val="bottom"/>
          </w:tcPr>
          <w:p>
            <w:pPr>
              <w:jc w:val="right"/>
              <w:spacing w:after="0"/>
              <w:rPr>
                <w:sz w:val="20"/>
                <w:szCs w:val="20"/>
                <w:color w:val="auto"/>
              </w:rPr>
            </w:pPr>
            <w:r>
              <w:rPr>
                <w:rFonts w:ascii="Arial" w:cs="Arial" w:eastAsia="Arial" w:hAnsi="Arial"/>
                <w:sz w:val="18"/>
                <w:szCs w:val="18"/>
                <w:color w:val="auto"/>
              </w:rPr>
              <w:t>2,231.9</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164.6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23"/>
        </w:trPr>
        <w:tc>
          <w:tcPr>
            <w:tcW w:w="81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2,445.6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2,335.6</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$5,878.5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$5,482.8</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720" w:type="dxa"/>
            <w:vAlign w:val="bottom"/>
          </w:tcPr>
          <w:p>
            <w:pPr>
              <w:spacing w:after="0"/>
              <w:rPr>
                <w:sz w:val="19"/>
                <w:szCs w:val="19"/>
                <w:color w:val="auto"/>
              </w:rPr>
            </w:pPr>
          </w:p>
        </w:tc>
        <w:tc>
          <w:tcPr>
            <w:tcW w:w="34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7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Contracts with Customers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$255.1</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$254.1</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$721.2</w:t>
            </w:r>
          </w:p>
        </w:tc>
        <w:tc>
          <w:tcPr>
            <w:tcW w:w="860" w:type="dxa"/>
            <w:vAlign w:val="bottom"/>
          </w:tcPr>
          <w:p>
            <w:pPr>
              <w:jc w:val="right"/>
              <w:spacing w:after="0"/>
              <w:rPr>
                <w:sz w:val="20"/>
                <w:szCs w:val="20"/>
                <w:color w:val="auto"/>
              </w:rPr>
            </w:pPr>
            <w:r>
              <w:rPr>
                <w:rFonts w:ascii="Arial" w:cs="Arial" w:eastAsia="Arial" w:hAnsi="Arial"/>
                <w:sz w:val="18"/>
                <w:szCs w:val="18"/>
                <w:color w:val="auto"/>
              </w:rPr>
              <w:t>$786.1</w:t>
            </w:r>
          </w:p>
        </w:tc>
      </w:tr>
      <w:tr>
        <w:trPr>
          <w:trHeight w:val="229"/>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Contracts with Customers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35.9</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31.3</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5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 Non-utility</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5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Total Operating Revenue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293.9</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288.3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848.7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Fuel, Purchased Power and Gas – 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93.4</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98.2</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r>
      <w:tr>
        <w:trPr>
          <w:trHeight w:val="229"/>
        </w:trPr>
        <w:tc>
          <w:tcPr>
            <w:tcW w:w="5720" w:type="dxa"/>
            <w:vAlign w:val="bottom"/>
          </w:tcPr>
          <w:p>
            <w:pPr>
              <w:ind w:left="340"/>
              <w:spacing w:after="0"/>
              <w:rPr>
                <w:sz w:val="20"/>
                <w:szCs w:val="20"/>
                <w:color w:val="auto"/>
              </w:rPr>
            </w:pPr>
            <w:r>
              <w:rPr>
                <w:rFonts w:ascii="Arial" w:cs="Arial" w:eastAsia="Arial" w:hAnsi="Arial"/>
                <w:sz w:val="18"/>
                <w:szCs w:val="18"/>
                <w:color w:val="auto"/>
              </w:rPr>
              <w:t>Transmission Services – Utility</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14.9</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18.3</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49.8</w:t>
            </w:r>
          </w:p>
        </w:tc>
        <w:tc>
          <w:tcPr>
            <w:tcW w:w="86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30"/>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Non-utility</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14.7</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5720" w:type="dxa"/>
            <w:vAlign w:val="bottom"/>
          </w:tcPr>
          <w:p>
            <w:pPr>
              <w:ind w:left="34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61.9</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58.1</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181.9</w:t>
            </w:r>
          </w:p>
        </w:tc>
        <w:tc>
          <w:tcPr>
            <w:tcW w:w="86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29"/>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53.4</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49.5</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30"/>
        </w:trPr>
        <w:tc>
          <w:tcPr>
            <w:tcW w:w="5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12.5</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23"/>
        </w:trPr>
        <w:tc>
          <w:tcPr>
            <w:tcW w:w="57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252.3</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251.3</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734.2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41.6</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37.0</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7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70"/>
              <w:spacing w:after="0"/>
              <w:rPr>
                <w:sz w:val="20"/>
                <w:szCs w:val="20"/>
                <w:color w:val="auto"/>
              </w:rPr>
            </w:pPr>
            <w:r>
              <w:rPr>
                <w:rFonts w:ascii="Arial" w:cs="Arial" w:eastAsia="Arial" w:hAnsi="Arial"/>
                <w:sz w:val="18"/>
                <w:szCs w:val="18"/>
                <w:color w:val="auto"/>
              </w:rPr>
              <w:t>(16.3)</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(16.1)</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(47.9)</w:t>
            </w:r>
          </w:p>
        </w:tc>
        <w:tc>
          <w:tcPr>
            <w:tcW w:w="86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Earnings</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Gain on Sale of U.S. Water Services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57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3.0</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5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Other Income (Expense)</w:t>
            </w:r>
          </w:p>
        </w:tc>
        <w:tc>
          <w:tcPr>
            <w:tcW w:w="2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(8.2)</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33.3</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28.8</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38.8</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31.2</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5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Net Loss Attributable to Non-Controlling Interest</w:t>
            </w:r>
          </w:p>
        </w:tc>
        <w:tc>
          <w:tcPr>
            <w:tcW w:w="2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$40.7</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$31.2</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51.9</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51.7</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9"/>
        </w:trPr>
        <w:tc>
          <w:tcPr>
            <w:tcW w:w="5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52.0</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51.8</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$0.78</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$0.60</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$0.78</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$0.60</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32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1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920" w:type="dxa"/>
            <w:vAlign w:val="bottom"/>
          </w:tcPr>
          <w:p>
            <w:pPr>
              <w:spacing w:after="0"/>
              <w:rPr>
                <w:sz w:val="19"/>
                <w:szCs w:val="19"/>
                <w:color w:val="auto"/>
              </w:rPr>
            </w:pPr>
          </w:p>
        </w:tc>
        <w:tc>
          <w:tcPr>
            <w:tcW w:w="32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1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9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$38.8</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$31.2</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$120.2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2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Securities</w:t>
            </w:r>
          </w:p>
        </w:tc>
        <w:tc>
          <w:tcPr>
            <w:tcW w:w="2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920" w:type="dxa"/>
            <w:vAlign w:val="bottom"/>
          </w:tcPr>
          <w:p>
            <w:pPr>
              <w:ind w:left="340"/>
              <w:spacing w:after="0"/>
              <w:rPr>
                <w:sz w:val="20"/>
                <w:szCs w:val="20"/>
                <w:color w:val="auto"/>
              </w:rPr>
            </w:pPr>
            <w:r>
              <w:rPr>
                <w:rFonts w:ascii="Arial" w:cs="Arial" w:eastAsia="Arial" w:hAnsi="Arial"/>
                <w:sz w:val="18"/>
                <w:szCs w:val="18"/>
                <w:color w:val="auto"/>
              </w:rPr>
              <w:t>Net of Income Tax Expense of $–, $–, $– and $0.1</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Defined Benefit Pension and Other Postretirement Benefit Plans</w:t>
            </w:r>
          </w:p>
        </w:tc>
        <w:tc>
          <w:tcPr>
            <w:tcW w:w="2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9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of Income Tax Expense of $0.1, $0.1, $0.2 and $0.2</w:t>
            </w:r>
          </w:p>
        </w:tc>
        <w:tc>
          <w:tcPr>
            <w:tcW w:w="2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Other Comprehensive Income</w:t>
            </w:r>
          </w:p>
        </w:tc>
        <w:tc>
          <w:tcPr>
            <w:tcW w:w="2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80" w:type="dxa"/>
            <w:vAlign w:val="bottom"/>
          </w:tcPr>
          <w:p>
            <w:pPr>
              <w:jc w:val="right"/>
              <w:ind w:right="190"/>
              <w:spacing w:after="0"/>
              <w:rPr>
                <w:sz w:val="20"/>
                <w:szCs w:val="20"/>
                <w:color w:val="auto"/>
              </w:rPr>
            </w:pPr>
            <w:r>
              <w:rPr>
                <w:rFonts w:ascii="Arial" w:cs="Arial" w:eastAsia="Arial" w:hAnsi="Arial"/>
                <w:sz w:val="18"/>
                <w:szCs w:val="18"/>
                <w:color w:val="auto"/>
              </w:rPr>
              <w:t>39.0</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31.3</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120.7</w:t>
            </w:r>
          </w:p>
        </w:tc>
        <w:tc>
          <w:tcPr>
            <w:tcW w:w="94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29"/>
        </w:trPr>
        <w:tc>
          <w:tcPr>
            <w:tcW w:w="5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Net Loss Attributable to Non-Controlling Interest</w:t>
            </w:r>
          </w:p>
        </w:tc>
        <w:tc>
          <w:tcPr>
            <w:tcW w:w="2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2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$40.9</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$31.3</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$127.6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332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Nine Months Ended</w:t>
            </w:r>
          </w:p>
        </w:tc>
      </w:tr>
      <w:tr>
        <w:trPr>
          <w:trHeight w:val="216"/>
        </w:trPr>
        <w:tc>
          <w:tcPr>
            <w:tcW w:w="7880" w:type="dxa"/>
            <w:vAlign w:val="bottom"/>
          </w:tcPr>
          <w:p>
            <w:pPr>
              <w:spacing w:after="0"/>
              <w:rPr>
                <w:sz w:val="18"/>
                <w:szCs w:val="18"/>
                <w:color w:val="auto"/>
              </w:rPr>
            </w:pPr>
          </w:p>
        </w:tc>
        <w:tc>
          <w:tcPr>
            <w:tcW w:w="3320" w:type="dxa"/>
            <w:vAlign w:val="bottom"/>
            <w:gridSpan w:val="2"/>
          </w:tcPr>
          <w:p>
            <w:pPr>
              <w:jc w:val="right"/>
              <w:ind w:right="415"/>
              <w:spacing w:after="0"/>
              <w:rPr>
                <w:sz w:val="20"/>
                <w:szCs w:val="20"/>
                <w:color w:val="auto"/>
              </w:rPr>
            </w:pPr>
            <w:r>
              <w:rPr>
                <w:rFonts w:ascii="Arial" w:cs="Arial" w:eastAsia="Arial" w:hAnsi="Arial"/>
                <w:sz w:val="17"/>
                <w:szCs w:val="17"/>
                <w:b w:val="1"/>
                <w:bCs w:val="1"/>
                <w:color w:val="auto"/>
              </w:rPr>
              <w:t>September 30,</w:t>
            </w:r>
          </w:p>
        </w:tc>
      </w:tr>
      <w:tr>
        <w:trPr>
          <w:trHeight w:val="222"/>
        </w:trPr>
        <w:tc>
          <w:tcPr>
            <w:tcW w:w="78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2019</w:t>
            </w:r>
          </w:p>
        </w:tc>
      </w:tr>
      <w:tr>
        <w:trPr>
          <w:trHeight w:val="212"/>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Millions</w:t>
            </w:r>
          </w:p>
        </w:tc>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2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$120.2</w:t>
            </w:r>
          </w:p>
        </w:tc>
        <w:tc>
          <w:tcPr>
            <w:tcW w:w="880" w:type="dxa"/>
            <w:vAlign w:val="bottom"/>
          </w:tcPr>
          <w:p>
            <w:pPr>
              <w:jc w:val="right"/>
              <w:spacing w:after="0"/>
              <w:rPr>
                <w:sz w:val="20"/>
                <w:szCs w:val="20"/>
                <w:color w:val="auto"/>
              </w:rPr>
            </w:pPr>
            <w:r>
              <w:rPr>
                <w:rFonts w:ascii="Arial" w:cs="Arial" w:eastAsia="Arial" w:hAnsi="Arial"/>
                <w:sz w:val="17"/>
                <w:szCs w:val="17"/>
                <w:color w:val="auto"/>
              </w:rPr>
              <w:t>$135.9</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AFUDC – Equity</w:t>
            </w:r>
          </w:p>
        </w:tc>
        <w:tc>
          <w:tcPr>
            <w:tcW w:w="2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Income from Equity Investments – Net of Dividends</w:t>
            </w:r>
          </w:p>
        </w:tc>
        <w:tc>
          <w:tcPr>
            <w:tcW w:w="2440" w:type="dxa"/>
            <w:vAlign w:val="bottom"/>
          </w:tcPr>
          <w:p>
            <w:pPr>
              <w:jc w:val="right"/>
              <w:ind w:right="155"/>
              <w:spacing w:after="0"/>
              <w:rPr>
                <w:sz w:val="20"/>
                <w:szCs w:val="20"/>
                <w:color w:val="auto"/>
              </w:rPr>
            </w:pPr>
            <w:r>
              <w:rPr>
                <w:rFonts w:ascii="Arial" w:cs="Arial" w:eastAsia="Arial" w:hAnsi="Arial"/>
                <w:sz w:val="17"/>
                <w:szCs w:val="17"/>
                <w:color w:val="auto"/>
              </w:rPr>
              <w:t>(2.3)</w:t>
            </w: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Realized and Unrealized Gain on Investments and Property, Plant and Equipment</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Depreciation Expense</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161.3</w:t>
            </w:r>
          </w:p>
        </w:tc>
        <w:tc>
          <w:tcPr>
            <w:tcW w:w="880" w:type="dxa"/>
            <w:vAlign w:val="bottom"/>
          </w:tcPr>
          <w:p>
            <w:pPr>
              <w:jc w:val="right"/>
              <w:spacing w:after="0"/>
              <w:rPr>
                <w:sz w:val="20"/>
                <w:szCs w:val="20"/>
                <w:color w:val="auto"/>
              </w:rPr>
            </w:pPr>
            <w:r>
              <w:rPr>
                <w:rFonts w:ascii="Arial" w:cs="Arial" w:eastAsia="Arial" w:hAnsi="Arial"/>
                <w:sz w:val="17"/>
                <w:szCs w:val="17"/>
                <w:color w:val="auto"/>
              </w:rPr>
              <w:t>150.3</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PSAs</w:t>
            </w:r>
          </w:p>
        </w:tc>
        <w:tc>
          <w:tcPr>
            <w:tcW w:w="2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Amortization of Other Intangible Assets and Other Assets</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8.5</w:t>
            </w: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Income Tax Benefit</w:t>
            </w:r>
          </w:p>
        </w:tc>
        <w:tc>
          <w:tcPr>
            <w:tcW w:w="2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(27.9)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Share-Based and ESOP Compensation Expense</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4.7</w:t>
            </w:r>
          </w:p>
        </w:tc>
        <w:tc>
          <w:tcPr>
            <w:tcW w:w="8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Defined Benefit Pension and Postretirement Benefit Expense</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Provision (Payments) for Interim Rate Refund</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5.2</w:t>
            </w:r>
          </w:p>
        </w:tc>
        <w:tc>
          <w:tcPr>
            <w:tcW w:w="88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Payments for Tax Reform Refund</w:t>
            </w:r>
          </w:p>
        </w:tc>
        <w:tc>
          <w:tcPr>
            <w:tcW w:w="2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Bad Debt Expense</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1.6</w:t>
            </w:r>
          </w:p>
        </w:tc>
        <w:tc>
          <w:tcPr>
            <w:tcW w:w="8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 on Sale of U.S. Water Services</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r>
      <w:tr>
        <w:trPr>
          <w:trHeight w:val="216"/>
        </w:trPr>
        <w:tc>
          <w:tcPr>
            <w:tcW w:w="788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2440" w:type="dxa"/>
            <w:vAlign w:val="bottom"/>
          </w:tcPr>
          <w:p>
            <w:pPr>
              <w:jc w:val="right"/>
              <w:ind w:right="155"/>
              <w:spacing w:after="0"/>
              <w:rPr>
                <w:sz w:val="20"/>
                <w:szCs w:val="20"/>
                <w:color w:val="auto"/>
              </w:rPr>
            </w:pPr>
            <w:r>
              <w:rPr>
                <w:rFonts w:ascii="Arial" w:cs="Arial" w:eastAsia="Arial" w:hAnsi="Arial"/>
                <w:sz w:val="17"/>
                <w:szCs w:val="17"/>
                <w:color w:val="auto"/>
              </w:rPr>
              <w:t>(2.0)</w:t>
            </w:r>
          </w:p>
        </w:tc>
        <w:tc>
          <w:tcPr>
            <w:tcW w:w="88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Prepayments and Other</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16"/>
        </w:trPr>
        <w:tc>
          <w:tcPr>
            <w:tcW w:w="788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2.2</w:t>
            </w: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7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Current Liabilities</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12.5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Cash Contributions to Defined Benefit Pension Plans</w:t>
            </w:r>
          </w:p>
        </w:tc>
        <w:tc>
          <w:tcPr>
            <w:tcW w:w="2440" w:type="dxa"/>
            <w:vAlign w:val="bottom"/>
          </w:tcPr>
          <w:p>
            <w:pPr>
              <w:jc w:val="right"/>
              <w:ind w:right="155"/>
              <w:spacing w:after="0"/>
              <w:rPr>
                <w:sz w:val="20"/>
                <w:szCs w:val="20"/>
                <w:color w:val="auto"/>
              </w:rPr>
            </w:pPr>
            <w:r>
              <w:rPr>
                <w:rFonts w:ascii="Arial" w:cs="Arial" w:eastAsia="Arial" w:hAnsi="Arial"/>
                <w:sz w:val="17"/>
                <w:szCs w:val="17"/>
                <w:color w:val="auto"/>
              </w:rPr>
              <w:t>(10.7)</w:t>
            </w:r>
          </w:p>
        </w:tc>
        <w:tc>
          <w:tcPr>
            <w:tcW w:w="88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Changes in Regulatory and Other Non-Current Assets</w:t>
            </w:r>
          </w:p>
        </w:tc>
        <w:tc>
          <w:tcPr>
            <w:tcW w:w="2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(23.5)</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16"/>
        </w:trPr>
        <w:tc>
          <w:tcPr>
            <w:tcW w:w="78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Changes in Regulatory and Other Non-Current Liabilities</w:t>
            </w:r>
          </w:p>
        </w:tc>
        <w:tc>
          <w:tcPr>
            <w:tcW w:w="2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(7.2)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r>
      <w:tr>
        <w:trPr>
          <w:trHeight w:val="210"/>
        </w:trPr>
        <w:tc>
          <w:tcPr>
            <w:tcW w:w="78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Cash from Operating Activities</w:t>
            </w:r>
          </w:p>
        </w:tc>
        <w:tc>
          <w:tcPr>
            <w:tcW w:w="24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243.9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176.4</w:t>
            </w:r>
          </w:p>
        </w:tc>
      </w:tr>
      <w:tr>
        <w:trPr>
          <w:trHeight w:val="209"/>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2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Sale of Available-for-sale Securities</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Payments for Purchase of Available-for-sale Securities</w:t>
            </w:r>
          </w:p>
        </w:tc>
        <w:tc>
          <w:tcPr>
            <w:tcW w:w="2440" w:type="dxa"/>
            <w:vAlign w:val="bottom"/>
          </w:tcPr>
          <w:p>
            <w:pPr>
              <w:jc w:val="right"/>
              <w:ind w:right="155"/>
              <w:spacing w:after="0"/>
              <w:rPr>
                <w:sz w:val="20"/>
                <w:szCs w:val="20"/>
                <w:color w:val="auto"/>
              </w:rPr>
            </w:pPr>
            <w:r>
              <w:rPr>
                <w:rFonts w:ascii="Arial" w:cs="Arial" w:eastAsia="Arial" w:hAnsi="Arial"/>
                <w:sz w:val="17"/>
                <w:szCs w:val="17"/>
                <w:color w:val="auto"/>
              </w:rPr>
              <w:t>(7.2)</w:t>
            </w:r>
          </w:p>
        </w:tc>
        <w:tc>
          <w:tcPr>
            <w:tcW w:w="88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Payments for Equity Investments</w:t>
            </w:r>
          </w:p>
        </w:tc>
        <w:tc>
          <w:tcPr>
            <w:tcW w:w="2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(91.0)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Return of Capital from Equity Investments</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Sale of U.S. Water Services – Net of Transaction Costs and Cash Retained</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Additions to Property, Plant and Equipment</w:t>
            </w:r>
          </w:p>
        </w:tc>
        <w:tc>
          <w:tcPr>
            <w:tcW w:w="2440" w:type="dxa"/>
            <w:vAlign w:val="bottom"/>
          </w:tcPr>
          <w:p>
            <w:pPr>
              <w:jc w:val="right"/>
              <w:ind w:right="155"/>
              <w:spacing w:after="0"/>
              <w:rPr>
                <w:sz w:val="20"/>
                <w:szCs w:val="20"/>
                <w:color w:val="auto"/>
              </w:rPr>
            </w:pPr>
            <w:r>
              <w:rPr>
                <w:rFonts w:ascii="Arial" w:cs="Arial" w:eastAsia="Arial" w:hAnsi="Arial"/>
                <w:sz w:val="17"/>
                <w:szCs w:val="17"/>
                <w:color w:val="auto"/>
              </w:rPr>
              <w:t>(540.8)</w:t>
            </w:r>
          </w:p>
        </w:tc>
        <w:tc>
          <w:tcPr>
            <w:tcW w:w="880" w:type="dxa"/>
            <w:vAlign w:val="bottom"/>
          </w:tcPr>
          <w:p>
            <w:pPr>
              <w:jc w:val="right"/>
              <w:spacing w:after="0"/>
              <w:rPr>
                <w:sz w:val="20"/>
                <w:szCs w:val="20"/>
                <w:color w:val="auto"/>
              </w:rPr>
            </w:pPr>
            <w:r>
              <w:rPr>
                <w:rFonts w:ascii="Arial" w:cs="Arial" w:eastAsia="Arial" w:hAnsi="Arial"/>
                <w:sz w:val="17"/>
                <w:szCs w:val="17"/>
                <w:color w:val="auto"/>
              </w:rPr>
              <w:t>(421.3)</w:t>
            </w:r>
          </w:p>
        </w:tc>
      </w:tr>
      <w:tr>
        <w:trPr>
          <w:trHeight w:val="216"/>
        </w:trPr>
        <w:tc>
          <w:tcPr>
            <w:tcW w:w="7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Other Investing Activities</w:t>
            </w:r>
          </w:p>
        </w:tc>
        <w:tc>
          <w:tcPr>
            <w:tcW w:w="24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10"/>
        </w:trPr>
        <w:tc>
          <w:tcPr>
            <w:tcW w:w="78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Cash for Investing Activities</w:t>
            </w:r>
          </w:p>
        </w:tc>
        <w:tc>
          <w:tcPr>
            <w:tcW w:w="2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(633.2)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2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Proceeds from Issuance of Common Stock</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12.8</w:t>
            </w:r>
          </w:p>
        </w:tc>
        <w:tc>
          <w:tcPr>
            <w:tcW w:w="8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Issuance of Long-Term Debt</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607.4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Repayments of Long-Term Debt</w:t>
            </w:r>
          </w:p>
        </w:tc>
        <w:tc>
          <w:tcPr>
            <w:tcW w:w="2440" w:type="dxa"/>
            <w:vAlign w:val="bottom"/>
          </w:tcPr>
          <w:p>
            <w:pPr>
              <w:jc w:val="right"/>
              <w:ind w:right="155"/>
              <w:spacing w:after="0"/>
              <w:rPr>
                <w:sz w:val="20"/>
                <w:szCs w:val="20"/>
                <w:color w:val="auto"/>
              </w:rPr>
            </w:pPr>
            <w:r>
              <w:rPr>
                <w:rFonts w:ascii="Arial" w:cs="Arial" w:eastAsia="Arial" w:hAnsi="Arial"/>
                <w:sz w:val="17"/>
                <w:szCs w:val="17"/>
                <w:color w:val="auto"/>
              </w:rPr>
              <w:t>(207.4)</w:t>
            </w:r>
          </w:p>
        </w:tc>
        <w:tc>
          <w:tcPr>
            <w:tcW w:w="880" w:type="dxa"/>
            <w:vAlign w:val="bottom"/>
          </w:tcPr>
          <w:p>
            <w:pPr>
              <w:jc w:val="right"/>
              <w:spacing w:after="0"/>
              <w:rPr>
                <w:sz w:val="20"/>
                <w:szCs w:val="20"/>
                <w:color w:val="auto"/>
              </w:rPr>
            </w:pPr>
            <w:r>
              <w:rPr>
                <w:rFonts w:ascii="Arial" w:cs="Arial" w:eastAsia="Arial" w:hAnsi="Arial"/>
                <w:sz w:val="17"/>
                <w:szCs w:val="17"/>
                <w:color w:val="auto"/>
              </w:rPr>
              <w:t>(66.1)</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Non-Controlling Interest in Subsidiaries – Net of Issuance Costs</w:t>
            </w:r>
          </w:p>
        </w:tc>
        <w:tc>
          <w:tcPr>
            <w:tcW w:w="24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67.8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880" w:type="dxa"/>
            <w:vAlign w:val="bottom"/>
          </w:tcPr>
          <w:p>
            <w:pPr>
              <w:ind w:left="200"/>
              <w:spacing w:after="0"/>
              <w:rPr>
                <w:sz w:val="20"/>
                <w:szCs w:val="20"/>
                <w:color w:val="auto"/>
              </w:rPr>
            </w:pPr>
            <w:r>
              <w:rPr>
                <w:rFonts w:ascii="Arial" w:cs="Arial" w:eastAsia="Arial" w:hAnsi="Arial"/>
                <w:sz w:val="17"/>
                <w:szCs w:val="17"/>
                <w:color w:val="auto"/>
              </w:rPr>
              <w:t>Acquisition-Related Contingent Consideration Payments</w:t>
            </w:r>
          </w:p>
        </w:tc>
        <w:tc>
          <w:tcPr>
            <w:tcW w:w="244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7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Dividends on Common Stock</w:t>
            </w:r>
          </w:p>
        </w:tc>
        <w:tc>
          <w:tcPr>
            <w:tcW w:w="24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(96.0)</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r>
      <w:tr>
        <w:trPr>
          <w:trHeight w:val="216"/>
        </w:trPr>
        <w:tc>
          <w:tcPr>
            <w:tcW w:w="78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Other Financing Activities</w:t>
            </w:r>
          </w:p>
        </w:tc>
        <w:tc>
          <w:tcPr>
            <w:tcW w:w="24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09"/>
        </w:trPr>
        <w:tc>
          <w:tcPr>
            <w:tcW w:w="78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Cash from Financing Activities</w:t>
            </w:r>
          </w:p>
        </w:tc>
        <w:tc>
          <w:tcPr>
            <w:tcW w:w="24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381.9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w:t>
            </w:r>
          </w:p>
        </w:tc>
      </w:tr>
      <w:tr>
        <w:trPr>
          <w:trHeight w:val="210"/>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Change in Cash, Cash Equivalents and Restricted Cash</w:t>
            </w:r>
          </w:p>
        </w:tc>
        <w:tc>
          <w:tcPr>
            <w:tcW w:w="2440" w:type="dxa"/>
            <w:vAlign w:val="bottom"/>
          </w:tcPr>
          <w:p>
            <w:pPr>
              <w:jc w:val="right"/>
              <w:ind w:right="155"/>
              <w:spacing w:after="0"/>
              <w:rPr>
                <w:sz w:val="20"/>
                <w:szCs w:val="20"/>
                <w:color w:val="auto"/>
              </w:rPr>
            </w:pPr>
            <w:r>
              <w:rPr>
                <w:rFonts w:ascii="Arial" w:cs="Arial" w:eastAsia="Arial" w:hAnsi="Arial"/>
                <w:sz w:val="17"/>
                <w:szCs w:val="17"/>
                <w:color w:val="auto"/>
              </w:rPr>
              <w:t>(7.4)</w:t>
            </w:r>
          </w:p>
        </w:tc>
        <w:tc>
          <w:tcPr>
            <w:tcW w:w="880" w:type="dxa"/>
            <w:vAlign w:val="bottom"/>
          </w:tcPr>
          <w:p>
            <w:pPr>
              <w:jc w:val="right"/>
              <w:spacing w:after="0"/>
              <w:rPr>
                <w:sz w:val="20"/>
                <w:szCs w:val="20"/>
                <w:color w:val="auto"/>
              </w:rPr>
            </w:pPr>
            <w:r>
              <w:rPr>
                <w:rFonts w:ascii="Arial" w:cs="Arial" w:eastAsia="Arial" w:hAnsi="Arial"/>
                <w:sz w:val="17"/>
                <w:szCs w:val="17"/>
                <w:color w:val="auto"/>
              </w:rPr>
              <w:t>56.2</w:t>
            </w:r>
          </w:p>
        </w:tc>
      </w:tr>
      <w:tr>
        <w:trPr>
          <w:trHeight w:val="216"/>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at Beginning of Period</w:t>
            </w:r>
          </w:p>
        </w:tc>
        <w:tc>
          <w:tcPr>
            <w:tcW w:w="24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92.5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w:t>
            </w:r>
          </w:p>
        </w:tc>
      </w:tr>
      <w:tr>
        <w:trPr>
          <w:trHeight w:val="209"/>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and Restricted Cash at End of Period</w:t>
            </w:r>
          </w:p>
        </w:tc>
        <w:tc>
          <w:tcPr>
            <w:tcW w:w="24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$85.1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$135.2</w:t>
            </w: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20"/>
          </w:cols>
          <w:pgMar w:left="340" w:top="891" w:right="339" w:bottom="1440" w:gutter="0" w:footer="0" w:header="0"/>
        </w:sectPr>
      </w:pPr>
    </w:p>
    <w:p>
      <w:pPr>
        <w:spacing w:after="0" w:line="13" w:lineRule="exact"/>
        <w:rPr>
          <w:sz w:val="20"/>
          <w:szCs w:val="20"/>
          <w:color w:val="auto"/>
        </w:rPr>
      </w:pPr>
    </w:p>
    <w:p>
      <w:pPr>
        <w:ind w:left="111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9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Pr>
          <w:p>
            <w:pPr>
              <w:spacing w:after="0"/>
              <w:rPr>
                <w:sz w:val="19"/>
                <w:szCs w:val="19"/>
                <w:color w:val="auto"/>
              </w:rPr>
            </w:pPr>
          </w:p>
        </w:tc>
        <w:tc>
          <w:tcPr>
            <w:tcW w:w="26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Quarter Ended</w:t>
            </w:r>
          </w:p>
        </w:tc>
        <w:tc>
          <w:tcPr>
            <w:tcW w:w="19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580" w:type="dxa"/>
            <w:vAlign w:val="bottom"/>
          </w:tcPr>
          <w:p>
            <w:pPr>
              <w:spacing w:after="0"/>
              <w:rPr>
                <w:sz w:val="19"/>
                <w:szCs w:val="19"/>
                <w:color w:val="auto"/>
              </w:rPr>
            </w:pPr>
          </w:p>
        </w:tc>
        <w:tc>
          <w:tcPr>
            <w:tcW w:w="268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19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65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$1,447.7</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$1,433.3</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$1,436.7</w:t>
            </w:r>
          </w:p>
        </w:tc>
        <w:tc>
          <w:tcPr>
            <w:tcW w:w="880" w:type="dxa"/>
            <w:vAlign w:val="bottom"/>
          </w:tcPr>
          <w:p>
            <w:pPr>
              <w:jc w:val="right"/>
              <w:spacing w:after="0"/>
              <w:rPr>
                <w:sz w:val="20"/>
                <w:szCs w:val="20"/>
                <w:color w:val="auto"/>
              </w:rPr>
            </w:pPr>
            <w:r>
              <w:rPr>
                <w:rFonts w:ascii="Arial" w:cs="Arial" w:eastAsia="Arial" w:hAnsi="Arial"/>
                <w:sz w:val="18"/>
                <w:szCs w:val="18"/>
                <w:color w:val="auto"/>
              </w:rPr>
              <w:t>$1,428.5</w:t>
            </w:r>
          </w:p>
        </w:tc>
      </w:tr>
      <w:tr>
        <w:trPr>
          <w:trHeight w:val="230"/>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6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Balance, End of Period</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1,454.2</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1,435.1</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1,454.2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1,435.1</w:t>
            </w:r>
          </w:p>
        </w:tc>
      </w:tr>
      <w:tr>
        <w:trPr>
          <w:trHeight w:val="250"/>
        </w:trPr>
        <w:tc>
          <w:tcPr>
            <w:tcW w:w="65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(26.9)</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1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Debt Securities</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6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6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(26.8)</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50"/>
        </w:trPr>
        <w:tc>
          <w:tcPr>
            <w:tcW w:w="65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841.3</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798.6</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818.8</w:t>
            </w:r>
          </w:p>
        </w:tc>
        <w:tc>
          <w:tcPr>
            <w:tcW w:w="880" w:type="dxa"/>
            <w:vAlign w:val="bottom"/>
          </w:tcPr>
          <w:p>
            <w:pPr>
              <w:jc w:val="right"/>
              <w:spacing w:after="0"/>
              <w:rPr>
                <w:sz w:val="20"/>
                <w:szCs w:val="20"/>
                <w:color w:val="auto"/>
              </w:rPr>
            </w:pPr>
            <w:r>
              <w:rPr>
                <w:rFonts w:ascii="Arial" w:cs="Arial" w:eastAsia="Arial" w:hAnsi="Arial"/>
                <w:sz w:val="18"/>
                <w:szCs w:val="18"/>
                <w:color w:val="auto"/>
              </w:rPr>
              <w:t>754.6</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40.7</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31.2</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127.1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29"/>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Common Stock Dividends</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(32.1)</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(30.3)</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23"/>
        </w:trPr>
        <w:tc>
          <w:tcPr>
            <w:tcW w:w="6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849.9</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799.5</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849.9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r>
      <w:tr>
        <w:trPr>
          <w:trHeight w:val="250"/>
        </w:trPr>
        <w:tc>
          <w:tcPr>
            <w:tcW w:w="65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1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166.5</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103.7</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Balance, End of Period</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164.6</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164.6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r>
      <w:tr>
        <w:trPr>
          <w:trHeight w:val="223"/>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$2,445.6</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$2,207.8</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$2,445.6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$2,207.8</w:t>
            </w:r>
          </w:p>
        </w:tc>
      </w:tr>
      <w:tr>
        <w:trPr>
          <w:trHeight w:val="250"/>
        </w:trPr>
        <w:tc>
          <w:tcPr>
            <w:tcW w:w="65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0"/>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Per Share of Common Stock</w:t>
            </w: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$0.6175</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$0.5875</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$1.8525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$1.7625</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2019,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quarter and nine months ended September 30, 2020, are not necessarily indicative of results that may be expected for any other interim period or for the year ending December 31, 2020. For further information, refer to the Consolidated Financial Statements and notes included in our 2019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As of September 30, 2020, restricted cash amounts included in Prepayments and Other on the Consolidated Balance Sheet include collateral deposits required under an ALLETE Clean Energy loan agreement. The restricted cash amounts included in Other Non-Current Assets represent collateral deposits required under ALLETE Clean Energy PSAs as well as loan and tax equity financing agreements. The December 31, 2018, balance presented also included deposits from a SWL&amp;P customer in aid of future capital expenditures. The following table provides a reconciliation of cash, cash equivalents and restricted cash reported within the Consolidated Balance Sheet that aggregate to the amounts presented in the Consolidated Statement of Cash Flows.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$79.0</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$69.3</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2.9</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20.4</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69"/>
        </w:trPr>
        <w:tc>
          <w:tcPr>
            <w:tcW w:w="5040" w:type="dxa"/>
            <w:vAlign w:val="bottom"/>
          </w:tcPr>
          <w:p>
            <w:pPr>
              <w:ind w:left="20"/>
              <w:spacing w:after="0" w:line="169" w:lineRule="exact"/>
              <w:rPr>
                <w:sz w:val="20"/>
                <w:szCs w:val="20"/>
                <w:color w:val="auto"/>
              </w:rPr>
            </w:pPr>
            <w:r>
              <w:rPr>
                <w:rFonts w:ascii="Arial" w:cs="Arial" w:eastAsia="Arial" w:hAnsi="Arial"/>
                <w:sz w:val="18"/>
                <w:szCs w:val="18"/>
                <w:color w:val="auto"/>
                <w:w w:val="95"/>
              </w:rPr>
              <w:t>Cash, Cash Equivalents and Restricted Cash on the Consolidated</w:t>
            </w:r>
          </w:p>
        </w:tc>
        <w:tc>
          <w:tcPr>
            <w:tcW w:w="1700" w:type="dxa"/>
            <w:vAlign w:val="bottom"/>
            <w:vMerge w:val="restart"/>
          </w:tcPr>
          <w:p>
            <w:pPr>
              <w:jc w:val="right"/>
              <w:ind w:right="210"/>
              <w:spacing w:after="0"/>
              <w:rPr>
                <w:sz w:val="20"/>
                <w:szCs w:val="20"/>
                <w:color w:val="auto"/>
              </w:rPr>
            </w:pPr>
            <w:r>
              <w:rPr>
                <w:rFonts w:ascii="Arial" w:cs="Arial" w:eastAsia="Arial" w:hAnsi="Arial"/>
                <w:sz w:val="18"/>
                <w:szCs w:val="18"/>
                <w:color w:val="auto"/>
              </w:rPr>
              <w:t>$85.1</w:t>
            </w:r>
          </w:p>
        </w:tc>
        <w:tc>
          <w:tcPr>
            <w:tcW w:w="1540" w:type="dxa"/>
            <w:vAlign w:val="bottom"/>
            <w:vMerge w:val="restart"/>
          </w:tcPr>
          <w:p>
            <w:pPr>
              <w:jc w:val="right"/>
              <w:ind w:right="210"/>
              <w:spacing w:after="0"/>
              <w:rPr>
                <w:sz w:val="20"/>
                <w:szCs w:val="20"/>
                <w:color w:val="auto"/>
              </w:rPr>
            </w:pPr>
            <w:r>
              <w:rPr>
                <w:rFonts w:ascii="Arial" w:cs="Arial" w:eastAsia="Arial" w:hAnsi="Arial"/>
                <w:sz w:val="18"/>
                <w:szCs w:val="18"/>
                <w:color w:val="auto"/>
              </w:rPr>
              <w:t>$92.5</w:t>
            </w:r>
          </w:p>
        </w:tc>
        <w:tc>
          <w:tcPr>
            <w:tcW w:w="1580" w:type="dxa"/>
            <w:vAlign w:val="bottom"/>
            <w:vMerge w:val="restart"/>
          </w:tcPr>
          <w:p>
            <w:pPr>
              <w:jc w:val="right"/>
              <w:ind w:right="210"/>
              <w:spacing w:after="0"/>
              <w:rPr>
                <w:sz w:val="20"/>
                <w:szCs w:val="20"/>
                <w:color w:val="auto"/>
              </w:rPr>
            </w:pPr>
            <w:r>
              <w:rPr>
                <w:rFonts w:ascii="Arial" w:cs="Arial" w:eastAsia="Arial" w:hAnsi="Arial"/>
                <w:sz w:val="18"/>
                <w:szCs w:val="18"/>
                <w:color w:val="auto"/>
              </w:rPr>
              <w:t>$135.2</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170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Inventories – Net</w:t>
            </w:r>
          </w:p>
        </w:tc>
        <w:tc>
          <w:tcPr>
            <w:tcW w:w="344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auto"/>
            </w:tcBorders>
            <w:gridSpan w:val="2"/>
            <w:vMerge w:val="continue"/>
          </w:tcPr>
          <w:p>
            <w:pPr>
              <w:spacing w:after="0"/>
              <w:rPr>
                <w:sz w:val="19"/>
                <w:szCs w:val="19"/>
                <w:color w:val="auto"/>
              </w:rPr>
            </w:pPr>
          </w:p>
        </w:tc>
        <w:tc>
          <w:tcPr>
            <w:tcW w:w="3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460" w:type="dxa"/>
            <w:vAlign w:val="bottom"/>
            <w:gridSpan w:val="2"/>
          </w:tcPr>
          <w:p>
            <w:pPr>
              <w:ind w:left="20"/>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Materials and Supplies</w:t>
            </w:r>
          </w:p>
        </w:tc>
        <w:tc>
          <w:tcPr>
            <w:tcW w:w="3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49.7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Inventories – Net</w:t>
            </w:r>
          </w:p>
        </w:tc>
        <w:tc>
          <w:tcPr>
            <w:tcW w:w="3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$74.8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98"/>
        </w:trPr>
        <w:tc>
          <w:tcPr>
            <w:tcW w:w="6460" w:type="dxa"/>
            <w:vAlign w:val="bottom"/>
            <w:gridSpan w:val="2"/>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6420" w:type="dxa"/>
            <w:vAlign w:val="bottom"/>
            <w:vMerge w:val="restart"/>
          </w:tcPr>
          <w:p>
            <w:pPr>
              <w:spacing w:after="0"/>
              <w:rPr>
                <w:sz w:val="20"/>
                <w:szCs w:val="20"/>
                <w:color w:val="auto"/>
              </w:rPr>
            </w:pPr>
            <w:r>
              <w:rPr>
                <w:rFonts w:ascii="Arial" w:cs="Arial" w:eastAsia="Arial" w:hAnsi="Arial"/>
                <w:sz w:val="18"/>
                <w:szCs w:val="18"/>
                <w:b w:val="1"/>
                <w:bCs w:val="1"/>
                <w:color w:val="auto"/>
              </w:rPr>
              <w:t>Other Non-Current Assets</w:t>
            </w:r>
          </w:p>
        </w:tc>
        <w:tc>
          <w:tcPr>
            <w:tcW w:w="344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tcBorders>
              <w:bottom w:val="single" w:sz="8" w:color="auto"/>
            </w:tcBorders>
            <w:vMerge w:val="continue"/>
          </w:tcPr>
          <w:p>
            <w:pPr>
              <w:spacing w:after="0"/>
              <w:rPr>
                <w:sz w:val="19"/>
                <w:szCs w:val="19"/>
                <w:color w:val="auto"/>
              </w:rPr>
            </w:pPr>
          </w:p>
        </w:tc>
        <w:tc>
          <w:tcPr>
            <w:tcW w:w="3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3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440" w:type="dxa"/>
            <w:vAlign w:val="bottom"/>
          </w:tcPr>
          <w:p>
            <w:pPr>
              <w:jc w:val="right"/>
              <w:ind w:right="210"/>
              <w:spacing w:after="0"/>
              <w:rPr>
                <w:sz w:val="20"/>
                <w:szCs w:val="20"/>
                <w:color w:val="auto"/>
              </w:rPr>
            </w:pPr>
            <w:r>
              <w:rPr>
                <w:rFonts w:ascii="Arial" w:cs="Arial" w:eastAsia="Arial" w:hAnsi="Arial"/>
                <w:sz w:val="18"/>
                <w:szCs w:val="18"/>
                <w:color w:val="auto"/>
              </w:rPr>
              <w:t>24.0</w:t>
            </w:r>
          </w:p>
        </w:tc>
        <w:tc>
          <w:tcPr>
            <w:tcW w:w="132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ALLETE Properties</w:t>
            </w:r>
          </w:p>
        </w:tc>
        <w:tc>
          <w:tcPr>
            <w:tcW w:w="3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Restricted Cash</w:t>
            </w:r>
          </w:p>
        </w:tc>
        <w:tc>
          <w:tcPr>
            <w:tcW w:w="3440" w:type="dxa"/>
            <w:vAlign w:val="bottom"/>
          </w:tcPr>
          <w:p>
            <w:pPr>
              <w:jc w:val="right"/>
              <w:ind w:right="210"/>
              <w:spacing w:after="0"/>
              <w:rPr>
                <w:sz w:val="20"/>
                <w:szCs w:val="20"/>
                <w:color w:val="auto"/>
              </w:rPr>
            </w:pPr>
            <w:r>
              <w:rPr>
                <w:rFonts w:ascii="Arial" w:cs="Arial" w:eastAsia="Arial" w:hAnsi="Arial"/>
                <w:sz w:val="18"/>
                <w:szCs w:val="18"/>
                <w:color w:val="auto"/>
              </w:rPr>
              <w:t>2.9</w:t>
            </w:r>
          </w:p>
        </w:tc>
        <w:tc>
          <w:tcPr>
            <w:tcW w:w="13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Postretirement Benefit Plans</w:t>
            </w:r>
          </w:p>
        </w:tc>
        <w:tc>
          <w:tcPr>
            <w:tcW w:w="3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83.1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Non-Current Assets</w:t>
            </w:r>
          </w:p>
        </w:tc>
        <w:tc>
          <w:tcPr>
            <w:tcW w:w="3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$196.2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line="275" w:lineRule="auto"/>
        <w:tabs>
          <w:tab w:leader="none" w:pos="394"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consist of payments made to customers as an incentive to execute or extend service agreements. The contract payments are being amortized over the term of the respective agreements as a reduction to revenue.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2240" w:type="dxa"/>
            <w:vAlign w:val="bottom"/>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PSAs</w:t>
            </w:r>
          </w:p>
        </w:tc>
        <w:tc>
          <w:tcPr>
            <w:tcW w:w="2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(a)</w:t>
            </w:r>
          </w:p>
        </w:tc>
        <w:tc>
          <w:tcPr>
            <w:tcW w:w="2240" w:type="dxa"/>
            <w:vAlign w:val="bottom"/>
          </w:tcPr>
          <w:p>
            <w:pPr>
              <w:jc w:val="right"/>
              <w:ind w:right="210"/>
              <w:spacing w:after="0"/>
              <w:rPr>
                <w:sz w:val="20"/>
                <w:szCs w:val="20"/>
                <w:color w:val="auto"/>
              </w:rPr>
            </w:pPr>
            <w:r>
              <w:rPr>
                <w:rFonts w:ascii="Arial" w:cs="Arial" w:eastAsia="Arial" w:hAnsi="Arial"/>
                <w:sz w:val="18"/>
                <w:szCs w:val="18"/>
                <w:color w:val="auto"/>
              </w:rPr>
              <w:t>5.2</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(b)</w:t>
            </w:r>
          </w:p>
        </w:tc>
        <w:tc>
          <w:tcPr>
            <w:tcW w:w="2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40" w:type="dxa"/>
            <w:vAlign w:val="bottom"/>
          </w:tcPr>
          <w:p>
            <w:pPr>
              <w:jc w:val="right"/>
              <w:ind w:right="210"/>
              <w:spacing w:after="0"/>
              <w:rPr>
                <w:sz w:val="20"/>
                <w:szCs w:val="20"/>
                <w:color w:val="auto"/>
              </w:rPr>
            </w:pPr>
            <w:r>
              <w:rPr>
                <w:rFonts w:ascii="Arial" w:cs="Arial" w:eastAsia="Arial" w:hAnsi="Arial"/>
                <w:sz w:val="18"/>
                <w:szCs w:val="18"/>
                <w:color w:val="auto"/>
              </w:rPr>
              <w:t>6.3</w:t>
            </w: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36.4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Current Liabilities</w:t>
            </w:r>
          </w:p>
        </w:tc>
        <w:tc>
          <w:tcPr>
            <w:tcW w:w="2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$70.7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right="20" w:hanging="332"/>
        <w:spacing w:after="0" w:line="25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represents reserves for interim rates resulting from the MPUC’s approval of Minnesota Power’s petition and proposal to resolve and withdraw its rate case. (See Note 2. Regulatory Matters.)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See Note 2. Regulatory Matters.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306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840" w:type="dxa"/>
            <w:vAlign w:val="bottom"/>
            <w:tcBorders>
              <w:bottom w:val="single" w:sz="8" w:color="auto"/>
            </w:tcBorders>
            <w:vMerge w:val="continue"/>
          </w:tcPr>
          <w:p>
            <w:pPr>
              <w:spacing w:after="0"/>
              <w:rPr>
                <w:sz w:val="19"/>
                <w:szCs w:val="19"/>
                <w:color w:val="auto"/>
              </w:rPr>
            </w:pPr>
          </w:p>
        </w:tc>
        <w:tc>
          <w:tcPr>
            <w:tcW w:w="3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3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$164.4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PSAs</w:t>
            </w:r>
          </w:p>
        </w:tc>
        <w:tc>
          <w:tcPr>
            <w:tcW w:w="3060" w:type="dxa"/>
            <w:vAlign w:val="bottom"/>
          </w:tcPr>
          <w:p>
            <w:pPr>
              <w:jc w:val="right"/>
              <w:ind w:right="230"/>
              <w:spacing w:after="0"/>
              <w:rPr>
                <w:sz w:val="20"/>
                <w:szCs w:val="20"/>
                <w:color w:val="auto"/>
              </w:rPr>
            </w:pPr>
            <w:r>
              <w:rPr>
                <w:rFonts w:ascii="Arial" w:cs="Arial" w:eastAsia="Arial" w:hAnsi="Arial"/>
                <w:sz w:val="18"/>
                <w:szCs w:val="18"/>
                <w:color w:val="auto"/>
              </w:rPr>
              <w:t>55.2</w:t>
            </w:r>
          </w:p>
        </w:tc>
        <w:tc>
          <w:tcPr>
            <w:tcW w:w="130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48.2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30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$285.5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695"/>
        </w:trPr>
        <w:tc>
          <w:tcPr>
            <w:tcW w:w="20" w:type="dxa"/>
            <w:vAlign w:val="bottom"/>
          </w:tcPr>
          <w:p>
            <w:pPr>
              <w:spacing w:after="0"/>
              <w:rPr>
                <w:sz w:val="24"/>
                <w:szCs w:val="24"/>
                <w:color w:val="auto"/>
              </w:rPr>
            </w:pP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Income</w:t>
            </w:r>
          </w:p>
        </w:tc>
        <w:tc>
          <w:tcPr>
            <w:tcW w:w="3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306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Credits </w:t>
            </w:r>
            <w:r>
              <w:rPr>
                <w:rFonts w:ascii="Arial" w:cs="Arial" w:eastAsia="Arial" w:hAnsi="Arial"/>
                <w:sz w:val="16"/>
                <w:szCs w:val="16"/>
                <w:i w:val="1"/>
                <w:iCs w:val="1"/>
                <w:color w:val="auto"/>
              </w:rPr>
              <w:t>(a)</w:t>
            </w:r>
          </w:p>
        </w:tc>
        <w:tc>
          <w:tcPr>
            <w:tcW w:w="3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Interest and Investment Income</w:t>
            </w:r>
          </w:p>
        </w:tc>
        <w:tc>
          <w:tcPr>
            <w:tcW w:w="3060" w:type="dxa"/>
            <w:vAlign w:val="bottom"/>
          </w:tcPr>
          <w:p>
            <w:pPr>
              <w:jc w:val="right"/>
              <w:ind w:right="190"/>
              <w:spacing w:after="0"/>
              <w:rPr>
                <w:sz w:val="20"/>
                <w:szCs w:val="20"/>
                <w:color w:val="auto"/>
              </w:rPr>
            </w:pPr>
            <w:r>
              <w:rPr>
                <w:rFonts w:ascii="Arial" w:cs="Arial" w:eastAsia="Arial" w:hAnsi="Arial"/>
                <w:sz w:val="18"/>
                <w:szCs w:val="18"/>
                <w:color w:val="auto"/>
              </w:rPr>
              <w:t>0.4</w:t>
            </w: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3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Gain on Land Sales</w:t>
            </w:r>
          </w:p>
        </w:tc>
        <w:tc>
          <w:tcPr>
            <w:tcW w:w="306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ind w:left="2480"/>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Income</w:t>
            </w:r>
          </w:p>
        </w:tc>
        <w:tc>
          <w:tcPr>
            <w:tcW w:w="3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line="27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9. Pension and Other Postretirement Benefit Plans.)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0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 Net of Amounts Capitalized</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$48.8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Recognition of Right-of-use Assets and Lease Liabilities</w:t>
            </w:r>
          </w:p>
        </w:tc>
        <w:tc>
          <w:tcPr>
            <w:tcW w:w="2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color w:val="auto"/>
              </w:rPr>
              <w:t>Increase (Decrease) in Accounts Payable for Capital Additions to Property, Plant and Equipment</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$(88.4)</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Asset Retirement Costs</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8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AFUDC–Equity</w:t>
            </w:r>
          </w:p>
        </w:tc>
        <w:tc>
          <w:tcPr>
            <w:tcW w:w="2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bl>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Sale of U.S. Water Services. </w:t>
      </w:r>
      <w:r>
        <w:rPr>
          <w:rFonts w:ascii="Arial" w:cs="Arial" w:eastAsia="Arial" w:hAnsi="Arial"/>
          <w:sz w:val="18"/>
          <w:szCs w:val="18"/>
          <w:color w:val="auto"/>
        </w:rPr>
        <w:t>In February 2019, the Company entered into a stock purchase agreement providing for the sale of U.S. Water Services to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Kurita Water Industries Ltd. In March 2019, ALLETE completed the sale and received approximately $270 million in cash, net of transaction costs and cash retained. The gain on sale of U.S. Water Services in 2019 was $13.2 million after-tax.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Non-Controlling Interest in Subsidiaries. </w:t>
      </w:r>
      <w:r>
        <w:rPr>
          <w:rFonts w:ascii="Arial" w:cs="Arial" w:eastAsia="Arial" w:hAnsi="Arial"/>
          <w:sz w:val="17"/>
          <w:szCs w:val="17"/>
          <w:color w:val="auto"/>
        </w:rPr>
        <w:t>Non-controlling interest in subsidiaries on the Consolidated Balance Sheet and net loss attributable to non-controlling interest on the Consolidated Statement of Income represent the portion of equity ownership and earnings, respectively, of subsidiaries that are not attributable to equity holders of ALLETE. These amounts as of and during the quarter and nine months ended September 30, 2020, related to the tax equity financing structure for ALLETE Clean Energy’s 106 MW Glen Ullin and 80 MW South Peak wind energy facilities.</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16, 2020, ALLETE Clean Energy commenced operations of South Peak, an 80 MW wind energy facility in Montana, and on April 29, 2020, received $67.8 million in cash, net of issuance costs, from a third-party investor as part of a tax equity financing for this wind energy facility.</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date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Credit Losses. </w:t>
      </w:r>
      <w:r>
        <w:rPr>
          <w:rFonts w:ascii="Arial" w:cs="Arial" w:eastAsia="Arial" w:hAnsi="Arial"/>
          <w:sz w:val="18"/>
          <w:szCs w:val="18"/>
          <w:color w:val="auto"/>
        </w:rPr>
        <w:t>In 2016, the FASB issued an accounting standard update that requires entities to recognize an allowance for expected credit losses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instruments within its scope. Examples of financial instruments within the scope include trade receivables, certain financial guarantees, and held-to-maturity debt securities. The allowance for expected credit losses should be based on historical information, current conditions and reasonable and supportable forecasts. The new standard also revises the other-than-temporary impairment model for available-for-sale debt securities. The new guidance became effective January 1, 2020, and was adopted by the Company in the first quarter of 2020. Adoption of this standard did not have a material impact on our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REGULATORY MATTERS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matters are summarized in Note 4. Regulatory Matters to the Consolidated Financial Statements in our 2019 Form 10-K, with additional disclosure provided in the following paragraphs.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PSCW or FERC. As authorized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MPUC, Minnesota Power also recognizes revenue under cost recovery riders for transmission, renewable, and environmental investments and expenditures. Revenue from cost recovery riders was $22.6 million for the nine months ended September 30, 2020 ($24.3 million for nine months ended September 30, 2019).</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2020 Minnesota General Rate Case. </w:t>
      </w:r>
      <w:r>
        <w:rPr>
          <w:rFonts w:ascii="Arial" w:cs="Arial" w:eastAsia="Arial" w:hAnsi="Arial"/>
          <w:sz w:val="16"/>
          <w:szCs w:val="16"/>
          <w:color w:val="auto"/>
        </w:rPr>
        <w:t>In November 2019, Minnesota Power filed a retail rate increase request with the MPUC seeking an average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orders dated December 23, 2019, the MPUC accepted the filing as complete and authorized an annual interim rate increase of $36.1 million that began January 1, 2020.</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23,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an order dated June 30, 2020,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on an ongoing basis. Reserves for interim rates of $11.7 million were recorded in the second quarter of 2020 of which $6.5 million were refunded in the third quarter. The remainder will be refunded in the fourth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Transmission Cost Recovery Rider</w:t>
      </w:r>
      <w:r>
        <w:rPr>
          <w:rFonts w:ascii="Arial" w:cs="Arial" w:eastAsia="Arial" w:hAnsi="Arial"/>
          <w:sz w:val="18"/>
          <w:szCs w:val="18"/>
          <w:color w:val="auto"/>
        </w:rPr>
        <w:t>. 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a 2016 order, the MPUC approved Minnesota Power’s updated customer billing rates allowing Minnesota Power to charge retail customers on a current basis for the costs of constructing certain transmission facilities plus a return on the capital invested. On July 9, 2019, Minnesota Power filed a petition seeking MPUC approval to update the customer billing factor to include investments made for the GNTL, which was approved at a hearing on May 14, 2020. (See Note 6. Commitments, Guarantees and Contingencies.)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for certain renewable investments and expenditures. The cost</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rider allows Minnesota Power to charge retail customers on a current basis for the costs of certain renewable investments plus a return on the capital invested. On August 15, 2019, Minnesota Power filed a petition seeking MPUC approval to update the customer billing factor, which was approved at a hearing on October 1, 2020.</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2020, Minnesota Power filed a petition seeking MPUC approval of a customer billing rate for solar costs related to investments and expenditures for meeting the state of Minnesota’s solar energy standard.</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Fuel Adjustment Clause Reform</w:t>
      </w:r>
      <w:r>
        <w:rPr>
          <w:rFonts w:ascii="Arial" w:cs="Arial" w:eastAsia="Arial" w:hAnsi="Arial"/>
          <w:sz w:val="16"/>
          <w:szCs w:val="16"/>
          <w:color w:val="auto"/>
        </w:rPr>
        <w:t>. In a 2017 order, the MPUC adopted a program to implement certain procedural reforms to Minnesota utilities’ automatic</w:t>
      </w:r>
      <w:r>
        <w:rPr>
          <w:rFonts w:ascii="Arial" w:cs="Arial" w:eastAsia="Arial" w:hAnsi="Arial"/>
          <w:sz w:val="16"/>
          <w:szCs w:val="16"/>
          <w:i w:val="1"/>
          <w:iCs w:val="1"/>
          <w:color w:val="auto"/>
        </w:rPr>
        <w:t xml:space="preserve"> </w:t>
      </w:r>
      <w:r>
        <w:rPr>
          <w:rFonts w:ascii="Arial" w:cs="Arial" w:eastAsia="Arial" w:hAnsi="Arial"/>
          <w:sz w:val="16"/>
          <w:szCs w:val="16"/>
          <w:color w:val="auto"/>
        </w:rPr>
        <w:t>fuel adjustment clause (FAC) for fuel and purchased power. With this order, the method of accounting for all Minnesota electric utilities changed to a monthly budgeted, forward-looking FAC with annual prudence review and true-up to actual allowed costs. On May 1, 2019, Minnesota Power filed its fuel adjustment forecast for 2020, which was accepted by the MPUC in an order dated November 14, 2019, for purposes of setting fuel adjustment clause rates for 2020, subject to a true-up filing in 2021. On May 1, 2020, Minnesota Power filed its fuel adjustment forecast for 2021, subject to MPUC approval.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 2020, Minnesota Power filed its fuel adjustment clause report covering July 2018 through December 2019. In an order dated September 16, 2020, the MPUC referred the review of Minnesota Power’s forced outage costs during the period of the report, which totaled approximately $8 million, to an administrative law judge for a contested case hearing to determine if any of those costs should be returned to customers. A decision by the administrative law judge is expected in mid-2021. We cannot predict the outcome of this proceeding.</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COVID-19 Related Deferred Accounting</w:t>
      </w:r>
      <w:r>
        <w:rPr>
          <w:rFonts w:ascii="Arial" w:cs="Arial" w:eastAsia="Arial" w:hAnsi="Arial"/>
          <w:sz w:val="17"/>
          <w:szCs w:val="17"/>
          <w:color w:val="auto"/>
        </w:rPr>
        <w:t>. In an order dated March 24, 2020, the PSCW authorized public utilities, which includes SWL&amp;P, to defer</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incurred by the utility resulting from its compliance with state government or regulator orders, and as otherwise required to ensure the provision of safe, reliable and affordable access to utility services during Wisconsin’s declared public health emergency for COVID-19. On April 20, 2020, Minnesota Power along with other regulated electric and natural gas service providers in Minnesota filed a joint petition to request MPUC authorization to track incremental costs and expenses incurred as a result of the COVID-19 pandemic, and to defer and record such costs as a regulatory asset, subject to recovery in a future proceeding. In an order dated May 22, 2020, the MPUC approved the joint petition requiring the joint petitioners to track cost and revenue impacts resulting from the COVID-19 pandemic with review for recovery in a future rate proceeding.</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submitted a petition in November 2020 to the MPUC requesting authority to track and record as a regulatory asset lost large industrial customer revenue resulting from the idling of USS Corporation’s Keetac plant and Verso Corporation’s paper mill in Duluth, Minnesota. Keetac and Verso represent revenue of approximately $30 million annually, net of associated expense savings such as fuel costs. Minnesota Power proposed in this petition to defer any lost revenue related to the idling of the Keetac facility and the Verso paper mill to its next general rate case or other proceeding for review for recovery by the MPUC.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Integrated Resource Plan. </w:t>
      </w:r>
      <w:r>
        <w:rPr>
          <w:rFonts w:ascii="Arial" w:cs="Arial" w:eastAsia="Arial" w:hAnsi="Arial"/>
          <w:sz w:val="17"/>
          <w:szCs w:val="17"/>
          <w:color w:val="auto"/>
        </w:rPr>
        <w:t>In a 2016 order, the MPUC approved Minnesota Power’s 2015 IRP with modifications. The order accepted Minnesota Power’s</w:t>
      </w:r>
      <w:r>
        <w:rPr>
          <w:rFonts w:ascii="Arial" w:cs="Arial" w:eastAsia="Arial" w:hAnsi="Arial"/>
          <w:sz w:val="17"/>
          <w:szCs w:val="17"/>
          <w:b w:val="1"/>
          <w:bCs w:val="1"/>
          <w:color w:val="auto"/>
        </w:rPr>
        <w:t xml:space="preserve"> </w:t>
      </w:r>
      <w:r>
        <w:rPr>
          <w:rFonts w:ascii="Arial" w:cs="Arial" w:eastAsia="Arial" w:hAnsi="Arial"/>
          <w:sz w:val="17"/>
          <w:szCs w:val="17"/>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The MPUC also has required a baseload retirement evaluation in Minnesota Power’s next IRP filing analyzing its existing fleet, including potential early retirement scenarios of Boswell Units 3 and 4, as well as a securitization plan. Minnesota Power’s next IRP filing was due October 1, 2020; however, on May 29, 2020, Minnesota Power filed a request to extend the deadline for submitting its next IRP filing citing the COVID-19 pandemic. In an order dated September 25, 2020, the MPUC granted an extension of the deadline for submission until February 1, 2021, with interim reports due in the fourth quarter of 2020. On October 1, 2020, Minnesota Power submitted an initial securitization report regarding Boswell Units 3 and 4 as required in the MPUC’s order.</w:t>
      </w:r>
    </w:p>
    <w:p>
      <w:pPr>
        <w:spacing w:after="0" w:line="2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Nemadji Trail Energy Center. </w:t>
      </w:r>
      <w:r>
        <w:rPr>
          <w:rFonts w:ascii="Arial" w:cs="Arial" w:eastAsia="Arial" w:hAnsi="Arial"/>
          <w:sz w:val="17"/>
          <w:szCs w:val="17"/>
          <w:color w:val="auto"/>
        </w:rPr>
        <w:t>In 2017, Minnesota Power submitted a resource package to the MPUC which included requesting approval of a 250 MW</w:t>
      </w:r>
      <w:r>
        <w:rPr>
          <w:rFonts w:ascii="Arial" w:cs="Arial" w:eastAsia="Arial" w:hAnsi="Arial"/>
          <w:sz w:val="17"/>
          <w:szCs w:val="17"/>
          <w:b w:val="1"/>
          <w:bCs w:val="1"/>
          <w:color w:val="auto"/>
        </w:rPr>
        <w:t xml:space="preserve"> </w:t>
      </w:r>
      <w:r>
        <w:rPr>
          <w:rFonts w:ascii="Arial" w:cs="Arial" w:eastAsia="Arial" w:hAnsi="Arial"/>
          <w:sz w:val="17"/>
          <w:szCs w:val="17"/>
          <w:color w:val="auto"/>
        </w:rPr>
        <w:t>natural gas capacity dedication agreement. The natural gas capacity dedication agreement was subject to MPUC approval of the construction of NTEC, a 525 MW to 550 MW combined-cycle natural gas-fired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On December 23,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before reassessing the agreements. On January 22, 2020, Minnesota Power filed a petition for further review with the Minnesota Supreme Court requesting that it review and overturn the Minnesota Court of Appeals decision, which petition was accepted for review by the Minnesota Supreme Court with oral arguments held on October 6, 2020. There is no deadline for the Minnesota Supreme Court to issue a ruling. On January 8,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September 30, 2020, is approximately $14 million.</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On July 1, 2020, Minnesota Power submitted its CIP triennial filing for 2021 through 2023 to the MPUC, which</w:t>
      </w:r>
      <w:r>
        <w:rPr>
          <w:rFonts w:ascii="Arial" w:cs="Arial" w:eastAsia="Arial" w:hAnsi="Arial"/>
          <w:sz w:val="18"/>
          <w:szCs w:val="18"/>
          <w:b w:val="1"/>
          <w:bCs w:val="1"/>
          <w:color w:val="auto"/>
        </w:rPr>
        <w:t xml:space="preserve"> </w:t>
      </w:r>
      <w:r>
        <w:rPr>
          <w:rFonts w:ascii="Arial" w:cs="Arial" w:eastAsia="Arial" w:hAnsi="Arial"/>
          <w:sz w:val="18"/>
          <w:szCs w:val="18"/>
          <w:color w:val="auto"/>
        </w:rPr>
        <w:t>outlines Minnesota Power’s CIP spending and energy-saving goals for those years. Minnesota Power’s CIP investment goals are $10.5 million for 2021, $10.7 million for 2022 and $10.9 million for 2023, subject to MPUC approval.</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 2020, Minnesota Power submitted its 2019 consolidated filing detailing Minnesota Power’s CIP program results and requesting a CIP financial incentive of $2.4 million based upon MPUC procedures, which was recognized in the third quarter of 2020 upon approval by the MPUC in an order dated August 18, 2020. In 2019, the CIP financial incentive of $2.8 million was recognized in the third quarter upon approval by the MPUC of Minnesota Power’s 2018 CIP consolidated filing. CIP financial incentives are recognized in the period in which the MPUC approves the filing.</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MISO Return on Equity Complaint. </w:t>
      </w:r>
      <w:r>
        <w:rPr>
          <w:rFonts w:ascii="Arial" w:cs="Arial" w:eastAsia="Arial" w:hAnsi="Arial"/>
          <w:sz w:val="18"/>
          <w:szCs w:val="18"/>
          <w:color w:val="auto"/>
        </w:rPr>
        <w:t>MISO transmission owners, including ALLETE and ATC, have an authorized return on equity of 10.02 percent, or</w:t>
      </w:r>
      <w:r>
        <w:rPr>
          <w:rFonts w:ascii="Arial" w:cs="Arial" w:eastAsia="Arial" w:hAnsi="Arial"/>
          <w:sz w:val="18"/>
          <w:szCs w:val="18"/>
          <w:b w:val="1"/>
          <w:bCs w:val="1"/>
          <w:color w:val="auto"/>
        </w:rPr>
        <w:t xml:space="preserve"> </w:t>
      </w:r>
      <w:r>
        <w:rPr>
          <w:rFonts w:ascii="Arial" w:cs="Arial" w:eastAsia="Arial" w:hAnsi="Arial"/>
          <w:sz w:val="18"/>
          <w:szCs w:val="18"/>
          <w:color w:val="auto"/>
        </w:rPr>
        <w:t>10.52 percent including an incentive adder for participation in a regional transmission organization, based on a May 21, 2020, FERC order that granted rehearing of a November 2019 FERC order, which had reduced the base return on equity for regional transmission organizations to 9.88 percent, or 10.38 percent including an incentive adder.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2. REGULATORY MATTERS (Continued)</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Minnesota Solar Energy Standard. </w:t>
      </w:r>
      <w:r>
        <w:rPr>
          <w:rFonts w:ascii="Arial" w:cs="Arial" w:eastAsia="Arial" w:hAnsi="Arial"/>
          <w:sz w:val="18"/>
          <w:szCs w:val="18"/>
          <w:color w:val="auto"/>
        </w:rPr>
        <w:t>On May 20, 2020, the MPUC issued a notice requesting all regulated gas and electric utilities provide a list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ongoing, planned, or possible investments that support Minnesota’s energy policy objectives and aid economic recovery in Minnesota, among other items. On June 17, 2020, Minnesota Power filed a response which included outlining a proposal to accelerate its plans for solar energy with an estimated $40 million investment in approximately 20 MW of solar energy projects in Minnesota.</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guidance for the effect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3180" w:type="dxa"/>
            <w:vAlign w:val="bottom"/>
          </w:tcPr>
          <w:p>
            <w:pPr>
              <w:jc w:val="right"/>
              <w:ind w:right="290"/>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3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$204.9</w:t>
            </w:r>
          </w:p>
        </w:tc>
        <w:tc>
          <w:tcPr>
            <w:tcW w:w="1460" w:type="dxa"/>
            <w:vAlign w:val="bottom"/>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Cost Recovery Riders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46.8</w:t>
            </w:r>
          </w:p>
        </w:tc>
        <w:tc>
          <w:tcPr>
            <w:tcW w:w="146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Retirement Obligations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Manufactured Gas Plant</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8.7</w:t>
            </w: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Boswell Units 1 and 2 Net Plant and Equipment</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PPACA Income Tax Deferral</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4.6</w:t>
            </w: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Non-Current Regulatory Assets</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$427.9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(a)</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(b)</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Provision for Interim Rate Refund </w:t>
            </w:r>
            <w:r>
              <w:rPr>
                <w:rFonts w:ascii="Arial" w:cs="Arial" w:eastAsia="Arial" w:hAnsi="Arial"/>
                <w:sz w:val="16"/>
                <w:szCs w:val="16"/>
                <w:i w:val="1"/>
                <w:iCs w:val="1"/>
                <w:color w:val="auto"/>
              </w:rPr>
              <w:t>(c)</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5.2</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 Formula Rates Refund</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1.6</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Current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18.1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3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388.0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Wholesale and Retail Contra AFUDC</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86.9</w:t>
            </w:r>
          </w:p>
        </w:tc>
        <w:tc>
          <w:tcPr>
            <w:tcW w:w="1460" w:type="dxa"/>
            <w:vAlign w:val="bottom"/>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Removal Obligations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41.1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Benefit Plans</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12.6</w:t>
            </w:r>
          </w:p>
        </w:tc>
        <w:tc>
          <w:tcPr>
            <w:tcW w:w="14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Dakota Investment Tax Credits</w:t>
            </w:r>
          </w:p>
        </w:tc>
        <w:tc>
          <w:tcPr>
            <w:tcW w:w="3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Conservation Improvement Program</w:t>
            </w:r>
          </w:p>
        </w:tc>
        <w:tc>
          <w:tcPr>
            <w:tcW w:w="318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Non-Current Regulatory Liabilities</w:t>
            </w:r>
          </w:p>
        </w:tc>
        <w:tc>
          <w:tcPr>
            <w:tcW w:w="3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547.1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Regulatory Liabilities</w:t>
            </w:r>
          </w:p>
        </w:tc>
        <w:tc>
          <w:tcPr>
            <w:tcW w:w="3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$565.2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Fuel adjustment clause regulatory liability represents the amount expected to be refunded to customers for the over-collection of fuel adjustment clause recoveries. (See Fuel Adjustment Clause Reform.)</w:t>
      </w:r>
    </w:p>
    <w:p>
      <w:pPr>
        <w:jc w:val="both"/>
        <w:ind w:left="340" w:hanging="332"/>
        <w:spacing w:after="0" w:line="251" w:lineRule="auto"/>
        <w:tabs>
          <w:tab w:leader="none" w:pos="33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Provision for Interim Rate Refund represents reserves for interim rates resulting from the MPUC’s approval of Minnesota Power’s petition and proposal to resolve and withdraw its rate case. This amount is expected to be refunded to Minnesota Power regulated retail customers in the fourth quarter of 2020. (See 2020 Minnesota General Rate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3. EQUITY INVESTMENTS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Investment in ATC</w:t>
      </w:r>
      <w:r>
        <w:rPr>
          <w:rFonts w:ascii="Arial" w:cs="Arial" w:eastAsia="Arial" w:hAnsi="Arial"/>
          <w:sz w:val="18"/>
          <w:szCs w:val="18"/>
          <w:color w:val="auto"/>
        </w:rPr>
        <w:t>. 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 For the nine months ended September 30, 2020, we invested $2.0 million in ATC, and on October 30, 2020, we invested an additional $0.8 million. We do not expect to make any additional investments in 2020.</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ATC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Borders>
              <w:top w:val="single" w:sz="8" w:color="auto"/>
            </w:tcBorders>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2019</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Equity in ATC Earnings </w:t>
            </w:r>
            <w:r>
              <w:rPr>
                <w:rFonts w:ascii="Arial" w:cs="Arial" w:eastAsia="Arial" w:hAnsi="Arial"/>
                <w:sz w:val="16"/>
                <w:szCs w:val="16"/>
                <w:i w:val="1"/>
                <w:iCs w:val="1"/>
                <w:color w:val="auto"/>
              </w:rPr>
              <w:t>(a)</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6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September 30, 2020</w:t>
            </w:r>
          </w:p>
        </w:tc>
        <w:tc>
          <w:tcPr>
            <w:tcW w:w="3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r>
    </w:tbl>
    <w:p>
      <w:pPr>
        <w:spacing w:after="0" w:line="98" w:lineRule="exact"/>
        <w:rPr>
          <w:sz w:val="20"/>
          <w:szCs w:val="20"/>
          <w:color w:val="auto"/>
        </w:rPr>
      </w:pPr>
    </w:p>
    <w:p>
      <w:pPr>
        <w:ind w:left="340" w:right="20" w:hanging="332"/>
        <w:spacing w:after="0" w:line="275"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Equity in ATC Earnings includes $1.2 million of additional earnings resulting from the FERC’s May 21, 2020, order increasing ATC’s authorized return on equity to 10.52 percent including an incentive adder for participation in a regional transmission organization.</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ATC’s authorized return on equity is 10.02 percent, or 10.52 percent including an incentive adder for participation in a regional transmission organization, based on a May 21, 2020, FERC order that granted rehearing of a November 2019 FERC order. (See Note 2. Regulatory Matters.)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wholly-owned subsidiary, ALLETE South Wind, owns 49 percent of Nobles 2, the entity that will own and operate a</w:t>
      </w:r>
      <w:r>
        <w:rPr>
          <w:rFonts w:ascii="Arial" w:cs="Arial" w:eastAsia="Arial" w:hAnsi="Arial"/>
          <w:sz w:val="18"/>
          <w:szCs w:val="18"/>
          <w:b w:val="1"/>
          <w:bCs w:val="1"/>
          <w:color w:val="auto"/>
        </w:rPr>
        <w:t xml:space="preserve"> </w:t>
      </w:r>
      <w:r>
        <w:rPr>
          <w:rFonts w:ascii="Arial" w:cs="Arial" w:eastAsia="Arial" w:hAnsi="Arial"/>
          <w:sz w:val="18"/>
          <w:szCs w:val="18"/>
          <w:color w:val="auto"/>
        </w:rPr>
        <w:t>250 MW wind energy facility in southwestern Minnesota pursuant to a 20-year PPA with Minnesota Power. We account for our investment in Nobles 2 under the equity method of accounting. As of September 30, 2020, our equity investment in Nobles 2 was $145.0 million ($56.0 million at December 31, 2019). For the nine months ended September 30, 2020, we invested $89.0 million in Nobles 2, and in October 2020 we invested an additional $0.7 million. We expect to make approximately $25 million in additional investments in 2020.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2019 Form 10-K.</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September 30, 2020, and December 31, 2019.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Arial" w:cs="Arial" w:eastAsia="Arial" w:hAnsi="Arial"/>
                <w:sz w:val="18"/>
                <w:szCs w:val="18"/>
                <w:b w:val="1"/>
                <w:bCs w:val="1"/>
                <w:color w:val="auto"/>
              </w:rPr>
              <w:t>NOTE 4. FAIR VALUE (Continued)</w:t>
            </w:r>
          </w:p>
        </w:tc>
        <w:tc>
          <w:tcPr>
            <w:tcW w:w="1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46"/>
        </w:trPr>
        <w:tc>
          <w:tcPr>
            <w:tcW w:w="6220" w:type="dxa"/>
            <w:vAlign w:val="bottom"/>
          </w:tcPr>
          <w:p>
            <w:pPr>
              <w:spacing w:after="0"/>
              <w:rPr>
                <w:sz w:val="24"/>
                <w:szCs w:val="24"/>
                <w:color w:val="auto"/>
              </w:rPr>
            </w:pPr>
          </w:p>
        </w:tc>
        <w:tc>
          <w:tcPr>
            <w:tcW w:w="4340" w:type="dxa"/>
            <w:vAlign w:val="bottom"/>
            <w:gridSpan w:val="3"/>
          </w:tcPr>
          <w:p>
            <w:pPr>
              <w:ind w:left="1420"/>
              <w:spacing w:after="0"/>
              <w:rPr>
                <w:sz w:val="20"/>
                <w:szCs w:val="20"/>
                <w:color w:val="auto"/>
              </w:rPr>
            </w:pPr>
            <w:r>
              <w:rPr>
                <w:rFonts w:ascii="Arial" w:cs="Arial" w:eastAsia="Arial" w:hAnsi="Arial"/>
                <w:sz w:val="18"/>
                <w:szCs w:val="18"/>
                <w:b w:val="1"/>
                <w:bCs w:val="1"/>
                <w:color w:val="auto"/>
                <w:w w:val="94"/>
              </w:rPr>
              <w:t>Fair Value as of September 30, 2020</w:t>
            </w:r>
          </w:p>
        </w:tc>
        <w:tc>
          <w:tcPr>
            <w:tcW w:w="660" w:type="dxa"/>
            <w:vAlign w:val="bottom"/>
          </w:tcPr>
          <w:p>
            <w:pPr>
              <w:spacing w:after="0"/>
              <w:rPr>
                <w:sz w:val="24"/>
                <w:szCs w:val="24"/>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$10.4</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$10.5</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8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$11.7</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$10.5</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196"/>
        </w:trPr>
        <w:tc>
          <w:tcPr>
            <w:tcW w:w="6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8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$21.3</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$21.3</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23"/>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8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$11.7</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$(10.8)</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tcPr>
          <w:p>
            <w:pPr>
              <w:spacing w:after="0"/>
              <w:rPr>
                <w:sz w:val="19"/>
                <w:szCs w:val="19"/>
                <w:color w:val="auto"/>
              </w:rPr>
            </w:pPr>
          </w:p>
        </w:tc>
        <w:tc>
          <w:tcPr>
            <w:tcW w:w="4480" w:type="dxa"/>
            <w:vAlign w:val="bottom"/>
            <w:gridSpan w:val="3"/>
          </w:tcPr>
          <w:p>
            <w:pPr>
              <w:ind w:left="1580"/>
              <w:spacing w:after="0"/>
              <w:rPr>
                <w:sz w:val="20"/>
                <w:szCs w:val="20"/>
                <w:color w:val="auto"/>
              </w:rPr>
            </w:pPr>
            <w:r>
              <w:rPr>
                <w:rFonts w:ascii="Arial" w:cs="Arial" w:eastAsia="Arial" w:hAnsi="Arial"/>
                <w:sz w:val="18"/>
                <w:szCs w:val="18"/>
                <w:b w:val="1"/>
                <w:bCs w:val="1"/>
                <w:color w:val="auto"/>
                <w:w w:val="95"/>
              </w:rPr>
              <w:t>Fair Value as of December 31, 2019</w:t>
            </w:r>
          </w:p>
        </w:tc>
        <w:tc>
          <w:tcPr>
            <w:tcW w:w="660" w:type="dxa"/>
            <w:vAlign w:val="bottom"/>
          </w:tcPr>
          <w:p>
            <w:pPr>
              <w:spacing w:after="0"/>
              <w:rPr>
                <w:sz w:val="19"/>
                <w:szCs w:val="19"/>
                <w:color w:val="auto"/>
              </w:rPr>
            </w:pPr>
          </w:p>
        </w:tc>
      </w:tr>
      <w:tr>
        <w:trPr>
          <w:trHeight w:val="234"/>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$11.1</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08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19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$9.7</w:t>
            </w:r>
          </w:p>
        </w:tc>
        <w:tc>
          <w:tcPr>
            <w:tcW w:w="1300" w:type="dxa"/>
            <w:vAlign w:val="bottom"/>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0.9</w:t>
            </w:r>
          </w:p>
        </w:tc>
        <w:tc>
          <w:tcPr>
            <w:tcW w:w="12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$12.0</w:t>
            </w: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$9.7</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196"/>
        </w:trPr>
        <w:tc>
          <w:tcPr>
            <w:tcW w:w="608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$21.2</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$21.2</w:t>
            </w:r>
          </w:p>
        </w:tc>
        <w:tc>
          <w:tcPr>
            <w:tcW w:w="13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$12.0</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$(11.5)</w:t>
            </w:r>
          </w:p>
        </w:tc>
        <w:tc>
          <w:tcPr>
            <w:tcW w:w="13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62" w:lineRule="auto"/>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 of September 30, 2020, the aggregate amount of available-for-sale corporate and governmental debt securities maturing in one year or less was $2.6 million, in one year to less than three years was $4.3 million, in three years to less than five years was $3.3 million and in five or more years was $0.3 million.</w:t>
      </w:r>
    </w:p>
    <w:p>
      <w:pPr>
        <w:spacing w:after="0" w:line="1" w:lineRule="exact"/>
        <w:rPr>
          <w:rFonts w:ascii="Arial" w:cs="Arial" w:eastAsia="Arial" w:hAnsi="Arial"/>
          <w:sz w:val="15"/>
          <w:szCs w:val="15"/>
          <w:i w:val="1"/>
          <w:iCs w:val="1"/>
          <w:color w:val="auto"/>
        </w:rPr>
      </w:pPr>
    </w:p>
    <w:p>
      <w:pPr>
        <w:ind w:left="320" w:hanging="312"/>
        <w:spacing w:after="0"/>
        <w:tabs>
          <w:tab w:leader="none" w:pos="3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of the item listed in the following table was based on quoted market prices for the same or similar instruments (Level 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4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8"/>
                <w:szCs w:val="18"/>
                <w:color w:val="auto"/>
              </w:rPr>
              <w:t>September 30, 2020</w:t>
            </w:r>
          </w:p>
        </w:tc>
        <w:tc>
          <w:tcPr>
            <w:tcW w:w="4420" w:type="dxa"/>
            <w:vAlign w:val="bottom"/>
          </w:tcPr>
          <w:p>
            <w:pPr>
              <w:jc w:val="right"/>
              <w:ind w:right="230"/>
              <w:spacing w:after="0"/>
              <w:rPr>
                <w:sz w:val="20"/>
                <w:szCs w:val="20"/>
                <w:color w:val="auto"/>
              </w:rPr>
            </w:pPr>
            <w:r>
              <w:rPr>
                <w:rFonts w:ascii="Arial" w:cs="Arial" w:eastAsia="Arial" w:hAnsi="Arial"/>
                <w:sz w:val="18"/>
                <w:szCs w:val="18"/>
                <w:color w:val="auto"/>
              </w:rPr>
              <w:t>$2,022.5</w:t>
            </w:r>
          </w:p>
        </w:tc>
        <w:tc>
          <w:tcPr>
            <w:tcW w:w="1660" w:type="dxa"/>
            <w:vAlign w:val="bottom"/>
          </w:tcPr>
          <w:p>
            <w:pPr>
              <w:jc w:val="right"/>
              <w:spacing w:after="0"/>
              <w:rPr>
                <w:sz w:val="20"/>
                <w:szCs w:val="20"/>
                <w:color w:val="auto"/>
              </w:rPr>
            </w:pPr>
            <w:r>
              <w:rPr>
                <w:rFonts w:ascii="Arial" w:cs="Arial" w:eastAsia="Arial" w:hAnsi="Arial"/>
                <w:sz w:val="18"/>
                <w:szCs w:val="18"/>
                <w:color w:val="auto"/>
              </w:rPr>
              <w:t>$2,322.1</w:t>
            </w:r>
          </w:p>
        </w:tc>
      </w:tr>
      <w:tr>
        <w:trPr>
          <w:trHeight w:val="230"/>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December 31, 2019</w:t>
            </w:r>
          </w:p>
        </w:tc>
        <w:tc>
          <w:tcPr>
            <w:tcW w:w="4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$1,622.6</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$1,791.8</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Excludes unamortized debt issuance costs.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land inventory,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are measured at fair value when there is an indicator of impairment and recorded at fair value only when an impairment is recognized. For the quarter and nine months ended September 30, 2020, and the year ended December 31, 2019, there were no indicators of impairment for these non-financial assets.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changes in the broader energy markets that could indicate impairment at an ALLETE Clean Energy wind energy facility which currently has undiscounted future cash flows that are marginally in excess of the asset carrying value of approximately $11 million. A continued decline in energy prices would likely result in a future impairment.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NOTE 5. SHORT-TERM AND LONG-TERM DEBT</w:t>
            </w:r>
          </w:p>
        </w:tc>
        <w:tc>
          <w:tcPr>
            <w:tcW w:w="2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80" w:type="dxa"/>
            <w:vAlign w:val="bottom"/>
            <w:gridSpan w:val="3"/>
          </w:tcPr>
          <w:p>
            <w:pPr>
              <w:spacing w:after="0"/>
              <w:rPr>
                <w:sz w:val="20"/>
                <w:szCs w:val="20"/>
                <w:color w:val="auto"/>
              </w:rPr>
            </w:pPr>
            <w:r>
              <w:rPr>
                <w:rFonts w:ascii="Arial" w:cs="Arial" w:eastAsia="Arial" w:hAnsi="Arial"/>
                <w:sz w:val="18"/>
                <w:szCs w:val="18"/>
                <w:color w:val="auto"/>
                <w:w w:val="97"/>
              </w:rPr>
              <w:t>The following tables present the Company’s short-term and long-term debt as of September 30, 2020, and December 31, 2019: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September 30, 2020</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$404.8</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1,617.7</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$2,022.5</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$(10.0)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304"/>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2019</w:t>
            </w: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236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$213.3</w:t>
            </w:r>
          </w:p>
        </w:tc>
        <w:tc>
          <w:tcPr>
            <w:tcW w:w="23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1,409.3</w:t>
            </w:r>
          </w:p>
        </w:tc>
        <w:tc>
          <w:tcPr>
            <w:tcW w:w="2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(8.4)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$1,622.6</w:t>
            </w:r>
          </w:p>
        </w:tc>
        <w:tc>
          <w:tcPr>
            <w:tcW w:w="23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$(8.8)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$22.3 million outstanding in standby letters of credit and no outstanding draws under our lines of credit as of September 30, 2020 ($62.0 million in standby letters of credit and no outstanding draws as of December 31, 2019).</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10, 2020, ALLETE entered into a $200 million unsecured term loan agreement (Term Loan) of which we have borrowed the full amount as of September 30, 2020. The Term Loan is due on February 10, 2021, and may be repaid at any time. Interest is payable monthly at a rate per annum equal to LIBOR plus 0.55 percent. Proceeds from the Term Loan were used for construction-related expenditures.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August 3, 2020, ALLETE issued first mortgage bonds (Bonds) to certain institutional buyers in the private placement market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80" w:type="dxa"/>
            <w:vAlign w:val="bottom"/>
            <w:tcBorders>
              <w:top w:val="single" w:sz="8" w:color="auto"/>
              <w:bottom w:val="single" w:sz="8" w:color="auto"/>
            </w:tcBorders>
          </w:tcPr>
          <w:p>
            <w:pPr>
              <w:ind w:left="1320"/>
              <w:spacing w:after="0"/>
              <w:rPr>
                <w:sz w:val="20"/>
                <w:szCs w:val="20"/>
                <w:color w:val="auto"/>
              </w:rPr>
            </w:pPr>
            <w:r>
              <w:rPr>
                <w:rFonts w:ascii="Arial" w:cs="Arial" w:eastAsia="Arial" w:hAnsi="Arial"/>
                <w:sz w:val="18"/>
                <w:szCs w:val="18"/>
                <w:b w:val="1"/>
                <w:bCs w:val="1"/>
                <w:color w:val="auto"/>
              </w:rPr>
              <w:t>Maturity Date</w:t>
            </w:r>
          </w:p>
        </w:tc>
        <w:tc>
          <w:tcPr>
            <w:tcW w:w="3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36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Interest Rate</w:t>
            </w:r>
          </w:p>
        </w:tc>
      </w:tr>
      <w:tr>
        <w:trPr>
          <w:trHeight w:val="223"/>
        </w:trPr>
        <w:tc>
          <w:tcPr>
            <w:tcW w:w="368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August 1, 2030</w:t>
            </w:r>
          </w:p>
        </w:tc>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 Million</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r>
      <w:tr>
        <w:trPr>
          <w:trHeight w:val="230"/>
        </w:trPr>
        <w:tc>
          <w:tcPr>
            <w:tcW w:w="36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August 1, 2050</w:t>
            </w: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$94 Million</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3.30%</w:t>
            </w:r>
          </w:p>
        </w:tc>
      </w:tr>
    </w:tbl>
    <w:p>
      <w:pPr>
        <w:spacing w:after="0" w:line="33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ALLETE has the option to prepay all or a portion of the Bonds at its discretion, subject to a make-whole provision. The Bonds are subject to additional terms and conditions which are customary for these types of transactions. ALLETE used the proceeds from the sale of the Bonds to fund utility capital investment and for general corporate purposes. The Bonds were sold in reliance on an exemption from registration under Section 4(a)(2) of the Securities Act of 1933, as amended, to institutional accredited investors.</w:t>
      </w:r>
    </w:p>
    <w:p>
      <w:pPr>
        <w:spacing w:after="0" w:line="21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 April 8, 2020, ALLETE entered into a $115 million unsecured term loan agreement (Term Loan) and borrowed $95 million upon execution. The additional draw of $20 million provided for under the Term Loan was made in July 2020. The Term Loan is due on April 7, 2021, and may be repaid at any time. Interest is payable monthly at a rate per annum equal to LIBOR plus 1.7 percent with a LIBOR floor of 0.75 percent. Proceeds from the Term Loan were used for general corporate purposes.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10, 2020, ALLETE sold $150 million of the Company’s senior unsecured notes (Notes) to certain institutional buyers in the private placement market. The Notes were sold in reliance on an exemption from registration under Section 4(a)(2) of the Securities Act of 1933, as amended, to institutional accredited investors. The Notes bear interest at a rate of 2.65 percent and mature on September 10, 2025.</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Notes is payable semi-annually on March 1 and September 1 of each year, commencing on March 1, 2021. The Company has the option to prepay all or a portion of the Notes at its discretion, subject to a make-whole provision. The Notes are subject to additional terms and conditions which are customary for these types of transactions. Proceeds from the sale of the Notes were used for construction-related expenditures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SHORT-TERM AND LONG-TERM DEBT (Continued)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September 30, 2020, our ratio was approximately 0.46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September 30, 2020, ALLETE was in compliance with its financial covenants.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GUARANTEES AND CONTINGENCIES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9. Commitments, Guarantees and Contingencies to the Consolidated Financial Statements in our 2019 Form 10-K, with additional disclosure provided in the following paragraphs.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As of September 30, 2020, Square Butte had total debt outstanding of $271.4 million. Fuel expenses are recoverable through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Power’s fuel adjustment clause and include the cost of coal purchased from BNI Energy under a long-term contract. Minnesota Power’s cost of power purchased from Square Butte during the nine months ended September 30, 2020, was $59.9 million ($61.3 million for the same period in 2019). This reflects Minnesota Power’s pro rata share of total Square Butte costs based on the 50 percent output entitlement. Included in this amount was Minnesota Power’s pro rata share of interest expense of $5.4 million ($6.3 million for the same period in 2019). Minnesota Power’s payments to Square Butte are approved as a purchased power expense for ratemaking purposes by both the MPUC and the FERC.</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2020 and in 2019.</w:t>
      </w:r>
    </w:p>
    <w:p>
      <w:pPr>
        <w:spacing w:after="0" w:line="21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Minnesota Power Short-term PSAs</w:t>
      </w:r>
      <w:r>
        <w:rPr>
          <w:rFonts w:ascii="Arial" w:cs="Arial" w:eastAsia="Arial" w:hAnsi="Arial"/>
          <w:sz w:val="16"/>
          <w:szCs w:val="16"/>
          <w:color w:val="auto"/>
        </w:rPr>
        <w:t>. Minnesota Power has entered into various short-term PSAs to sell 300 MW of energy in the fourth quarter of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2021. These PSAs were entered into to proactively mitigate the uncertainty of customers’ energy needs and potential load loss due to the COVID-19 pandemic. Additional transactions, purchases or sales, could be entered into as the extent and duration of the COVID-19 pandemic becomes known.</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2021. Minnesota Power also has coal transportation agreements in place for the delivery of a significant portion of its coal requirements through December 2021. The costs of fuel and related transportation costs for Minnesota Power’s generation are recoverable from Minnesota Power’s retail and municipal utility customers through the fuel adjustment clause.</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was required. As a result, Minnesota Power constructed the GNTL, an approximately 220-mile 500-kV transmission line between Manitoba and Minnesota’s Iron Range that was proposed by Minnesota Power and Manitoba Hydro in order to strengthen the electric grid, enhance regional reliability and promote a greater exchange of sustainable energy. On June 1, 2020, Minnesota Power placed the GNTL into service with project costs of approximately $310 million incurred by Minnesota Power through September 30, 2020. Total project costs, including those costs contributed by a subsidiary of Manitoba Hydro, incurred through September 30, 2020 totaled approximately $660 million. Also on June 1, 2020, Manitoba Hydro placed the MMTP into service.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2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certain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and SO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allowances issued and pending issuance, we currently expect generation levels and emission rates will result in continued compliance with the CSAPR. The ongoing CSAPR “good neighbor” provision and interstate transport litigation is also not currently projected to affect Minnesota Power’s CSAPR compliance. The State of Minnesota has not been identified by the downwind litigant states as a culpable upwind source, and previous EPA air quality modeling has demonstrated that Minnesota is not a significant contributor to downwind air quality attainment challenges. Minnesota Power also does not currently anticipate being affected by the EPA’s expected upcoming rulemakings to address the remand of certain CSAPR rules. Minnesota Power will continue to monitor ongoing CSAPR litigation and associated rulemakings.</w:t>
      </w:r>
    </w:p>
    <w:p>
      <w:pPr>
        <w:spacing w:after="0" w:line="2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National Ambient Air Quality Standards (NAAQS). </w:t>
      </w:r>
      <w:r>
        <w:rPr>
          <w:rFonts w:ascii="Arial" w:cs="Arial" w:eastAsia="Arial" w:hAnsi="Arial"/>
          <w:sz w:val="16"/>
          <w:szCs w:val="16"/>
          <w:color w:val="auto"/>
        </w:rPr>
        <w:t>The EPA is required to review the NAAQS every five years. If the EPA determines that a state’s air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increases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On June 19, 2019, the EPA finalized several separate rulemakings regarding regulating carbon emissions from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generating units.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EPA repealed the Clean Power Plan (CPP), following a determination by the EPA that the CPP exceeded the EPA’s statutory authority under the Clean Air Act (CAA). The primary reason for the repeal was the CPP’s attempt to regulate electric generating unit’s carbon emissions through measures outside of the affected unit’s direct control. The CPP was first announced as a proposed rule under Section 111(d) of the Clean Air Act for existing power plants entitled “Carbon Pollution Emission Guidelines for Existing Stationary Sources: Electric Generating Units”.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With the repeal of the CPP, the Affordable Clean Energy Rule was finalized. The rule establishes emissions guidelines for states to use when developing plans to limit carbon dioxide at coal-fired power plants. The rule identifies heat rate improvements made at individual units as the best system of emission reduction. Affected facilities for Minnesota Power include Boswell Units 3 and 4, and Taconite Harbor Units 1 and 2, which are currently economically idled. Based on our initial review of the rule, many of the candidate heat rate improvements are already installed on Boswell Units 3 and 4.</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EPA finalized new regulations for the state implementation of the Affordable Clean Energy Rule and any future emission guidelines issued under CAA Section 111(d). States will have three years to submit SIPs, and the EPA has 12 months to review and approve those plans. Since the Affordable Clean Energy Rule allows states considerable flexibility in how to best implement its requirements, Minnesota Power plans to work closely with the MPCA and the Minnesota Department of Commerce, who are currently co-reviewing the rule as the state develops its SIP. If a state does not submit a SIP or submits a SIP that is unacceptable to the EPA, the EPA will develop a Federal Implementation Plan. The MPCA currently plans to develop a SIP for the Affordable Clean Energy Rule and Minnesota Power is working with the MPCA to provide requested information for the SIP. Minnesota Power is also monitoring legal challenges to the rule and any potential impacts their outcome may have to the Affordable Clean Energy Rule or the development of Minnesota’s SIP.</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Minnesota had already initiated several measures consistent with those called for under the now repealed CPP and finalized Affordable Clean Energy Rule. Minnesota Power continues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We are unable to predict the GHG emission compliance costs we might incur as a result of the Affordable Clean Energy Rule and the resulting SIP; however, the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Steam Electric Power Generating Effluent Limitations Guidelines. </w:t>
      </w:r>
      <w:r>
        <w:rPr>
          <w:rFonts w:ascii="Arial" w:cs="Arial" w:eastAsia="Arial" w:hAnsi="Arial"/>
          <w:sz w:val="17"/>
          <w:szCs w:val="17"/>
          <w:color w:val="auto"/>
        </w:rPr>
        <w:t>In 2015, the EPA issued revised federal effluent limitation guidelines (ELG)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2023, or December 31, 2028 in some specific cases. The rule also establishes new subcategories for retiring high-flow and low-utilization units, and establishes a voluntary incentives program for FGD wastewater.</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if additional water treatment measures are implemented. With Boswell’s planned conversion to dry FGD handling and storage, ongoing FGD water generation will be reduced, and the majority of FGD waters will be legacy waters to be dewatered from existing impoundments. Re-use and onsite consumption for the majority of FGD waters is planned at Boswell.</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new ELG rule, most bottom ash transport water discharge to surface waters must cease no later than December 31, 2025, except for small discharges needed to retain water balance. The majority of bottom ash transport water will either need to be re-used in a closed-loop process or routed to a FGD scrubber. At Boswell, the bottom ash handling systems are planned to be converted to a dry process, which will eliminate bottom ash transport water. Re-use and onsite consumption of any residual bottom ash contact water is planned at Boswell post-ELG bottom ash discharge restriction deadlines.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EPA’s additional reconsideration of legacy wastewater discharge requirements have the potential to reduce timelines for dewatering Boswell’s existing bottom ash pond. The timing of a draft rule addressing legacy wastewater and leachate is currently unknown.</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and FGD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Solid and Hazardous Waste. </w:t>
      </w:r>
      <w:r>
        <w:rPr>
          <w:rFonts w:ascii="Arial" w:cs="Arial" w:eastAsia="Arial" w:hAnsi="Arial"/>
          <w:sz w:val="18"/>
          <w:szCs w:val="18"/>
          <w:color w:val="auto"/>
        </w:rPr>
        <w:t>The Resource Conservation and Recovery Act of 1976 regulates the management and disposal of solid and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wastes. We are required to notify the EPA of hazardous waste activity and, consequently, routinely submit reports to the EPA.</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has the ability to store or dispose of coal ash at four of its electric generating facilities by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storing ash in clay-lined onsite impoundments (ash ponds), disposing of dry ash in a lined dry ash landfill, applying ash to land as an approved beneficial use and trucking ash to state permitted landfills.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occur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July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August 2018, a U.S. District Court for the District of Columbia decision vacated specific provisions of the CCR rule. The court decision changed the status of three existing clay-lined impoundments at Boswell that must now be considered unlined. The EPA proposed additional rule revisions in August and December 2019 to address outstanding issues from litigation and closure timelines for unlined impoundments, respectively. The first of these rules, CCR Rule Part A, was finalized on September 28, 2020. The Part A Rule revision requires unlined impoundments to cease disposal of waste as soon as technically feasible but no later than April 11, 2021. Minnesota Power intends to seek EPA approval to extend the closure date for the two active Boswell impoundments. Additionally, the EPA recently released a proposed Part B rulemaking that addresses options for beneficial reuse of CCR materials, alternative liner demonstrations, and other CCR regulatory revisions. A final Part B Rule is expected in late 2020.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located in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SWL&amp;P has been working with the Wisconsin Department of Natural Resources (WDNR) in determining the extent of contamination at the site and surrounding properties. In December 2017, the WDNR authorized SWL&amp;P to transition from site investigation into the remedial design process. As of September 30, 2020, we have recorded a liability of approximately $7 million for remediation costs at this site (approximately $7 million as of December 31, 2019); however, SWL&amp;P continues to work with the WDNR on the extent of contamination which may result in additional remediation costs being identified. SWL&amp;P has also recorded an associated regulatory asset as we expect recovery of these remediation costs to be allowed by the PSCW. Remediation costs are expected to be incurred through 2023.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and Surety Bonds.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our contractual security requirements across our businesses. As of September 30, 2020, we had $106.7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Regulated Operations. </w:t>
      </w:r>
      <w:r>
        <w:rPr>
          <w:rFonts w:ascii="Arial" w:cs="Arial" w:eastAsia="Arial" w:hAnsi="Arial"/>
          <w:sz w:val="18"/>
          <w:szCs w:val="18"/>
          <w:color w:val="auto"/>
        </w:rPr>
        <w:t>As of September 30, 2020, we had $28.8 million outstanding in standby letters of credit at our Regulated Operations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as security for MISO and state agency agreements as well as energy facilities under development.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2039. As of September 30, 2020, ALLETE Clean Energy has $63.9 million outstanding in standby letters of credit, the majority of which are pledged as security under these PSAs and PSAs for wind energy facilities under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Investment in Nobles 2</w:t>
      </w:r>
      <w:r>
        <w:rPr>
          <w:rFonts w:ascii="Arial" w:cs="Arial" w:eastAsia="Arial" w:hAnsi="Arial"/>
          <w:sz w:val="18"/>
          <w:szCs w:val="18"/>
          <w:color w:val="auto"/>
        </w:rPr>
        <w:t>. Construction of the Nobles 2 wind energy facility requires standby letters of credit as security for certain contractual obligations. As of September 30, 2020, ALLETE South Wind has $14.0 million outstanding in standby letters of credit, related to our portion of the security requirements relative to our ownership in Nobles 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September 30, 2020, BNI Energy had surety bonds outstanding of $67.7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$67.3 million. BNI Energy does not believe it is likely that any of these outstanding surety bonds will be drawn upon.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ALLETE Properties</w:t>
      </w:r>
      <w:r>
        <w:rPr>
          <w:rFonts w:ascii="Arial" w:cs="Arial" w:eastAsia="Arial" w:hAnsi="Arial"/>
          <w:sz w:val="16"/>
          <w:szCs w:val="16"/>
          <w:color w:val="auto"/>
        </w:rPr>
        <w:t>. As of September 30, 2020, ALLETE Properties had surety bonds outstanding and letters of credit to governmental entities totaling $2.3 million primarily related to development and maintenance obligations for various projects. The estimated cost of the remaining development work is $1.3 million. ALLETE Properties does not believe it is likely that any of these outstanding surety bonds or letters of credit will be drawn upon.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Community Development District Obligations. </w:t>
      </w:r>
      <w:r>
        <w:rPr>
          <w:rFonts w:ascii="Arial" w:cs="Arial" w:eastAsia="Arial" w:hAnsi="Arial"/>
          <w:sz w:val="18"/>
          <w:szCs w:val="18"/>
          <w:color w:val="auto"/>
        </w:rPr>
        <w:t>As of September 30, 2020, we owned 53 percent of the assessable land in the Town Center District (53</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as of December 31, 2019). As of September 30, 2020, ownership levels, our annual assessments related to capital improvement and special assessment bonds for the ALLETE Properties project within the district is approximately $1.9 million. As we sell property at this project, the obligation to pay special assessments will pass to the new landowners. In accordance with accounting guidance, these bonds are not reflected as debt on our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 AND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1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Dilutive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Diluted</w:t>
            </w: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Basic</w:t>
            </w: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$40.7</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51.9</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51.7</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$0.78</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$0.60</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$127.1</w:t>
            </w:r>
          </w:p>
        </w:tc>
        <w:tc>
          <w:tcPr>
            <w:tcW w:w="1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$127.1</w:t>
            </w:r>
          </w:p>
        </w:tc>
        <w:tc>
          <w:tcPr>
            <w:tcW w:w="14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$135.9</w:t>
            </w:r>
          </w:p>
        </w:tc>
        <w:tc>
          <w:tcPr>
            <w:tcW w:w="1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51.8</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51.6</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$2.45</w:t>
            </w:r>
          </w:p>
        </w:tc>
        <w:tc>
          <w:tcPr>
            <w:tcW w:w="1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$2.63</w:t>
            </w: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NOTE 8. INCOME TAX EXPENSE</w:t>
            </w:r>
          </w:p>
        </w:tc>
        <w:tc>
          <w:tcPr>
            <w:tcW w:w="2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6"/>
        </w:trPr>
        <w:tc>
          <w:tcPr>
            <w:tcW w:w="5020" w:type="dxa"/>
            <w:vAlign w:val="bottom"/>
          </w:tcPr>
          <w:p>
            <w:pPr>
              <w:spacing w:after="0"/>
              <w:rPr>
                <w:sz w:val="24"/>
                <w:szCs w:val="24"/>
                <w:color w:val="auto"/>
              </w:rPr>
            </w:pPr>
          </w:p>
        </w:tc>
        <w:tc>
          <w:tcPr>
            <w:tcW w:w="40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Quarter Ended</w:t>
            </w:r>
          </w:p>
        </w:tc>
        <w:tc>
          <w:tcPr>
            <w:tcW w:w="22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5020" w:type="dxa"/>
            <w:vAlign w:val="bottom"/>
          </w:tcPr>
          <w:p>
            <w:pPr>
              <w:spacing w:after="0"/>
              <w:rPr>
                <w:sz w:val="19"/>
                <w:szCs w:val="19"/>
                <w:color w:val="auto"/>
              </w:rPr>
            </w:pPr>
          </w:p>
        </w:tc>
        <w:tc>
          <w:tcPr>
            <w:tcW w:w="40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2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0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Federal</w:t>
            </w:r>
          </w:p>
        </w:tc>
        <w:tc>
          <w:tcPr>
            <w:tcW w:w="2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9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Current Income Tax Expense</w:t>
            </w:r>
          </w:p>
        </w:tc>
        <w:tc>
          <w:tcPr>
            <w:tcW w:w="2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2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02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90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$(34.5)</w:t>
            </w: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6"/>
                <w:szCs w:val="16"/>
                <w:i w:val="1"/>
                <w:iCs w:val="1"/>
                <w:color w:val="auto"/>
              </w:rPr>
              <w:t>(c)</w:t>
            </w:r>
          </w:p>
        </w:tc>
        <w:tc>
          <w:tcPr>
            <w:tcW w:w="29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17.7</w:t>
            </w:r>
          </w:p>
        </w:tc>
      </w:tr>
      <w:tr>
        <w:trPr>
          <w:trHeight w:val="229"/>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2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5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Deferred Income Tax Benefit</w:t>
            </w:r>
          </w:p>
        </w:tc>
        <w:tc>
          <w:tcPr>
            <w:tcW w:w="2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$(27.9)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2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bl>
    <w:p>
      <w:pPr>
        <w:spacing w:after="0" w:line="98" w:lineRule="exact"/>
        <w:rPr>
          <w:sz w:val="20"/>
          <w:szCs w:val="20"/>
          <w:color w:val="auto"/>
        </w:rPr>
      </w:pPr>
    </w:p>
    <w:p>
      <w:pPr>
        <w:ind w:left="340" w:right="20" w:hanging="332"/>
        <w:spacing w:after="0" w:line="272" w:lineRule="auto"/>
        <w:tabs>
          <w:tab w:leader="none" w:pos="3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For each of the nine months ended September 30, 2020 and 2019, the federal and state current tax expense was minimal due to NOLs which resulted from the bonus depreciation provisions of certain tax legislation. Federal and state NOLs are being carried forward to offset current and future taxable income.</w:t>
      </w:r>
    </w:p>
    <w:p>
      <w:pPr>
        <w:spacing w:after="0" w:line="1" w:lineRule="exact"/>
        <w:rPr>
          <w:rFonts w:ascii="Arial" w:cs="Arial" w:eastAsia="Arial" w:hAnsi="Arial"/>
          <w:sz w:val="15"/>
          <w:szCs w:val="15"/>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each of the nine months ended September 30, 2020 and 2019, the federal income tax benefit is primarily due to production tax credits.</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the nine months ended September 30, 2019, the state income tax expense is primarily related to the sale of U.S. Water Services.</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338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Quarter Ended</w:t>
            </w:r>
          </w:p>
        </w:tc>
        <w:tc>
          <w:tcPr>
            <w:tcW w:w="23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38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23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2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$33.3</w:t>
            </w: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$28.8</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$92.4</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$131.6</w:t>
            </w: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2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21 %</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21 %</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2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$7.0</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$6.0</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$19.4</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$27.6</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Increase (Decrease) in Income Tax Due to:</w:t>
            </w:r>
          </w:p>
        </w:tc>
        <w:tc>
          <w:tcPr>
            <w:tcW w:w="2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 Net of Federal Income Tax Benefit</w:t>
            </w:r>
          </w:p>
        </w:tc>
        <w:tc>
          <w:tcPr>
            <w:tcW w:w="2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Production Tax Credits</w:t>
            </w:r>
          </w:p>
        </w:tc>
        <w:tc>
          <w:tcPr>
            <w:tcW w:w="2180" w:type="dxa"/>
            <w:vAlign w:val="bottom"/>
          </w:tcPr>
          <w:p>
            <w:pPr>
              <w:jc w:val="right"/>
              <w:ind w:right="310"/>
              <w:spacing w:after="0"/>
              <w:rPr>
                <w:sz w:val="20"/>
                <w:szCs w:val="20"/>
                <w:color w:val="auto"/>
              </w:rPr>
            </w:pPr>
            <w:r>
              <w:rPr>
                <w:rFonts w:ascii="Arial" w:cs="Arial" w:eastAsia="Arial" w:hAnsi="Arial"/>
                <w:sz w:val="18"/>
                <w:szCs w:val="18"/>
                <w:color w:val="auto"/>
              </w:rPr>
              <w:t>(12.5)</w:t>
            </w:r>
          </w:p>
        </w:tc>
        <w:tc>
          <w:tcPr>
            <w:tcW w:w="1200" w:type="dxa"/>
            <w:vAlign w:val="bottom"/>
          </w:tcPr>
          <w:p>
            <w:pPr>
              <w:ind w:left="460"/>
              <w:spacing w:after="0"/>
              <w:rPr>
                <w:sz w:val="20"/>
                <w:szCs w:val="20"/>
                <w:color w:val="auto"/>
              </w:rPr>
            </w:pPr>
            <w:r>
              <w:rPr>
                <w:rFonts w:ascii="Arial" w:cs="Arial" w:eastAsia="Arial" w:hAnsi="Arial"/>
                <w:sz w:val="18"/>
                <w:szCs w:val="18"/>
                <w:color w:val="auto"/>
              </w:rPr>
              <w:t>(9.6)</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(45.9)</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(35.7)</w:t>
            </w: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Differences – Excess Deferred Tax</w:t>
            </w:r>
          </w:p>
        </w:tc>
        <w:tc>
          <w:tcPr>
            <w:tcW w:w="2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(8.5)</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U.S. Water Services Sale of Stock Basis Difference</w:t>
            </w:r>
          </w:p>
        </w:tc>
        <w:tc>
          <w:tcPr>
            <w:tcW w:w="2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 in Subsidiaries</w:t>
            </w:r>
          </w:p>
        </w:tc>
        <w:tc>
          <w:tcPr>
            <w:tcW w:w="2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30"/>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12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0.8</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Benefit</w:t>
            </w:r>
          </w:p>
        </w:tc>
        <w:tc>
          <w:tcPr>
            <w:tcW w:w="2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$(5.5)</w:t>
            </w: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$(2.4)</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$(27.8)</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2020, the effective tax rate was a benefit of 30.1 percent (benefit of 3.3 percent for the nine months ended September 30, 2019). The effective tax rate for 2020 was primarily impacted by production tax credits. The effective tax rate for 2019 was primarily impacted by production tax credits and the gain on sale of U.S. Water Services.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September 30, 2020, we had gross unrecognized tax benefits of $1.4 million ($1.4 million as of December 31, 2019).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gross unrecognized tax benefits, $0.6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8. INCOME TAX EXPENSE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2016, or state examination for years before 2015.</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9. PENSION AND OTHER POSTRETIREMENT BENEFIT PLANS</w:t>
            </w: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60" w:type="dxa"/>
            <w:vAlign w:val="bottom"/>
          </w:tcPr>
          <w:p>
            <w:pPr>
              <w:spacing w:after="0"/>
              <w:rPr>
                <w:sz w:val="24"/>
                <w:szCs w:val="2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Pension</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2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2019</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$2.7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$0.8</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6.9</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7.9</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(10.6)</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560" w:type="dxa"/>
            <w:vAlign w:val="bottom"/>
          </w:tcPr>
          <w:p>
            <w:pPr>
              <w:ind w:left="12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3.2</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20.9</w:t>
            </w:r>
          </w:p>
        </w:tc>
        <w:tc>
          <w:tcPr>
            <w:tcW w:w="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23.9</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656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(32.0)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(33.3)</w:t>
            </w: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(7.3)</w:t>
            </w: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Credits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Amortization of Net Loss</w:t>
            </w: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9.6</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(Credit)</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$6.4</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benefit cost (credit) are included in the line item “Other” under Other Income (Expense) on the Consolidated Statement of Income.</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nine months ended September 30, 2020, we contributed $10.7 million in cash to the defined benefit pension plans</w:t>
      </w:r>
      <w:r>
        <w:rPr>
          <w:rFonts w:ascii="Arial" w:cs="Arial" w:eastAsia="Arial" w:hAnsi="Arial"/>
          <w:sz w:val="18"/>
          <w:szCs w:val="18"/>
          <w:b w:val="1"/>
          <w:bCs w:val="1"/>
          <w:color w:val="auto"/>
        </w:rPr>
        <w:t xml:space="preserve"> </w:t>
      </w:r>
      <w:r>
        <w:rPr>
          <w:rFonts w:ascii="Arial" w:cs="Arial" w:eastAsia="Arial" w:hAnsi="Arial"/>
          <w:sz w:val="18"/>
          <w:szCs w:val="18"/>
          <w:color w:val="auto"/>
        </w:rPr>
        <w:t>($10.4 million for the nine months ended September 30, 2019); we do not expect to make additional contributions to our defined benefit pension plans in 2020. For the nine months ended September 30, 2020, and 2019, we made no contributions to our other postretirement benefit plans; we do not expect to make any contributions to our other postretirement benefit plans in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is reflected in operating results until it was sold in March 2019. We also present Corporate and Other which includes two operating segments, BNI Energy, our coal mining operations in North Dakota, and ALLETE Properties, our legacy Florida real estate investment, along with our investment in Nobles 2, other business development and corporate expenditures, unallocated interest expense, a small amount of non-rate base generation, approximately 4,000 acres of land in Minnesota, and earnings on cash and investments.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10. BUSINESS SEGMENTS (Continued)</w:t>
            </w:r>
          </w:p>
        </w:tc>
        <w:tc>
          <w:tcPr>
            <w:tcW w:w="2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6"/>
        </w:trPr>
        <w:tc>
          <w:tcPr>
            <w:tcW w:w="5480" w:type="dxa"/>
            <w:vAlign w:val="bottom"/>
          </w:tcPr>
          <w:p>
            <w:pPr>
              <w:spacing w:after="0"/>
              <w:rPr>
                <w:sz w:val="24"/>
                <w:szCs w:val="24"/>
                <w:color w:val="auto"/>
              </w:rPr>
            </w:pPr>
          </w:p>
        </w:tc>
        <w:tc>
          <w:tcPr>
            <w:tcW w:w="36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Quarter Ended</w:t>
            </w:r>
          </w:p>
        </w:tc>
        <w:tc>
          <w:tcPr>
            <w:tcW w:w="21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5480" w:type="dxa"/>
            <w:vAlign w:val="bottom"/>
          </w:tcPr>
          <w:p>
            <w:pPr>
              <w:spacing w:after="0"/>
              <w:rPr>
                <w:sz w:val="19"/>
                <w:szCs w:val="19"/>
                <w:color w:val="auto"/>
              </w:rPr>
            </w:pPr>
          </w:p>
        </w:tc>
        <w:tc>
          <w:tcPr>
            <w:tcW w:w="362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21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480" w:type="dxa"/>
            <w:vAlign w:val="bottom"/>
          </w:tcPr>
          <w:p>
            <w:pPr>
              <w:ind w:left="120"/>
              <w:spacing w:after="0"/>
              <w:rPr>
                <w:sz w:val="20"/>
                <w:szCs w:val="20"/>
                <w:color w:val="auto"/>
              </w:rPr>
            </w:pPr>
            <w:r>
              <w:rPr>
                <w:rFonts w:ascii="Arial" w:cs="Arial" w:eastAsia="Arial" w:hAnsi="Arial"/>
                <w:sz w:val="18"/>
                <w:szCs w:val="18"/>
                <w:color w:val="auto"/>
              </w:rPr>
              <w:t>Regulated Operations</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$34.2</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$29.8</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37.1</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36.8</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103.2</w:t>
            </w:r>
          </w:p>
        </w:tc>
        <w:tc>
          <w:tcPr>
            <w:tcW w:w="90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11.2</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11.8</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109.6</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115.6</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316.4</w:t>
            </w:r>
          </w:p>
        </w:tc>
        <w:tc>
          <w:tcPr>
            <w:tcW w:w="900" w:type="dxa"/>
            <w:vAlign w:val="bottom"/>
          </w:tcPr>
          <w:p>
            <w:pPr>
              <w:jc w:val="right"/>
              <w:spacing w:after="0"/>
              <w:rPr>
                <w:sz w:val="20"/>
                <w:szCs w:val="20"/>
                <w:color w:val="auto"/>
              </w:rPr>
            </w:pPr>
            <w:r>
              <w:rPr>
                <w:rFonts w:ascii="Arial" w:cs="Arial" w:eastAsia="Arial" w:hAnsi="Arial"/>
                <w:sz w:val="18"/>
                <w:szCs w:val="18"/>
                <w:color w:val="auto"/>
              </w:rPr>
              <w:t>357.5</w:t>
            </w: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Power Suppliers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30.9</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37.3</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 xml:space="preserve">CIP Financial Incentive </w:t>
            </w:r>
            <w:r>
              <w:rPr>
                <w:rFonts w:ascii="Arial" w:cs="Arial" w:eastAsia="Arial" w:hAnsi="Arial"/>
                <w:sz w:val="16"/>
                <w:szCs w:val="16"/>
                <w:i w:val="1"/>
                <w:iCs w:val="1"/>
                <w:color w:val="auto"/>
              </w:rPr>
              <w:t>(a)</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2.8</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29.7</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20.0</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69.6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3"/>
        </w:trPr>
        <w:tc>
          <w:tcPr>
            <w:tcW w:w="5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Regulated Operations</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255.1</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254.1</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721.2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r>
      <w:tr>
        <w:trPr>
          <w:trHeight w:val="196"/>
        </w:trPr>
        <w:tc>
          <w:tcPr>
            <w:tcW w:w="54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5480" w:type="dxa"/>
            <w:vAlign w:val="bottom"/>
          </w:tcPr>
          <w:p>
            <w:pPr>
              <w:ind w:left="120"/>
              <w:spacing w:after="0"/>
              <w:rPr>
                <w:sz w:val="20"/>
                <w:szCs w:val="20"/>
                <w:color w:val="auto"/>
              </w:rPr>
            </w:pPr>
            <w:r>
              <w:rPr>
                <w:rFonts w:ascii="Arial" w:cs="Arial" w:eastAsia="Arial" w:hAnsi="Arial"/>
                <w:sz w:val="18"/>
                <w:szCs w:val="18"/>
                <w:color w:val="auto"/>
              </w:rPr>
              <w:t>ALLETE Clean Energy</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PSA</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11.9</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7.5</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5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ALLETE Clean Energy</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14.8</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10.4</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196"/>
        </w:trPr>
        <w:tc>
          <w:tcPr>
            <w:tcW w:w="5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(b)</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Point-in-Time</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Capital Project</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4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U.S. Water Services</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196"/>
        </w:trPr>
        <w:tc>
          <w:tcPr>
            <w:tcW w:w="5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2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Long-term Contract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20.7</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20.5</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65.6</w:t>
            </w: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3.3</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 Corporate and Other</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24.0</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23.8</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223"/>
        </w:trPr>
        <w:tc>
          <w:tcPr>
            <w:tcW w:w="54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Revenue</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$293.9</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$288.3</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$848.7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$935.9</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ALLETE</w:t>
            </w:r>
          </w:p>
        </w:tc>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$42.4</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$32.4</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16"/>
        </w:trPr>
        <w:tc>
          <w:tcPr>
            <w:tcW w:w="5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5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(b)</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2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5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 Net Income Attributable to ALLETE</w:t>
            </w:r>
          </w:p>
        </w:tc>
        <w:tc>
          <w:tcPr>
            <w:tcW w:w="2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$40.7</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$31.2</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$127.1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r>
    </w:tbl>
    <w:p>
      <w:pPr>
        <w:spacing w:after="0" w:line="8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See Note 2. Regulatory Matters.</w:t>
      </w:r>
    </w:p>
    <w:p>
      <w:pPr>
        <w:spacing w:after="0" w:line="19" w:lineRule="exact"/>
        <w:rPr>
          <w:rFonts w:ascii="Arial" w:cs="Arial" w:eastAsia="Arial" w:hAnsi="Arial"/>
          <w:sz w:val="16"/>
          <w:szCs w:val="16"/>
          <w:i w:val="1"/>
          <w:iCs w:val="1"/>
          <w:color w:val="auto"/>
        </w:rPr>
      </w:pPr>
    </w:p>
    <w:p>
      <w:pPr>
        <w:ind w:left="340" w:right="20" w:hanging="332"/>
        <w:spacing w:after="0" w:line="257" w:lineRule="auto"/>
        <w:tabs>
          <w:tab w:leader="none" w:pos="587"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 March 2019, ALLETE sold U.S. Water Services. The Company recognized a gain on the sale of $11.1 million after-tax during the nine months ended September 30, 2019, which is reflected in Corporate and Other.</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466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0"/>
        </w:trPr>
        <w:tc>
          <w:tcPr>
            <w:tcW w:w="526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6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4660" w:type="dxa"/>
            <w:vAlign w:val="bottom"/>
          </w:tcPr>
          <w:p>
            <w:pPr>
              <w:jc w:val="right"/>
              <w:ind w:right="170"/>
              <w:spacing w:after="0"/>
              <w:rPr>
                <w:sz w:val="20"/>
                <w:szCs w:val="20"/>
                <w:color w:val="auto"/>
              </w:rPr>
            </w:pPr>
            <w:r>
              <w:rPr>
                <w:rFonts w:ascii="Arial" w:cs="Arial" w:eastAsia="Arial" w:hAnsi="Arial"/>
                <w:sz w:val="18"/>
                <w:szCs w:val="18"/>
                <w:color w:val="auto"/>
              </w:rPr>
              <w:t>$4,134.4</w:t>
            </w:r>
          </w:p>
        </w:tc>
        <w:tc>
          <w:tcPr>
            <w:tcW w:w="1280" w:type="dxa"/>
            <w:vAlign w:val="bottom"/>
          </w:tcPr>
          <w:p>
            <w:pPr>
              <w:jc w:val="right"/>
              <w:spacing w:after="0"/>
              <w:rPr>
                <w:sz w:val="20"/>
                <w:szCs w:val="20"/>
                <w:color w:val="auto"/>
              </w:rPr>
            </w:pPr>
            <w:r>
              <w:rPr>
                <w:rFonts w:ascii="Arial" w:cs="Arial" w:eastAsia="Arial" w:hAnsi="Arial"/>
                <w:sz w:val="18"/>
                <w:szCs w:val="18"/>
                <w:color w:val="auto"/>
              </w:rPr>
              <w:t>$4,130.8</w:t>
            </w:r>
          </w:p>
        </w:tc>
      </w:tr>
      <w:tr>
        <w:trPr>
          <w:trHeight w:val="216"/>
        </w:trPr>
        <w:tc>
          <w:tcPr>
            <w:tcW w:w="52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4660" w:type="dxa"/>
            <w:vAlign w:val="bottom"/>
          </w:tcPr>
          <w:p>
            <w:pPr>
              <w:jc w:val="right"/>
              <w:ind w:right="170"/>
              <w:spacing w:after="0"/>
              <w:rPr>
                <w:sz w:val="20"/>
                <w:szCs w:val="20"/>
                <w:color w:val="auto"/>
              </w:rPr>
            </w:pPr>
            <w:r>
              <w:rPr>
                <w:rFonts w:ascii="Arial" w:cs="Arial" w:eastAsia="Arial" w:hAnsi="Arial"/>
                <w:sz w:val="18"/>
                <w:szCs w:val="18"/>
                <w:color w:val="auto"/>
              </w:rPr>
              <w:t>1,308.3</w:t>
            </w:r>
          </w:p>
        </w:tc>
        <w:tc>
          <w:tcPr>
            <w:tcW w:w="1280" w:type="dxa"/>
            <w:vAlign w:val="bottom"/>
          </w:tcPr>
          <w:p>
            <w:pPr>
              <w:jc w:val="right"/>
              <w:spacing w:after="0"/>
              <w:rPr>
                <w:sz w:val="20"/>
                <w:szCs w:val="20"/>
                <w:color w:val="auto"/>
              </w:rPr>
            </w:pPr>
            <w:r>
              <w:rPr>
                <w:rFonts w:ascii="Arial" w:cs="Arial" w:eastAsia="Arial" w:hAnsi="Arial"/>
                <w:sz w:val="18"/>
                <w:szCs w:val="18"/>
                <w:color w:val="auto"/>
              </w:rPr>
              <w:t>1,001.5</w:t>
            </w:r>
          </w:p>
        </w:tc>
      </w:tr>
      <w:tr>
        <w:trPr>
          <w:trHeight w:val="216"/>
        </w:trPr>
        <w:tc>
          <w:tcPr>
            <w:tcW w:w="52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5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4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435.8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r>
      <w:tr>
        <w:trPr>
          <w:trHeight w:val="223"/>
        </w:trPr>
        <w:tc>
          <w:tcPr>
            <w:tcW w:w="52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46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$5,878.5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$5,482.8</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our 2019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including Part II, Item 1A Risk Factors, and our 2019 Form 10-K under the headings: “Forward-Looking Statements” located on page 6 and “Risk Factors” located in Part I, Item 1A, beginning on page 21 of our 2019 Form 10-K. The risks and uncertainties described in this Form 10-Q and our 2019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trends and results for the quarter and nine months of 2020 may not be indicative of results that may be expected for the year ended December 31, 2020 due to uncertainty regarding the extent and duration of the COVID-19 pandemic. This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Additional disclosures in this Form 10-Q regarding the impacts of the ongoing COVID-19 pandemic are located in Outlook – Regulated Operations – Industrial Customers and Prospective Additional Load, Liquidity and Capital Resources – Liquidity Position and Part II, Item 1A. Risk Factors.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145,000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six states, approximately 740 MW of nameplate capacity wind energy generation that is contracted under PSAs of various durations. In addition, ALLETE Clean Energy currently has approximately 600 MW of wind energy facilities under construction or development. ALLETE Clean Energy also engages in the development of wind energy facilities to operate under long-term PSAs or for sale to others upon completion.</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provided integrated water management for industry by combining chemical, equipment, engineering and service for customized</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to reduce water and energy usage, and improve efficiency. In March 2019, the Company sold U.S. Water Services to a subsidiary of Kurita Water Industries Ltd. pursuant to a stock purchase agreement for approximately $270 million in cash, net of transaction costs and cash retained.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 49 percent equity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entity that will own and operate a 250 MW wind energy facility in southwestern Minnesota,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2020, unless otherwise indicated. All subsidiaries are wholly-owned unless otherwise specifically indicated. References in this report to “we,” “us” and “our” are to ALLETE and its subsidiaries, collectively.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net income discussion summarizes a comparison of the nine months ended September 30, 2020, to the nine months ended September 30, 2019. The trends and results for the first nine months of 2020 may not be indicative of full year results for 2020 due to uncertainty regarding the extent and duration of the COVID-19 pandemic. (See </w:t>
      </w:r>
      <w:r>
        <w:rPr>
          <w:rFonts w:ascii="Arial" w:cs="Arial" w:eastAsia="Arial" w:hAnsi="Arial"/>
          <w:sz w:val="18"/>
          <w:szCs w:val="18"/>
          <w:i w:val="1"/>
          <w:iCs w:val="1"/>
          <w:color w:val="auto"/>
        </w:rPr>
        <w:t>Overview</w:t>
      </w:r>
      <w:r>
        <w:rPr>
          <w:rFonts w:ascii="Arial" w:cs="Arial" w:eastAsia="Arial" w:hAnsi="Arial"/>
          <w:sz w:val="18"/>
          <w:szCs w:val="18"/>
          <w:color w:val="auto"/>
        </w:rPr>
        <w: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Net income attributable to ALLETE for the nine months ended September 30, 2020, was $127.1 million, or $2.45 per diluted share, compared to $135.9 million, or $2.63 per diluted share, for the same period in 2019. Net income in 2020 included reserves for interim rates of $8.3 million after-tax, or $0.16 per share, for the refund of interim rates collected through April 30, 2020, resulting from the MPUC’s approval of the resolution of Minnesota Power’s 2020 general rate case. (See Note 2. Regulatory Matters.) Net income in 2019 included a gain on the sale of U.S. Water Services of $11.1 million after-tax, or $0.22 per share, and U.S. Water Services results of operations amounted to a loss of $1.1 million after-tax, or $0.02 per share, in 2019.</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$111.0 million for the nine months ended September 30, 2020, compared to $114.2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same period in 2019. Net income at Minnesota Power was lower than 2019 primarily due to: reserves for interim rates of $8.3 million after-tax for the refund of interim rates collected through April 30, 2020; lower kWh sales to retail and municipal customers; lower revenue from Other Power Suppliers resulting from the expiration of a PSA; and higher depreciation expense. These decreases were partially offset by higher rates resulting from Minnesota Power’s rate case, increased earnings related to the GNTL and the timing of income taxes. Net income at SWL&amp;P was similar to 2019. Our after-tax equity earnings in ATC were higher compared to 2019 primarily due to period over period changes in ATC’s estimate of a refund liability related to the FERC decision on MISO return on equity complaints.</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$16.8 million for the nine months ended September 30, 2020, compared to $6.5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same period in 2019. Net income in 2020 included $7.5 million of additional production tax credits compared to 2019, earnings from the Glen Ullin and South Peak wind energy facilities which commenced operations in December 2019 and April 2020, respectively, and higher wind resources at other wind energy facilities. These increases were partially offset by higher operating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U.S. Water Services </w:t>
      </w:r>
      <w:r>
        <w:rPr>
          <w:rFonts w:ascii="Arial" w:cs="Arial" w:eastAsia="Arial" w:hAnsi="Arial"/>
          <w:sz w:val="16"/>
          <w:szCs w:val="16"/>
          <w:color w:val="auto"/>
        </w:rPr>
        <w:t>net loss attributable to ALLETE was $1.1 million for nine months ended September 30, 2019. ALLETE completed the sale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Water Services in the first quarter of 2019.</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attributable to ALLETE was $0.7 million for the nine months ended September 30, 2020, compared to net income of</w:t>
      </w:r>
      <w:r>
        <w:rPr>
          <w:rFonts w:ascii="Arial" w:cs="Arial" w:eastAsia="Arial" w:hAnsi="Arial"/>
          <w:sz w:val="18"/>
          <w:szCs w:val="18"/>
          <w:b w:val="1"/>
          <w:bCs w:val="1"/>
          <w:color w:val="auto"/>
        </w:rPr>
        <w:t xml:space="preserve"> </w:t>
      </w:r>
      <w:r>
        <w:rPr>
          <w:rFonts w:ascii="Arial" w:cs="Arial" w:eastAsia="Arial" w:hAnsi="Arial"/>
          <w:sz w:val="18"/>
          <w:szCs w:val="18"/>
          <w:color w:val="auto"/>
        </w:rPr>
        <w:t>$16.3 million for the same period in 2019. Net income in 2019 included a gain on the sale of U.S. Water Services of $11.1 million after-tax. Net income in 2020 included lower earnings on cash and short-term investments as well as additional income tax expense recorded in 2020 as GAAP requires the recognition of income taxes at the estimated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QUARTERS ENDED SEPTEMBER 30, 2020 AND 2019</w:t>
            </w:r>
          </w:p>
        </w:tc>
        <w:tc>
          <w:tcPr>
            <w:tcW w:w="2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796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4"/>
        </w:trPr>
        <w:tc>
          <w:tcPr>
            <w:tcW w:w="440" w:type="dxa"/>
            <w:vAlign w:val="bottom"/>
          </w:tcPr>
          <w:p>
            <w:pPr>
              <w:spacing w:after="0"/>
              <w:rPr>
                <w:sz w:val="24"/>
                <w:szCs w:val="24"/>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44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$255.1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29"/>
        </w:trPr>
        <w:tc>
          <w:tcPr>
            <w:tcW w:w="44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440" w:type="dxa"/>
            <w:vAlign w:val="bottom"/>
          </w:tcPr>
          <w:p>
            <w:pPr>
              <w:jc w:val="right"/>
              <w:ind w:right="230"/>
              <w:spacing w:after="0"/>
              <w:rPr>
                <w:sz w:val="20"/>
                <w:szCs w:val="20"/>
                <w:color w:val="auto"/>
              </w:rPr>
            </w:pPr>
            <w:r>
              <w:rPr>
                <w:rFonts w:ascii="Arial" w:cs="Arial" w:eastAsia="Arial" w:hAnsi="Arial"/>
                <w:sz w:val="18"/>
                <w:szCs w:val="18"/>
                <w:color w:val="auto"/>
              </w:rPr>
              <w:t>93.4</w:t>
            </w:r>
          </w:p>
        </w:tc>
        <w:tc>
          <w:tcPr>
            <w:tcW w:w="84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44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44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440" w:type="dxa"/>
            <w:vAlign w:val="bottom"/>
          </w:tcPr>
          <w:p>
            <w:pPr>
              <w:jc w:val="right"/>
              <w:ind w:right="230"/>
              <w:spacing w:after="0"/>
              <w:rPr>
                <w:sz w:val="20"/>
                <w:szCs w:val="20"/>
                <w:color w:val="auto"/>
              </w:rPr>
            </w:pPr>
            <w:r>
              <w:rPr>
                <w:rFonts w:ascii="Arial" w:cs="Arial" w:eastAsia="Arial" w:hAnsi="Arial"/>
                <w:sz w:val="18"/>
                <w:szCs w:val="18"/>
                <w:color w:val="auto"/>
              </w:rPr>
              <w:t>48.1</w:t>
            </w: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44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440" w:type="dxa"/>
            <w:vAlign w:val="bottom"/>
          </w:tcPr>
          <w:p>
            <w:pPr>
              <w:spacing w:after="0"/>
              <w:rPr>
                <w:sz w:val="19"/>
                <w:szCs w:val="19"/>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44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2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44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4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44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40" w:type="dxa"/>
            <w:vAlign w:val="bottom"/>
          </w:tcPr>
          <w:p>
            <w:pPr>
              <w:spacing w:after="0"/>
              <w:rPr>
                <w:sz w:val="19"/>
                <w:szCs w:val="19"/>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40" w:type="dxa"/>
            <w:vAlign w:val="bottom"/>
          </w:tcPr>
          <w:p>
            <w:pPr>
              <w:spacing w:after="0"/>
              <w:rPr>
                <w:sz w:val="19"/>
                <w:szCs w:val="19"/>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440" w:type="dxa"/>
            <w:vAlign w:val="bottom"/>
          </w:tcPr>
          <w:p>
            <w:pPr>
              <w:spacing w:after="0"/>
              <w:rPr>
                <w:sz w:val="19"/>
                <w:szCs w:val="19"/>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44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bl>
    <w:p>
      <w:pPr>
        <w:spacing w:after="0" w:line="333" w:lineRule="exact"/>
        <w:rPr>
          <w:sz w:val="20"/>
          <w:szCs w:val="20"/>
          <w:color w:val="auto"/>
        </w:rPr>
      </w:pPr>
    </w:p>
    <w:p>
      <w:pPr>
        <w:jc w:val="both"/>
        <w:ind w:left="340"/>
        <w:spacing w:after="0" w:line="347"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Utility </w:t>
      </w:r>
      <w:r>
        <w:rPr>
          <w:rFonts w:ascii="Arial" w:cs="Arial" w:eastAsia="Arial" w:hAnsi="Arial"/>
          <w:sz w:val="16"/>
          <w:szCs w:val="16"/>
          <w:color w:val="auto"/>
        </w:rPr>
        <w:t>increased $1.0 million from 2019 primarily due to increased revenue related to the GNTL, higher rates resulting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Power’s rate case and higher fuel adjustment clause recoveries. These increases were partially offset by lower revenue from kWh sales.</w:t>
      </w:r>
    </w:p>
    <w:p>
      <w:pPr>
        <w:spacing w:after="0" w:line="14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Cost recovery rider and transmission revenue related to the GNTL increased $7.6 million primarily due to recovery of related expenses resulting from the GNTL being placed into service in June 2020 and additional expenditures for property, plant and equipment.</w:t>
      </w:r>
    </w:p>
    <w:p>
      <w:pPr>
        <w:spacing w:after="0" w:line="19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increased $6.8 million due to higher rates resulting from the resolution of Minnesota Power’s 2020 general rate case. (See Note 2. Regulatory Matters.)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revenue increased $3.1 million due to the timing of fuel adjustment clause recoveries. Beginning in 2020, Minnesota utilities adopted a new fuel adjustment clause methodology. (See Note 2. Regulatory Matters.)</w:t>
      </w:r>
    </w:p>
    <w:p>
      <w:pPr>
        <w:spacing w:after="0" w:line="19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Revenue from kWh sales decreased $17.0 million from 2019 reflecting lower sales to commercial and industrial customers as well as the expiration of a 100 MW PSA in April 2020, partially offset by higher sales to residential customers. Sales to commercial and industrial customers decreased primarily due to the adverse impact of the COVID-19 pandemic on customer operations. Many commercial and industrial customers operated at reduced levels or were temporarily closed or idled during the third quarter of 2020 as a result of the COVID-19 pandemic and related governmental responses, with USS Corporation's Keetac plant and Verso Corporation’s paper mill in Duluth, Minnesota both idled. (See Outlook – Regulated Operations – Industrial Customers and Prospective Additional Load.) Sales to residential customers increased from 2019 primarily due to the impact of the COVID-19 pandemic.</w:t>
      </w: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2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00"/>
              <w:spacing w:after="0"/>
              <w:rPr>
                <w:sz w:val="20"/>
                <w:szCs w:val="20"/>
                <w:color w:val="auto"/>
              </w:rPr>
            </w:pPr>
            <w:r>
              <w:rPr>
                <w:rFonts w:ascii="Arial" w:cs="Arial" w:eastAsia="Arial" w:hAnsi="Arial"/>
                <w:sz w:val="18"/>
                <w:szCs w:val="18"/>
                <w:color w:val="auto"/>
              </w:rPr>
              <w:t>Retail and Municipal</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248</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4920" w:type="dxa"/>
            <w:vAlign w:val="bottom"/>
          </w:tcPr>
          <w:p>
            <w:pPr>
              <w:ind w:left="440"/>
              <w:spacing w:after="0"/>
              <w:rPr>
                <w:sz w:val="20"/>
                <w:szCs w:val="20"/>
                <w:color w:val="auto"/>
              </w:rPr>
            </w:pPr>
            <w:r>
              <w:rPr>
                <w:rFonts w:ascii="Arial" w:cs="Arial" w:eastAsia="Arial" w:hAnsi="Arial"/>
                <w:sz w:val="18"/>
                <w:szCs w:val="18"/>
                <w:color w:val="auto"/>
              </w:rPr>
              <w:t>Commercial</w:t>
            </w:r>
          </w:p>
        </w:tc>
        <w:tc>
          <w:tcPr>
            <w:tcW w:w="2520" w:type="dxa"/>
            <w:vAlign w:val="bottom"/>
          </w:tcPr>
          <w:p>
            <w:pPr>
              <w:jc w:val="right"/>
              <w:ind w:right="270"/>
              <w:spacing w:after="0"/>
              <w:rPr>
                <w:sz w:val="20"/>
                <w:szCs w:val="20"/>
                <w:color w:val="auto"/>
              </w:rPr>
            </w:pPr>
            <w:r>
              <w:rPr>
                <w:rFonts w:ascii="Arial" w:cs="Arial" w:eastAsia="Arial" w:hAnsi="Arial"/>
                <w:sz w:val="18"/>
                <w:szCs w:val="18"/>
                <w:color w:val="auto"/>
              </w:rPr>
              <w:t>345</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361</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1,410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1,802</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4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Municipal</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147</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146</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r>
      <w:tr>
        <w:trPr>
          <w:trHeight w:val="223"/>
        </w:trPr>
        <w:tc>
          <w:tcPr>
            <w:tcW w:w="4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Retail and Municipal</w:t>
            </w:r>
          </w:p>
        </w:tc>
        <w:tc>
          <w:tcPr>
            <w:tcW w:w="2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2,170</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2,557</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Power Suppliers</w:t>
            </w:r>
          </w:p>
        </w:tc>
        <w:tc>
          <w:tcPr>
            <w:tcW w:w="2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967</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758</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3,137</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3,315</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(178)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COMPARISON OF THE QUARTERS ENDED SEPTEMBER 30,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25 percent of consolidated operating revenue in 2020 (27 percent in 2019). Revenue from electric sales to paper, pulp and secondary wood product customers accounted for 5 percent of consolidated operating revenue in 2020 (6 percent in 2019). Revenue from electric sales to pipelines and other industrial customers accounted for 7 percent of consolidated operating revenue in 2020 (7 percent in 2019).</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$5.2 million, or 2 percent, from 2019.</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$4.8 million, or 5 percent, from 2019 primarily due to lower kWh sales and lower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power prices.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decreased $3.4 million, or 19 percent, from 2019 primarily due to lower MISO-related expense.</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$1.9 million, or 5 percent, from 2019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$4.1 million from 2019 primarily due to additional income tax benefit recorded in 2020 as GAAP requires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of income tax expense at the estimated annual effective tax rate. We expect our annual effective tax rate in 2020 to be a higher income tax benefit than in 2019 primarily due to lower pre-tax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6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4"/>
        </w:trPr>
        <w:tc>
          <w:tcPr>
            <w:tcW w:w="440" w:type="dxa"/>
            <w:vAlign w:val="bottom"/>
          </w:tcPr>
          <w:p>
            <w:pPr>
              <w:spacing w:after="0"/>
              <w:rPr>
                <w:sz w:val="24"/>
                <w:szCs w:val="24"/>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 September 30,</w:t>
            </w:r>
          </w:p>
        </w:tc>
        <w:tc>
          <w:tcPr>
            <w:tcW w:w="3600" w:type="dxa"/>
            <w:vAlign w:val="bottom"/>
            <w:tcBorders>
              <w:bottom w:val="single" w:sz="8" w:color="auto"/>
            </w:tcBorders>
          </w:tcPr>
          <w:p>
            <w:pPr>
              <w:ind w:left="292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44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6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Contracts with Customers – Non-utility</w:t>
            </w:r>
          </w:p>
        </w:tc>
        <w:tc>
          <w:tcPr>
            <w:tcW w:w="3600" w:type="dxa"/>
            <w:vAlign w:val="bottom"/>
          </w:tcPr>
          <w:p>
            <w:pPr>
              <w:jc w:val="right"/>
              <w:ind w:right="290"/>
              <w:spacing w:after="0"/>
              <w:rPr>
                <w:sz w:val="20"/>
                <w:szCs w:val="20"/>
                <w:color w:val="auto"/>
              </w:rPr>
            </w:pPr>
            <w:r>
              <w:rPr>
                <w:rFonts w:ascii="Arial" w:cs="Arial" w:eastAsia="Arial" w:hAnsi="Arial"/>
                <w:sz w:val="18"/>
                <w:szCs w:val="18"/>
                <w:color w:val="auto"/>
              </w:rPr>
              <w:t>$11.9</w:t>
            </w: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4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600" w:type="dxa"/>
            <w:vAlign w:val="bottom"/>
          </w:tcPr>
          <w:p>
            <w:pPr>
              <w:jc w:val="right"/>
              <w:ind w:right="290"/>
              <w:spacing w:after="0"/>
              <w:rPr>
                <w:sz w:val="20"/>
                <w:szCs w:val="20"/>
                <w:color w:val="auto"/>
              </w:rPr>
            </w:pPr>
            <w:r>
              <w:rPr>
                <w:rFonts w:ascii="Arial" w:cs="Arial" w:eastAsia="Arial" w:hAnsi="Arial"/>
                <w:sz w:val="18"/>
                <w:szCs w:val="18"/>
                <w:color w:val="auto"/>
              </w:rPr>
              <w:t>10.8</w:t>
            </w: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4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and Other</w:t>
            </w:r>
          </w:p>
        </w:tc>
        <w:tc>
          <w:tcPr>
            <w:tcW w:w="3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440" w:type="dxa"/>
            <w:vAlign w:val="bottom"/>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3600" w:type="dxa"/>
            <w:vAlign w:val="bottom"/>
            <w:shd w:val="clear" w:color="auto" w:fill="CCEEFF"/>
          </w:tcPr>
          <w:p>
            <w:pPr>
              <w:ind w:left="2920"/>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(4.1)</w:t>
            </w:r>
          </w:p>
        </w:tc>
      </w:tr>
      <w:tr>
        <w:trPr>
          <w:trHeight w:val="230"/>
        </w:trPr>
        <w:tc>
          <w:tcPr>
            <w:tcW w:w="440" w:type="dxa"/>
            <w:vAlign w:val="bottom"/>
          </w:tcPr>
          <w:p>
            <w:pPr>
              <w:spacing w:after="0"/>
              <w:rPr>
                <w:sz w:val="19"/>
                <w:szCs w:val="19"/>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0" w:type="dxa"/>
            <w:vAlign w:val="bottom"/>
          </w:tcPr>
          <w:p>
            <w:pPr>
              <w:ind w:left="2920"/>
              <w:spacing w:after="0"/>
              <w:rPr>
                <w:sz w:val="20"/>
                <w:szCs w:val="20"/>
                <w:color w:val="auto"/>
              </w:rPr>
            </w:pPr>
            <w:r>
              <w:rPr>
                <w:rFonts w:ascii="Arial" w:cs="Arial" w:eastAsia="Arial" w:hAnsi="Arial"/>
                <w:sz w:val="18"/>
                <w:szCs w:val="18"/>
                <w:color w:val="auto"/>
              </w:rPr>
              <w:t>(0.4)</w:t>
            </w:r>
          </w:p>
        </w:tc>
        <w:tc>
          <w:tcPr>
            <w:tcW w:w="780" w:type="dxa"/>
            <w:vAlign w:val="bottom"/>
          </w:tcPr>
          <w:p>
            <w:pPr>
              <w:ind w:left="400"/>
              <w:spacing w:after="0"/>
              <w:rPr>
                <w:sz w:val="20"/>
                <w:szCs w:val="20"/>
                <w:color w:val="auto"/>
              </w:rPr>
            </w:pPr>
            <w:r>
              <w:rPr>
                <w:rFonts w:ascii="Arial" w:cs="Arial" w:eastAsia="Arial" w:hAnsi="Arial"/>
                <w:sz w:val="18"/>
                <w:szCs w:val="18"/>
                <w:color w:val="auto"/>
                <w:w w:val="97"/>
              </w:rPr>
              <w:t>(0.7)</w:t>
            </w:r>
          </w:p>
        </w:tc>
      </w:tr>
      <w:tr>
        <w:trPr>
          <w:trHeight w:val="230"/>
        </w:trPr>
        <w:tc>
          <w:tcPr>
            <w:tcW w:w="4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44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Loss Before Income Taxes</w:t>
            </w:r>
          </w:p>
        </w:tc>
        <w:tc>
          <w:tcPr>
            <w:tcW w:w="3600" w:type="dxa"/>
            <w:vAlign w:val="bottom"/>
          </w:tcPr>
          <w:p>
            <w:pPr>
              <w:ind w:left="2920"/>
              <w:spacing w:after="0"/>
              <w:rPr>
                <w:sz w:val="20"/>
                <w:szCs w:val="20"/>
                <w:color w:val="auto"/>
              </w:rPr>
            </w:pPr>
            <w:r>
              <w:rPr>
                <w:rFonts w:ascii="Arial" w:cs="Arial" w:eastAsia="Arial" w:hAnsi="Arial"/>
                <w:sz w:val="18"/>
                <w:szCs w:val="18"/>
                <w:color w:val="auto"/>
              </w:rPr>
              <w:t>(6.5)</w:t>
            </w:r>
          </w:p>
        </w:tc>
        <w:tc>
          <w:tcPr>
            <w:tcW w:w="780" w:type="dxa"/>
            <w:vAlign w:val="bottom"/>
          </w:tcPr>
          <w:p>
            <w:pPr>
              <w:ind w:left="400"/>
              <w:spacing w:after="0"/>
              <w:rPr>
                <w:sz w:val="20"/>
                <w:szCs w:val="20"/>
                <w:color w:val="auto"/>
              </w:rPr>
            </w:pPr>
            <w:r>
              <w:rPr>
                <w:rFonts w:ascii="Arial" w:cs="Arial" w:eastAsia="Arial" w:hAnsi="Arial"/>
                <w:sz w:val="18"/>
                <w:szCs w:val="18"/>
                <w:color w:val="auto"/>
                <w:w w:val="97"/>
              </w:rPr>
              <w:t>(4.5)</w:t>
            </w:r>
          </w:p>
        </w:tc>
      </w:tr>
      <w:tr>
        <w:trPr>
          <w:trHeight w:val="230"/>
        </w:trPr>
        <w:tc>
          <w:tcPr>
            <w:tcW w:w="4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600" w:type="dxa"/>
            <w:vAlign w:val="bottom"/>
            <w:tcBorders>
              <w:bottom w:val="single" w:sz="8" w:color="auto"/>
            </w:tcBorders>
            <w:shd w:val="clear" w:color="auto" w:fill="CCEEFF"/>
          </w:tcPr>
          <w:p>
            <w:pPr>
              <w:ind w:left="2920"/>
              <w:spacing w:after="0"/>
              <w:rPr>
                <w:sz w:val="20"/>
                <w:szCs w:val="20"/>
                <w:color w:val="auto"/>
              </w:rPr>
            </w:pPr>
            <w:r>
              <w:rPr>
                <w:rFonts w:ascii="Arial" w:cs="Arial" w:eastAsia="Arial" w:hAnsi="Arial"/>
                <w:sz w:val="18"/>
                <w:szCs w:val="18"/>
                <w:color w:val="auto"/>
              </w:rPr>
              <w:t>(5.7)</w:t>
            </w:r>
          </w:p>
        </w:tc>
        <w:tc>
          <w:tcPr>
            <w:tcW w:w="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7"/>
              </w:rPr>
              <w:t>(3.3)</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w:t>
            </w:r>
          </w:p>
        </w:tc>
        <w:tc>
          <w:tcPr>
            <w:tcW w:w="360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(0.8)</w:t>
            </w: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7"/>
              </w:rPr>
              <w:t>(1.2)</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600" w:type="dxa"/>
            <w:vAlign w:val="bottom"/>
            <w:tcBorders>
              <w:bottom w:val="single" w:sz="8" w:color="auto"/>
            </w:tcBorders>
            <w:shd w:val="clear" w:color="auto" w:fill="CCEEFF"/>
          </w:tcPr>
          <w:p>
            <w:pPr>
              <w:ind w:left="2920"/>
              <w:spacing w:after="0"/>
              <w:rPr>
                <w:sz w:val="20"/>
                <w:szCs w:val="20"/>
                <w:color w:val="auto"/>
              </w:rPr>
            </w:pPr>
            <w:r>
              <w:rPr>
                <w:rFonts w:ascii="Arial" w:cs="Arial" w:eastAsia="Arial" w:hAnsi="Arial"/>
                <w:sz w:val="18"/>
                <w:szCs w:val="18"/>
                <w:color w:val="auto"/>
              </w:rPr>
              <w:t>(1.9)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Pr>
          <w:p>
            <w:pPr>
              <w:spacing w:after="0"/>
              <w:rPr>
                <w:sz w:val="19"/>
                <w:szCs w:val="19"/>
                <w:color w:val="auto"/>
              </w:rPr>
            </w:pPr>
          </w:p>
        </w:tc>
        <w:tc>
          <w:tcPr>
            <w:tcW w:w="6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 (Loss) Attributable to ALLETE</w:t>
            </w:r>
          </w:p>
        </w:tc>
        <w:tc>
          <w:tcPr>
            <w:tcW w:w="3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pacing w:after="0" w:line="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Represents non-cash amortization of differences between contract prices and estimated market prices on assumed PSAs.</w:t>
      </w:r>
    </w:p>
    <w:p>
      <w:pPr>
        <w:spacing w:after="0" w:line="24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$4.4 million, or 42 percent, from 2019 primarily due to revenue from the Glen Ullin and South Peak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which commenced operations in December 2019 and April 2020, respectively, as well as higher wind resources and availability at other wind energy facilities.</w:t>
      </w:r>
    </w:p>
    <w:p>
      <w:pPr>
        <w:spacing w:after="0" w:line="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40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Quarter Ended September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East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41.6</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28.6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Midwest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182.5</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145.0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West</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166.3</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4.1</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15.3</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Production and Operating Revenue</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390.4</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$14.8</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188.9</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QUARTERS ENDED SEPTEMBER 30,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$3.5 million, or 48 percent, from 2019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Glen Ullin and South Peak wind energy facilities as well as the Diamond Spring wind project.</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$2.6 million, or 39 percent, from 2019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Glen Ullin and South Peak wind energy facilities.</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$2.4 million from 2019 primarily due to additional production tax credits generated in 2020 and additional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recorded in 2020 as GAAP requires the recognition of income taxes at the estimated annual effective tax rate. The income tax benefit in 2020 reflected production tax credits of $4.4 million compared to $2.1 million in 2019.</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was $1.9 million in 2020 reflecting net losses attributable to non-controlling interest for the Glen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Ullin and South Peak wind energy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similar to 2019.</w:t>
      </w:r>
    </w:p>
    <w:p>
      <w:pPr>
        <w:spacing w:after="0" w:line="252"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b w:val="1"/>
          <w:bCs w:val="1"/>
          <w:i w:val="1"/>
          <w:iCs w:val="1"/>
          <w:color w:val="auto"/>
        </w:rPr>
        <w:t xml:space="preserve">Net Loss Attributable to ALLETE </w:t>
      </w:r>
      <w:r>
        <w:rPr>
          <w:rFonts w:ascii="Arial" w:cs="Arial" w:eastAsia="Arial" w:hAnsi="Arial"/>
          <w:sz w:val="17"/>
          <w:szCs w:val="17"/>
          <w:color w:val="auto"/>
        </w:rPr>
        <w:t>increased $2.8 million from 2019 primarily due to lower earnings on cash and short-term investments in 2020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additional income tax expense recorded in 2020 as GAAP requires the recognition of income taxes at the estimated annual effective tax rate. These decreases were partially offset by higher earnings from marketable equity securities held in benefit trusts in 2020. Net income at BNI Energy was $2.1 million in 2020 compared to $1.7 million in 2019 reflecting higher earnings from marketable equity securities held in benefit trusts in 2020. The net loss at ALLETE Properties was $0.7 million in 2020 compared to a net loss of $1.0 million in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284" w:lineRule="auto"/>
        <w:rPr>
          <w:sz w:val="20"/>
          <w:szCs w:val="20"/>
          <w:color w:val="auto"/>
        </w:rPr>
      </w:pPr>
      <w:r>
        <w:rPr>
          <w:rFonts w:ascii="Arial" w:cs="Arial" w:eastAsia="Arial" w:hAnsi="Arial"/>
          <w:sz w:val="16"/>
          <w:szCs w:val="16"/>
          <w:color w:val="auto"/>
        </w:rPr>
        <w:t>For the quarter ended September 30, 2020, the effective tax rate was a benefit of 16.5 percent (benefit of 8.3 percent for the quarter ended September 30, 2019). The 2020 increase in tax benefit was primarily due to additional income tax benefit recorded in 2020 as GAAP requires the recognition of income tax expense at the estimated annual effective tax rate. The estimated annual effective tax rate can differ from what a quarterly effective tax rate would otherwise be on a standalone basis, and this may cause quarter to quarter differences in the timing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NINE MONTHS ENDED SEPTEMBER 30, 2020 AND 2019</w:t>
            </w:r>
          </w:p>
        </w:tc>
        <w:tc>
          <w:tcPr>
            <w:tcW w:w="2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color w:val="auto"/>
              </w:rPr>
              <w:t>(See Note 10. Business Segments for financial results by segment.)</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$721.2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r>
      <w:tr>
        <w:trPr>
          <w:trHeight w:val="230"/>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251.7</w:t>
            </w:r>
          </w:p>
        </w:tc>
        <w:tc>
          <w:tcPr>
            <w:tcW w:w="840" w:type="dxa"/>
            <w:vAlign w:val="bottom"/>
          </w:tcPr>
          <w:p>
            <w:pPr>
              <w:jc w:val="right"/>
              <w:spacing w:after="0"/>
              <w:rPr>
                <w:sz w:val="20"/>
                <w:szCs w:val="20"/>
                <w:color w:val="auto"/>
              </w:rPr>
            </w:pPr>
            <w:r>
              <w:rPr>
                <w:rFonts w:ascii="Arial" w:cs="Arial" w:eastAsia="Arial" w:hAnsi="Arial"/>
                <w:sz w:val="18"/>
                <w:szCs w:val="18"/>
                <w:color w:val="auto"/>
              </w:rPr>
              <w:t>295.9</w:t>
            </w:r>
          </w:p>
        </w:tc>
      </w:tr>
      <w:tr>
        <w:trPr>
          <w:trHeight w:val="229"/>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80" w:type="dxa"/>
            <w:vAlign w:val="bottom"/>
          </w:tcPr>
          <w:p>
            <w:pPr>
              <w:jc w:val="right"/>
              <w:ind w:right="230"/>
              <w:spacing w:after="0"/>
              <w:rPr>
                <w:sz w:val="20"/>
                <w:szCs w:val="20"/>
                <w:color w:val="auto"/>
              </w:rPr>
            </w:pPr>
            <w:r>
              <w:rPr>
                <w:rFonts w:ascii="Arial" w:cs="Arial" w:eastAsia="Arial" w:hAnsi="Arial"/>
                <w:sz w:val="18"/>
                <w:szCs w:val="18"/>
                <w:color w:val="auto"/>
              </w:rPr>
              <w:t>145.4</w:t>
            </w:r>
          </w:p>
        </w:tc>
        <w:tc>
          <w:tcPr>
            <w:tcW w:w="840" w:type="dxa"/>
            <w:vAlign w:val="bottom"/>
          </w:tcPr>
          <w:p>
            <w:pPr>
              <w:jc w:val="right"/>
              <w:spacing w:after="0"/>
              <w:rPr>
                <w:sz w:val="20"/>
                <w:szCs w:val="20"/>
                <w:color w:val="auto"/>
              </w:rPr>
            </w:pPr>
            <w:r>
              <w:rPr>
                <w:rFonts w:ascii="Arial" w:cs="Arial" w:eastAsia="Arial" w:hAnsi="Arial"/>
                <w:sz w:val="18"/>
                <w:szCs w:val="18"/>
                <w:color w:val="auto"/>
              </w:rPr>
              <w:t>149.4</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29"/>
        </w:trPr>
        <w:tc>
          <w:tcPr>
            <w:tcW w:w="440" w:type="dxa"/>
            <w:vAlign w:val="bottom"/>
          </w:tcPr>
          <w:p>
            <w:pPr>
              <w:spacing w:after="0"/>
              <w:rPr>
                <w:sz w:val="19"/>
                <w:szCs w:val="19"/>
                <w:color w:val="auto"/>
              </w:rPr>
            </w:pPr>
          </w:p>
        </w:tc>
        <w:tc>
          <w:tcPr>
            <w:tcW w:w="7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80" w:type="dxa"/>
            <w:vAlign w:val="bottom"/>
          </w:tcPr>
          <w:p>
            <w:pPr>
              <w:jc w:val="right"/>
              <w:ind w:right="170"/>
              <w:spacing w:after="0"/>
              <w:rPr>
                <w:sz w:val="20"/>
                <w:szCs w:val="20"/>
                <w:color w:val="auto"/>
              </w:rPr>
            </w:pPr>
            <w:r>
              <w:rPr>
                <w:rFonts w:ascii="Arial" w:cs="Arial" w:eastAsia="Arial" w:hAnsi="Arial"/>
                <w:sz w:val="18"/>
                <w:szCs w:val="18"/>
                <w:color w:val="auto"/>
              </w:rPr>
              <w:t>(43.7)</w:t>
            </w:r>
          </w:p>
        </w:tc>
        <w:tc>
          <w:tcPr>
            <w:tcW w:w="8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440" w:type="dxa"/>
            <w:vAlign w:val="bottom"/>
          </w:tcPr>
          <w:p>
            <w:pPr>
              <w:spacing w:after="0"/>
              <w:rPr>
                <w:sz w:val="19"/>
                <w:szCs w:val="19"/>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440" w:type="dxa"/>
            <w:vAlign w:val="bottom"/>
          </w:tcPr>
          <w:p>
            <w:pPr>
              <w:spacing w:after="0"/>
              <w:rPr>
                <w:sz w:val="19"/>
                <w:szCs w:val="19"/>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440" w:type="dxa"/>
            <w:vAlign w:val="bottom"/>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440" w:type="dxa"/>
            <w:vAlign w:val="bottom"/>
          </w:tcPr>
          <w:p>
            <w:pPr>
              <w:spacing w:after="0"/>
              <w:rPr>
                <w:sz w:val="19"/>
                <w:szCs w:val="19"/>
                <w:color w:val="auto"/>
              </w:rPr>
            </w:pPr>
          </w:p>
        </w:tc>
        <w:tc>
          <w:tcPr>
            <w:tcW w:w="7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Income Attributable to ALLETE</w:t>
            </w:r>
          </w:p>
        </w:tc>
        <w:tc>
          <w:tcPr>
            <w:tcW w:w="2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bl>
    <w:p>
      <w:pPr>
        <w:spacing w:after="0" w:line="33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Utility </w:t>
      </w:r>
      <w:r>
        <w:rPr>
          <w:rFonts w:ascii="Arial" w:cs="Arial" w:eastAsia="Arial" w:hAnsi="Arial"/>
          <w:sz w:val="18"/>
          <w:szCs w:val="18"/>
          <w:color w:val="auto"/>
        </w:rPr>
        <w:t>decreased $64.9 million from 2019 primarily due to lower revenue from kWh sales, fuel adjustment clause recoveries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conservation improvement program recoveries, partially offset by increased revenue related to the GNTL and higher rates resulting from Minnesota Power’s rate case.</w:t>
      </w:r>
    </w:p>
    <w:p>
      <w:pPr>
        <w:spacing w:after="0" w:line="20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Revenue from kWh sales decreased $52.2 million from 2019 reflecting lower sales to commercial, industrial and municipal customers as well as the expiration of a 100 MW PSA in April 2020. Sales to commercial and industrial customers decreased primarily due to the adverse impact of the COVID-19 pandemic on customer operations. Many commercial and industrial customers operated at reduced levels or were temporarily closed or idled during the second and third quarters of 2020 as a result of the COVID-19 pandemic and related governmental responses. In addition, USS Corporation idled its Keetac plant and Verso Corporation indefinitely idled its paper mill in Duluth, Minnesota, both of which remain idled. (See Outlook – Regulated Operations – Industrial Customers and Prospective Additional Load.) Sales to municipal customers decreased from 2019 as a result of the expiration of a contract with a municipal customer in June 2019. Sales to residential customers increased from 2019 primarily due to the impact of COVID-19, partially offset by warmer weather in the first quarter of 2020.</w:t>
      </w:r>
    </w:p>
    <w:p>
      <w:pPr>
        <w:spacing w:after="0" w:line="8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Variance</w:t>
            </w:r>
          </w:p>
        </w:tc>
        <w:tc>
          <w:tcPr>
            <w:tcW w:w="68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Nine Months Ended September 30,</w:t>
            </w:r>
          </w:p>
        </w:tc>
        <w:tc>
          <w:tcPr>
            <w:tcW w:w="2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Quantity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4920" w:type="dxa"/>
            <w:vAlign w:val="bottom"/>
          </w:tcPr>
          <w:p>
            <w:pPr>
              <w:ind w:left="200"/>
              <w:spacing w:after="0"/>
              <w:rPr>
                <w:sz w:val="20"/>
                <w:szCs w:val="20"/>
                <w:color w:val="auto"/>
              </w:rPr>
            </w:pPr>
            <w:r>
              <w:rPr>
                <w:rFonts w:ascii="Arial" w:cs="Arial" w:eastAsia="Arial" w:hAnsi="Arial"/>
                <w:sz w:val="18"/>
                <w:szCs w:val="18"/>
                <w:color w:val="auto"/>
              </w:rPr>
              <w:t>Retail and Municipal</w:t>
            </w:r>
          </w:p>
        </w:tc>
        <w:tc>
          <w:tcPr>
            <w:tcW w:w="2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2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835</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829</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4920" w:type="dxa"/>
            <w:vAlign w:val="bottom"/>
          </w:tcPr>
          <w:p>
            <w:pPr>
              <w:ind w:left="440"/>
              <w:spacing w:after="0"/>
              <w:rPr>
                <w:sz w:val="20"/>
                <w:szCs w:val="20"/>
                <w:color w:val="auto"/>
              </w:rPr>
            </w:pPr>
            <w:r>
              <w:rPr>
                <w:rFonts w:ascii="Arial" w:cs="Arial" w:eastAsia="Arial" w:hAnsi="Arial"/>
                <w:sz w:val="18"/>
                <w:szCs w:val="18"/>
                <w:color w:val="auto"/>
              </w:rPr>
              <w:t>Commercial</w:t>
            </w:r>
          </w:p>
        </w:tc>
        <w:tc>
          <w:tcPr>
            <w:tcW w:w="2460" w:type="dxa"/>
            <w:vAlign w:val="bottom"/>
          </w:tcPr>
          <w:p>
            <w:pPr>
              <w:jc w:val="right"/>
              <w:ind w:right="210"/>
              <w:spacing w:after="0"/>
              <w:rPr>
                <w:sz w:val="20"/>
                <w:szCs w:val="20"/>
                <w:color w:val="auto"/>
              </w:rPr>
            </w:pPr>
            <w:r>
              <w:rPr>
                <w:rFonts w:ascii="Arial" w:cs="Arial" w:eastAsia="Arial" w:hAnsi="Arial"/>
                <w:sz w:val="18"/>
                <w:szCs w:val="18"/>
                <w:color w:val="auto"/>
              </w:rPr>
              <w:t>983</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1,043</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(60)</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w:t>
            </w:r>
          </w:p>
        </w:tc>
        <w:tc>
          <w:tcPr>
            <w:tcW w:w="2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4,547</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5,389</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4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Municipal</w:t>
            </w: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434</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519</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23"/>
        </w:trPr>
        <w:tc>
          <w:tcPr>
            <w:tcW w:w="4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Retail and Municipal</w:t>
            </w:r>
          </w:p>
        </w:tc>
        <w:tc>
          <w:tcPr>
            <w:tcW w:w="2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6,799</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7,780</w:t>
            </w:r>
          </w:p>
        </w:tc>
        <w:tc>
          <w:tcPr>
            <w:tcW w:w="1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Power Suppliers</w:t>
            </w: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2,495</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2,294</w:t>
            </w:r>
          </w:p>
        </w:tc>
        <w:tc>
          <w:tcPr>
            <w:tcW w:w="14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8.8 %</w:t>
            </w:r>
          </w:p>
        </w:tc>
      </w:tr>
      <w:tr>
        <w:trPr>
          <w:trHeight w:val="223"/>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9,294</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10,074</w:t>
            </w:r>
          </w:p>
        </w:tc>
        <w:tc>
          <w:tcPr>
            <w:tcW w:w="1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(780)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bl>
    <w:p>
      <w:pPr>
        <w:spacing w:after="0" w:line="33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25 percent of consolidated operating revenue in 2020 (25 percent in 2019). Revenue from electric sales to paper, pulp and secondary wood product customers accounted for 5 percent of consolidated operating revenue in 2020 (6 percent in 2019). Revenue from electric sales to pipelines and other industrial customers accounted for 7 percent of consolidated operating revenue in 2020 (7 percent in 2019).</w:t>
      </w:r>
    </w:p>
    <w:p>
      <w:pPr>
        <w:spacing w:after="0" w:line="21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Fuel adjustment clause revenue decreased $19.8 million due to lower fuel and purchased power costs attributable to retail and municipal customers, partially offset by the timing of fuel adjustment clause recoveries in 2019. Beginning in 2020, Minnesota utilities adopted a new fuel adjustment clause methodology. (See Note 2. Regulatory Matters.)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COMPARISON OF THE NINE MONTHS ENDED SEPTEMBER 30,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decreased $4.6 million from 2019 primarily due to a decrease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w:t>
      </w:r>
      <w:r>
        <w:rPr>
          <w:rFonts w:ascii="Arial" w:cs="Arial" w:eastAsia="Arial" w:hAnsi="Arial"/>
          <w:sz w:val="18"/>
          <w:szCs w:val="18"/>
          <w:color w:val="auto"/>
        </w:rPr>
        <w:t>.)</w:t>
      </w:r>
    </w:p>
    <w:p>
      <w:pPr>
        <w:spacing w:after="0" w:line="184" w:lineRule="exact"/>
        <w:rPr>
          <w:sz w:val="20"/>
          <w:szCs w:val="20"/>
          <w:color w:val="auto"/>
        </w:rPr>
      </w:pPr>
    </w:p>
    <w:p>
      <w:pPr>
        <w:jc w:val="both"/>
        <w:ind w:left="340"/>
        <w:spacing w:after="0" w:line="235" w:lineRule="auto"/>
        <w:rPr>
          <w:sz w:val="20"/>
          <w:szCs w:val="20"/>
          <w:color w:val="auto"/>
        </w:rPr>
      </w:pPr>
      <w:r>
        <w:rPr>
          <w:rFonts w:ascii="Arial" w:cs="Arial" w:eastAsia="Arial" w:hAnsi="Arial"/>
          <w:sz w:val="18"/>
          <w:szCs w:val="18"/>
          <w:color w:val="auto"/>
        </w:rPr>
        <w:t>Cost recovery rider and transmission revenue related to GNTL increased $11.6 million primarily due to recovery of related expenses resulting from the GNTL being placed into service in June 2020 and additional expenditures for property, plant and equipment.</w:t>
      </w:r>
    </w:p>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Revenue increased $10.3 million due to higher rates beginning in May 2020 resulting from the resolution of Minnesota Power’s 2020 general rate case. As part of the resolution, interim rates collected from January 2020 through April 2020 were offset with reserves for interim rates which are expected to be refunded in the fourth quarter of 2020. (See Note 2. Regulatory Matters.)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$48.4 million, or 7 percent, from 2019.</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$44.2 million, or 15 percent, from 2019 primarily due to lower kWh sales,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power prices and fuel costs.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decreased $6.0 million, or 11 percent, from 2019 primarily due to lower MISO-related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decreased $4.0 million, or 3 percent, from 2019 primarily due to a decrease in conservation improvement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expenses and lower benefit and other employee-related expenses in 2020. These decreases were partially offset by rate case expenses and higher bad debt expense in 2020.</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$5.5 million, or 5 percent, from 2019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97"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Equity Earnings </w:t>
      </w:r>
      <w:r>
        <w:rPr>
          <w:rFonts w:ascii="Arial" w:cs="Arial" w:eastAsia="Arial" w:hAnsi="Arial"/>
          <w:sz w:val="16"/>
          <w:szCs w:val="16"/>
          <w:color w:val="auto"/>
        </w:rPr>
        <w:t>increased $1.4 million, or 9 percent, from 2019 primarily due to period over period changes in ATC’s estimate of a refund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FERC decision on MISO return on equity complaints. (See Outlook – Regulated Operations – Transmission – Investment in ATC.)</w:t>
      </w:r>
    </w:p>
    <w:p>
      <w:pPr>
        <w:spacing w:after="0" w:line="15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$12.2 million from 2019 primarily due to lower pre-tax income and additional income tax benefit recorded in 2020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GAAP requires the recognition of income tax expense at the estimated annual effective tax rate. We expect our annual effective tax rate in 2020 to be a higher income tax benefit than in 2019 primarily due to lower pre-tax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Nine Months Ended September 30,</w:t>
            </w:r>
          </w:p>
        </w:tc>
        <w:tc>
          <w:tcPr>
            <w:tcW w:w="3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4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4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6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Contracts with Customers – Non-utility</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$44.0</w:t>
            </w:r>
          </w:p>
        </w:tc>
        <w:tc>
          <w:tcPr>
            <w:tcW w:w="74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and Maintenance</w:t>
            </w:r>
          </w:p>
        </w:tc>
        <w:tc>
          <w:tcPr>
            <w:tcW w:w="3460" w:type="dxa"/>
            <w:vAlign w:val="bottom"/>
          </w:tcPr>
          <w:p>
            <w:pPr>
              <w:jc w:val="right"/>
              <w:ind w:right="290"/>
              <w:spacing w:after="0"/>
              <w:rPr>
                <w:sz w:val="20"/>
                <w:szCs w:val="20"/>
                <w:color w:val="auto"/>
              </w:rPr>
            </w:pPr>
            <w:r>
              <w:rPr>
                <w:rFonts w:ascii="Arial" w:cs="Arial" w:eastAsia="Arial" w:hAnsi="Arial"/>
                <w:sz w:val="18"/>
                <w:szCs w:val="18"/>
                <w:color w:val="auto"/>
              </w:rPr>
              <w:t>26.8</w:t>
            </w: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76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6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and Other</w:t>
            </w:r>
          </w:p>
        </w:tc>
        <w:tc>
          <w:tcPr>
            <w:tcW w:w="3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60" w:type="dxa"/>
            <w:vAlign w:val="bottom"/>
          </w:tcPr>
          <w:p>
            <w:pPr>
              <w:spacing w:after="0"/>
              <w:rPr>
                <w:sz w:val="19"/>
                <w:szCs w:val="19"/>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(0.8)</w:t>
            </w:r>
          </w:p>
        </w:tc>
      </w:tr>
      <w:tr>
        <w:trPr>
          <w:trHeight w:val="229"/>
        </w:trPr>
        <w:tc>
          <w:tcPr>
            <w:tcW w:w="76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Expense</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740" w:type="dxa"/>
            <w:vAlign w:val="bottom"/>
          </w:tcPr>
          <w:p>
            <w:pPr>
              <w:ind w:left="360"/>
              <w:spacing w:after="0"/>
              <w:rPr>
                <w:sz w:val="20"/>
                <w:szCs w:val="20"/>
                <w:color w:val="auto"/>
              </w:rPr>
            </w:pPr>
            <w:r>
              <w:rPr>
                <w:rFonts w:ascii="Arial" w:cs="Arial" w:eastAsia="Arial" w:hAnsi="Arial"/>
                <w:sz w:val="18"/>
                <w:szCs w:val="18"/>
                <w:color w:val="auto"/>
                <w:w w:val="97"/>
              </w:rPr>
              <w:t>(2.3)</w:t>
            </w:r>
          </w:p>
        </w:tc>
      </w:tr>
      <w:tr>
        <w:trPr>
          <w:trHeight w:val="230"/>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6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Loss Before Income Taxes</w:t>
            </w:r>
          </w:p>
        </w:tc>
        <w:tc>
          <w:tcPr>
            <w:tcW w:w="346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740" w:type="dxa"/>
            <w:vAlign w:val="bottom"/>
          </w:tcPr>
          <w:p>
            <w:pPr>
              <w:ind w:left="360"/>
              <w:spacing w:after="0"/>
              <w:rPr>
                <w:sz w:val="20"/>
                <w:szCs w:val="20"/>
                <w:color w:val="auto"/>
              </w:rPr>
            </w:pPr>
            <w:r>
              <w:rPr>
                <w:rFonts w:ascii="Arial" w:cs="Arial" w:eastAsia="Arial" w:hAnsi="Arial"/>
                <w:sz w:val="18"/>
                <w:szCs w:val="18"/>
                <w:color w:val="auto"/>
                <w:w w:val="97"/>
              </w:rPr>
              <w:t>(1.0)</w:t>
            </w:r>
          </w:p>
        </w:tc>
      </w:tr>
      <w:tr>
        <w:trPr>
          <w:trHeight w:val="230"/>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(14.2)</w:t>
            </w:r>
          </w:p>
        </w:tc>
        <w:tc>
          <w:tcPr>
            <w:tcW w:w="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7"/>
              </w:rPr>
              <w:t>(7.5)</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w:t>
            </w:r>
          </w:p>
        </w:tc>
        <w:tc>
          <w:tcPr>
            <w:tcW w:w="3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3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(6.9)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0" w:type="dxa"/>
            <w:vAlign w:val="bottom"/>
          </w:tcPr>
          <w:p>
            <w:pPr>
              <w:spacing w:after="0"/>
              <w:rPr>
                <w:sz w:val="19"/>
                <w:szCs w:val="19"/>
                <w:color w:val="auto"/>
              </w:rPr>
            </w:pPr>
          </w:p>
        </w:tc>
        <w:tc>
          <w:tcPr>
            <w:tcW w:w="62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Net Income Attributable to ALLETE</w:t>
            </w:r>
          </w:p>
        </w:tc>
        <w:tc>
          <w:tcPr>
            <w:tcW w:w="3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bl>
    <w:p>
      <w:pPr>
        <w:spacing w:after="0" w:line="9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non-cash amortization of differences between contract prices and estimated market prices on assumed PSAs.</w:t>
      </w:r>
    </w:p>
    <w:p>
      <w:pPr>
        <w:spacing w:after="0" w:line="200" w:lineRule="exact"/>
        <w:rPr>
          <w:rFonts w:ascii="Arial" w:cs="Arial" w:eastAsia="Arial" w:hAnsi="Arial"/>
          <w:sz w:val="16"/>
          <w:szCs w:val="16"/>
          <w:i w:val="1"/>
          <w:iCs w:val="1"/>
          <w:color w:val="auto"/>
        </w:rPr>
      </w:pPr>
    </w:p>
    <w:p>
      <w:pPr>
        <w:spacing w:after="0" w:line="241" w:lineRule="exact"/>
        <w:rPr>
          <w:rFonts w:ascii="Arial" w:cs="Arial" w:eastAsia="Arial" w:hAnsi="Arial"/>
          <w:sz w:val="16"/>
          <w:szCs w:val="16"/>
          <w:i w:val="1"/>
          <w:iCs w:val="1"/>
          <w:color w:val="auto"/>
        </w:rPr>
      </w:pPr>
    </w:p>
    <w:p>
      <w:pPr>
        <w:ind w:left="4280"/>
        <w:spacing w:after="0"/>
        <w:rPr>
          <w:rFonts w:ascii="Arial" w:cs="Arial" w:eastAsia="Arial" w:hAnsi="Arial"/>
          <w:sz w:val="16"/>
          <w:szCs w:val="16"/>
          <w:i w:val="1"/>
          <w:iCs w:val="1"/>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COMPARISON OF THE NINE MONTHS ENDED SEPTEMBER 30, 2020 AND 2019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$9.2 million, or 21 percent, from 2019 primarily due to revenue from the Glen Ullin and South Peak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which commenced operations in December 2019 and April 2020, respectively, as well as higher wind resources at other wind energy facilities.</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40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Nine Months Ended September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kWh</w:t>
            </w: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20"/>
              <w:spacing w:after="0"/>
              <w:rPr>
                <w:sz w:val="20"/>
                <w:szCs w:val="20"/>
                <w:color w:val="auto"/>
              </w:rPr>
            </w:pPr>
            <w:r>
              <w:rPr>
                <w:rFonts w:ascii="Arial" w:cs="Arial" w:eastAsia="Arial" w:hAnsi="Arial"/>
                <w:sz w:val="18"/>
                <w:szCs w:val="18"/>
                <w:color w:val="auto"/>
              </w:rPr>
              <w:t>East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177.3</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$15.9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173.0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Midwest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634.3</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23.2</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549.4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West</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510.6</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13.4</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51.4</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Production and Operating Revenue</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1,322.2</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$52.5</w:t>
            </w: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773.8</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$4.1 million, or 18 percent, from 2019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Glen Ullin and South Peak wind energy facilities as well as the Diamond Spring wind project.</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$6.6 million, or 33 percent, from 2019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Glen Ullin and South Peak wind energy facilities.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$1.9 million from 2019 reflecting various individually immaterial items.</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increased $6.7 million from 2019 primarily due to additional production tax credits generated in 2020 compared to 2019.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benefit in 2020 reflected production tax credits of $13.8 million compared to $6.3 million in 2019.</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was $6.9 million in 2020 reflecting net losses attributable to non-controlling interest for the Glen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Ullin and South Peak wind energy facilities.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3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7"/>
        </w:trPr>
        <w:tc>
          <w:tcPr>
            <w:tcW w:w="760" w:type="dxa"/>
            <w:vAlign w:val="bottom"/>
          </w:tcPr>
          <w:p>
            <w:pPr>
              <w:spacing w:after="0"/>
              <w:rPr>
                <w:sz w:val="24"/>
                <w:szCs w:val="24"/>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Nine Months Ended September 30,</w:t>
            </w:r>
          </w:p>
        </w:tc>
        <w:tc>
          <w:tcPr>
            <w:tcW w:w="3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23"/>
        </w:trPr>
        <w:tc>
          <w:tcPr>
            <w:tcW w:w="76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720" w:type="dxa"/>
            <w:vAlign w:val="bottom"/>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$33.4</w:t>
            </w:r>
          </w:p>
        </w:tc>
      </w:tr>
      <w:tr>
        <w:trPr>
          <w:trHeight w:val="230"/>
        </w:trPr>
        <w:tc>
          <w:tcPr>
            <w:tcW w:w="760" w:type="dxa"/>
            <w:vAlign w:val="bottom"/>
          </w:tcPr>
          <w:p>
            <w:pPr>
              <w:spacing w:after="0"/>
              <w:rPr>
                <w:sz w:val="19"/>
                <w:szCs w:val="19"/>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 Attributable to ALLETE</w:t>
            </w:r>
          </w:p>
        </w:tc>
        <w:tc>
          <w:tcPr>
            <w:tcW w:w="3720" w:type="dxa"/>
            <w:vAlign w:val="bottom"/>
            <w:tcBorders>
              <w:bottom w:val="single" w:sz="8" w:color="auto"/>
            </w:tcBorders>
          </w:tcPr>
          <w:p>
            <w:pPr>
              <w:ind w:left="30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$(1.1)</w:t>
            </w:r>
          </w:p>
        </w:tc>
      </w:tr>
    </w:tbl>
    <w:p>
      <w:pPr>
        <w:spacing w:after="0" w:line="3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was $33.4 million for the nine months ended September 30, 2019. ALLETE completed the sale of U.S. Water Services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2019.</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$1.1 million for the nine months ended September 30, 2019. ALLETE completed the sale of U.S.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in the first quarter of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increased $1.9 million, or 3 percent, from 2019 primarily due to higher revenue at BNI Energy, which operates under cost-plus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fee contracts, as a result of higher expenses in 2020 compared to 2019, partially offset by the timing of land sales at ALLETE Properties.</w:t>
      </w:r>
    </w:p>
    <w:p>
      <w:pPr>
        <w:spacing w:after="0" w:line="15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was $0.7 million in 2020 compared to net income of $16.3 million in 2019. Net income in 2019 included a gain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U.S. Water Services of $11.1 million after-tax. Net income in 2020 included lower earnings on cash and short-term investments as well as additional income tax expense recorded in 2020 as GAAP requires the recognition of income taxes at the estimated annual effective tax rate. Net income at BNI Energy was $5.3 million in 2020 and 2019. The net loss at ALLETE Properties was $1.7 million in 2020 compared to a net loss of $2.1 million in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NINE MONTHS ENDED SEPTEMBER 30, 2020 AND 2019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For the nine months ended September 30, 2020, the effective tax rate was a benefit of 30.1 percent (benefit of 3.3 percent for the nine months ended September 30, 2019). The effective tax rate for 2020 was a higher benefit primarily due to 2019 including a higher tax rate on and higher pre-tax income resulting from the gain on the sale of U.S. Water Services in 2019.</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expect our annual effective tax rate in 2020 to be a higher benefit as compared to 2019 primarily due to higher production tax credits generated by ALLETE Clean Energy in 2020 and lower pre-tax income. The effective rate deviated from the combined statutory rate of approximately 28 percent primarily due to production tax credits. (See Note 8. Income Tax Expense.)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2019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2019 Form 10-K.</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a long-term (5-year) objective of achieving consolidated average annual earnings per share growth of 5 percent to 7 percent: with a Regulated Operations growth objective of 4 percent to 5 percent, and an ALLETE Clean Energy and Corporate and Other businesses growth objective of at least 15 percent over the long-term. While the Company’s long-term growth objectives remain unchanged, our October 2020 5-year projection indicates achieving these objectives is expected to be challenging. Our October 2020 projection of ALLETE’s long-term consolidated average annual earnings per share growth rate, using 2019 as a base year, is approximately 4 percent: with a Regulated Operations growth projection of approximately 3 percent, and an ALLETE Clean Energy and Corporate and Other businesses growth projection of approximately 30 percent.</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earnings through September 30, 2020 have been negatively impacted by the ongoing COVID-19 pandemic and related disruptions, and we expect our earnings to continue to be impacted for at least the remainder of 2020. COVID-19 has had a material impact on Minnesota Power’s industrial customers and, as a result, our sales to these customers. USS Corporation idled its Keetac facility and Verso Corporation idled its paper mill in Duluth, Minnesota. We expect the Keetac facility to restart in December 2020, and the Verso paper mill to be idled through the rest of 2020 and potentially portions of, if not all of, 2021. In addition, many of our commercial, municipal, and other smaller industrial customers were operating at reduced levels, or are temporarily closed or were idled during 2020, and we expect some of these customers to be similarly affected in 2021.</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response to these lower sales in 2020, and in anticipation of potentially lower sales in 2021, Minnesota Power submitted a petition in November 2020 to the MPUC requesting authority to track and record as a regulatory asset lost large industrial customer revenue resulting from the idling of USS Corporation’s Keetac facility and Verso Corporation’s paper mill in Duluth, Minnesota. Keetac and Verso represent revenue of approximately $30 million annually, net of associated expense savings such as fuel costs. Minnesota Power proposed in this petition to defer any lost revenue related to the idling of the Keetac facility and the Verso paper mill to its next general rate case or other proceeding for review for recovery by the MPUC. (See Note 2. Regulatory Matters – COVID-19 Related Deferred Accounting.) Minnesota Power anticipates filing a general rate case in November 2021 with a 2022 test year.</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Minnesota Power is also required to submit its next IRP with the MPUC by February 1, 2021, and include in that filing potential early retirement scenarios of Boswell Units 3 and 4, as well as a securitization plan. The outcome of this IRP is likely to be instrumental in the evolution of our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our electricity generation mix to include more renewables, and potential earnings growth over the long term.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ALLETE Clean Energy business is experiencing return pressures on our earnings per share growth from increased competition, and lower forward price curves, as a growing amount of investment capital is being directed into wind generation opportunities. In addition, current and potential new project developments are negatively affected by a currently lower ALLETE stock price, which may result in such projects not being accretive, or otherwise unable to satisfy our financial objectives criteria to proceed. Although we believe that the renewable energy industry continues to have tremendous potential driven by societal demands to address climate change, we are actively evaluating additional growth opportunities with better risk adjusted returns on capital than currently available in wind only projects for ALLETE Clean Energy, such as solar, storage solutions, and grid resiliency. We believe that the renewable energy industry is entering a new phase of growth, and ALLETE Clean Energy will serve as a strong platform for future growth at ALLETE. ALLETE Clean Energy will continue to optimize its existing wind facility portfolio, seek development of its remaining safe harbor production tax credit qualified turbines, and explore other renewable energy opportunities to expand its service offerings to further enhance its growth and profitability.</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our Corporate and Other businesses to complement its regulated businesses, balance exposure to the utility’s industrial customers, and provide potential long-term earnings growth. ALLETE expects net income from Regulated Operations to be approximately 80 percent of total consolidated net income in 2020. Over the next several years, the contribution of ALLETE Clean Energy and our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Minnesota Power’s long-term strategy is to be the leading electric energy provider in northeastern Minnesota by providing safe,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7"/>
          <w:szCs w:val="17"/>
          <w:i w:val="1"/>
          <w:iCs w:val="1"/>
          <w:color w:val="auto"/>
        </w:rPr>
        <w:t>EnergyForward.</w:t>
      </w:r>
      <w:r>
        <w:rPr>
          <w:rFonts w:ascii="Arial" w:cs="Arial" w:eastAsia="Arial" w:hAnsi="Arial"/>
          <w:sz w:val="17"/>
          <w:szCs w:val="17"/>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2020 Minnesota General Rate Case. </w:t>
      </w:r>
      <w:r>
        <w:rPr>
          <w:rFonts w:ascii="Arial" w:cs="Arial" w:eastAsia="Arial" w:hAnsi="Arial"/>
          <w:sz w:val="16"/>
          <w:szCs w:val="16"/>
          <w:color w:val="auto"/>
        </w:rPr>
        <w:t>In November 2019, Minnesota Power filed a retail rate increase request with the MPUC seeking an average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orders dated December 23, 2019, the MPUC accepted the filing as complete and authorized an annual interim rate increase of $36.1 million that began January 1, 2020.</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23,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an order dated June 30, 2020,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on an ongoing basis. Reserves for interim rates of $11.7 million were recorded in the second quarter of 2020 of which $6.5 million were refunded in the third quarter. The remainder will be refunded in the fourth quarter of 2020.</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SWL&amp;P’s current retail rates are based on a December 2018 PSCW order that allows for a return on equity of 10.4</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and a 55.0 percent equity ratio. The PSCW had directed SWL&amp;P to file its next general rate case in 2020; however, the PSCW granted an extension request made by SWL&amp;P to delay filing its next general rate case until on or before December 20, 2022. SWL&amp;P had requested the extension primarily due to impacts of the COVID-19 pandemic.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49 percent of our regulated utility kWh sales in the nine months ended September 30, 2020, were made to our industrial customers (53 percent in the nine months ended September 30, 2019). These customers and their markets have been impacted by the ongoing COVID-19 pandemic. (See Part II, Item 1A. Risk Factors.)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ongoing COVID-19 pandemic and related governmental responses has led to a disruption of economic activity, and could result in an extended disruption of economic activity. This disruption has resulted in reduced sales and revenue from industrial customers as many industrial customers operated at reduced levels or were temporarily closed or idled during the second and third quarters of 2020. In addition, USS Corporation idled its Keetac plant and Verso Corporation indefinitely idled its paper mill in Duluth, Minnesota, both of which remain idled. (See </w:t>
      </w:r>
      <w:r>
        <w:rPr>
          <w:rFonts w:ascii="Arial" w:cs="Arial" w:eastAsia="Arial" w:hAnsi="Arial"/>
          <w:sz w:val="17"/>
          <w:szCs w:val="17"/>
          <w:i w:val="1"/>
          <w:iCs w:val="1"/>
          <w:color w:val="auto"/>
        </w:rPr>
        <w:t>USS Corporation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Verso Corporation</w:t>
      </w:r>
      <w:r>
        <w:rPr>
          <w:rFonts w:ascii="Arial" w:cs="Arial" w:eastAsia="Arial" w:hAnsi="Arial"/>
          <w:sz w:val="17"/>
          <w:szCs w:val="17"/>
          <w:color w:val="auto"/>
        </w:rPr>
        <w:t>.) The current disruption of economic activity or an extended disruption of economic activity may lead to additional adverse impacts on our taconite and paper, pulp and secondary wood products, pipeline and other industrial customers’ operations including further reduced production or the temporary idling or indefinite shutdown of other facilities, which would result in lower sales and revenue from these customers.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Taconite</w:t>
      </w:r>
      <w:r>
        <w:rPr>
          <w:rFonts w:ascii="Arial" w:cs="Arial" w:eastAsia="Arial" w:hAnsi="Arial"/>
          <w:sz w:val="16"/>
          <w:szCs w:val="16"/>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10 percent of Minnesota taconite production has been exported outside of North America.</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66 percent of capacity during the first nine months of 2020 compared to 81 percent in the first nine months of 2019. The World Steel Association, an association of steel producers, national and regional steel industry associations, and steel research institutes representing approximately 85 percent of world steel production, projected in October 2020 that U.S. steel consumption will decrease in 2020 by approximately 16 percent compared to 2019 and will increase in 2021 by approximately 7 percent compared to 2020.</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(See Note 6. Commitments, Guarantees and Contingencies.) Long-term reductions in taconite production or a permanent shut down of a taconite customer may lead Minnesota Power to file a general rate case to recover lost revenue.</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Northshore Mining</w:t>
      </w:r>
      <w:r>
        <w:rPr>
          <w:rFonts w:ascii="Arial" w:cs="Arial" w:eastAsia="Arial" w:hAnsi="Arial"/>
          <w:sz w:val="17"/>
          <w:szCs w:val="17"/>
          <w:i w:val="1"/>
          <w:iCs w:val="1"/>
          <w:color w:val="auto"/>
        </w:rPr>
        <w:t xml:space="preserve">. </w:t>
      </w:r>
      <w:r>
        <w:rPr>
          <w:rFonts w:ascii="Arial" w:cs="Arial" w:eastAsia="Arial" w:hAnsi="Arial"/>
          <w:sz w:val="17"/>
          <w:szCs w:val="17"/>
          <w:color w:val="auto"/>
        </w:rPr>
        <w:t>Cliffs is currently constructing a hot briquetted iron production plant in Toledo, Ohio, and had begun shipping direct reduced-grade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pellets form Northshore Mining to the Toledo plant in anticipation of the planned start of operations in 2020. In March 2020, following guidelines from the office of the Governor of Ohio regarding the COVID-19 pandemic, Cliffs temporarily shut down construction activities at its hot briquetted iron project site. In April 2020, Cliffs announced that, based on market conditions, it would be temporarily idling Northshore Mining. Cliffs idled production at Northshore Mining in April 2020 and resumed normal production at the facility in August 2020. In June 2020, Cliffs announced that it was resuming construction of its hot briquetted iron project in Toledo, Ohio, with construction expected to be completed in the fourth quarter of 2020.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7"/>
          <w:szCs w:val="17"/>
          <w:i w:val="1"/>
          <w:iCs w:val="1"/>
          <w:color w:val="auto"/>
        </w:rPr>
        <w:t>Silver Bay Power</w:t>
      </w:r>
      <w:r>
        <w:rPr>
          <w:rFonts w:ascii="Arial" w:cs="Arial" w:eastAsia="Arial" w:hAnsi="Arial"/>
          <w:sz w:val="17"/>
          <w:szCs w:val="17"/>
          <w:color w:val="auto"/>
        </w:rPr>
        <w:t>.)</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Silver Bay Power</w:t>
      </w:r>
      <w:r>
        <w:rPr>
          <w:rFonts w:ascii="Arial" w:cs="Arial" w:eastAsia="Arial" w:hAnsi="Arial"/>
          <w:sz w:val="17"/>
          <w:szCs w:val="17"/>
          <w:i w:val="1"/>
          <w:iCs w:val="1"/>
          <w:color w:val="auto"/>
        </w:rPr>
        <w:t xml:space="preserve">. </w:t>
      </w:r>
      <w:r>
        <w:rPr>
          <w:rFonts w:ascii="Arial" w:cs="Arial" w:eastAsia="Arial" w:hAnsi="Arial"/>
          <w:sz w:val="17"/>
          <w:szCs w:val="17"/>
          <w:color w:val="auto"/>
        </w:rPr>
        <w:t>In 2016, Minnesota Power and Silver Bay Power entered into a PSA through 2031. Silver Bay Power supplies approximately 90 MW of</w:t>
      </w:r>
      <w:r>
        <w:rPr>
          <w:rFonts w:ascii="Arial" w:cs="Arial" w:eastAsia="Arial" w:hAnsi="Arial"/>
          <w:sz w:val="17"/>
          <w:szCs w:val="17"/>
          <w:i w:val="1"/>
          <w:iCs w:val="1"/>
          <w:color w:val="auto"/>
        </w:rPr>
        <w:t xml:space="preserve"> </w:t>
      </w:r>
      <w:r>
        <w:rPr>
          <w:rFonts w:ascii="Arial" w:cs="Arial" w:eastAsia="Arial" w:hAnsi="Arial"/>
          <w:sz w:val="17"/>
          <w:szCs w:val="17"/>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USS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April 2020, USS Corporation stated it would idle its Keetac facility in Keewatin, Minnesota, in response to the sudden and dramatic</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in business conditions resulting from the COVID-19 pandemic. In addition, in May 2020, USS Corporation announced that production was expected to be temporarily reduced at its Minntac Plant in Mountain Iron, Minnesota. USS Corporation resumed normal production at its Minntac Plant beginning in late July 2020. On November 5, 2020, USS Corporation announced it would resume operations in December 2020 at its Keetac facility. USS Corporation has the capability to produce approximately 15 million and 5 million tons annually at its Minntac and Keetac plants, respectively.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color w:val="auto"/>
        </w:rPr>
        <w:t>. In April 2020, ArcelorMittal announced that Hibbing Taconite in Hibbing, Minnesota, would idle production due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Hibbing Taconite resumed normal production in August 2020. Hibbing Taconite has the capability to produce approximately 8 million tons annually.</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u w:val="single" w:color="auto"/>
          <w:color w:val="auto"/>
        </w:rPr>
        <w:t>Cliffs Acquisition</w:t>
      </w:r>
      <w:r>
        <w:rPr>
          <w:rFonts w:ascii="Arial" w:cs="Arial" w:eastAsia="Arial" w:hAnsi="Arial"/>
          <w:sz w:val="18"/>
          <w:szCs w:val="18"/>
          <w:color w:val="auto"/>
        </w:rPr>
        <w:t>. On September 28, 2020, Cliffs announced that it had entered into an agreement with ArcelorMittal to acquire substantially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ArcelorMittal USA LLC and its subsidiaries. Cliffs stated that the transaction is expected to close in the fourth quarter of 2020 and that upon closure Cliffs would be the largest flat-rolled steel producer and the largest iron ore pellet producer in North America. The transaction would include ArcelorMittal’s Minorca mine in Virginia, Minnesota, and its ownership share of Hibbing Taconite in Hibbing, Minnesota, which are both large industrial customers of Minnesota Power. Cliffs would become Minnesota Power’s largest customer once the transaction is closed. The proposed acquisition will increase customer concentration risk and could lead to further capacity consolidation for both steel blast furnaces and the related Minnesota iron ore production.</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Paper, Pulp and Secondary Wood Products</w:t>
      </w:r>
      <w:r>
        <w:rPr>
          <w:rFonts w:ascii="Arial" w:cs="Arial" w:eastAsia="Arial" w:hAnsi="Arial"/>
          <w:sz w:val="16"/>
          <w:szCs w:val="16"/>
          <w:color w:val="auto"/>
        </w:rPr>
        <w:t xml:space="preserve">.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In addition, the ongoing COVID-19 pandemic and related federal and state government responses have adversely impacted these customers’ operations and resulted in lower operating levels than expected as well as the indefinite shutdown of Verso Corporation’s paper mill in Duluth, Minnesota. (See </w:t>
      </w:r>
      <w:r>
        <w:rPr>
          <w:rFonts w:ascii="Arial" w:cs="Arial" w:eastAsia="Arial" w:hAnsi="Arial"/>
          <w:sz w:val="16"/>
          <w:szCs w:val="16"/>
          <w:i w:val="1"/>
          <w:iCs w:val="1"/>
          <w:color w:val="auto"/>
        </w:rPr>
        <w:t>Verso Corporation</w:t>
      </w:r>
      <w:r>
        <w:rPr>
          <w:rFonts w:ascii="Arial" w:cs="Arial" w:eastAsia="Arial" w:hAnsi="Arial"/>
          <w:sz w:val="16"/>
          <w:szCs w:val="16"/>
          <w:color w:val="auto"/>
        </w:rPr>
        <w:t>.) These customers could continue to be adversely impacted by the COVID-19 pandemic resulting in lower operating levels than expected or the temporary idling or indefinite shutdown of other facilities.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Boise</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1, 2020, Packaging Corporation of America announced an idling of both paper machines and the sheet-converting operation at its Jackson</w:t>
      </w:r>
      <w:r>
        <w:rPr>
          <w:rFonts w:ascii="Arial" w:cs="Arial" w:eastAsia="Arial" w:hAnsi="Arial"/>
          <w:sz w:val="18"/>
          <w:szCs w:val="18"/>
          <w:i w:val="1"/>
          <w:iCs w:val="1"/>
          <w:color w:val="auto"/>
        </w:rPr>
        <w:t xml:space="preserve"> </w:t>
      </w:r>
      <w:r>
        <w:rPr>
          <w:rFonts w:ascii="Arial" w:cs="Arial" w:eastAsia="Arial" w:hAnsi="Arial"/>
          <w:sz w:val="18"/>
          <w:szCs w:val="18"/>
          <w:color w:val="auto"/>
        </w:rPr>
        <w:t>Mill in Alabama for the months of May and June 2020, which was subsequently extended through August according to an announcement on July 29, 2020. Packaging Corporation of America also stated that the company's Boise paper mill in International Falls, Minnesota, which is a customer of Minnesota Power, would continue to operate at capacity during the same period.</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Verso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2020, Verso Corporation indefinitely idled its paper mill in Duluth, Minnesota (Duluth Mill). Verso Corporation stated the</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was due to the accelerated decline in graphic paper demand resulting from the COVID-19 pandemic and has disclosed it is considering options for the Duluth Mill, including marketing for a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r>
        <w:rPr>
          <w:rFonts w:ascii="Arial" w:cs="Arial" w:eastAsia="Arial" w:hAnsi="Arial"/>
          <w:sz w:val="18"/>
          <w:szCs w:val="18"/>
          <w:color w:val="auto"/>
        </w:rPr>
        <w: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Husky Energy</w:t>
      </w:r>
      <w:r>
        <w:rPr>
          <w:rFonts w:ascii="Arial" w:cs="Arial" w:eastAsia="Arial" w:hAnsi="Arial"/>
          <w:sz w:val="18"/>
          <w:szCs w:val="18"/>
          <w:color w:val="auto"/>
        </w:rPr>
        <w:t>. In April 2018, a fire at Husky Energy’s refinery in Superior, Wisconsin, disrupted operations at the facility. Under normal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SWL&amp;P provides approximately 14 MW of average monthly demand to Husky Energy in addition to water service. In September 2019, Husky Energy announced that it had received the required permit approvals to begin reconstruction. In June 2020, Husky Energy announced that rebuild construction at the refinery had resumed following a suspension in March 2020 due to the COVID-19 pandemic. The facility remains at minimal operations, and the refinery is not expected to resume normal operations until 2022. On October 25, 2020, Husky Energy announced a transaction to combine with Cenovus Energy Inc., which it expects to close in the first quarter of 2021.</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2016, PolyMet submitted applications for water-related permits with the DNR and MPCA, an air quality permit with the MPCA, and a state permit to mine application with the DNR detailing its operational plans for the mine. In June 2018, the U.S. Forest Service and PolyMet closed on a land exchange, which resulted in PolyMet obtaining surface rights to land needed to develop its mining operation. In November 2018, the DNR issued PolyMet’s permit to mine and certain water-related permits. In December 2018, the MPCA issued PolyMet’s final state water and air quality permits. On March 21, 2019, the U.S. Army Corps of Engineers issued PolyMet’s final federal permit. PolyMet was issued all necessary permits to construct and operate its new mining operation; however, on January 13, 2020, the Minnesota Court of Appeals reversed the DNR’s decisions granting PolyMet’s permit to mine and dam-safety permits, and remanded them back to the DNR to hold a contested-case hearing. On February 11, 2020, PolyMet announced it had filed a petition for further review with the Minnesota Supreme Court seeking to overturn the Minnesota Court of Appeals decision, which was accepted for review by the Minnesota Supreme Court with oral arguments held in October 2020. Minnesota Power could supply between 45 MW and 50 MW of load under a 10-year power supply contract with PolyMet that would begin upon start-up of operations.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Minnesota Power is executing</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EnergyForward</w:t>
      </w:r>
      <w:r>
        <w:rPr>
          <w:rFonts w:ascii="Arial" w:cs="Arial" w:eastAsia="Arial" w:hAnsi="Arial"/>
          <w:sz w:val="17"/>
          <w:szCs w:val="17"/>
          <w:color w:val="auto"/>
        </w:rPr>
        <w:t>, a strategic plan for assuring reliability, protecting affordability and further improving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environmental performance. The plan includes completed and planned investments in wind, solar, natural gas and hydroelectric power, construction of additional transmission capacity, the installation of emissions control technology and the idling of certain coal-fired generating facilities.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In a 2016 order, the MPUC approved Minnesota Power’s 2015 IRP with modifications. The order accepted Minnesota Power’s</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the economic idling of Taconite Harbor Units 1 and 2 and the ceasing of coal-fired operations at Taconite Harbor in 2020, directed Minnesota Power to retire Boswell Units 1 and 2 no later than 2022,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 The MPUC also has required a baseload retirement evaluation in Minnesota Power’s next IRP filing analyzing its existing fleet, including potential early retirement scenarios of Boswell Units 3 and 4, as well as a securitization plan. Minnesota Power’s next IRP filing was due October 1, 2020; however, on May 29, 2020, Minnesota Power filed a request to extend the deadline for submitting its next IRP filing citing the COVID-19 pandemic. In an order dated September 25, 2020, the MPUC granted an extension of the deadline for submission until February 1, 2021, with interim reports due in the fourth quarter of 2020. On October 1, 2020, Minnesota Power submitted an initial securitization report regarding Boswell Units 3 and 4 as required in the MPUC’s order.</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Nemadji Trail Energy Center</w:t>
      </w:r>
      <w:r>
        <w:rPr>
          <w:rFonts w:ascii="Arial" w:cs="Arial" w:eastAsia="Arial" w:hAnsi="Arial"/>
          <w:sz w:val="17"/>
          <w:szCs w:val="17"/>
          <w:color w:val="auto"/>
        </w:rPr>
        <w:t>. In 2017, Minnesota Power submitted a resource package to the MPUC which included requesting approval of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capacity dedication agreement. The natural gas capacity dedication agreement was subject to MPUC approval of the construction of NTEC, a 525 MW to 550 MW combined-cycle natural gas-fired generating facility which will be jointly owned by Dairyland Power Cooperative and a subsidiary of ALLETE. Minnesota Power would purchase approximately 50 percent of the facility's output starting in 2025. In an order dated January 24, 2019, the MPUC approved Minnesota Power’s request for approval of the NTEC natural gas capacity dedication agreement. On December 23, 2019, the Minnesota Court of Appeals reversed and remanded the MPUC’s decision to approve certain affiliated-interest agreements. The MPUC was ordered to determine whether NTEC may have the potential for significant environmental effects and, if so, to prepare an environmental assessment before reassessing the agreements. On January 22, 2020, Minnesota Power filed a petition for further review with the Minnesota Supreme Court requesting that it review and overturn the Minnesota Court of Appeals decision, which petition was accepted for review by the Minnesota Supreme Court with oral arguments held on October 6, 2020. There is no deadline for the Minnesota Supreme Court to issue a ruling. On January 8, 2019, an application for a certificate of public convenience and necessity for NTEC was submitted to the PSCW, which was approved by the PSCW at a hearing on January 16, 2020. Construction of NTEC is subject to obtaining additional permits from local, state and federal authorities. The total project cost is estimated to be approximately $700 million, of which ALLETE’s portion is expected to be approximately $350 million. ALLETE’s portion of NTEC project costs incurred through September 30, 2020, is approximately $14 million.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2025. Minnesota Power continues to execute its renewable energy strategy and expects approximately 50 percent of its energy will be supplied by renewable energy sources by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Guard base and training facility near Little Falls, Minnesota, and a community solar garden project in northeastern Minnesota, which is comprised of a 1 MW solar array owned and operated by a third party with the output purchased by Minnesota Power and a 40 kW solar array that is owned and operated by Minnesota Power.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17, 2020, Minnesota Power filed a proposal with the MPUC to accelerate its plans for solar energy with an estimated $40 million investment in approximately 20 MW of solar energy projects in Minnesota. (See Note 2. Regulatory Matters.)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has approval for current cost recovery of investments and expenditures related to compliance with the Minnesota Solar Energy Standard. On June 30, 2020, Minnesota Power filed a petition seeking MPUC approval of a customer billing rate for solar costs related to investments and expenditures for meeting the state of Minnesota’s solar energy standard.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Minnesota Power has an approved cost recovery rider for certain renewable investments and expenditures. The cost recovery rider allows Minnesota Power to charge retail customers on a current basis for the costs of certain renewable investments plus a return on the capital invested. On August 15, 2019, Minnesota Power filed a petition seeking MPUC approval to update the customer billing factor, which was approved at a hearing on October 1, 2020.</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Nobles 2 PPA</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third quarter of 2018, Minnesota Power and Nobles 2 signed an amended long-term PPA that provides for Minnesota Power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the energy and associated capacity from a 250 MW wind energy facility in southwestern Minnesota for a 20-year period beginning in 2020. The agreement provides for the purchase of output from the facility at fixed energy prices. There are no fixed capacity charges, and Minnesota Power will only pay for energy as it is delivered. This agreement is subject to construction of the wind energy facility. (See Note 3. Equity Investments.)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three long-term PPAs with Manitoba Hydro. Under the first PPA, Minnesota Power is purchasing surplus energy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PPA provides for Minnesota Power to purchase 250 MW of capacity and energy from Manitoba Hydro through May 2035. The energy price is based on a formula that includes an annual fixed price component adjusted for the change in a governmental inflationary index and a natural gas index, as well as market prices.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third PPA provides for Minnesota Power to purchase up to 133 MW of energy from Manitoba Hydro through June 2040. The pricing under this PPA is based on forward market prices.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was required. As a result, Minnesota Power constructed the GNTL, an approximately 220-mile 500-kV transmission line between Manitoba and Minnesota’s Iron Range that was proposed by Minnesota Power and Manitoba Hydro in order to strengthen the electric grid, enhance regional reliability and promote a greater exchange of sustainable energy. On June 1, 2020, Minnesota Power placed the GNTL into service with project costs of approximately $310 million incurred by Minnesota Power through September 30, 2020. Total project costs, including those costs contributed by a subsidiary of Manitoba Hydro, incurred through September 30, 2020 totaled approximately $660 million. Also on June 1, 2020, Manitoba Hydro placed the MMTP into service.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and maintains electric transmission assets in portions of Wisconsin, Michigan, Minnesota and Illinois. We account for our investment in ATC under the equity method of accounting. As of September 30, 2020, our equity investment in ATC was $146.8 million ($141.6 million as of December 31, 2019). In the nine months ended September 30, 2020, we invested $2.0 million in ATC, and on October 30, 2020, we invested an additional $0.8 million. We do not expect to make any additional investments in 2020.</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May 21, 2020, FERC order that granted rehearing of a November 2019 FERC order, which had reduced the base return on equity for regional transmission organizations to 9.88 percent, or 10.38 percent including an incentive adder.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2020 through 2029, identifies a need for between $2.9 billion and $3.5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focuses on developing, acquiring, and operating clean and renewable energy projects. ALLETE Clean Energy currently owns and operates, in six states, approximately 740 MW of nameplate capacity wind energy generation that is contracted under PSAs of various durations. In addition, ALLETE Clean Energy currently has approximately 600 MW of wind energy facilities under construction or development. ALLETE Clean Energy also engages in the development of wind energy facilities to operate under long-term PSAs or for sale to others upon completion.</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and production tax credit requalification of existing facilities.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will pursue growth through acquisitions or project development. ALLETE Clean Energy is targeting acquisitions of existing facilities up to 200 MW each, which have long-term PSAs in place for the facilities’ output. At this time, ALLETE Clean Energy expects acquisitions or development of new facilities will be primarily wind or solar facilities in North America. ALLETE Clean Energy is also targeting the development of new facilities up to 200 MW each, which will have long-term PSAs in place for the output or may be sold upon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Federal production tax credit qualification is important to the economics of project development, and ALLETE Clean Energy has invested in equipment to meet production tax credit safe harbor provisions which provides an opportunity to seek development of its remaining safe harbor production tax credit qualified turbines through 2022. ALLETE Clean Energy has invested approximately $80 million through 2020 for production tax credit requalification of up to approximately 500 WTGs at its Storm Lake I, Storm Lake II, Lake Benton and Condon wind energy facilities. We anticipate annual production tax credits relating to these projects of approximately $17 million in 2020, $17 million to $22 million annually in 2021 through 2027 and decreasing thereafter through 2030. Disruptions in our supply chains or a lack of available financing resulting from the ongoing COVID-19 pandemic, if they occur, could jeopardize our ability to complete certain capital projects in time to qualify them for production tax credits. To date we have not experienced disruptions in our supply chains. (See Part II, Item 1A. Risk Factors.)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ALLETE Clean Energy announced that it will build, own and operate the South Peak wind project, an 80 MW wind energy facility in Montana, pursuant to a 15-year PSA with NorthWestern Corporation; construction was completed and tax equity funding of $67.8 million in cash, net of issuance costs, was received in the second quarter of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ALLETE Clean Energy acquired the Diamond Spring wind project in Oklahoma from Apex Clean Energy. ALLETE Clean Energy will build, own and operate the approximately 300 MW wind energy facility. The Diamond Spring wind project is fully contracted to sell wind power under long-term power sales agreements. Construction is expected to be completed in the fourth quarter of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2020, ALLETE Clean Energy acquired the rights to the approximately 300 MW Caddo wind development project in Oklahoma from Apex Clean Energy. The Caddo wind project is fully contracted to sell wind power under long-term power sales agreements. Construction is expected to be completed in late 2021.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of approximately 740 MW is subject to typical variations in seasonal wind with higher wind resources typically available in the winter months. The majority of its planned maintenance leverages this seasonality and is performed during lower wind periods. The current mix of PSA expiration and geographic location for existing facilities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Wind Energy Facility</w:t>
            </w:r>
          </w:p>
        </w:tc>
        <w:tc>
          <w:tcPr>
            <w:tcW w:w="278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0"/>
              </w:rPr>
              <w:t>Location</w:t>
            </w:r>
          </w:p>
        </w:tc>
        <w:tc>
          <w:tcPr>
            <w:tcW w:w="18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Capacity MW</w:t>
            </w: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PSA MW</w:t>
            </w:r>
          </w:p>
        </w:tc>
        <w:tc>
          <w:tcPr>
            <w:tcW w:w="17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PSA Expiration</w:t>
            </w:r>
          </w:p>
        </w:tc>
      </w:tr>
      <w:tr>
        <w:trPr>
          <w:trHeight w:val="22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Armenia Mountain</w:t>
            </w:r>
          </w:p>
        </w:tc>
        <w:tc>
          <w:tcPr>
            <w:tcW w:w="2780" w:type="dxa"/>
            <w:vAlign w:val="bottom"/>
            <w:tcBorders>
              <w:bottom w:val="single" w:sz="8" w:color="auto"/>
            </w:tcBorders>
            <w:shd w:val="clear" w:color="auto" w:fill="CCEEFF"/>
          </w:tcPr>
          <w:p>
            <w:pPr>
              <w:jc w:val="center"/>
              <w:ind w:left="1230"/>
              <w:spacing w:after="0"/>
              <w:rPr>
                <w:sz w:val="20"/>
                <w:szCs w:val="20"/>
                <w:color w:val="auto"/>
              </w:rPr>
            </w:pPr>
            <w:r>
              <w:rPr>
                <w:rFonts w:ascii="Arial" w:cs="Arial" w:eastAsia="Arial" w:hAnsi="Arial"/>
                <w:sz w:val="18"/>
                <w:szCs w:val="18"/>
                <w:color w:val="auto"/>
                <w:w w:val="83"/>
              </w:rPr>
              <w:t>East</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101</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Chanarambie/Viking</w:t>
            </w:r>
          </w:p>
        </w:tc>
        <w:tc>
          <w:tcPr>
            <w:tcW w:w="2780" w:type="dxa"/>
            <w:vAlign w:val="bottom"/>
          </w:tcPr>
          <w:p>
            <w:pPr>
              <w:jc w:val="center"/>
              <w:ind w:left="1230"/>
              <w:spacing w:after="0"/>
              <w:rPr>
                <w:sz w:val="20"/>
                <w:szCs w:val="20"/>
                <w:color w:val="auto"/>
              </w:rPr>
            </w:pPr>
            <w:r>
              <w:rPr>
                <w:rFonts w:ascii="Arial" w:cs="Arial" w:eastAsia="Arial" w:hAnsi="Arial"/>
                <w:sz w:val="18"/>
                <w:szCs w:val="18"/>
                <w:color w:val="auto"/>
                <w:w w:val="93"/>
              </w:rPr>
              <w:t>Midwest</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14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30"/>
        </w:trPr>
        <w:tc>
          <w:tcPr>
            <w:tcW w:w="3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PSA 2</w:t>
            </w:r>
          </w:p>
        </w:tc>
        <w:tc>
          <w:tcPr>
            <w:tcW w:w="27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88%</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2023</w:t>
            </w:r>
          </w:p>
        </w:tc>
      </w:tr>
      <w:tr>
        <w:trPr>
          <w:trHeight w:val="22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Condon</w:t>
            </w:r>
          </w:p>
        </w:tc>
        <w:tc>
          <w:tcPr>
            <w:tcW w:w="2780" w:type="dxa"/>
            <w:vAlign w:val="bottom"/>
            <w:tcBorders>
              <w:bottom w:val="single" w:sz="8" w:color="auto"/>
            </w:tcBorders>
            <w:shd w:val="clear" w:color="auto" w:fill="CCEEFF"/>
          </w:tcPr>
          <w:p>
            <w:pPr>
              <w:jc w:val="center"/>
              <w:ind w:left="1230"/>
              <w:spacing w:after="0"/>
              <w:rPr>
                <w:sz w:val="20"/>
                <w:szCs w:val="20"/>
                <w:color w:val="auto"/>
              </w:rPr>
            </w:pPr>
            <w:r>
              <w:rPr>
                <w:rFonts w:ascii="Arial" w:cs="Arial" w:eastAsia="Arial" w:hAnsi="Arial"/>
                <w:sz w:val="18"/>
                <w:szCs w:val="18"/>
                <w:color w:val="auto"/>
                <w:w w:val="82"/>
              </w:rPr>
              <w:t>West</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Glen Ullin</w:t>
            </w:r>
          </w:p>
        </w:tc>
        <w:tc>
          <w:tcPr>
            <w:tcW w:w="278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color w:val="auto"/>
                <w:w w:val="82"/>
              </w:rPr>
              <w:t>West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2039</w:t>
            </w:r>
          </w:p>
        </w:tc>
      </w:tr>
      <w:tr>
        <w:trPr>
          <w:trHeight w:val="22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Lake Benton</w:t>
            </w:r>
          </w:p>
        </w:tc>
        <w:tc>
          <w:tcPr>
            <w:tcW w:w="2780" w:type="dxa"/>
            <w:vAlign w:val="bottom"/>
            <w:tcBorders>
              <w:bottom w:val="single" w:sz="8" w:color="auto"/>
            </w:tcBorders>
            <w:shd w:val="clear" w:color="auto" w:fill="CCEEFF"/>
          </w:tcPr>
          <w:p>
            <w:pPr>
              <w:jc w:val="center"/>
              <w:ind w:left="1230"/>
              <w:spacing w:after="0"/>
              <w:rPr>
                <w:sz w:val="20"/>
                <w:szCs w:val="20"/>
                <w:color w:val="auto"/>
              </w:rPr>
            </w:pPr>
            <w:r>
              <w:rPr>
                <w:rFonts w:ascii="Arial" w:cs="Arial" w:eastAsia="Arial" w:hAnsi="Arial"/>
                <w:sz w:val="18"/>
                <w:szCs w:val="18"/>
                <w:color w:val="auto"/>
                <w:w w:val="93"/>
              </w:rPr>
              <w:t>Midwest</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104</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South Peak</w:t>
            </w:r>
          </w:p>
        </w:tc>
        <w:tc>
          <w:tcPr>
            <w:tcW w:w="2780" w:type="dxa"/>
            <w:vAlign w:val="bottom"/>
            <w:tcBorders>
              <w:bottom w:val="single" w:sz="8" w:color="auto"/>
            </w:tcBorders>
          </w:tcPr>
          <w:p>
            <w:pPr>
              <w:jc w:val="center"/>
              <w:ind w:left="1230"/>
              <w:spacing w:after="0"/>
              <w:rPr>
                <w:sz w:val="20"/>
                <w:szCs w:val="20"/>
                <w:color w:val="auto"/>
              </w:rPr>
            </w:pPr>
            <w:r>
              <w:rPr>
                <w:rFonts w:ascii="Arial" w:cs="Arial" w:eastAsia="Arial" w:hAnsi="Arial"/>
                <w:sz w:val="18"/>
                <w:szCs w:val="18"/>
                <w:color w:val="auto"/>
                <w:w w:val="82"/>
              </w:rPr>
              <w:t>West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2035</w:t>
            </w:r>
          </w:p>
        </w:tc>
      </w:tr>
      <w:tr>
        <w:trPr>
          <w:trHeight w:val="22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Storm Lake I</w:t>
            </w:r>
          </w:p>
        </w:tc>
        <w:tc>
          <w:tcPr>
            <w:tcW w:w="2780" w:type="dxa"/>
            <w:vAlign w:val="bottom"/>
            <w:tcBorders>
              <w:bottom w:val="single" w:sz="8" w:color="auto"/>
            </w:tcBorders>
            <w:shd w:val="clear" w:color="auto" w:fill="CCEEFF"/>
          </w:tcPr>
          <w:p>
            <w:pPr>
              <w:jc w:val="center"/>
              <w:ind w:left="1230"/>
              <w:spacing w:after="0"/>
              <w:rPr>
                <w:sz w:val="20"/>
                <w:szCs w:val="20"/>
                <w:color w:val="auto"/>
              </w:rPr>
            </w:pPr>
            <w:r>
              <w:rPr>
                <w:rFonts w:ascii="Arial" w:cs="Arial" w:eastAsia="Arial" w:hAnsi="Arial"/>
                <w:sz w:val="18"/>
                <w:szCs w:val="18"/>
                <w:color w:val="auto"/>
                <w:w w:val="93"/>
              </w:rPr>
              <w:t>Midwest</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2027</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Storm Lake II</w:t>
            </w:r>
          </w:p>
        </w:tc>
        <w:tc>
          <w:tcPr>
            <w:tcW w:w="2780" w:type="dxa"/>
            <w:vAlign w:val="bottom"/>
          </w:tcPr>
          <w:p>
            <w:pPr>
              <w:jc w:val="center"/>
              <w:ind w:left="1230"/>
              <w:spacing w:after="0"/>
              <w:rPr>
                <w:sz w:val="20"/>
                <w:szCs w:val="20"/>
                <w:color w:val="auto"/>
              </w:rPr>
            </w:pPr>
            <w:r>
              <w:rPr>
                <w:rFonts w:ascii="Arial" w:cs="Arial" w:eastAsia="Arial" w:hAnsi="Arial"/>
                <w:sz w:val="18"/>
                <w:szCs w:val="18"/>
                <w:color w:val="auto"/>
                <w:w w:val="93"/>
              </w:rPr>
              <w:t>Midwest</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14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PSA 1</w:t>
            </w:r>
          </w:p>
        </w:tc>
        <w:tc>
          <w:tcPr>
            <w:tcW w:w="2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2022</w:t>
            </w:r>
          </w:p>
        </w:tc>
      </w:tr>
      <w:tr>
        <w:trPr>
          <w:trHeight w:val="229"/>
        </w:trPr>
        <w:tc>
          <w:tcPr>
            <w:tcW w:w="3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PSA 2</w:t>
            </w:r>
          </w:p>
        </w:tc>
        <w:tc>
          <w:tcPr>
            <w:tcW w:w="27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2032</w:t>
            </w:r>
          </w:p>
        </w:tc>
      </w:tr>
      <w:tr>
        <w:trPr>
          <w:trHeight w:val="22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780" w:type="dxa"/>
            <w:vAlign w:val="bottom"/>
            <w:tcBorders>
              <w:bottom w:val="single" w:sz="8" w:color="auto"/>
            </w:tcBorders>
            <w:shd w:val="clear" w:color="auto" w:fill="CCEEFF"/>
          </w:tcPr>
          <w:p>
            <w:pPr>
              <w:jc w:val="center"/>
              <w:ind w:left="1230"/>
              <w:spacing w:after="0"/>
              <w:rPr>
                <w:sz w:val="20"/>
                <w:szCs w:val="20"/>
                <w:color w:val="auto"/>
              </w:rPr>
            </w:pPr>
            <w:r>
              <w:rPr>
                <w:rFonts w:ascii="Arial" w:cs="Arial" w:eastAsia="Arial" w:hAnsi="Arial"/>
                <w:sz w:val="18"/>
                <w:szCs w:val="18"/>
                <w:color w:val="auto"/>
                <w:w w:val="93"/>
              </w:rPr>
              <w:t>Midwest</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2028</w:t>
            </w:r>
          </w:p>
        </w:tc>
      </w:tr>
    </w:tbl>
    <w:p>
      <w:pPr>
        <w:spacing w:after="0" w:line="9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all renewal options that ALLETE Clean Energy has the sole right to exercise.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4.3 million tons of lignite coal in 2020 (4.1 million tons were sold in 2019) and has sold 3.1 million tons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2020 (3.2 million tons were sold for the nine months ended September 30, 2019). BNI Energy operates under cost-plus fixed fee agreements extending through December 31, 2037.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Investment in Nobles 2</w:t>
      </w:r>
      <w:r>
        <w:rPr>
          <w:rFonts w:ascii="Arial" w:cs="Arial" w:eastAsia="Arial" w:hAnsi="Arial"/>
          <w:sz w:val="17"/>
          <w:szCs w:val="17"/>
          <w:color w:val="auto"/>
        </w:rPr>
        <w:t>. Our wholly-owned subsidiary, ALLETE South Wind, owns 49 percent of Nobles 2, the entity that will own and operate a 250 MW</w:t>
      </w:r>
      <w:r>
        <w:rPr>
          <w:rFonts w:ascii="Arial" w:cs="Arial" w:eastAsia="Arial" w:hAnsi="Arial"/>
          <w:sz w:val="17"/>
          <w:szCs w:val="17"/>
          <w:i w:val="1"/>
          <w:iCs w:val="1"/>
          <w:color w:val="auto"/>
        </w:rPr>
        <w:t xml:space="preserve"> </w:t>
      </w:r>
      <w:r>
        <w:rPr>
          <w:rFonts w:ascii="Arial" w:cs="Arial" w:eastAsia="Arial" w:hAnsi="Arial"/>
          <w:sz w:val="17"/>
          <w:szCs w:val="17"/>
          <w:color w:val="auto"/>
        </w:rPr>
        <w:t>wind energy facility in southwestern Minnesota pursuant to a 20-year PPA with Minnesota Power. The wind energy facility will be built in Nobles County, Minnesota, and is expected to be completed in the fourth quarter of 2020, with an estimated total project cost of approximately $350 million to $400 million. In the fourth quarter of 2019, we entered into a tax equity funding agreement to finance approximately $120 million of the project costs. We account for our investment in Nobles 2 under the equity method of accounting. As of September 30, 2020, our equity investment in Nobles 2 was $145.0 million ($56.0 million at December 31, 2019). In the nine months ended September 30, 2020, we invested $89.0 million in Nobles 2, and in October 2020 we invested an additional $0.7 million. We expect to make approximately $25 million in additional investments in 2020.</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legacy Florida real estate investment. ALLETE Properties’ major project in Florida is Town Center</w:t>
      </w:r>
      <w:r>
        <w:rPr>
          <w:rFonts w:ascii="Arial" w:cs="Arial" w:eastAsia="Arial" w:hAnsi="Arial"/>
          <w:sz w:val="18"/>
          <w:szCs w:val="18"/>
          <w:i w:val="1"/>
          <w:iCs w:val="1"/>
          <w:color w:val="auto"/>
        </w:rPr>
        <w:t xml:space="preserve"> </w:t>
      </w:r>
      <w:r>
        <w:rPr>
          <w:rFonts w:ascii="Arial" w:cs="Arial" w:eastAsia="Arial" w:hAnsi="Arial"/>
          <w:sz w:val="18"/>
          <w:szCs w:val="18"/>
          <w:color w:val="auto"/>
        </w:rPr>
        <w:t>at Palm Coast, with approximately 800 acres of land available for sale. In addition to this project, ALLETE Properties has approximately 600 acres of other land available for sale. Market conditions can impact land sales and could result in our inability to cover our cost basis and operating expenses including fixed carrying costs such as community development district assessments and property taxes.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strategy incorporates the possibility of a bulk sale of the entire ALLETE Properties portfolio. Proceeds from a bulk sale would be 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28 percent for 2020. ALLETE also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30 percent for 2020 primarily due to federal production tax credits as a result of wind energy generation.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Liquidity Position. </w:t>
      </w:r>
      <w:r>
        <w:rPr>
          <w:rFonts w:ascii="Arial" w:cs="Arial" w:eastAsia="Arial" w:hAnsi="Arial"/>
          <w:sz w:val="16"/>
          <w:szCs w:val="16"/>
          <w:color w:val="auto"/>
        </w:rPr>
        <w:t>ALLETE is well-positioned to meet the Company’s liquidity needs; however, the Company is monitoring capital markets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financing sources in light of the ongoing COVID-19 pandemic. (See Part II, Item 1A. Risk Factors.)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w:t>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As of September 30, 2020, we had cash and cash equivalents of $79.0 million, $384.7 million in available consolidated lines of credit, 2.9 million original issue shares of common stock available for issuance through a distribution agreement with Lampert Capital Markets and a debt-to-capital ratio of 45 percent. (See </w:t>
      </w:r>
      <w:r>
        <w:rPr>
          <w:rFonts w:ascii="Arial" w:cs="Arial" w:eastAsia="Arial" w:hAnsi="Arial"/>
          <w:sz w:val="18"/>
          <w:szCs w:val="18"/>
          <w:i w:val="1"/>
          <w:iCs w:val="1"/>
          <w:color w:val="auto"/>
        </w:rPr>
        <w:t>Working Capital</w:t>
      </w:r>
      <w:r>
        <w:rPr>
          <w:rFonts w:ascii="Arial" w:cs="Arial" w:eastAsia="Arial" w:hAnsi="Arial"/>
          <w:sz w:val="18"/>
          <w:szCs w:val="18"/>
          <w:color w:val="auto"/>
        </w:rPr>
        <w: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ALLETE received $67.8 million in cash, net of issuance costs, in April 2020 from a third-party investor as part of a tax equity financing for ALLETE Clean Energy’s South Peak wind energy facility, issued $140 million of the Company's first mortgage bonds in August 2020 and sold $150 million of senior unsecured notes in September 2020. The Company also has approximately $350 million in commitments from tax equity partners for our investment in Nobles 2 and ALLETE Clean Energy’s Diamond Spring wind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72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$2,281.0</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51</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$2,231.9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220" w:type="dxa"/>
            <w:vAlign w:val="bottom"/>
          </w:tcPr>
          <w:p>
            <w:pPr>
              <w:jc w:val="right"/>
              <w:ind w:right="250"/>
              <w:spacing w:after="0"/>
              <w:rPr>
                <w:sz w:val="20"/>
                <w:szCs w:val="20"/>
                <w:color w:val="auto"/>
              </w:rPr>
            </w:pPr>
            <w:r>
              <w:rPr>
                <w:rFonts w:ascii="Arial" w:cs="Arial" w:eastAsia="Arial" w:hAnsi="Arial"/>
                <w:sz w:val="18"/>
                <w:szCs w:val="18"/>
                <w:color w:val="auto"/>
              </w:rPr>
              <w:t>164.6</w:t>
            </w: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103.7</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2,022.5</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45</w:t>
            </w: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1,622.6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$4,468.1</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$3,958.2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572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Nine Months Ended September 30,</w:t>
            </w:r>
          </w:p>
        </w:tc>
        <w:tc>
          <w:tcPr>
            <w:tcW w:w="2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$92.5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Cash Flows from (used for)</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243.9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(633.2)</w:t>
            </w:r>
          </w:p>
        </w:tc>
        <w:tc>
          <w:tcPr>
            <w:tcW w:w="740" w:type="dxa"/>
            <w:vAlign w:val="bottom"/>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381.9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Change in Cash, Cash Equivalents and Restricted Cash</w:t>
            </w:r>
          </w:p>
        </w:tc>
        <w:tc>
          <w:tcPr>
            <w:tcW w:w="2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(7.4)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$85.1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higher in 2020 compared to 2019. Cash from operating activities in 2019 included the refund of</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provisions for interim rates and tax reform, and the impact of U.S. Water Services prior to its sale. Cash from operating activities in 2020 included lower collections of accounts receivable due to timing.</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higher in 2020 compared to 2019. Cash from investing activities in 2019 included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the sale of U.S. Water Services. Cash used for investing activities in 2020 included higher additions to property, plant and equipment and additional payments for equity method investments compared to 2019.</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higher in 2020 compared to 2019 primarily due to higher proceeds from the issuance of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proceeds from a tax equity financing (non-controlling interest in subsidiaries) in 2020. These increases were partially offset by higher repayments of long-term debt in 2020.</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and the issuance of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long-term debt, common stock and commercial paper. As of September 30, 2020, we had consolidated bank lines of credit aggregating $407.0 million ($407.0 million as of December 31, 2019), the majority of which expire in January 2024. We had $22.3 million outstanding in standby letters of credit and no outstanding draws under our lines of credit as of September 30, 2020 ($62.0 million in standby letters of credit and no outstanding draws as of December 31, 2019). We also have other credit facility agreements in place that provide the ability to issue up to $100.0 million in standby letters of credit. As of September 30, 2020, we had $72.4 million outstanding in standby letters of credit under these agreements.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of September 30, 2020, we had 3.5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as amended most recently in May 2020. The amount and timing of future sales of our securities will depend upon market conditions and our specific needs. In July 2019, we filed Registration Statement No. 333-232905, pursuant to which the remaining shares under this agreement will continue to be offered for sale, from time to time.</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During the nine months ended September 30, 2020, we issued 0.3 million shares of common stock through Invest Direct, the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and the Retirement Savings and Stock Ownership Plan, resulting in net proceeds of $12.8 million (0.2 million shares were issued for the nine months ended September 30, 2019, resulting in net proceeds of $1.7 million). These shares of common stock were registered under Registration Statement Nos. 333-231030, 333-183051 and 333-162890.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5. Short-Term and Long-Term Debt for information regarding our financial covenants.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(See Note 9. Pension and Other Postretirement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2019 Form 10-K, with additional disclosure in Note 6.</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Global</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Credit Ratings</w:t>
            </w:r>
          </w:p>
        </w:tc>
        <w:tc>
          <w:tcPr>
            <w:tcW w:w="4280" w:type="dxa"/>
            <w:vAlign w:val="bottom"/>
          </w:tcPr>
          <w:p>
            <w:pPr>
              <w:jc w:val="center"/>
              <w:ind w:left="2732"/>
              <w:spacing w:after="0"/>
              <w:rPr>
                <w:sz w:val="20"/>
                <w:szCs w:val="20"/>
                <w:color w:val="auto"/>
              </w:rPr>
            </w:pPr>
            <w:r>
              <w:rPr>
                <w:rFonts w:ascii="Arial" w:cs="Arial" w:eastAsia="Arial" w:hAnsi="Arial"/>
                <w:sz w:val="18"/>
                <w:szCs w:val="18"/>
                <w:b w:val="1"/>
                <w:bCs w:val="1"/>
                <w:color w:val="auto"/>
                <w:w w:val="95"/>
              </w:rPr>
              <w:t>S&amp;P Global</w:t>
            </w: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Moody’s</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vMerge w:val="continue"/>
          </w:tcPr>
          <w:p>
            <w:pPr>
              <w:spacing w:after="0"/>
              <w:rPr>
                <w:sz w:val="19"/>
                <w:szCs w:val="19"/>
                <w:color w:val="auto"/>
              </w:rPr>
            </w:pPr>
          </w:p>
        </w:tc>
        <w:tc>
          <w:tcPr>
            <w:tcW w:w="4280" w:type="dxa"/>
            <w:vAlign w:val="bottom"/>
            <w:tcBorders>
              <w:bottom w:val="single" w:sz="8" w:color="auto"/>
            </w:tcBorders>
          </w:tcPr>
          <w:p>
            <w:pPr>
              <w:jc w:val="center"/>
              <w:ind w:left="2732"/>
              <w:spacing w:after="0"/>
              <w:rPr>
                <w:sz w:val="20"/>
                <w:szCs w:val="20"/>
                <w:color w:val="auto"/>
              </w:rPr>
            </w:pPr>
            <w:r>
              <w:rPr>
                <w:rFonts w:ascii="Arial" w:cs="Arial" w:eastAsia="Arial" w:hAnsi="Arial"/>
                <w:sz w:val="18"/>
                <w:szCs w:val="18"/>
                <w:b w:val="1"/>
                <w:bCs w:val="1"/>
                <w:color w:val="auto"/>
                <w:w w:val="87"/>
              </w:rPr>
              <w:t>Ratings</w:t>
            </w: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280" w:type="dxa"/>
            <w:vAlign w:val="bottom"/>
            <w:shd w:val="clear" w:color="auto" w:fill="CCEEFF"/>
          </w:tcPr>
          <w:p>
            <w:pPr>
              <w:jc w:val="center"/>
              <w:ind w:left="2712"/>
              <w:spacing w:after="0"/>
              <w:rPr>
                <w:sz w:val="20"/>
                <w:szCs w:val="20"/>
                <w:color w:val="auto"/>
              </w:rPr>
            </w:pPr>
            <w:r>
              <w:rPr>
                <w:rFonts w:ascii="Arial" w:cs="Arial" w:eastAsia="Arial" w:hAnsi="Arial"/>
                <w:sz w:val="18"/>
                <w:szCs w:val="18"/>
                <w:color w:val="auto"/>
                <w:w w:val="99"/>
              </w:rPr>
              <w:t>BBB</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Baa1</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280" w:type="dxa"/>
            <w:vAlign w:val="bottom"/>
          </w:tcPr>
          <w:p>
            <w:pPr>
              <w:jc w:val="center"/>
              <w:ind w:left="2712"/>
              <w:spacing w:after="0"/>
              <w:rPr>
                <w:sz w:val="20"/>
                <w:szCs w:val="20"/>
                <w:color w:val="auto"/>
              </w:rPr>
            </w:pPr>
            <w:r>
              <w:rPr>
                <w:rFonts w:ascii="Arial" w:cs="Arial" w:eastAsia="Arial" w:hAnsi="Arial"/>
                <w:sz w:val="18"/>
                <w:szCs w:val="18"/>
                <w:color w:val="auto"/>
                <w:w w:val="99"/>
              </w:rPr>
              <w:t>A-2</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P-2</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280" w:type="dxa"/>
            <w:vAlign w:val="bottom"/>
            <w:tcBorders>
              <w:bottom w:val="single" w:sz="8" w:color="auto"/>
            </w:tcBorders>
            <w:shd w:val="clear" w:color="auto" w:fill="CCEEFF"/>
          </w:tcPr>
          <w:p>
            <w:pPr>
              <w:jc w:val="center"/>
              <w:ind w:left="2732"/>
              <w:spacing w:after="0"/>
              <w:rPr>
                <w:sz w:val="20"/>
                <w:szCs w:val="20"/>
                <w:color w:val="auto"/>
              </w:rPr>
            </w:pPr>
            <w:r>
              <w:rPr>
                <w:rFonts w:ascii="Arial" w:cs="Arial" w:eastAsia="Arial" w:hAnsi="Arial"/>
                <w:sz w:val="16"/>
                <w:szCs w:val="16"/>
                <w:i w:val="1"/>
                <w:iCs w:val="1"/>
                <w:color w:val="auto"/>
                <w:w w:val="91"/>
              </w:rPr>
              <w:t>(a)</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98"/>
        </w:trPr>
        <w:tc>
          <w:tcPr>
            <w:tcW w:w="5680" w:type="dxa"/>
            <w:vAlign w:val="bottom"/>
          </w:tcPr>
          <w:p>
            <w:pPr>
              <w:spacing w:after="0"/>
              <w:rPr>
                <w:sz w:val="20"/>
                <w:szCs w:val="20"/>
                <w:color w:val="auto"/>
              </w:rPr>
            </w:pPr>
            <w:r>
              <w:rPr>
                <w:rFonts w:ascii="Arial" w:cs="Arial" w:eastAsia="Arial" w:hAnsi="Arial"/>
                <w:sz w:val="16"/>
                <w:szCs w:val="16"/>
                <w:i w:val="1"/>
                <w:iCs w:val="1"/>
                <w:color w:val="auto"/>
              </w:rPr>
              <w:t>(a)  Not rated by S&amp;P Global Ratings.</w:t>
            </w:r>
          </w:p>
        </w:tc>
        <w:tc>
          <w:tcPr>
            <w:tcW w:w="4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22, 2020, S&amp;P Global Ratings downgraded ALLETE’s long-term issuer credit rating to BBB stable from BBB+ outlook negative and affirmed its short-term rating at A-2. S&amp;P Global Ratings noted the impacts of debt coverage ratios going forward along with the lack of a revenue decoupling mechanism at Minnesota Power combined with the large commercial and industrial presence in its service territory as its rationale for the downgrade.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Capital Requirements. </w:t>
      </w:r>
      <w:r>
        <w:rPr>
          <w:rFonts w:ascii="Arial" w:cs="Arial" w:eastAsia="Arial" w:hAnsi="Arial"/>
          <w:sz w:val="17"/>
          <w:szCs w:val="17"/>
          <w:color w:val="auto"/>
        </w:rPr>
        <w:t>Our capital expenditures for 2020 are now expected to be approximately $670 million. The increase from the 2020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expenditures projected in our 2019 Form 10-K is primarily due to the Caddo wind project. (See Outlook – ALLETE Clean Energy.) The Company is also evaluating its planned capital expenditures and may make adjustments to mitigate impacts of the ongoing COVID-19 pandemic, if appropriate. For the nine months ended September 30, 2020, capital expenditures totaled $457.1 million ($421.6 million for the nine months ended September 30, 2019). The expenditures were primarily made in the Regulated Operations and ALLETE Clean Energy segments.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OTHER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ALLETE had 1,343 employees, of which 1,322 were full-time.</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Minnesota Power and SWL&amp;P have an aggregate of 462 employees who are members of International Brotherhood of Electrical Workers (IBEW) Local 31. The current labor agreements with IBEW Local 31 expire on April 30, 2023, for Minnesota Power and February 1, 2021, for SWL&amp;P.</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BNI Energy has 185 employees, of which 137 are subject to a labor agreement with IBEW Local 1593. The current labor agreement with IBEW Local 1593 expires on March 31,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September 30, 2020,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September 30, 2020, an increase of 100 basis points in interest rates would impact the amount of pre-tax interest expense by $3.4 million. This amount was determined by considering the impact of a hypothetical 100 basis point increase to the average variable interest rate on the variable rate debt outstanding as of September 30, 2020.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ectPr>
          <w:pgSz w:w="11900" w:h="16838" w:orient="portrait"/>
          <w:cols w:equalWidth="0" w:num="1">
            <w:col w:w="11240"/>
          </w:cols>
          <w:pgMar w:left="320" w:top="891" w:right="339" w:bottom="1440" w:gutter="0" w:footer="0" w:header="0"/>
        </w:sectPr>
      </w:pP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As of September 30, 2020, evaluations were performed, under the supervision and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1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9. Commitments, Guarantees and Contingencies to the Consolidated Financial Statements in our 2019 Form 10-K and Note 2. Regulatory Matters and Note 6. Commitments, Guarantees and Contingencies herein. Such information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2019 Form 10-K includes a detailed discussion of our risk factors. The information presented below updates, and should be read in conjunction with, the risk factors disclosed in Part I, Item 1A. Risk Factors of our 2019 Form 10-K.</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be materially adversely affected by the ongoing COVID-19 pandemic for which we are unable to predict the ultimate impact as the extent and duration of the COVID-19 pandemic is uncertain.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ongoing COVID-19 pandemic has resulted in widespread impacts on the global economy and on our employees, customers, contractors, and suppliers. There is considerable uncertainty regarding the extent to which COVID-19 will spread and the extent and duration of measures to try to contain the virus, such as travel bans and restrictions, quarantines, shelter-in-place orders (including those in effect in areas our businesses operate), and business and government shutdowns. We are responding to the COVID-19 pandemic by taking steps to mitigate the potential risks to us posed by its spread and have implemented our company-wide business continuity plans in response to the pandemic. These plans guide our emergency response, business continuity, and the precautionary measures we are taking on behalf of employees and the public. We have taken additional precautions for our employees who work in the field and for employees who continue to work in our facilities, and we have implemented work from home policies where appropriate. We continue to implement physical and cyber-security measures to ensure that our systems remain functional in order to both serve our operational needs with a remote workforce and keep them running to ensure uninterrupted service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We could be materially adversely affected by the ongoing COVID-19 pandemic for which we are unable to predict the ultimate impact as the extent and duration of the COVID-19 pandemic is uncertain (Continued)</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ongoing COVID-19 pandemic and related federal and state government responses has led to a disruption of economic activity, and could result in an extended disruption of economic activity. The governors of Minnesota and Wisconsin issued executive orders in March 2020 in response to the COVID-19 pandemic which restricted economic activity in these states. The state of Minnesota continues to have restrictions that remain in effect through at least November 12, 2020. The state of Wisconsin’s original order was overturned in May 2020, but the state issued new restrictions in October 2020 that are currently pending legal challenges. This disruption has resulted and is expected to continue to result in reduced sales and revenue from commercial, municipal and industrial customers as well as an increase in uncollectible accounts from residential and commercial customers. Many commercial and industrial customers were operating at reduced levels or were temporarily closed or idled during the second and third quarters of 2020. In addition, USS Corporation idled its Keetac plant and Verso Corporation indefinitely idled its paper mill in Duluth, Minnesota, both of which remain idled. (See Outlook – Regulated Operations – Industrial Customers and Prospective Additional Load.) The current disruption of economic activity or an extended disruption of economic activity may lead to additional adverse impacts on our taconite mining, paper, pulp and secondary wood products, and pipeline customers’ operations including further reduced production or the temporary idling or indefinite shutdown of other facilities, which would result in lower sales and revenue from these customers. In Minnesota Power’s service territory, we have also voluntarily and as requested by state regulators extended Minnesota’s cold weather rule as well as temporarily suspended disconnections for non-payment and waived late payment charges for residential and small business customers. In SWL&amp;P’s service territory, we have implemented state regulator requested customer service actions to further limit service disconnections and late payment charges for residential, commercial and industrial customers.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monitoring the capital markets and has access to liquidity to enable us to operate our businesses and fund capital projects; however,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 In addition, the performance of capital markets impacts the values of the assets that are held in trust to satisfy future obligations under our pension and other postretirement benefit plans. A decline in the market value of these assets would increase the funding requirements under our benefit plans and future costs recognized for the benefit plans if the asset market values do not recover. The Company is also monitoring supply chains for key materials, supplies and services for our operations and large capital projects. We have received notices of force majeure from certain suppliers and the pandemic could result in a disruption to our supply chains which could adversely impact our operations and capital projects; however, there has been limited impact on our supply chains as to the availability of materials, supplies and services to date. In addition, disruptions in our supply chains or a lack of available financing could jeopardize our ability to complete certain capital projects in time to qualify them for production tax credits.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continue to monitor developments affecting our workforce, operations and customers, and we will take additional precautions that we determine are necessary in order to mitigate the impacts of the COVID-19 pandemic. Despite our efforts to manage these impacts to the Company, their ultimate impact also depends on factors beyond our control, including the duration and severity of this pandemic as well as governmental and third-party actions taken to contain its spread and mitigate its public health effects. As a result, we cannot predict the ultimate impact of the COVID-19 pandemic and whether it will have a material impact on our liquidity, financial position, results of operations and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1517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1220" w:hanging="1194"/>
        <w:spacing w:after="0"/>
        <w:tabs>
          <w:tab w:leader="none" w:pos="1220" w:val="left"/>
        </w:tabs>
        <w:numPr>
          <w:ilvl w:val="0"/>
          <w:numId w:val="14"/>
        </w:numPr>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Note Purchase Agreement, dated September 10, 2020, between ALLETE and the purchasers named therein.</w:t>
        </w:r>
      </w:hyperlink>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rFonts w:ascii="Arial" w:cs="Arial" w:eastAsia="Arial" w:hAnsi="Arial"/>
                <w:sz w:val="18"/>
                <w:szCs w:val="18"/>
                <w:u w:val="single" w:color="auto"/>
                <w:color w:val="0000FF"/>
              </w:rPr>
            </w:pPr>
            <w:hyperlink w:anchor="page132">
              <w:r>
                <w:rPr>
                  <w:rFonts w:ascii="Arial" w:cs="Arial" w:eastAsia="Arial" w:hAnsi="Arial"/>
                  <w:sz w:val="18"/>
                  <w:szCs w:val="18"/>
                  <w:u w:val="single" w:color="auto"/>
                  <w:color w:val="0000FF"/>
                </w:rPr>
                <w:t>4(a)</w:t>
              </w:r>
            </w:hyperlink>
          </w:p>
        </w:tc>
        <w:tc>
          <w:tcPr>
            <w:tcW w:w="10000" w:type="dxa"/>
            <w:vAlign w:val="bottom"/>
            <w:gridSpan w:val="3"/>
          </w:tcPr>
          <w:p>
            <w:pPr>
              <w:spacing w:after="0"/>
              <w:rPr>
                <w:rFonts w:ascii="Arial" w:cs="Arial" w:eastAsia="Arial" w:hAnsi="Arial"/>
                <w:sz w:val="18"/>
                <w:szCs w:val="18"/>
                <w:color w:val="0000FF"/>
                <w:w w:val="92"/>
              </w:rPr>
            </w:pPr>
            <w:hyperlink w:anchor="page132">
              <w:r>
                <w:rPr>
                  <w:rFonts w:ascii="Arial" w:cs="Arial" w:eastAsia="Arial" w:hAnsi="Arial"/>
                  <w:sz w:val="18"/>
                  <w:szCs w:val="18"/>
                  <w:color w:val="0000FF"/>
                  <w:w w:val="92"/>
                </w:rPr>
                <w:t>Forty-First Supplemental Indenture, dated as of August 1, 2020, between ALLETE, Inc. and The Bank of New York Mellon, as corporate</w:t>
              </w:r>
            </w:hyperlink>
          </w:p>
        </w:tc>
      </w:tr>
      <w:tr>
        <w:trPr>
          <w:trHeight w:val="156"/>
        </w:trPr>
        <w:tc>
          <w:tcPr>
            <w:tcW w:w="1220" w:type="dxa"/>
            <w:vAlign w:val="bottom"/>
          </w:tcPr>
          <w:p>
            <w:pPr>
              <w:spacing w:after="0"/>
              <w:rPr>
                <w:sz w:val="13"/>
                <w:szCs w:val="13"/>
                <w:color w:val="auto"/>
              </w:rPr>
            </w:pPr>
          </w:p>
        </w:tc>
        <w:tc>
          <w:tcPr>
            <w:tcW w:w="99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132">
              <w:r>
                <w:rPr>
                  <w:rFonts w:ascii="Arial" w:cs="Arial" w:eastAsia="Arial" w:hAnsi="Arial"/>
                  <w:sz w:val="18"/>
                  <w:szCs w:val="18"/>
                  <w:color w:val="0000FF"/>
                </w:rPr>
                <w:t>trustee, and Andres Serrano, as co-trustee.</w:t>
              </w:r>
            </w:hyperlink>
          </w:p>
        </w:tc>
        <w:tc>
          <w:tcPr>
            <w:tcW w:w="40" w:type="dxa"/>
            <w:vAlign w:val="bottom"/>
          </w:tcPr>
          <w:p>
            <w:pPr>
              <w:spacing w:after="0"/>
              <w:rPr>
                <w:sz w:val="13"/>
                <w:szCs w:val="13"/>
                <w:color w:val="auto"/>
              </w:rPr>
            </w:pPr>
          </w:p>
        </w:tc>
      </w:tr>
      <w:tr>
        <w:trPr>
          <w:trHeight w:val="21"/>
        </w:trPr>
        <w:tc>
          <w:tcPr>
            <w:tcW w:w="1220" w:type="dxa"/>
            <w:vAlign w:val="bottom"/>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1220" w:type="dxa"/>
            <w:vAlign w:val="bottom"/>
            <w:shd w:val="clear" w:color="auto" w:fill="CCEEFF"/>
          </w:tcPr>
          <w:p>
            <w:pPr>
              <w:ind w:left="20"/>
              <w:spacing w:after="0"/>
              <w:rPr>
                <w:rFonts w:ascii="Arial" w:cs="Arial" w:eastAsia="Arial" w:hAnsi="Arial"/>
                <w:sz w:val="18"/>
                <w:szCs w:val="18"/>
                <w:u w:val="single" w:color="auto"/>
                <w:color w:val="0000FF"/>
              </w:rPr>
            </w:pPr>
            <w:hyperlink w:anchor="page157">
              <w:r>
                <w:rPr>
                  <w:rFonts w:ascii="Arial" w:cs="Arial" w:eastAsia="Arial" w:hAnsi="Arial"/>
                  <w:sz w:val="18"/>
                  <w:szCs w:val="18"/>
                  <w:u w:val="single" w:color="auto"/>
                  <w:color w:val="0000FF"/>
                </w:rPr>
                <w:t>31(a)</w:t>
              </w:r>
            </w:hyperlink>
          </w:p>
        </w:tc>
        <w:tc>
          <w:tcPr>
            <w:tcW w:w="10000" w:type="dxa"/>
            <w:vAlign w:val="bottom"/>
            <w:gridSpan w:val="3"/>
            <w:shd w:val="clear" w:color="auto" w:fill="CCEEFF"/>
          </w:tcPr>
          <w:p>
            <w:pPr>
              <w:spacing w:after="0"/>
              <w:rPr>
                <w:rFonts w:ascii="Arial" w:cs="Arial" w:eastAsia="Arial" w:hAnsi="Arial"/>
                <w:sz w:val="18"/>
                <w:szCs w:val="18"/>
                <w:u w:val="single" w:color="auto"/>
                <w:color w:val="0000FF"/>
                <w:w w:val="97"/>
              </w:rPr>
            </w:pPr>
            <w:hyperlink w:anchor="page157">
              <w:r>
                <w:rPr>
                  <w:rFonts w:ascii="Arial" w:cs="Arial" w:eastAsia="Arial" w:hAnsi="Arial"/>
                  <w:sz w:val="18"/>
                  <w:szCs w:val="18"/>
                  <w:u w:val="single" w:color="auto"/>
                  <w:color w:val="0000FF"/>
                  <w:w w:val="97"/>
                </w:rPr>
                <w:t>Rule 13a-14(a)/15d-14(a) Certification by the Chief Executive Officer Pursuant to Section 302 of the Sarbanes-Oxley Act of 2002.</w:t>
              </w:r>
            </w:hyperlink>
          </w:p>
        </w:tc>
      </w:tr>
      <w:tr>
        <w:trPr>
          <w:trHeight w:val="230"/>
        </w:trPr>
        <w:tc>
          <w:tcPr>
            <w:tcW w:w="1220" w:type="dxa"/>
            <w:vAlign w:val="bottom"/>
          </w:tcPr>
          <w:p>
            <w:pPr>
              <w:ind w:left="20"/>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31(b)</w:t>
              </w:r>
            </w:hyperlink>
          </w:p>
        </w:tc>
        <w:tc>
          <w:tcPr>
            <w:tcW w:w="10000" w:type="dxa"/>
            <w:vAlign w:val="bottom"/>
            <w:gridSpan w:val="3"/>
          </w:tcPr>
          <w:p>
            <w:pPr>
              <w:spacing w:after="0"/>
              <w:rPr>
                <w:rFonts w:ascii="Arial" w:cs="Arial" w:eastAsia="Arial" w:hAnsi="Arial"/>
                <w:sz w:val="18"/>
                <w:szCs w:val="18"/>
                <w:color w:val="0000FF"/>
                <w:w w:val="97"/>
              </w:rPr>
            </w:pPr>
            <w:hyperlink w:anchor="page158">
              <w:r>
                <w:rPr>
                  <w:rFonts w:ascii="Arial" w:cs="Arial" w:eastAsia="Arial" w:hAnsi="Arial"/>
                  <w:sz w:val="18"/>
                  <w:szCs w:val="18"/>
                  <w:u w:val="single" w:color="auto"/>
                  <w:color w:val="0000FF"/>
                  <w:w w:val="97"/>
                </w:rPr>
                <w:t>Rule 13a-14(a)/15d-14(a) Certification by the Chief Financial Officer Pursuant to Section 302 of the Sarbanes-Oxley Act of 2002</w:t>
              </w:r>
              <w:r>
                <w:rPr>
                  <w:rFonts w:ascii="Arial" w:cs="Arial" w:eastAsia="Arial" w:hAnsi="Arial"/>
                  <w:sz w:val="18"/>
                  <w:szCs w:val="18"/>
                  <w:color w:val="0000FF"/>
                  <w:w w:val="97"/>
                </w:rPr>
                <w:t>.</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257175"/>
                    </a:xfrm>
                    <a:prstGeom prst="rect">
                      <a:avLst/>
                    </a:prstGeom>
                    <a:noFill/>
                  </pic:spPr>
                </pic:pic>
              </a:graphicData>
            </a:graphic>
          </wp:anchor>
        </w:drawing>
      </w:r>
    </w:p>
    <w:p>
      <w:pPr>
        <w:ind w:left="1220" w:right="40" w:hanging="1194"/>
        <w:spacing w:after="0" w:line="234" w:lineRule="auto"/>
        <w:tabs>
          <w:tab w:leader="none" w:pos="1220" w:val="left"/>
        </w:tabs>
        <w:numPr>
          <w:ilvl w:val="0"/>
          <w:numId w:val="15"/>
        </w:numPr>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Section 1350 Certification of Periodic Report by the Chief Executive Officer and the Chief Financial Officer Pursuant to Section 906 of</w:t>
        </w:r>
      </w:hyperlink>
      <w:r>
        <w:rPr>
          <w:rFonts w:ascii="Arial" w:cs="Arial" w:eastAsia="Arial" w:hAnsi="Arial"/>
          <w:sz w:val="18"/>
          <w:szCs w:val="18"/>
          <w:u w:val="single" w:color="auto"/>
          <w:color w:val="0000FF"/>
        </w:rPr>
        <w:t xml:space="preserve"> </w:t>
      </w:r>
      <w:hyperlink w:anchor="page159">
        <w:r>
          <w:rPr>
            <w:rFonts w:ascii="Arial" w:cs="Arial" w:eastAsia="Arial" w:hAnsi="Arial"/>
            <w:sz w:val="18"/>
            <w:szCs w:val="18"/>
            <w:u w:val="single" w:color="auto"/>
            <w:color w:val="0000FF"/>
          </w:rPr>
          <w:t>the Sarbanes-Oxley Act of 2002.</w:t>
        </w:r>
      </w:hyperlink>
    </w:p>
    <w:p>
      <w:pPr>
        <w:spacing w:after="0" w:line="1" w:lineRule="exact"/>
        <w:rPr>
          <w:rFonts w:ascii="Arial" w:cs="Arial" w:eastAsia="Arial" w:hAnsi="Arial"/>
          <w:sz w:val="18"/>
          <w:szCs w:val="18"/>
          <w:u w:val="single" w:color="auto"/>
          <w:color w:val="0000FF"/>
        </w:rPr>
      </w:pPr>
    </w:p>
    <w:p>
      <w:pPr>
        <w:ind w:left="20"/>
        <w:spacing w:after="0"/>
        <w:tabs>
          <w:tab w:leader="none" w:pos="1200" w:val="left"/>
        </w:tabs>
        <w:rPr>
          <w:rFonts w:ascii="Arial" w:cs="Arial" w:eastAsia="Arial" w:hAnsi="Arial"/>
          <w:sz w:val="18"/>
          <w:szCs w:val="18"/>
          <w:u w:val="single" w:color="auto"/>
          <w:color w:val="0000FF"/>
        </w:rPr>
      </w:pPr>
      <w:r>
        <w:rPr>
          <w:rFonts w:ascii="Arial" w:cs="Arial" w:eastAsia="Arial" w:hAnsi="Arial"/>
          <w:sz w:val="18"/>
          <w:szCs w:val="18"/>
          <w:u w:val="single" w:color="auto"/>
          <w:color w:val="0000FF"/>
        </w:rPr>
        <w:t>95</w:t>
      </w:r>
      <w:r>
        <w:rPr>
          <w:sz w:val="20"/>
          <w:szCs w:val="20"/>
          <w:color w:val="auto"/>
        </w:rPr>
        <w:tab/>
      </w:r>
      <w:hyperlink w:anchor="page160">
        <w:r>
          <w:rPr>
            <w:rFonts w:ascii="Arial" w:cs="Arial" w:eastAsia="Arial" w:hAnsi="Arial"/>
            <w:sz w:val="18"/>
            <w:szCs w:val="18"/>
            <w:u w:val="single" w:color="auto"/>
            <w:color w:val="0000FF"/>
          </w:rPr>
          <w:t>Mine Safety.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48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480060"/>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FF"/>
        </w:rPr>
      </w:pPr>
    </w:p>
    <w:p>
      <w:pPr>
        <w:jc w:val="both"/>
        <w:ind w:left="1220" w:right="40" w:hanging="1194"/>
        <w:spacing w:after="0" w:line="219" w:lineRule="auto"/>
        <w:tabs>
          <w:tab w:leader="none" w:pos="1220" w:val="left"/>
        </w:tabs>
        <w:numPr>
          <w:ilvl w:val="0"/>
          <w:numId w:val="16"/>
        </w:numPr>
        <w:rPr>
          <w:rFonts w:ascii="Arial" w:cs="Arial" w:eastAsia="Arial" w:hAnsi="Arial"/>
          <w:sz w:val="18"/>
          <w:szCs w:val="18"/>
          <w:b w:val="1"/>
          <w:bCs w:val="1"/>
          <w:u w:val="single" w:color="auto"/>
          <w:color w:val="0000FF"/>
        </w:rPr>
      </w:pPr>
      <w:hyperlink w:anchor="page161">
        <w:r>
          <w:rPr>
            <w:rFonts w:ascii="Arial" w:cs="Arial" w:eastAsia="Arial" w:hAnsi="Arial"/>
            <w:sz w:val="18"/>
            <w:szCs w:val="18"/>
            <w:b w:val="1"/>
            <w:bCs w:val="1"/>
            <w:u w:val="single" w:color="auto"/>
            <w:color w:val="0000FF"/>
          </w:rPr>
          <w:t>ALLETE News Release dated November 9, 2020, announcing 2020 third quarter earnings. (This exhibit has been furnished and</w:t>
        </w:r>
      </w:hyperlink>
      <w:r>
        <w:rPr>
          <w:rFonts w:ascii="Arial" w:cs="Arial" w:eastAsia="Arial" w:hAnsi="Arial"/>
          <w:sz w:val="18"/>
          <w:szCs w:val="18"/>
          <w:b w:val="1"/>
          <w:bCs w:val="1"/>
          <w:u w:val="single" w:color="auto"/>
          <w:color w:val="0000FF"/>
        </w:rPr>
        <w:t xml:space="preserve"> </w:t>
      </w:r>
      <w:hyperlink w:anchor="page161">
        <w:r>
          <w:rPr>
            <w:rFonts w:ascii="Arial" w:cs="Arial" w:eastAsia="Arial" w:hAnsi="Arial"/>
            <w:sz w:val="18"/>
            <w:szCs w:val="18"/>
            <w:b w:val="1"/>
            <w:bCs w:val="1"/>
            <w:u w:val="single" w:color="auto"/>
            <w:color w:val="0000FF"/>
          </w:rPr>
          <w:t>shall not be deemed “filed” for purposes of Section 18 of the Securities Exchange Act of 1934, nor shall it be deemed incorporated</w:t>
        </w:r>
      </w:hyperlink>
      <w:r>
        <w:rPr>
          <w:rFonts w:ascii="Arial" w:cs="Arial" w:eastAsia="Arial" w:hAnsi="Arial"/>
          <w:sz w:val="18"/>
          <w:szCs w:val="18"/>
          <w:b w:val="1"/>
          <w:bCs w:val="1"/>
          <w:u w:val="single" w:color="auto"/>
          <w:color w:val="0000FF"/>
        </w:rPr>
        <w:t xml:space="preserve"> </w:t>
      </w:r>
      <w:hyperlink w:anchor="page161">
        <w:r>
          <w:rPr>
            <w:rFonts w:ascii="Arial" w:cs="Arial" w:eastAsia="Arial" w:hAnsi="Arial"/>
            <w:sz w:val="18"/>
            <w:szCs w:val="18"/>
            <w:b w:val="1"/>
            <w:bCs w:val="1"/>
            <w:u w:val="single" w:color="auto"/>
            <w:color w:val="0000FF"/>
          </w:rPr>
          <w:t>by reference in any filing under the Securities Act of 1933, except as shall be expressly set forth by specific reference in such</w:t>
        </w:r>
      </w:hyperlink>
      <w:r>
        <w:rPr>
          <w:rFonts w:ascii="Arial" w:cs="Arial" w:eastAsia="Arial" w:hAnsi="Arial"/>
          <w:sz w:val="18"/>
          <w:szCs w:val="18"/>
          <w:b w:val="1"/>
          <w:bCs w:val="1"/>
          <w:u w:val="single" w:color="auto"/>
          <w:color w:val="0000FF"/>
        </w:rPr>
        <w:t xml:space="preserve"> </w:t>
      </w:r>
      <w:hyperlink w:anchor="page161">
        <w:r>
          <w:rPr>
            <w:rFonts w:ascii="Arial" w:cs="Arial" w:eastAsia="Arial" w:hAnsi="Arial"/>
            <w:sz w:val="18"/>
            <w:szCs w:val="18"/>
            <w:b w:val="1"/>
            <w:bCs w:val="1"/>
            <w:u w:val="single" w:color="auto"/>
            <w:color w:val="0000FF"/>
          </w:rPr>
          <w:t>filing.)</w:t>
        </w:r>
      </w:hyperlink>
    </w:p>
    <w:tbl>
      <w:tblPr>
        <w:tblLayout w:type="fixed"/>
        <w:tblInd w:w="0" w:type="dxa"/>
        <w:tblCellMar>
          <w:top w:w="0" w:type="dxa"/>
          <w:left w:w="0" w:type="dxa"/>
          <w:bottom w:w="0" w:type="dxa"/>
          <w:right w:w="0" w:type="dxa"/>
        </w:tblCellMar>
      </w:tblPr>
      <w:tr>
        <w:trPr>
          <w:trHeight w:val="176"/>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260" w:type="dxa"/>
            <w:vAlign w:val="bottom"/>
          </w:tcPr>
          <w:p>
            <w:pPr>
              <w:ind w:left="260"/>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9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Schema</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Calculation</w:t>
            </w:r>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Definition</w:t>
            </w: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Label</w:t>
            </w:r>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XBRL Presentation</w:t>
            </w: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10260" w:type="dxa"/>
            <w:vAlign w:val="bottom"/>
          </w:tcPr>
          <w:p>
            <w:pPr>
              <w:ind w:left="2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93" w:lineRule="exact"/>
        <w:rPr>
          <w:rFonts w:ascii="Arial" w:cs="Arial" w:eastAsia="Arial" w:hAnsi="Arial"/>
          <w:sz w:val="18"/>
          <w:szCs w:val="18"/>
          <w:b w:val="1"/>
          <w:bCs w:val="1"/>
          <w:u w:val="single" w:color="auto"/>
          <w:color w:val="0000FF"/>
        </w:rPr>
      </w:pPr>
    </w:p>
    <w:p>
      <w:pPr>
        <w:jc w:val="both"/>
        <w:spacing w:after="0" w:line="277" w:lineRule="auto"/>
        <w:rPr>
          <w:sz w:val="20"/>
          <w:szCs w:val="20"/>
          <w:color w:val="auto"/>
        </w:rPr>
      </w:pPr>
      <w:r>
        <w:rPr>
          <w:rFonts w:ascii="Arial" w:cs="Arial" w:eastAsia="Arial" w:hAnsi="Arial"/>
          <w:sz w:val="18"/>
          <w:szCs w:val="18"/>
          <w:color w:val="auto"/>
        </w:rPr>
        <w:t>ALLETE agrees to furnish to the SEC upon request any instrument with respect to long-term debt that ALLETE has not filed as an exhibit pursuant to the exemption provided by Item 601(b)(4)(iii)(A) of Regulation S-K.</w:t>
      </w:r>
    </w:p>
    <w:p>
      <w:pPr>
        <w:spacing w:after="0" w:line="395" w:lineRule="exact"/>
        <w:rPr>
          <w:rFonts w:ascii="Arial" w:cs="Arial" w:eastAsia="Arial" w:hAnsi="Arial"/>
          <w:sz w:val="18"/>
          <w:szCs w:val="18"/>
          <w:b w:val="1"/>
          <w:bCs w:val="1"/>
          <w:u w:val="single" w:color="auto"/>
          <w:color w:val="0000FF"/>
        </w:rPr>
      </w:pPr>
    </w:p>
    <w:p>
      <w:pPr>
        <w:jc w:val="center"/>
        <w:spacing w:after="0"/>
        <w:rPr>
          <w:sz w:val="20"/>
          <w:szCs w:val="20"/>
          <w:color w:val="auto"/>
        </w:rPr>
      </w:pPr>
      <w:r>
        <w:rPr>
          <w:rFonts w:ascii="Arial" w:cs="Arial" w:eastAsia="Arial" w:hAnsi="Arial"/>
          <w:sz w:val="14"/>
          <w:szCs w:val="14"/>
          <w:color w:val="auto"/>
        </w:rPr>
        <w:t>ALLETE, Inc. Third Quarter 2020 Form 10-Q</w:t>
      </w:r>
    </w:p>
    <w:p>
      <w:pPr>
        <w:spacing w:after="0" w:line="13" w:lineRule="exact"/>
        <w:rPr>
          <w:rFonts w:ascii="Arial" w:cs="Arial" w:eastAsia="Arial" w:hAnsi="Arial"/>
          <w:sz w:val="18"/>
          <w:szCs w:val="18"/>
          <w:b w:val="1"/>
          <w:bCs w:val="1"/>
          <w:u w:val="single" w:color="auto"/>
          <w:color w:val="0000FF"/>
        </w:rPr>
      </w:pPr>
    </w:p>
    <w:p>
      <w:pPr>
        <w:jc w:val="right"/>
        <w:spacing w:after="0"/>
        <w:rPr>
          <w:sz w:val="20"/>
          <w:szCs w:val="20"/>
          <w:color w:val="auto"/>
        </w:rPr>
      </w:pPr>
      <w:r>
        <w:rPr>
          <w:rFonts w:ascii="Arial" w:cs="Arial" w:eastAsia="Arial" w:hAnsi="Arial"/>
          <w:sz w:val="14"/>
          <w:szCs w:val="14"/>
          <w:color w:val="auto"/>
        </w:rPr>
        <w:t>51</w:t>
      </w:r>
    </w:p>
    <w:p>
      <w:pPr>
        <w:spacing w:after="0" w:line="20" w:lineRule="exact"/>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November 9, 2020</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J. Adams</w:t>
            </w:r>
          </w:p>
        </w:tc>
      </w:tr>
      <w:tr>
        <w:trPr>
          <w:trHeight w:val="222"/>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Robert J. Adams</w:t>
            </w:r>
          </w:p>
        </w:tc>
      </w:tr>
      <w:tr>
        <w:trPr>
          <w:trHeight w:val="229"/>
        </w:trPr>
        <w:tc>
          <w:tcPr>
            <w:tcW w:w="55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5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November 9, 2020</w:t>
            </w:r>
          </w:p>
        </w:tc>
        <w:tc>
          <w:tcPr>
            <w:tcW w:w="270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W. Morris</w:t>
            </w:r>
          </w:p>
        </w:tc>
      </w:tr>
      <w:tr>
        <w:trPr>
          <w:trHeight w:val="222"/>
        </w:trPr>
        <w:tc>
          <w:tcPr>
            <w:tcW w:w="2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Steven W. Morris</w:t>
            </w:r>
          </w:p>
        </w:tc>
      </w:tr>
      <w:tr>
        <w:trPr>
          <w:trHeight w:val="229"/>
        </w:trPr>
        <w:tc>
          <w:tcPr>
            <w:tcW w:w="2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2"/>
              </w:rPr>
              <w:t>Vice President, Controller and Chief Accounting Officer</w:t>
            </w:r>
          </w:p>
        </w:tc>
      </w:tr>
      <w:tr>
        <w:trPr>
          <w:trHeight w:val="230"/>
        </w:trPr>
        <w:tc>
          <w:tcPr>
            <w:tcW w:w="28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709"/>
        </w:trPr>
        <w:tc>
          <w:tcPr>
            <w:tcW w:w="2800" w:type="dxa"/>
            <w:vAlign w:val="bottom"/>
          </w:tcPr>
          <w:p>
            <w:pPr>
              <w:spacing w:after="0"/>
              <w:rPr>
                <w:sz w:val="24"/>
                <w:szCs w:val="24"/>
                <w:color w:val="auto"/>
              </w:rPr>
            </w:pPr>
          </w:p>
        </w:tc>
        <w:tc>
          <w:tcPr>
            <w:tcW w:w="8400" w:type="dxa"/>
            <w:vAlign w:val="bottom"/>
            <w:gridSpan w:val="2"/>
          </w:tcPr>
          <w:p>
            <w:pPr>
              <w:ind w:left="1460"/>
              <w:spacing w:after="0"/>
              <w:rPr>
                <w:sz w:val="20"/>
                <w:szCs w:val="20"/>
                <w:color w:val="auto"/>
              </w:rPr>
            </w:pPr>
            <w:r>
              <w:rPr>
                <w:rFonts w:ascii="Arial" w:cs="Arial" w:eastAsia="Arial" w:hAnsi="Arial"/>
                <w:sz w:val="14"/>
                <w:szCs w:val="14"/>
                <w:color w:val="auto"/>
              </w:rPr>
              <w:t>ALLETE, Inc. Third Quarter 2020 Form 10-Q</w:t>
            </w:r>
          </w:p>
        </w:tc>
      </w:tr>
    </w:tbl>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3743960</wp:posOffset>
            </wp:positionV>
            <wp:extent cx="6986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3769360</wp:posOffset>
            </wp:positionV>
            <wp:extent cx="69862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ALLETE, INC.</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$150,000,000</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2.65% Senior Notes Due September 10, 2025</w:t>
      </w:r>
    </w:p>
    <w:p>
      <w:pPr>
        <w:spacing w:after="0" w:line="200" w:lineRule="exact"/>
        <w:rPr>
          <w:sz w:val="20"/>
          <w:szCs w:val="20"/>
          <w:color w:val="auto"/>
        </w:rPr>
      </w:pPr>
    </w:p>
    <w:p>
      <w:pPr>
        <w:spacing w:after="0" w:line="330"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______________</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25"/>
          <w:szCs w:val="25"/>
          <w:color w:val="auto"/>
        </w:rPr>
        <w:t>Note Purchase Agreement</w:t>
      </w:r>
    </w:p>
    <w:p>
      <w:pPr>
        <w:spacing w:after="0" w:line="200" w:lineRule="exact"/>
        <w:rPr>
          <w:sz w:val="20"/>
          <w:szCs w:val="20"/>
          <w:color w:val="auto"/>
        </w:rPr>
      </w:pPr>
    </w:p>
    <w:p>
      <w:pPr>
        <w:spacing w:after="0" w:line="345"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______________</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Dated September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6986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393065</wp:posOffset>
            </wp:positionV>
            <wp:extent cx="69862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{00423270.DOC; 10}</w:t>
      </w:r>
    </w:p>
    <w:p>
      <w:pPr>
        <w:sectPr>
          <w:pgSz w:w="11900" w:h="16838" w:orient="portrait"/>
          <w:cols w:equalWidth="0" w:num="1">
            <w:col w:w="10800"/>
          </w:cols>
          <w:pgMar w:left="320" w:top="166" w:right="779" w:bottom="1440" w:gutter="0" w:footer="0" w:header="0"/>
        </w:sectPr>
      </w:pPr>
    </w:p>
    <w:bookmarkStart w:id="53" w:name="page54"/>
    <w:bookmarkEnd w:id="53"/>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8880" w:type="dxa"/>
            <w:vAlign w:val="bottom"/>
            <w:gridSpan w:val="2"/>
          </w:tcPr>
          <w:p>
            <w:pPr>
              <w:spacing w:after="0"/>
              <w:rPr>
                <w:sz w:val="20"/>
                <w:szCs w:val="20"/>
                <w:color w:val="auto"/>
              </w:rPr>
            </w:pPr>
            <w:r>
              <w:rPr>
                <w:rFonts w:ascii="Arial" w:cs="Arial" w:eastAsia="Arial" w:hAnsi="Arial"/>
                <w:sz w:val="22"/>
                <w:szCs w:val="22"/>
                <w:color w:val="auto"/>
              </w:rPr>
              <w:t>Section 1.  Authorization of Notes.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color w:val="auto"/>
              </w:rPr>
              <w:t>Section 2.  Sale and Purchase of Notes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3.  Closing</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color w:val="auto"/>
              </w:rPr>
              <w:t>Section 4.  Conditions to Closing</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4.1  Representations and Warranties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4.2  Performance; No Default</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4.3</w:t>
            </w:r>
          </w:p>
        </w:tc>
        <w:tc>
          <w:tcPr>
            <w:tcW w:w="7720" w:type="dxa"/>
            <w:vAlign w:val="bottom"/>
          </w:tcPr>
          <w:p>
            <w:pPr>
              <w:ind w:left="60"/>
              <w:spacing w:after="0"/>
              <w:rPr>
                <w:sz w:val="20"/>
                <w:szCs w:val="20"/>
                <w:color w:val="auto"/>
              </w:rPr>
            </w:pPr>
            <w:r>
              <w:rPr>
                <w:rFonts w:ascii="Arial" w:cs="Arial" w:eastAsia="Arial" w:hAnsi="Arial"/>
                <w:sz w:val="22"/>
                <w:szCs w:val="22"/>
                <w:b w:val="1"/>
                <w:bCs w:val="1"/>
                <w:color w:val="auto"/>
              </w:rPr>
              <w:t>Compliance Certificates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4.4  Opinions of Counsel</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4.5  Purchase Permitted By Applicable Law, Etc</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4.6  Sale of Other Notes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4.7  Payment of Special Counsel Fees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4.8  Private Placement Number</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4.9  Changes in Corporate Structure</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88"/>
              </w:rPr>
              <w:t>Section 4.10</w:t>
            </w:r>
          </w:p>
        </w:tc>
        <w:tc>
          <w:tcPr>
            <w:tcW w:w="7720" w:type="dxa"/>
            <w:vAlign w:val="bottom"/>
          </w:tcPr>
          <w:p>
            <w:pPr>
              <w:ind w:left="160"/>
              <w:spacing w:after="0"/>
              <w:rPr>
                <w:sz w:val="20"/>
                <w:szCs w:val="20"/>
                <w:color w:val="auto"/>
              </w:rPr>
            </w:pPr>
            <w:r>
              <w:rPr>
                <w:rFonts w:ascii="Arial" w:cs="Arial" w:eastAsia="Arial" w:hAnsi="Arial"/>
                <w:sz w:val="22"/>
                <w:szCs w:val="22"/>
                <w:b w:val="1"/>
                <w:bCs w:val="1"/>
                <w:color w:val="auto"/>
              </w:rPr>
              <w:t>Funding Instructions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4.11  Proceedings and Documents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color w:val="auto"/>
              </w:rPr>
              <w:t>Section 5.  Representations and Warranties of the Company.</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  Organization; Power and Authority</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5.2</w:t>
            </w:r>
          </w:p>
        </w:tc>
        <w:tc>
          <w:tcPr>
            <w:tcW w:w="7720" w:type="dxa"/>
            <w:vAlign w:val="bottom"/>
          </w:tcPr>
          <w:p>
            <w:pPr>
              <w:ind w:left="60"/>
              <w:spacing w:after="0"/>
              <w:rPr>
                <w:sz w:val="20"/>
                <w:szCs w:val="20"/>
                <w:color w:val="auto"/>
              </w:rPr>
            </w:pPr>
            <w:r>
              <w:rPr>
                <w:rFonts w:ascii="Arial" w:cs="Arial" w:eastAsia="Arial" w:hAnsi="Arial"/>
                <w:sz w:val="22"/>
                <w:szCs w:val="22"/>
                <w:b w:val="1"/>
                <w:bCs w:val="1"/>
                <w:color w:val="auto"/>
              </w:rPr>
              <w:t>Authorization, Etc</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5.3</w:t>
            </w:r>
          </w:p>
        </w:tc>
        <w:tc>
          <w:tcPr>
            <w:tcW w:w="7720" w:type="dxa"/>
            <w:vAlign w:val="bottom"/>
          </w:tcPr>
          <w:p>
            <w:pPr>
              <w:ind w:left="60"/>
              <w:spacing w:after="0"/>
              <w:rPr>
                <w:sz w:val="20"/>
                <w:szCs w:val="20"/>
                <w:color w:val="auto"/>
              </w:rPr>
            </w:pPr>
            <w:r>
              <w:rPr>
                <w:rFonts w:ascii="Arial" w:cs="Arial" w:eastAsia="Arial" w:hAnsi="Arial"/>
                <w:sz w:val="22"/>
                <w:szCs w:val="22"/>
                <w:b w:val="1"/>
                <w:bCs w:val="1"/>
                <w:color w:val="auto"/>
              </w:rPr>
              <w:t>Disclosure</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5.4  Organization and Ownership of Shares of Subsidiaries; Affiliates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5.5  Financial Statements; Material Liabilities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5</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5.6  Compliance with Laws, Other Instruments, Etc</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5</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5.7  Governmental Authorizations, Etc</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6</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5.8</w:t>
            </w:r>
          </w:p>
        </w:tc>
        <w:tc>
          <w:tcPr>
            <w:tcW w:w="7720" w:type="dxa"/>
            <w:vAlign w:val="bottom"/>
          </w:tcPr>
          <w:p>
            <w:pPr>
              <w:ind w:left="60"/>
              <w:spacing w:after="0"/>
              <w:rPr>
                <w:sz w:val="20"/>
                <w:szCs w:val="20"/>
                <w:color w:val="auto"/>
              </w:rPr>
            </w:pPr>
            <w:r>
              <w:rPr>
                <w:rFonts w:ascii="Arial" w:cs="Arial" w:eastAsia="Arial" w:hAnsi="Arial"/>
                <w:sz w:val="22"/>
                <w:szCs w:val="22"/>
                <w:b w:val="1"/>
                <w:bCs w:val="1"/>
                <w:color w:val="auto"/>
              </w:rPr>
              <w:t>Litigation</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6</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5.9</w:t>
            </w:r>
          </w:p>
        </w:tc>
        <w:tc>
          <w:tcPr>
            <w:tcW w:w="7720" w:type="dxa"/>
            <w:vAlign w:val="bottom"/>
          </w:tcPr>
          <w:p>
            <w:pPr>
              <w:ind w:left="60"/>
              <w:spacing w:after="0"/>
              <w:rPr>
                <w:sz w:val="20"/>
                <w:szCs w:val="20"/>
                <w:color w:val="auto"/>
              </w:rPr>
            </w:pPr>
            <w:r>
              <w:rPr>
                <w:rFonts w:ascii="Arial" w:cs="Arial" w:eastAsia="Arial" w:hAnsi="Arial"/>
                <w:sz w:val="22"/>
                <w:szCs w:val="22"/>
                <w:b w:val="1"/>
                <w:bCs w:val="1"/>
                <w:color w:val="auto"/>
              </w:rPr>
              <w:t>Taxes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6</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5.10  Title to Property; Leases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6</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5.11  Licenses, Permits, Etc</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7</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5.12  Compliance with Employee Benefit Plans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7</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5.13  Private Offering by the Company</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8</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5.14  Use of Proceeds; Margin Regulations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8</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5.15  Existing Indebtedness; Future Liens</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8</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5.16  Foreign Assets Control Regulations, Etc</w:t>
            </w:r>
          </w:p>
        </w:tc>
        <w:tc>
          <w:tcPr>
            <w:tcW w:w="1720" w:type="dxa"/>
            <w:vAlign w:val="bottom"/>
          </w:tcPr>
          <w:p>
            <w:pPr>
              <w:ind w:left="1500"/>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9</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5.17  Status under Investment Company Act and ICC Termination Act</w:t>
            </w:r>
          </w:p>
        </w:tc>
        <w:tc>
          <w:tcPr>
            <w:tcW w:w="1720" w:type="dxa"/>
            <w:vAlign w:val="bottom"/>
          </w:tcPr>
          <w:p>
            <w:pPr>
              <w:ind w:left="1500"/>
              <w:spacing w:after="0"/>
              <w:rPr>
                <w:rFonts w:ascii="Arial" w:cs="Arial" w:eastAsia="Arial" w:hAnsi="Arial"/>
                <w:sz w:val="22"/>
                <w:szCs w:val="22"/>
                <w:u w:val="single" w:color="auto"/>
                <w:color w:val="auto"/>
                <w:w w:val="81"/>
              </w:rPr>
            </w:pPr>
            <w:hyperlink w:anchor="page57">
              <w:r>
                <w:rPr>
                  <w:rFonts w:ascii="Arial" w:cs="Arial" w:eastAsia="Arial" w:hAnsi="Arial"/>
                  <w:sz w:val="22"/>
                  <w:szCs w:val="22"/>
                  <w:u w:val="single" w:color="auto"/>
                  <w:color w:val="auto"/>
                  <w:w w:val="81"/>
                </w:rPr>
                <w:t>10</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88"/>
              </w:rPr>
              <w:t>Section 5.18</w:t>
            </w:r>
          </w:p>
        </w:tc>
        <w:tc>
          <w:tcPr>
            <w:tcW w:w="7720" w:type="dxa"/>
            <w:vAlign w:val="bottom"/>
          </w:tcPr>
          <w:p>
            <w:pPr>
              <w:ind w:left="160"/>
              <w:spacing w:after="0"/>
              <w:rPr>
                <w:sz w:val="20"/>
                <w:szCs w:val="20"/>
                <w:color w:val="auto"/>
              </w:rPr>
            </w:pPr>
            <w:r>
              <w:rPr>
                <w:rFonts w:ascii="Arial" w:cs="Arial" w:eastAsia="Arial" w:hAnsi="Arial"/>
                <w:sz w:val="22"/>
                <w:szCs w:val="22"/>
                <w:b w:val="1"/>
                <w:bCs w:val="1"/>
                <w:color w:val="auto"/>
              </w:rPr>
              <w:t>Environmental Matters</w:t>
            </w:r>
            <w:r>
              <w:rPr>
                <w:rFonts w:ascii="Arial" w:cs="Arial" w:eastAsia="Arial" w:hAnsi="Arial"/>
                <w:sz w:val="22"/>
                <w:szCs w:val="22"/>
                <w:color w:val="auto"/>
              </w:rPr>
              <w:t>.</w:t>
            </w:r>
          </w:p>
        </w:tc>
        <w:tc>
          <w:tcPr>
            <w:tcW w:w="1720" w:type="dxa"/>
            <w:vAlign w:val="bottom"/>
          </w:tcPr>
          <w:p>
            <w:pPr>
              <w:ind w:left="1500"/>
              <w:spacing w:after="0"/>
              <w:rPr>
                <w:rFonts w:ascii="Arial" w:cs="Arial" w:eastAsia="Arial" w:hAnsi="Arial"/>
                <w:sz w:val="22"/>
                <w:szCs w:val="22"/>
                <w:u w:val="single" w:color="auto"/>
                <w:color w:val="auto"/>
                <w:w w:val="81"/>
              </w:rPr>
            </w:pPr>
            <w:hyperlink w:anchor="page57">
              <w:r>
                <w:rPr>
                  <w:rFonts w:ascii="Arial" w:cs="Arial" w:eastAsia="Arial" w:hAnsi="Arial"/>
                  <w:sz w:val="22"/>
                  <w:szCs w:val="22"/>
                  <w:u w:val="single" w:color="auto"/>
                  <w:color w:val="auto"/>
                  <w:w w:val="81"/>
                </w:rPr>
                <w:t>10</w:t>
              </w:r>
            </w:hyperlink>
          </w:p>
        </w:tc>
      </w:tr>
      <w:tr>
        <w:trPr>
          <w:trHeight w:val="311"/>
        </w:trPr>
        <w:tc>
          <w:tcPr>
            <w:tcW w:w="8880" w:type="dxa"/>
            <w:vAlign w:val="bottom"/>
            <w:gridSpan w:val="2"/>
          </w:tcPr>
          <w:p>
            <w:pPr>
              <w:spacing w:after="0"/>
              <w:rPr>
                <w:sz w:val="20"/>
                <w:szCs w:val="20"/>
                <w:color w:val="auto"/>
              </w:rPr>
            </w:pPr>
            <w:r>
              <w:rPr>
                <w:rFonts w:ascii="Arial" w:cs="Arial" w:eastAsia="Arial" w:hAnsi="Arial"/>
                <w:sz w:val="22"/>
                <w:szCs w:val="22"/>
                <w:color w:val="auto"/>
              </w:rPr>
              <w:t>Section 6.  Representations of the Purchasers.</w:t>
            </w:r>
          </w:p>
        </w:tc>
        <w:tc>
          <w:tcPr>
            <w:tcW w:w="1720" w:type="dxa"/>
            <w:vAlign w:val="bottom"/>
          </w:tcPr>
          <w:p>
            <w:pPr>
              <w:ind w:left="1500"/>
              <w:spacing w:after="0"/>
              <w:rPr>
                <w:rFonts w:ascii="Arial" w:cs="Arial" w:eastAsia="Arial" w:hAnsi="Arial"/>
                <w:sz w:val="22"/>
                <w:szCs w:val="22"/>
                <w:u w:val="single" w:color="auto"/>
                <w:color w:val="auto"/>
                <w:w w:val="81"/>
              </w:rPr>
            </w:pPr>
            <w:hyperlink w:anchor="page57">
              <w:r>
                <w:rPr>
                  <w:rFonts w:ascii="Arial" w:cs="Arial" w:eastAsia="Arial" w:hAnsi="Arial"/>
                  <w:sz w:val="22"/>
                  <w:szCs w:val="22"/>
                  <w:u w:val="single" w:color="auto"/>
                  <w:color w:val="auto"/>
                  <w:w w:val="81"/>
                </w:rPr>
                <w:t>10</w:t>
              </w:r>
            </w:hyperlink>
          </w:p>
        </w:tc>
      </w:tr>
      <w:tr>
        <w:trPr>
          <w:trHeight w:val="31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Section 6.1  Purchase for Investment</w:t>
            </w:r>
          </w:p>
        </w:tc>
        <w:tc>
          <w:tcPr>
            <w:tcW w:w="1720" w:type="dxa"/>
            <w:vAlign w:val="bottom"/>
          </w:tcPr>
          <w:p>
            <w:pPr>
              <w:ind w:left="1500"/>
              <w:spacing w:after="0"/>
              <w:rPr>
                <w:rFonts w:ascii="Arial" w:cs="Arial" w:eastAsia="Arial" w:hAnsi="Arial"/>
                <w:sz w:val="22"/>
                <w:szCs w:val="22"/>
                <w:u w:val="single" w:color="auto"/>
                <w:color w:val="auto"/>
                <w:w w:val="81"/>
              </w:rPr>
            </w:pPr>
            <w:hyperlink w:anchor="page57">
              <w:r>
                <w:rPr>
                  <w:rFonts w:ascii="Arial" w:cs="Arial" w:eastAsia="Arial" w:hAnsi="Arial"/>
                  <w:sz w:val="22"/>
                  <w:szCs w:val="22"/>
                  <w:u w:val="single" w:color="auto"/>
                  <w:color w:val="auto"/>
                  <w:w w:val="81"/>
                </w:rPr>
                <w:t>10</w:t>
              </w:r>
            </w:hyperlink>
          </w:p>
        </w:tc>
      </w:tr>
    </w:tbl>
    <w:p>
      <w:pPr>
        <w:spacing w:after="0" w:line="200" w:lineRule="exact"/>
        <w:rPr>
          <w:sz w:val="20"/>
          <w:szCs w:val="20"/>
          <w:color w:val="auto"/>
        </w:rPr>
      </w:pPr>
    </w:p>
    <w:p>
      <w:pPr>
        <w:sectPr>
          <w:pgSz w:w="11900" w:h="16838" w:orient="portrait"/>
          <w:cols w:equalWidth="0" w:num="1">
            <w:col w:w="11240"/>
          </w:cols>
          <w:pgMar w:left="320" w:top="1440" w:right="339" w:bottom="10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{00423270.DOC; 10}</w:t>
      </w:r>
    </w:p>
    <w:p>
      <w:pPr>
        <w:sectPr>
          <w:pgSz w:w="11900" w:h="16838" w:orient="portrait"/>
          <w:cols w:equalWidth="0" w:num="1">
            <w:col w:w="11240"/>
          </w:cols>
          <w:pgMar w:left="320" w:top="1440" w:right="339" w:bottom="1086" w:gutter="0" w:footer="0" w:header="0"/>
          <w:type w:val="continuous"/>
        </w:sectPr>
      </w:pPr>
    </w:p>
    <w:bookmarkStart w:id="54" w:name="page55"/>
    <w:bookmarkEnd w:id="54"/>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6.2  Source of Funds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10</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color w:val="auto"/>
              </w:rPr>
              <w:t>Section 7.  Information as to Company</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12</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7.1  Financial and Business Information</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12</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7.2</w:t>
            </w:r>
          </w:p>
        </w:tc>
        <w:tc>
          <w:tcPr>
            <w:tcW w:w="7540" w:type="dxa"/>
            <w:vAlign w:val="bottom"/>
          </w:tcPr>
          <w:p>
            <w:pPr>
              <w:ind w:left="60"/>
              <w:spacing w:after="0"/>
              <w:rPr>
                <w:sz w:val="20"/>
                <w:szCs w:val="20"/>
                <w:color w:val="auto"/>
              </w:rPr>
            </w:pPr>
            <w:r>
              <w:rPr>
                <w:rFonts w:ascii="Arial" w:cs="Arial" w:eastAsia="Arial" w:hAnsi="Arial"/>
                <w:sz w:val="22"/>
                <w:szCs w:val="22"/>
                <w:b w:val="1"/>
                <w:bCs w:val="1"/>
                <w:color w:val="auto"/>
              </w:rPr>
              <w:t>Officer’s Certificate</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14</w:t>
              </w:r>
            </w:hyperlink>
          </w:p>
        </w:tc>
      </w:tr>
      <w:tr>
        <w:trPr>
          <w:trHeight w:val="311"/>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7.3</w:t>
            </w:r>
          </w:p>
        </w:tc>
        <w:tc>
          <w:tcPr>
            <w:tcW w:w="7540" w:type="dxa"/>
            <w:vAlign w:val="bottom"/>
          </w:tcPr>
          <w:p>
            <w:pPr>
              <w:ind w:left="60"/>
              <w:spacing w:after="0"/>
              <w:rPr>
                <w:sz w:val="20"/>
                <w:szCs w:val="20"/>
                <w:color w:val="auto"/>
              </w:rPr>
            </w:pPr>
            <w:r>
              <w:rPr>
                <w:rFonts w:ascii="Arial" w:cs="Arial" w:eastAsia="Arial" w:hAnsi="Arial"/>
                <w:sz w:val="22"/>
                <w:szCs w:val="22"/>
                <w:b w:val="1"/>
                <w:bCs w:val="1"/>
                <w:color w:val="auto"/>
              </w:rPr>
              <w:t>Visitation</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15</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7.4</w:t>
            </w:r>
          </w:p>
        </w:tc>
        <w:tc>
          <w:tcPr>
            <w:tcW w:w="7540" w:type="dxa"/>
            <w:vAlign w:val="bottom"/>
          </w:tcPr>
          <w:p>
            <w:pPr>
              <w:ind w:left="60"/>
              <w:spacing w:after="0"/>
              <w:rPr>
                <w:sz w:val="20"/>
                <w:szCs w:val="20"/>
                <w:color w:val="auto"/>
              </w:rPr>
            </w:pPr>
            <w:r>
              <w:rPr>
                <w:rFonts w:ascii="Arial" w:cs="Arial" w:eastAsia="Arial" w:hAnsi="Arial"/>
                <w:sz w:val="22"/>
                <w:szCs w:val="22"/>
                <w:b w:val="1"/>
                <w:bCs w:val="1"/>
                <w:color w:val="auto"/>
              </w:rPr>
              <w:t>Electronic Delivery</w:t>
            </w:r>
            <w:r>
              <w:rPr>
                <w:rFonts w:ascii="Arial" w:cs="Arial" w:eastAsia="Arial" w:hAnsi="Arial"/>
                <w:sz w:val="22"/>
                <w:szCs w:val="22"/>
                <w:color w:val="auto"/>
              </w:rPr>
              <w:t>.</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15</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color w:val="auto"/>
              </w:rPr>
              <w:t>Section 8.  Payment and Prepayment of the Notes.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16</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8.1</w:t>
            </w:r>
          </w:p>
        </w:tc>
        <w:tc>
          <w:tcPr>
            <w:tcW w:w="7540" w:type="dxa"/>
            <w:vAlign w:val="bottom"/>
          </w:tcPr>
          <w:p>
            <w:pPr>
              <w:ind w:left="60"/>
              <w:spacing w:after="0"/>
              <w:rPr>
                <w:sz w:val="20"/>
                <w:szCs w:val="20"/>
                <w:color w:val="auto"/>
              </w:rPr>
            </w:pPr>
            <w:r>
              <w:rPr>
                <w:rFonts w:ascii="Arial" w:cs="Arial" w:eastAsia="Arial" w:hAnsi="Arial"/>
                <w:sz w:val="22"/>
                <w:szCs w:val="22"/>
                <w:b w:val="1"/>
                <w:bCs w:val="1"/>
                <w:color w:val="auto"/>
              </w:rPr>
              <w:t>Maturity</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16</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8.2  Optional Prepayments with Make-Whole Amount</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16</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8.3  Change in Control</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17</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8.4  Allocation of Partial Prepayments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18</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8.5  Maturity; Surrender, Etc</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18</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8.6  Purchase of Notes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18</w:t>
              </w:r>
            </w:hyperlink>
          </w:p>
        </w:tc>
      </w:tr>
      <w:tr>
        <w:trPr>
          <w:trHeight w:val="311"/>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8.7</w:t>
            </w:r>
          </w:p>
        </w:tc>
        <w:tc>
          <w:tcPr>
            <w:tcW w:w="7540" w:type="dxa"/>
            <w:vAlign w:val="bottom"/>
          </w:tcPr>
          <w:p>
            <w:pPr>
              <w:ind w:left="60"/>
              <w:spacing w:after="0"/>
              <w:rPr>
                <w:sz w:val="20"/>
                <w:szCs w:val="20"/>
                <w:color w:val="auto"/>
              </w:rPr>
            </w:pPr>
            <w:r>
              <w:rPr>
                <w:rFonts w:ascii="Arial" w:cs="Arial" w:eastAsia="Arial" w:hAnsi="Arial"/>
                <w:sz w:val="22"/>
                <w:szCs w:val="22"/>
                <w:b w:val="1"/>
                <w:bCs w:val="1"/>
                <w:color w:val="auto"/>
              </w:rPr>
              <w:t>Make-Whole Amount</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19</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8.8  Payments Due on Non-Business Days</w:t>
            </w:r>
            <w:r>
              <w:rPr>
                <w:rFonts w:ascii="Arial" w:cs="Arial" w:eastAsia="Arial" w:hAnsi="Arial"/>
                <w:sz w:val="22"/>
                <w:szCs w:val="22"/>
                <w:color w:val="auto"/>
              </w:rPr>
              <w:t>.</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20</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color w:val="auto"/>
              </w:rPr>
              <w:t>Section 9.  Affirmative Covenants.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21</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9.1  Compliance with Law</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21</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9.2</w:t>
            </w:r>
          </w:p>
        </w:tc>
        <w:tc>
          <w:tcPr>
            <w:tcW w:w="7540" w:type="dxa"/>
            <w:vAlign w:val="bottom"/>
          </w:tcPr>
          <w:p>
            <w:pPr>
              <w:ind w:left="60"/>
              <w:spacing w:after="0"/>
              <w:rPr>
                <w:sz w:val="20"/>
                <w:szCs w:val="20"/>
                <w:color w:val="auto"/>
              </w:rPr>
            </w:pPr>
            <w:r>
              <w:rPr>
                <w:rFonts w:ascii="Arial" w:cs="Arial" w:eastAsia="Arial" w:hAnsi="Arial"/>
                <w:sz w:val="22"/>
                <w:szCs w:val="22"/>
                <w:b w:val="1"/>
                <w:bCs w:val="1"/>
                <w:color w:val="auto"/>
              </w:rPr>
              <w:t>Insurance</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21</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9.3  Maintenance of Properties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21</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9.4  Payment of Taxes and Claims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21</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9.5  Corporate Existence, Etc</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22</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9.6  Books and Records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22</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98"/>
              </w:rPr>
              <w:t>Section 9.7</w:t>
            </w:r>
          </w:p>
        </w:tc>
        <w:tc>
          <w:tcPr>
            <w:tcW w:w="7540" w:type="dxa"/>
            <w:vAlign w:val="bottom"/>
          </w:tcPr>
          <w:p>
            <w:pPr>
              <w:ind w:left="60"/>
              <w:spacing w:after="0"/>
              <w:rPr>
                <w:sz w:val="20"/>
                <w:szCs w:val="20"/>
                <w:color w:val="auto"/>
              </w:rPr>
            </w:pPr>
            <w:r>
              <w:rPr>
                <w:rFonts w:ascii="Arial" w:cs="Arial" w:eastAsia="Arial" w:hAnsi="Arial"/>
                <w:sz w:val="22"/>
                <w:szCs w:val="22"/>
                <w:b w:val="1"/>
                <w:bCs w:val="1"/>
                <w:color w:val="auto"/>
              </w:rPr>
              <w:t>Subsidiary Guarantors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22</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color w:val="auto"/>
              </w:rPr>
              <w:t>Section 10.</w:t>
            </w:r>
          </w:p>
        </w:tc>
        <w:tc>
          <w:tcPr>
            <w:tcW w:w="7540" w:type="dxa"/>
            <w:vAlign w:val="bottom"/>
          </w:tcPr>
          <w:p>
            <w:pPr>
              <w:ind w:left="40"/>
              <w:spacing w:after="0"/>
              <w:rPr>
                <w:sz w:val="20"/>
                <w:szCs w:val="20"/>
                <w:color w:val="auto"/>
              </w:rPr>
            </w:pPr>
            <w:r>
              <w:rPr>
                <w:rFonts w:ascii="Arial" w:cs="Arial" w:eastAsia="Arial" w:hAnsi="Arial"/>
                <w:sz w:val="22"/>
                <w:szCs w:val="22"/>
                <w:color w:val="auto"/>
              </w:rPr>
              <w:t>Negative Covenants.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23</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10.1  Transactions with Affiliates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23</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10.2  Merger, Consolidation, Etc</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24</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10.3  Economic Sanctions, Etc.</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25</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88"/>
              </w:rPr>
              <w:t>Section 10.4</w:t>
            </w:r>
          </w:p>
        </w:tc>
        <w:tc>
          <w:tcPr>
            <w:tcW w:w="7540" w:type="dxa"/>
            <w:vAlign w:val="bottom"/>
          </w:tcPr>
          <w:p>
            <w:pPr>
              <w:ind w:left="160"/>
              <w:spacing w:after="0"/>
              <w:rPr>
                <w:sz w:val="20"/>
                <w:szCs w:val="20"/>
                <w:color w:val="auto"/>
              </w:rPr>
            </w:pPr>
            <w:r>
              <w:rPr>
                <w:rFonts w:ascii="Arial" w:cs="Arial" w:eastAsia="Arial" w:hAnsi="Arial"/>
                <w:sz w:val="22"/>
                <w:szCs w:val="22"/>
                <w:b w:val="1"/>
                <w:bCs w:val="1"/>
                <w:color w:val="auto"/>
              </w:rPr>
              <w:t>Liens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25</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10.5  Maximum Ratio of Total Indebtedness to Total Capitalization</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29</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color w:val="auto"/>
              </w:rPr>
              <w:t>Section 11.  Events of Default.</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29</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color w:val="auto"/>
              </w:rPr>
              <w:t>Section 12.  Remedies on Default, Etc.</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32</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88"/>
              </w:rPr>
              <w:t>Section 12.1</w:t>
            </w:r>
          </w:p>
        </w:tc>
        <w:tc>
          <w:tcPr>
            <w:tcW w:w="7540" w:type="dxa"/>
            <w:vAlign w:val="bottom"/>
          </w:tcPr>
          <w:p>
            <w:pPr>
              <w:ind w:left="160"/>
              <w:spacing w:after="0"/>
              <w:rPr>
                <w:sz w:val="20"/>
                <w:szCs w:val="20"/>
                <w:color w:val="auto"/>
              </w:rPr>
            </w:pPr>
            <w:r>
              <w:rPr>
                <w:rFonts w:ascii="Arial" w:cs="Arial" w:eastAsia="Arial" w:hAnsi="Arial"/>
                <w:sz w:val="22"/>
                <w:szCs w:val="22"/>
                <w:b w:val="1"/>
                <w:bCs w:val="1"/>
                <w:color w:val="auto"/>
              </w:rPr>
              <w:t>Acceleration</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32</w:t>
              </w:r>
            </w:hyperlink>
          </w:p>
        </w:tc>
      </w:tr>
      <w:tr>
        <w:trPr>
          <w:trHeight w:val="311"/>
        </w:trPr>
        <w:tc>
          <w:tcPr>
            <w:tcW w:w="1160" w:type="dxa"/>
            <w:vAlign w:val="bottom"/>
          </w:tcPr>
          <w:p>
            <w:pPr>
              <w:spacing w:after="0"/>
              <w:rPr>
                <w:sz w:val="20"/>
                <w:szCs w:val="20"/>
                <w:color w:val="auto"/>
              </w:rPr>
            </w:pPr>
            <w:r>
              <w:rPr>
                <w:rFonts w:ascii="Arial" w:cs="Arial" w:eastAsia="Arial" w:hAnsi="Arial"/>
                <w:sz w:val="22"/>
                <w:szCs w:val="22"/>
                <w:b w:val="1"/>
                <w:bCs w:val="1"/>
                <w:color w:val="auto"/>
                <w:w w:val="88"/>
              </w:rPr>
              <w:t>Section 12.2</w:t>
            </w:r>
          </w:p>
        </w:tc>
        <w:tc>
          <w:tcPr>
            <w:tcW w:w="7540" w:type="dxa"/>
            <w:vAlign w:val="bottom"/>
          </w:tcPr>
          <w:p>
            <w:pPr>
              <w:ind w:left="160"/>
              <w:spacing w:after="0"/>
              <w:rPr>
                <w:sz w:val="20"/>
                <w:szCs w:val="20"/>
                <w:color w:val="auto"/>
              </w:rPr>
            </w:pPr>
            <w:r>
              <w:rPr>
                <w:rFonts w:ascii="Arial" w:cs="Arial" w:eastAsia="Arial" w:hAnsi="Arial"/>
                <w:sz w:val="22"/>
                <w:szCs w:val="22"/>
                <w:b w:val="1"/>
                <w:bCs w:val="1"/>
                <w:color w:val="auto"/>
              </w:rPr>
              <w:t>Other Remedies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33</w:t>
              </w:r>
            </w:hyperlink>
          </w:p>
        </w:tc>
      </w:tr>
      <w:tr>
        <w:trPr>
          <w:trHeight w:val="310"/>
        </w:trPr>
        <w:tc>
          <w:tcPr>
            <w:tcW w:w="1160" w:type="dxa"/>
            <w:vAlign w:val="bottom"/>
          </w:tcPr>
          <w:p>
            <w:pPr>
              <w:spacing w:after="0"/>
              <w:rPr>
                <w:sz w:val="20"/>
                <w:szCs w:val="20"/>
                <w:color w:val="auto"/>
              </w:rPr>
            </w:pPr>
            <w:r>
              <w:rPr>
                <w:rFonts w:ascii="Arial" w:cs="Arial" w:eastAsia="Arial" w:hAnsi="Arial"/>
                <w:sz w:val="22"/>
                <w:szCs w:val="22"/>
                <w:b w:val="1"/>
                <w:bCs w:val="1"/>
                <w:color w:val="auto"/>
                <w:w w:val="88"/>
              </w:rPr>
              <w:t>Section 12.3</w:t>
            </w:r>
          </w:p>
        </w:tc>
        <w:tc>
          <w:tcPr>
            <w:tcW w:w="7540" w:type="dxa"/>
            <w:vAlign w:val="bottom"/>
          </w:tcPr>
          <w:p>
            <w:pPr>
              <w:ind w:left="160"/>
              <w:spacing w:after="0"/>
              <w:rPr>
                <w:sz w:val="20"/>
                <w:szCs w:val="20"/>
                <w:color w:val="auto"/>
              </w:rPr>
            </w:pPr>
            <w:r>
              <w:rPr>
                <w:rFonts w:ascii="Arial" w:cs="Arial" w:eastAsia="Arial" w:hAnsi="Arial"/>
                <w:sz w:val="22"/>
                <w:szCs w:val="22"/>
                <w:b w:val="1"/>
                <w:bCs w:val="1"/>
                <w:color w:val="auto"/>
              </w:rPr>
              <w:t>Rescission</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33</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12.4  No Waivers or Election of Remedies, Expenses, Etc</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33</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color w:val="auto"/>
              </w:rPr>
              <w:t>Section 13.  Registration; Exchange; Substitution of Notes.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34</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13.1  Registration of Notes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34</w:t>
              </w:r>
            </w:hyperlink>
          </w:p>
        </w:tc>
      </w:tr>
      <w:tr>
        <w:trPr>
          <w:trHeight w:val="311"/>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13.2  Transfer and Exchange of Notes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34</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13.3  Replacement of Notes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34</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color w:val="auto"/>
              </w:rPr>
              <w:t>Section 14.  Payments on Notes.</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35</w:t>
              </w:r>
            </w:hyperlink>
          </w:p>
        </w:tc>
      </w:tr>
      <w:tr>
        <w:trPr>
          <w:trHeight w:val="310"/>
        </w:trPr>
        <w:tc>
          <w:tcPr>
            <w:tcW w:w="8700" w:type="dxa"/>
            <w:vAlign w:val="bottom"/>
            <w:gridSpan w:val="2"/>
          </w:tcPr>
          <w:p>
            <w:pPr>
              <w:spacing w:after="0"/>
              <w:rPr>
                <w:sz w:val="20"/>
                <w:szCs w:val="20"/>
                <w:color w:val="auto"/>
              </w:rPr>
            </w:pPr>
            <w:r>
              <w:rPr>
                <w:rFonts w:ascii="Arial" w:cs="Arial" w:eastAsia="Arial" w:hAnsi="Arial"/>
                <w:sz w:val="22"/>
                <w:szCs w:val="22"/>
                <w:b w:val="1"/>
                <w:bCs w:val="1"/>
                <w:color w:val="auto"/>
              </w:rPr>
              <w:t>Section 14.1  Place of Payment</w:t>
            </w:r>
          </w:p>
        </w:tc>
        <w:tc>
          <w:tcPr>
            <w:tcW w:w="190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35</w:t>
              </w:r>
            </w:hyperlink>
          </w:p>
        </w:tc>
      </w:tr>
    </w:tbl>
    <w:p>
      <w:pPr>
        <w:spacing w:after="0" w:line="200" w:lineRule="exact"/>
        <w:rPr>
          <w:sz w:val="20"/>
          <w:szCs w:val="20"/>
          <w:color w:val="auto"/>
        </w:rPr>
      </w:pPr>
    </w:p>
    <w:p>
      <w:pPr>
        <w:sectPr>
          <w:pgSz w:w="11900" w:h="16838" w:orient="portrait"/>
          <w:cols w:equalWidth="0" w:num="1">
            <w:col w:w="10620"/>
          </w:cols>
          <w:pgMar w:left="320" w:top="1440" w:right="959" w:bottom="7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{00423270.DOC; 10}</w:t>
      </w:r>
      <w:r>
        <w:rPr>
          <w:sz w:val="20"/>
          <w:szCs w:val="20"/>
          <w:color w:val="auto"/>
        </w:rPr>
        <w:tab/>
      </w:r>
      <w:r>
        <w:rPr>
          <w:rFonts w:ascii="Arial" w:cs="Arial" w:eastAsia="Arial" w:hAnsi="Arial"/>
          <w:sz w:val="19"/>
          <w:szCs w:val="19"/>
          <w:color w:val="auto"/>
        </w:rPr>
        <w:t>- 2 -</w:t>
      </w:r>
    </w:p>
    <w:p>
      <w:pPr>
        <w:sectPr>
          <w:pgSz w:w="11900" w:h="16838" w:orient="portrait"/>
          <w:cols w:equalWidth="0" w:num="1">
            <w:col w:w="10620"/>
          </w:cols>
          <w:pgMar w:left="320" w:top="1440" w:right="959" w:bottom="722" w:gutter="0" w:footer="0" w:header="0"/>
          <w:type w:val="continuous"/>
        </w:sectPr>
      </w:pPr>
    </w:p>
    <w:bookmarkStart w:id="55" w:name="page56"/>
    <w:bookmarkEnd w:id="5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14.2</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Payment by Wire Transfer</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35</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14.3</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FATCA Information</w:t>
            </w:r>
            <w:r>
              <w:rPr>
                <w:rFonts w:ascii="Arial" w:cs="Arial" w:eastAsia="Arial" w:hAnsi="Arial"/>
                <w:sz w:val="22"/>
                <w:szCs w:val="22"/>
                <w:color w:val="auto"/>
              </w:rPr>
              <w:t>.</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35</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color w:val="auto"/>
              </w:rPr>
              <w:t>Section 15.</w:t>
            </w:r>
          </w:p>
        </w:tc>
        <w:tc>
          <w:tcPr>
            <w:tcW w:w="7360" w:type="dxa"/>
            <w:vAlign w:val="bottom"/>
          </w:tcPr>
          <w:p>
            <w:pPr>
              <w:ind w:left="40"/>
              <w:spacing w:after="0"/>
              <w:rPr>
                <w:sz w:val="20"/>
                <w:szCs w:val="20"/>
                <w:color w:val="auto"/>
              </w:rPr>
            </w:pPr>
            <w:r>
              <w:rPr>
                <w:rFonts w:ascii="Arial" w:cs="Arial" w:eastAsia="Arial" w:hAnsi="Arial"/>
                <w:sz w:val="22"/>
                <w:szCs w:val="22"/>
                <w:color w:val="auto"/>
              </w:rPr>
              <w:t>Expenses, Etc.</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36</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15.1</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Transaction Expenses</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36</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15.2</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Certain Taxes</w:t>
            </w:r>
            <w:r>
              <w:rPr>
                <w:rFonts w:ascii="Arial" w:cs="Arial" w:eastAsia="Arial" w:hAnsi="Arial"/>
                <w:sz w:val="22"/>
                <w:szCs w:val="22"/>
                <w:color w:val="auto"/>
              </w:rPr>
              <w:t>.</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37</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15.3</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Survival</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37</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color w:val="auto"/>
              </w:rPr>
              <w:t>Section 16.</w:t>
            </w:r>
          </w:p>
        </w:tc>
        <w:tc>
          <w:tcPr>
            <w:tcW w:w="7360" w:type="dxa"/>
            <w:vAlign w:val="bottom"/>
          </w:tcPr>
          <w:p>
            <w:pPr>
              <w:ind w:left="40"/>
              <w:spacing w:after="0"/>
              <w:rPr>
                <w:sz w:val="20"/>
                <w:szCs w:val="20"/>
                <w:color w:val="auto"/>
              </w:rPr>
            </w:pPr>
            <w:r>
              <w:rPr>
                <w:rFonts w:ascii="Arial" w:cs="Arial" w:eastAsia="Arial" w:hAnsi="Arial"/>
                <w:sz w:val="22"/>
                <w:szCs w:val="22"/>
                <w:color w:val="auto"/>
              </w:rPr>
              <w:t>Survival of Representations and Warranties; Entire Agreement.</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37</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color w:val="auto"/>
              </w:rPr>
              <w:t>Section 17.</w:t>
            </w:r>
          </w:p>
        </w:tc>
        <w:tc>
          <w:tcPr>
            <w:tcW w:w="7360" w:type="dxa"/>
            <w:vAlign w:val="bottom"/>
          </w:tcPr>
          <w:p>
            <w:pPr>
              <w:ind w:left="40"/>
              <w:spacing w:after="0"/>
              <w:rPr>
                <w:sz w:val="20"/>
                <w:szCs w:val="20"/>
                <w:color w:val="auto"/>
              </w:rPr>
            </w:pPr>
            <w:r>
              <w:rPr>
                <w:rFonts w:ascii="Arial" w:cs="Arial" w:eastAsia="Arial" w:hAnsi="Arial"/>
                <w:sz w:val="22"/>
                <w:szCs w:val="22"/>
                <w:color w:val="auto"/>
              </w:rPr>
              <w:t>Amendment and Waiver.</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37</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17.1</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Requirements</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37</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17.2</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Solicitation of Holders of Notes</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38</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17.3</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Binding Effect, Etc</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38</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17.4</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Notes Held by Company, Etc</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39</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color w:val="auto"/>
              </w:rPr>
              <w:t>Section 18.</w:t>
            </w:r>
          </w:p>
        </w:tc>
        <w:tc>
          <w:tcPr>
            <w:tcW w:w="7360" w:type="dxa"/>
            <w:vAlign w:val="bottom"/>
          </w:tcPr>
          <w:p>
            <w:pPr>
              <w:ind w:left="40"/>
              <w:spacing w:after="0"/>
              <w:rPr>
                <w:sz w:val="20"/>
                <w:szCs w:val="20"/>
                <w:color w:val="auto"/>
              </w:rPr>
            </w:pPr>
            <w:r>
              <w:rPr>
                <w:rFonts w:ascii="Arial" w:cs="Arial" w:eastAsia="Arial" w:hAnsi="Arial"/>
                <w:sz w:val="22"/>
                <w:szCs w:val="22"/>
                <w:color w:val="auto"/>
              </w:rPr>
              <w:t>Notices.</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39</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color w:val="auto"/>
              </w:rPr>
              <w:t>Section 19.</w:t>
            </w:r>
          </w:p>
        </w:tc>
        <w:tc>
          <w:tcPr>
            <w:tcW w:w="7360" w:type="dxa"/>
            <w:vAlign w:val="bottom"/>
          </w:tcPr>
          <w:p>
            <w:pPr>
              <w:ind w:left="40"/>
              <w:spacing w:after="0"/>
              <w:rPr>
                <w:sz w:val="20"/>
                <w:szCs w:val="20"/>
                <w:color w:val="auto"/>
              </w:rPr>
            </w:pPr>
            <w:r>
              <w:rPr>
                <w:rFonts w:ascii="Arial" w:cs="Arial" w:eastAsia="Arial" w:hAnsi="Arial"/>
                <w:sz w:val="22"/>
                <w:szCs w:val="22"/>
                <w:color w:val="auto"/>
              </w:rPr>
              <w:t>Reproduction of Documents.</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39</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color w:val="auto"/>
              </w:rPr>
              <w:t>Section 20.</w:t>
            </w:r>
          </w:p>
        </w:tc>
        <w:tc>
          <w:tcPr>
            <w:tcW w:w="7360" w:type="dxa"/>
            <w:vAlign w:val="bottom"/>
          </w:tcPr>
          <w:p>
            <w:pPr>
              <w:ind w:left="40"/>
              <w:spacing w:after="0"/>
              <w:rPr>
                <w:sz w:val="20"/>
                <w:szCs w:val="20"/>
                <w:color w:val="auto"/>
              </w:rPr>
            </w:pPr>
            <w:r>
              <w:rPr>
                <w:rFonts w:ascii="Arial" w:cs="Arial" w:eastAsia="Arial" w:hAnsi="Arial"/>
                <w:sz w:val="22"/>
                <w:szCs w:val="22"/>
                <w:color w:val="auto"/>
              </w:rPr>
              <w:t>Confidential Information.</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40</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color w:val="auto"/>
              </w:rPr>
              <w:t>Section 21.</w:t>
            </w:r>
          </w:p>
        </w:tc>
        <w:tc>
          <w:tcPr>
            <w:tcW w:w="7360" w:type="dxa"/>
            <w:vAlign w:val="bottom"/>
          </w:tcPr>
          <w:p>
            <w:pPr>
              <w:ind w:left="40"/>
              <w:spacing w:after="0"/>
              <w:rPr>
                <w:sz w:val="20"/>
                <w:szCs w:val="20"/>
                <w:color w:val="auto"/>
              </w:rPr>
            </w:pPr>
            <w:r>
              <w:rPr>
                <w:rFonts w:ascii="Arial" w:cs="Arial" w:eastAsia="Arial" w:hAnsi="Arial"/>
                <w:sz w:val="22"/>
                <w:szCs w:val="22"/>
                <w:color w:val="auto"/>
              </w:rPr>
              <w:t>Substitution of Purchaser.</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41</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color w:val="auto"/>
              </w:rPr>
              <w:t>Section 22.</w:t>
            </w:r>
          </w:p>
        </w:tc>
        <w:tc>
          <w:tcPr>
            <w:tcW w:w="7360" w:type="dxa"/>
            <w:vAlign w:val="bottom"/>
          </w:tcPr>
          <w:p>
            <w:pPr>
              <w:ind w:left="40"/>
              <w:spacing w:after="0"/>
              <w:rPr>
                <w:sz w:val="20"/>
                <w:szCs w:val="20"/>
                <w:color w:val="auto"/>
              </w:rPr>
            </w:pPr>
            <w:r>
              <w:rPr>
                <w:rFonts w:ascii="Arial" w:cs="Arial" w:eastAsia="Arial" w:hAnsi="Arial"/>
                <w:sz w:val="22"/>
                <w:szCs w:val="22"/>
                <w:color w:val="auto"/>
              </w:rPr>
              <w:t>Miscellaneous.</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41</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22.1</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Successors and Assigns</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41</w:t>
              </w:r>
            </w:hyperlink>
          </w:p>
        </w:tc>
      </w:tr>
      <w:tr>
        <w:trPr>
          <w:trHeight w:val="311"/>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22.2</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Accounting Terms</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41</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22.3</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Severability</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42</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22.4</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Construction, Etc</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42</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22.5</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Counterparts; Electronic Contracting</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42</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22.6</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Governing Law</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43</w:t>
              </w:r>
            </w:hyperlink>
          </w:p>
        </w:tc>
      </w:tr>
      <w:tr>
        <w:trPr>
          <w:trHeight w:val="310"/>
        </w:trPr>
        <w:tc>
          <w:tcPr>
            <w:tcW w:w="1180" w:type="dxa"/>
            <w:vAlign w:val="bottom"/>
          </w:tcPr>
          <w:p>
            <w:pPr>
              <w:ind w:left="20"/>
              <w:spacing w:after="0"/>
              <w:rPr>
                <w:sz w:val="20"/>
                <w:szCs w:val="20"/>
                <w:color w:val="auto"/>
              </w:rPr>
            </w:pPr>
            <w:r>
              <w:rPr>
                <w:rFonts w:ascii="Arial" w:cs="Arial" w:eastAsia="Arial" w:hAnsi="Arial"/>
                <w:sz w:val="22"/>
                <w:szCs w:val="22"/>
                <w:b w:val="1"/>
                <w:bCs w:val="1"/>
                <w:color w:val="auto"/>
                <w:w w:val="88"/>
              </w:rPr>
              <w:t>Section 22.7</w:t>
            </w:r>
          </w:p>
        </w:tc>
        <w:tc>
          <w:tcPr>
            <w:tcW w:w="7360" w:type="dxa"/>
            <w:vAlign w:val="bottom"/>
          </w:tcPr>
          <w:p>
            <w:pPr>
              <w:ind w:left="160"/>
              <w:spacing w:after="0"/>
              <w:rPr>
                <w:sz w:val="20"/>
                <w:szCs w:val="20"/>
                <w:color w:val="auto"/>
              </w:rPr>
            </w:pPr>
            <w:r>
              <w:rPr>
                <w:rFonts w:ascii="Arial" w:cs="Arial" w:eastAsia="Arial" w:hAnsi="Arial"/>
                <w:sz w:val="22"/>
                <w:szCs w:val="22"/>
                <w:b w:val="1"/>
                <w:bCs w:val="1"/>
                <w:color w:val="auto"/>
              </w:rPr>
              <w:t>Jurisdiction and Process; Waiver of Jury Trial</w:t>
            </w:r>
          </w:p>
        </w:tc>
        <w:tc>
          <w:tcPr>
            <w:tcW w:w="2080" w:type="dxa"/>
            <w:vAlign w:val="bottom"/>
          </w:tcPr>
          <w:p>
            <w:pPr>
              <w:jc w:val="right"/>
              <w:spacing w:after="0"/>
              <w:rPr>
                <w:rFonts w:ascii="Arial" w:cs="Arial" w:eastAsia="Arial" w:hAnsi="Arial"/>
                <w:sz w:val="22"/>
                <w:szCs w:val="22"/>
                <w:u w:val="single" w:color="auto"/>
                <w:color w:val="auto"/>
              </w:rPr>
            </w:pPr>
            <w:hyperlink w:anchor="page57">
              <w:r>
                <w:rPr>
                  <w:rFonts w:ascii="Arial" w:cs="Arial" w:eastAsia="Arial" w:hAnsi="Arial"/>
                  <w:sz w:val="22"/>
                  <w:szCs w:val="22"/>
                  <w:u w:val="single" w:color="auto"/>
                  <w:color w:val="auto"/>
                </w:rPr>
                <w:t>43</w:t>
              </w:r>
            </w:hyperlink>
          </w:p>
        </w:tc>
      </w:tr>
      <w:tr>
        <w:trPr>
          <w:trHeight w:val="878"/>
        </w:trPr>
        <w:tc>
          <w:tcPr>
            <w:tcW w:w="1180" w:type="dxa"/>
            <w:vAlign w:val="bottom"/>
          </w:tcPr>
          <w:p>
            <w:pPr>
              <w:spacing w:after="0"/>
              <w:rPr>
                <w:sz w:val="20"/>
                <w:szCs w:val="20"/>
                <w:color w:val="auto"/>
              </w:rPr>
            </w:pPr>
            <w:r>
              <w:rPr>
                <w:rFonts w:ascii="Arial" w:cs="Arial" w:eastAsia="Arial" w:hAnsi="Arial"/>
                <w:sz w:val="22"/>
                <w:szCs w:val="22"/>
                <w:color w:val="auto"/>
              </w:rPr>
              <w:t>Schedule A</w:t>
            </w:r>
          </w:p>
        </w:tc>
        <w:tc>
          <w:tcPr>
            <w:tcW w:w="7360" w:type="dxa"/>
            <w:vAlign w:val="bottom"/>
          </w:tcPr>
          <w:p>
            <w:pPr>
              <w:ind w:left="40"/>
              <w:spacing w:after="0"/>
              <w:rPr>
                <w:sz w:val="20"/>
                <w:szCs w:val="20"/>
                <w:color w:val="auto"/>
              </w:rPr>
            </w:pPr>
            <w:r>
              <w:rPr>
                <w:rFonts w:ascii="Arial" w:cs="Arial" w:eastAsia="Arial" w:hAnsi="Arial"/>
                <w:sz w:val="22"/>
                <w:szCs w:val="22"/>
                <w:color w:val="auto"/>
              </w:rPr>
              <w:t>—  Information Relating to Purchasers</w:t>
            </w:r>
          </w:p>
        </w:tc>
        <w:tc>
          <w:tcPr>
            <w:tcW w:w="2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- 3 -</w:t>
            </w:r>
          </w:p>
        </w:tc>
      </w:tr>
    </w:tbl>
    <w:p>
      <w:pPr>
        <w:sectPr>
          <w:pgSz w:w="11900" w:h="16838" w:orient="portrait"/>
          <w:cols w:equalWidth="0" w:num="1">
            <w:col w:w="10620"/>
          </w:cols>
          <w:pgMar w:left="320" w:top="1440" w:right="959" w:bottom="1440" w:gutter="0" w:footer="0" w:header="0"/>
        </w:sectPr>
      </w:pPr>
    </w:p>
    <w:bookmarkStart w:id="56" w:name="page57"/>
    <w:bookmarkEnd w:id="56"/>
    <w:p>
      <w:pPr>
        <w:spacing w:after="0" w:line="231" w:lineRule="exact"/>
        <w:rPr>
          <w:sz w:val="20"/>
          <w:szCs w:val="20"/>
          <w:color w:val="auto"/>
        </w:rPr>
      </w:pPr>
    </w:p>
    <w:p>
      <w:pPr>
        <w:spacing w:after="0"/>
        <w:tabs>
          <w:tab w:leader="none" w:pos="1200" w:val="left"/>
          <w:tab w:leader="none" w:pos="1620" w:val="left"/>
        </w:tabs>
        <w:rPr>
          <w:sz w:val="20"/>
          <w:szCs w:val="20"/>
          <w:color w:val="auto"/>
        </w:rPr>
      </w:pPr>
      <w:r>
        <w:rPr>
          <w:rFonts w:ascii="Arial" w:cs="Arial" w:eastAsia="Arial" w:hAnsi="Arial"/>
          <w:sz w:val="22"/>
          <w:szCs w:val="22"/>
          <w:color w:val="auto"/>
        </w:rPr>
        <w:t>Schedule B</w:t>
        <w:tab/>
        <w:t>—</w:t>
      </w:r>
      <w:r>
        <w:rPr>
          <w:sz w:val="20"/>
          <w:szCs w:val="20"/>
          <w:color w:val="auto"/>
        </w:rPr>
        <w:tab/>
      </w:r>
      <w:r>
        <w:rPr>
          <w:rFonts w:ascii="Arial" w:cs="Arial" w:eastAsia="Arial" w:hAnsi="Arial"/>
          <w:sz w:val="19"/>
          <w:szCs w:val="19"/>
          <w:color w:val="auto"/>
        </w:rPr>
        <w:t>Defined Terms</w:t>
      </w:r>
    </w:p>
    <w:p>
      <w:pPr>
        <w:spacing w:after="0" w:line="247" w:lineRule="exact"/>
        <w:rPr>
          <w:sz w:val="20"/>
          <w:szCs w:val="20"/>
          <w:color w:val="auto"/>
        </w:rPr>
      </w:pPr>
    </w:p>
    <w:p>
      <w:pPr>
        <w:spacing w:after="0"/>
        <w:tabs>
          <w:tab w:leader="none" w:pos="1380" w:val="left"/>
          <w:tab w:leader="none" w:pos="1800" w:val="left"/>
        </w:tabs>
        <w:rPr>
          <w:sz w:val="20"/>
          <w:szCs w:val="20"/>
          <w:color w:val="auto"/>
        </w:rPr>
      </w:pPr>
      <w:r>
        <w:rPr>
          <w:rFonts w:ascii="Arial" w:cs="Arial" w:eastAsia="Arial" w:hAnsi="Arial"/>
          <w:sz w:val="22"/>
          <w:szCs w:val="22"/>
          <w:color w:val="auto"/>
        </w:rPr>
        <w:t>Schedule 5.4</w:t>
        <w:tab/>
        <w:t>—</w:t>
      </w:r>
      <w:r>
        <w:rPr>
          <w:sz w:val="20"/>
          <w:szCs w:val="20"/>
          <w:color w:val="auto"/>
        </w:rPr>
        <w:tab/>
      </w:r>
      <w:r>
        <w:rPr>
          <w:rFonts w:ascii="Arial" w:cs="Arial" w:eastAsia="Arial" w:hAnsi="Arial"/>
          <w:sz w:val="19"/>
          <w:szCs w:val="19"/>
          <w:color w:val="auto"/>
        </w:rPr>
        <w:t>Subsidiaries of the Company and Ownership of Subsidiary Stock</w:t>
      </w:r>
    </w:p>
    <w:p>
      <w:pPr>
        <w:spacing w:after="0" w:line="247" w:lineRule="exact"/>
        <w:rPr>
          <w:sz w:val="20"/>
          <w:szCs w:val="20"/>
          <w:color w:val="auto"/>
        </w:rPr>
      </w:pPr>
    </w:p>
    <w:p>
      <w:pPr>
        <w:spacing w:after="0"/>
        <w:tabs>
          <w:tab w:leader="none" w:pos="1420" w:val="left"/>
          <w:tab w:leader="none" w:pos="1860" w:val="left"/>
        </w:tabs>
        <w:rPr>
          <w:sz w:val="20"/>
          <w:szCs w:val="20"/>
          <w:color w:val="auto"/>
        </w:rPr>
      </w:pPr>
      <w:r>
        <w:rPr>
          <w:rFonts w:ascii="Arial" w:cs="Arial" w:eastAsia="Arial" w:hAnsi="Arial"/>
          <w:sz w:val="22"/>
          <w:szCs w:val="22"/>
          <w:color w:val="auto"/>
        </w:rPr>
        <w:t>Schedule 5.15</w:t>
        <w:tab/>
        <w:t>—</w:t>
      </w:r>
      <w:r>
        <w:rPr>
          <w:sz w:val="20"/>
          <w:szCs w:val="20"/>
          <w:color w:val="auto"/>
        </w:rPr>
        <w:tab/>
      </w:r>
      <w:r>
        <w:rPr>
          <w:rFonts w:ascii="Arial" w:cs="Arial" w:eastAsia="Arial" w:hAnsi="Arial"/>
          <w:sz w:val="19"/>
          <w:szCs w:val="19"/>
          <w:color w:val="auto"/>
        </w:rPr>
        <w:t>Existing Indebtedness</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22"/>
          <w:szCs w:val="22"/>
          <w:color w:val="auto"/>
        </w:rPr>
        <w:t>Exhibit 1</w:t>
        <w:tab/>
        <w:t>—</w:t>
      </w:r>
      <w:r>
        <w:rPr>
          <w:sz w:val="20"/>
          <w:szCs w:val="20"/>
          <w:color w:val="auto"/>
        </w:rPr>
        <w:tab/>
      </w:r>
      <w:r>
        <w:rPr>
          <w:rFonts w:ascii="Arial" w:cs="Arial" w:eastAsia="Arial" w:hAnsi="Arial"/>
          <w:sz w:val="19"/>
          <w:szCs w:val="19"/>
          <w:color w:val="auto"/>
        </w:rPr>
        <w:t>Form of 2.65% Senior Note due September 10, 2025</w:t>
      </w:r>
    </w:p>
    <w:p>
      <w:pPr>
        <w:spacing w:after="0" w:line="247" w:lineRule="exact"/>
        <w:rPr>
          <w:sz w:val="20"/>
          <w:szCs w:val="20"/>
          <w:color w:val="auto"/>
        </w:rPr>
      </w:pPr>
    </w:p>
    <w:p>
      <w:pPr>
        <w:spacing w:after="0"/>
        <w:tabs>
          <w:tab w:leader="none" w:pos="1460" w:val="left"/>
          <w:tab w:leader="none" w:pos="1940" w:val="left"/>
        </w:tabs>
        <w:rPr>
          <w:sz w:val="20"/>
          <w:szCs w:val="20"/>
          <w:color w:val="auto"/>
        </w:rPr>
      </w:pPr>
      <w:r>
        <w:rPr>
          <w:rFonts w:ascii="Arial" w:cs="Arial" w:eastAsia="Arial" w:hAnsi="Arial"/>
          <w:sz w:val="22"/>
          <w:szCs w:val="22"/>
          <w:color w:val="auto"/>
        </w:rPr>
        <w:t>Exhibit 4.4(a)</w:t>
        <w:tab/>
        <w:t>—</w:t>
      </w:r>
      <w:r>
        <w:rPr>
          <w:sz w:val="20"/>
          <w:szCs w:val="20"/>
          <w:color w:val="auto"/>
        </w:rPr>
        <w:tab/>
      </w:r>
      <w:r>
        <w:rPr>
          <w:rFonts w:ascii="Arial" w:cs="Arial" w:eastAsia="Arial" w:hAnsi="Arial"/>
          <w:sz w:val="19"/>
          <w:szCs w:val="19"/>
          <w:color w:val="auto"/>
        </w:rPr>
        <w:t>Form of Opinion of the Vice President, Chief Legal Officer and Corporate Secretary of ALLETE, INC.</w:t>
      </w:r>
    </w:p>
    <w:p>
      <w:pPr>
        <w:spacing w:after="0" w:line="220" w:lineRule="exact"/>
        <w:rPr>
          <w:sz w:val="20"/>
          <w:szCs w:val="20"/>
          <w:color w:val="auto"/>
        </w:rPr>
      </w:pPr>
    </w:p>
    <w:p>
      <w:pPr>
        <w:spacing w:after="0"/>
        <w:tabs>
          <w:tab w:leader="none" w:pos="1480" w:val="left"/>
          <w:tab w:leader="none" w:pos="1900" w:val="left"/>
        </w:tabs>
        <w:rPr>
          <w:sz w:val="20"/>
          <w:szCs w:val="20"/>
          <w:color w:val="auto"/>
        </w:rPr>
      </w:pPr>
      <w:r>
        <w:rPr>
          <w:rFonts w:ascii="Arial" w:cs="Arial" w:eastAsia="Arial" w:hAnsi="Arial"/>
          <w:sz w:val="22"/>
          <w:szCs w:val="22"/>
          <w:color w:val="auto"/>
        </w:rPr>
        <w:t>Exhibit 4.4(b)</w:t>
        <w:tab/>
        <w:t>—</w:t>
      </w:r>
      <w:r>
        <w:rPr>
          <w:sz w:val="20"/>
          <w:szCs w:val="20"/>
          <w:color w:val="auto"/>
        </w:rPr>
        <w:tab/>
      </w:r>
      <w:r>
        <w:rPr>
          <w:rFonts w:ascii="Arial" w:cs="Arial" w:eastAsia="Arial" w:hAnsi="Arial"/>
          <w:sz w:val="19"/>
          <w:szCs w:val="19"/>
          <w:color w:val="auto"/>
        </w:rPr>
        <w:t>Form of Opinion of Cohen Tauber Spievack &amp; Wagner P.C.</w:t>
      </w:r>
    </w:p>
    <w:p>
      <w:pPr>
        <w:spacing w:after="0" w:line="206" w:lineRule="exact"/>
        <w:rPr>
          <w:sz w:val="20"/>
          <w:szCs w:val="20"/>
          <w:color w:val="auto"/>
        </w:rPr>
      </w:pPr>
    </w:p>
    <w:p>
      <w:pPr>
        <w:spacing w:after="0"/>
        <w:tabs>
          <w:tab w:leader="none" w:pos="1400" w:val="left"/>
          <w:tab w:leader="none" w:pos="1840" w:val="left"/>
        </w:tabs>
        <w:rPr>
          <w:sz w:val="20"/>
          <w:szCs w:val="20"/>
          <w:color w:val="auto"/>
        </w:rPr>
      </w:pPr>
      <w:r>
        <w:rPr>
          <w:rFonts w:ascii="Arial" w:cs="Arial" w:eastAsia="Arial" w:hAnsi="Arial"/>
          <w:sz w:val="22"/>
          <w:szCs w:val="22"/>
          <w:color w:val="auto"/>
        </w:rPr>
        <w:t>Exhibit 4.4(c)</w:t>
        <w:tab/>
        <w:t>—</w:t>
      </w:r>
      <w:r>
        <w:rPr>
          <w:sz w:val="20"/>
          <w:szCs w:val="20"/>
          <w:color w:val="auto"/>
        </w:rPr>
        <w:tab/>
      </w:r>
      <w:r>
        <w:rPr>
          <w:rFonts w:ascii="Arial" w:cs="Arial" w:eastAsia="Arial" w:hAnsi="Arial"/>
          <w:sz w:val="19"/>
          <w:szCs w:val="19"/>
          <w:color w:val="auto"/>
        </w:rPr>
        <w:t>Form of Opinion of Chapman and Cutler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- 4 -</w:t>
            </w:r>
          </w:p>
        </w:tc>
      </w:tr>
    </w:tbl>
    <w:p>
      <w:pPr>
        <w:sectPr>
          <w:pgSz w:w="11900" w:h="16838" w:orient="portrait"/>
          <w:cols w:equalWidth="0" w:num="1">
            <w:col w:w="10880"/>
          </w:cols>
          <w:pgMar w:left="320" w:top="1440" w:right="699" w:bottom="1440" w:gutter="0" w:footer="0" w:header="0"/>
        </w:sectPr>
      </w:pPr>
    </w:p>
    <w:bookmarkStart w:id="57" w:name="page58"/>
    <w:bookmarkEnd w:id="57"/>
    <w:p>
      <w:pPr>
        <w:jc w:val="center"/>
        <w:spacing w:after="0"/>
        <w:rPr>
          <w:sz w:val="20"/>
          <w:szCs w:val="20"/>
          <w:color w:val="auto"/>
        </w:rPr>
      </w:pPr>
      <w:r>
        <w:rPr>
          <w:rFonts w:ascii="Arial" w:cs="Arial" w:eastAsia="Arial" w:hAnsi="Arial"/>
          <w:sz w:val="29"/>
          <w:szCs w:val="29"/>
          <w:color w:val="auto"/>
        </w:rPr>
        <w:t>Allete, Inc.</w:t>
      </w:r>
    </w:p>
    <w:p>
      <w:pPr>
        <w:jc w:val="center"/>
        <w:spacing w:after="0"/>
        <w:rPr>
          <w:sz w:val="20"/>
          <w:szCs w:val="20"/>
          <w:color w:val="auto"/>
        </w:rPr>
      </w:pPr>
      <w:r>
        <w:rPr>
          <w:rFonts w:ascii="Arial" w:cs="Arial" w:eastAsia="Arial" w:hAnsi="Arial"/>
          <w:sz w:val="22"/>
          <w:szCs w:val="22"/>
          <w:color w:val="auto"/>
        </w:rPr>
        <w:t>30 West Superior Street</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Duluth, Minnesota 55802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2.65% Senior Notes due September 10, 2025</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September 10, 2020</w:t>
      </w:r>
    </w:p>
    <w:p>
      <w:pPr>
        <w:spacing w:after="0" w:line="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To Each of the Purchasers Listed in</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Schedule A Hereto: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ALLETE, Inc., a Minnesota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agrees with each of the Purchasers as follows:</w:t>
      </w:r>
    </w:p>
    <w:p>
      <w:pPr>
        <w:spacing w:after="0" w:line="193"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Authorization of Notes.</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The Company will authorize the issue and sale of $150,000,000 aggregate principal amount of its 2.65% Senior Notes due September 10, 2025 (the </w:t>
      </w:r>
      <w:r>
        <w:rPr>
          <w:rFonts w:ascii="Arial" w:cs="Arial" w:eastAsia="Arial" w:hAnsi="Arial"/>
          <w:sz w:val="19"/>
          <w:szCs w:val="19"/>
          <w:b w:val="1"/>
          <w:bCs w:val="1"/>
          <w:color w:val="auto"/>
        </w:rPr>
        <w:t>“Notes”</w:t>
      </w:r>
      <w:r>
        <w:rPr>
          <w:rFonts w:ascii="Arial" w:cs="Arial" w:eastAsia="Arial" w:hAnsi="Arial"/>
          <w:sz w:val="19"/>
          <w:szCs w:val="19"/>
          <w:color w:val="auto"/>
        </w:rPr>
        <w:t>). The Notes shall be substantially in the form set out in Exhibit 1, with such changes therefrom, if any, as may be approved by you and the Company. Certain capitalized and other terms used in this Agreement are defined in Schedule B and, for purposes of this Agreement, the rules of construction set forth in Section 22.4 shall govern.</w:t>
      </w:r>
    </w:p>
    <w:p>
      <w:pPr>
        <w:spacing w:after="0" w:line="109"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8"/>
          <w:szCs w:val="18"/>
          <w:b w:val="1"/>
          <w:bCs w:val="1"/>
          <w:color w:val="auto"/>
        </w:rPr>
        <w:t>Sale and Purchase of Notes</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Subject to the terms and conditions of this Agreement, the Company will issue and sell to each Purchaser and each Purchaser will purchase from the Company, at the Closing provided for in Section 3, Notes in the principal amount specified opposite such Purchaser’s name in Schedule A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spacing w:after="0" w:line="142"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Closing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sale and purchase of the Notes to be purchased by each Purchaser shall occur at the offices of Cohen Tauber Spievack</w:t>
      </w:r>
    </w:p>
    <w:p>
      <w:pPr>
        <w:spacing w:after="0" w:line="56" w:lineRule="exact"/>
        <w:rPr>
          <w:sz w:val="20"/>
          <w:szCs w:val="20"/>
          <w:color w:val="auto"/>
        </w:rPr>
      </w:pPr>
    </w:p>
    <w:p>
      <w:pPr>
        <w:jc w:val="both"/>
        <w:ind w:firstLine="8"/>
        <w:spacing w:after="0" w:line="257" w:lineRule="auto"/>
        <w:tabs>
          <w:tab w:leader="none" w:pos="226" w:val="left"/>
        </w:tabs>
        <w:numPr>
          <w:ilvl w:val="0"/>
          <w:numId w:val="17"/>
        </w:numPr>
        <w:rPr>
          <w:rFonts w:ascii="Arial" w:cs="Arial" w:eastAsia="Arial" w:hAnsi="Arial"/>
          <w:sz w:val="21"/>
          <w:szCs w:val="21"/>
          <w:color w:val="auto"/>
        </w:rPr>
      </w:pPr>
      <w:r>
        <w:rPr>
          <w:rFonts w:ascii="Arial" w:cs="Arial" w:eastAsia="Arial" w:hAnsi="Arial"/>
          <w:sz w:val="21"/>
          <w:szCs w:val="21"/>
          <w:color w:val="auto"/>
        </w:rPr>
        <w:t xml:space="preserve">Wagner P.C., 420 Lexington Avenue, Suite 2400, New York, New York 10170, at 10:00 a.m., New York time, at a closing (the </w:t>
      </w:r>
      <w:r>
        <w:rPr>
          <w:rFonts w:ascii="Arial" w:cs="Arial" w:eastAsia="Arial" w:hAnsi="Arial"/>
          <w:sz w:val="21"/>
          <w:szCs w:val="21"/>
          <w:b w:val="1"/>
          <w:bCs w:val="1"/>
          <w:color w:val="auto"/>
        </w:rPr>
        <w:t>“Closing”</w:t>
      </w:r>
      <w:r>
        <w:rPr>
          <w:rFonts w:ascii="Arial" w:cs="Arial" w:eastAsia="Arial" w:hAnsi="Arial"/>
          <w:sz w:val="21"/>
          <w:szCs w:val="21"/>
          <w:color w:val="auto"/>
        </w:rPr>
        <w:t>) on September 10, 2020 or on such other Business Day there after on or prior to September 11, 2020 as may be</w:t>
      </w:r>
      <w:r>
        <w:rPr>
          <w:rFonts w:ascii="Arial" w:cs="Arial" w:eastAsia="Arial" w:hAnsi="Arial"/>
          <w:sz w:val="21"/>
          <w:szCs w:val="21"/>
          <w:b w:val="1"/>
          <w:bCs w:val="1"/>
          <w:color w:val="auto"/>
        </w:rPr>
        <w:t xml:space="preserve"> </w:t>
      </w:r>
      <w:r>
        <w:rPr>
          <w:rFonts w:ascii="Arial" w:cs="Arial" w:eastAsia="Arial" w:hAnsi="Arial"/>
          <w:sz w:val="21"/>
          <w:szCs w:val="21"/>
          <w:color w:val="auto"/>
        </w:rPr>
        <w:t>agreed upon by the Company and the Purchasers. At the Closing the Company will deliver to each Purchaser the Notes to be purchased by such Purchaser in the form of a single Note (or such greater number of Notes in denominations of at least $100,000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{00423270.DOC; 10}</w:t>
      </w:r>
    </w:p>
    <w:p>
      <w:pPr>
        <w:sectPr>
          <w:pgSz w:w="11900" w:h="16838" w:orient="portrait"/>
          <w:cols w:equalWidth="0" w:num="1">
            <w:col w:w="11240"/>
          </w:cols>
          <w:pgMar w:left="320" w:top="1342" w:right="339" w:bottom="1440" w:gutter="0" w:footer="0" w:header="0"/>
        </w:sectPr>
      </w:pPr>
    </w:p>
    <w:bookmarkStart w:id="58" w:name="page59"/>
    <w:bookmarkEnd w:id="58"/>
    <w:p>
      <w:pPr>
        <w:jc w:val="both"/>
        <w:spacing w:after="0" w:line="288" w:lineRule="auto"/>
        <w:rPr>
          <w:sz w:val="20"/>
          <w:szCs w:val="20"/>
          <w:color w:val="auto"/>
        </w:rPr>
      </w:pPr>
      <w:r>
        <w:rPr>
          <w:rFonts w:ascii="Arial" w:cs="Arial" w:eastAsia="Arial" w:hAnsi="Arial"/>
          <w:sz w:val="19"/>
          <w:szCs w:val="19"/>
          <w:color w:val="auto"/>
        </w:rPr>
        <w:t>account of the Company at Wells Fargo Bank, San Francisco, CA, ABA 121 000 248 for further credit to Minnesota Power Account 002-0000-364, Attn: Calla Gilbertson, 218-355-3686.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 tions under this Agreement, without thereby waiving any rights such Purchaser may have by reason of such failure by the Company to tender such Notes or any of the conditions specified in Section 4 not having been fulfilled to such Purchaser’s satisfaction. If at the Closing one Purchaser shall fail to purchase the Notes which it is obligated to purchase under this Agreement, the Company shall have the option (i) of terminating its obligation to sell any and all of the Notes to all Purchasers and be relieved of all further obligations under this Agreement, or (ii) of terminating its obligation to sell any Notes only to such defaulting Purchaser and be relieved of all further obligations under this Agreement only with respect to such defaulting Purchaser.</w:t>
      </w:r>
    </w:p>
    <w:p>
      <w:pPr>
        <w:spacing w:after="0" w:line="126"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Conditions to Closing</w:t>
      </w:r>
    </w:p>
    <w:p>
      <w:pPr>
        <w:spacing w:after="0" w:line="2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Each Purchaser’s obligation to purchase and pay for the Notes to be sold to such Purchaser at the Closing is subject to the fulfillment to such Purchaser’s satisfaction, prior to or at the Closing, of the following conditions:</w:t>
      </w:r>
    </w:p>
    <w:p>
      <w:pPr>
        <w:spacing w:after="0" w:line="14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Representations and Warranties</w:t>
      </w:r>
    </w:p>
    <w:p>
      <w:pPr>
        <w:spacing w:after="0" w:line="185" w:lineRule="exact"/>
        <w:rPr>
          <w:sz w:val="20"/>
          <w:szCs w:val="20"/>
          <w:color w:val="auto"/>
        </w:rPr>
      </w:pPr>
    </w:p>
    <w:p>
      <w:pPr>
        <w:ind w:left="760" w:hanging="104"/>
        <w:spacing w:after="0"/>
        <w:tabs>
          <w:tab w:leader="none" w:pos="760" w:val="left"/>
        </w:tabs>
        <w:numPr>
          <w:ilvl w:val="0"/>
          <w:numId w:val="18"/>
        </w:numPr>
        <w:rPr>
          <w:rFonts w:ascii="Arial" w:cs="Arial" w:eastAsia="Arial" w:hAnsi="Arial"/>
          <w:sz w:val="19"/>
          <w:szCs w:val="19"/>
          <w:b w:val="1"/>
          <w:bCs w:val="1"/>
          <w:color w:val="auto"/>
        </w:rPr>
      </w:pPr>
      <w:r>
        <w:rPr>
          <w:rFonts w:ascii="Arial" w:cs="Arial" w:eastAsia="Arial" w:hAnsi="Arial"/>
          <w:sz w:val="19"/>
          <w:szCs w:val="19"/>
          <w:color w:val="auto"/>
        </w:rPr>
        <w:t>The representations and warranties of the Company in this Agreement shall be correct when made and at the Closing.</w:t>
      </w:r>
    </w:p>
    <w:p>
      <w:pPr>
        <w:spacing w:after="0" w:line="20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Performance; No Default</w:t>
      </w:r>
    </w:p>
    <w:p>
      <w:pPr>
        <w:spacing w:after="0" w:line="185" w:lineRule="exact"/>
        <w:rPr>
          <w:sz w:val="20"/>
          <w:szCs w:val="20"/>
          <w:color w:val="auto"/>
        </w:rPr>
      </w:pPr>
    </w:p>
    <w:p>
      <w:pPr>
        <w:jc w:val="both"/>
        <w:ind w:firstLine="656"/>
        <w:spacing w:after="0" w:line="218" w:lineRule="auto"/>
        <w:tabs>
          <w:tab w:leader="none" w:pos="783"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Company shall have performed and complied with all agreements and conditions contained in this Agreement required to be performed or complied with by it prior to or at the Closing. Before and after giving effect to the issue and sale of the Notes (and the application of the proceeds thereof as contemplated by Section 5.14), no Default or Event of Default shall have occurred and be continuing.</w:t>
      </w:r>
    </w:p>
    <w:p>
      <w:pPr>
        <w:spacing w:after="0" w:line="15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9"/>
          <w:szCs w:val="19"/>
          <w:b w:val="1"/>
          <w:bCs w:val="1"/>
          <w:color w:val="auto"/>
        </w:rPr>
        <w:t>Compliance Certificates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left="660" w:firstLine="444"/>
        <w:spacing w:after="0" w:line="247" w:lineRule="auto"/>
        <w:rPr>
          <w:sz w:val="20"/>
          <w:szCs w:val="20"/>
          <w:color w:val="auto"/>
        </w:rPr>
      </w:pPr>
      <w:r>
        <w:rPr>
          <w:rFonts w:ascii="Arial" w:cs="Arial" w:eastAsia="Arial" w:hAnsi="Arial"/>
          <w:sz w:val="21"/>
          <w:szCs w:val="21"/>
          <w:color w:val="auto"/>
        </w:rPr>
        <w:t>(i)</w:t>
      </w:r>
      <w:r>
        <w:rPr>
          <w:rFonts w:ascii="Arial" w:cs="Arial" w:eastAsia="Arial" w:hAnsi="Arial"/>
          <w:sz w:val="21"/>
          <w:szCs w:val="21"/>
          <w:i w:val="1"/>
          <w:iCs w:val="1"/>
          <w:color w:val="auto"/>
        </w:rPr>
        <w:t>Officer’s Certificate</w:t>
      </w:r>
      <w:r>
        <w:rPr>
          <w:rFonts w:ascii="Arial" w:cs="Arial" w:eastAsia="Arial" w:hAnsi="Arial"/>
          <w:sz w:val="21"/>
          <w:szCs w:val="21"/>
          <w:color w:val="auto"/>
        </w:rPr>
        <w:t>. The Company shall have delivered to such Purchaser an Officer’s Certificate, dated the date of the Closing, certifying that the conditions specified in Sections 4.1, 4.2 and 4.9 have been fulfilled.</w:t>
      </w:r>
    </w:p>
    <w:p>
      <w:pPr>
        <w:spacing w:after="0" w:line="151" w:lineRule="exact"/>
        <w:rPr>
          <w:sz w:val="20"/>
          <w:szCs w:val="20"/>
          <w:color w:val="auto"/>
        </w:rPr>
      </w:pPr>
    </w:p>
    <w:p>
      <w:pPr>
        <w:jc w:val="both"/>
        <w:ind w:left="660" w:firstLine="384"/>
        <w:spacing w:after="0" w:line="218" w:lineRule="auto"/>
        <w:rPr>
          <w:sz w:val="20"/>
          <w:szCs w:val="20"/>
          <w:color w:val="auto"/>
        </w:rPr>
      </w:pPr>
      <w:r>
        <w:rPr>
          <w:rFonts w:ascii="Arial" w:cs="Arial" w:eastAsia="Arial" w:hAnsi="Arial"/>
          <w:sz w:val="22"/>
          <w:szCs w:val="22"/>
          <w:color w:val="auto"/>
        </w:rPr>
        <w:t>(ii)</w:t>
      </w:r>
      <w:r>
        <w:rPr>
          <w:rFonts w:ascii="Arial" w:cs="Arial" w:eastAsia="Arial" w:hAnsi="Arial"/>
          <w:sz w:val="22"/>
          <w:szCs w:val="22"/>
          <w:i w:val="1"/>
          <w:iCs w:val="1"/>
          <w:color w:val="auto"/>
        </w:rPr>
        <w:t>Secretary’s Certificate</w:t>
      </w:r>
      <w:r>
        <w:rPr>
          <w:rFonts w:ascii="Arial" w:cs="Arial" w:eastAsia="Arial" w:hAnsi="Arial"/>
          <w:sz w:val="22"/>
          <w:szCs w:val="22"/>
          <w:color w:val="auto"/>
        </w:rPr>
        <w:t>. The Company shall have delivered to such Purchaser a certificate of its Secretary or Assistant Secretary, dated the date of the Closing, certifying as to (i) the resolutions attached thereto and other corporate proceedings relating to the authorization, execution and delivery of the Notes and this Agreement and (ii) the Company’s organizational documents as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1428" w:right="339" w:bottom="1440" w:gutter="0" w:footer="0" w:header="0"/>
        </w:sectPr>
      </w:pPr>
    </w:p>
    <w:bookmarkStart w:id="59" w:name="page60"/>
    <w:bookmarkEnd w:id="59"/>
    <w:p>
      <w:pPr>
        <w:ind w:left="652"/>
        <w:spacing w:after="0"/>
        <w:tabs>
          <w:tab w:leader="none" w:pos="2032"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Opinions of Counsel</w:t>
      </w:r>
    </w:p>
    <w:p>
      <w:pPr>
        <w:spacing w:after="0" w:line="185" w:lineRule="exact"/>
        <w:rPr>
          <w:sz w:val="20"/>
          <w:szCs w:val="20"/>
          <w:color w:val="auto"/>
        </w:rPr>
      </w:pPr>
    </w:p>
    <w:p>
      <w:pPr>
        <w:jc w:val="both"/>
        <w:ind w:left="-8" w:firstLine="656"/>
        <w:spacing w:after="0" w:line="247" w:lineRule="auto"/>
        <w:tabs>
          <w:tab w:leader="none" w:pos="748" w:val="left"/>
        </w:tabs>
        <w:numPr>
          <w:ilvl w:val="1"/>
          <w:numId w:val="20"/>
        </w:numPr>
        <w:rPr>
          <w:rFonts w:ascii="Arial" w:cs="Arial" w:eastAsia="Arial" w:hAnsi="Arial"/>
          <w:sz w:val="19"/>
          <w:szCs w:val="19"/>
          <w:color w:val="auto"/>
        </w:rPr>
      </w:pPr>
      <w:r>
        <w:rPr>
          <w:rFonts w:ascii="Arial" w:cs="Arial" w:eastAsia="Arial" w:hAnsi="Arial"/>
          <w:sz w:val="19"/>
          <w:szCs w:val="19"/>
          <w:color w:val="auto"/>
        </w:rPr>
        <w:t>Such Purchaser shall have received opinions in form and substance satisfactory to such Purchaser, dated the date of the Closing (a) from the Vice President, Chief Legal Officer and Corporate Secretary of ALLETE, Inc., and Cohen Tauber Spievack</w:t>
      </w:r>
    </w:p>
    <w:p>
      <w:pPr>
        <w:jc w:val="both"/>
        <w:ind w:left="-8" w:firstLine="8"/>
        <w:spacing w:after="0" w:line="247" w:lineRule="auto"/>
        <w:tabs>
          <w:tab w:leader="none" w:pos="227" w:val="left"/>
        </w:tabs>
        <w:numPr>
          <w:ilvl w:val="0"/>
          <w:numId w:val="20"/>
        </w:numPr>
        <w:rPr>
          <w:rFonts w:ascii="Arial" w:cs="Arial" w:eastAsia="Arial" w:hAnsi="Arial"/>
          <w:sz w:val="19"/>
          <w:szCs w:val="19"/>
          <w:color w:val="auto"/>
        </w:rPr>
      </w:pPr>
      <w:r>
        <w:rPr>
          <w:rFonts w:ascii="Arial" w:cs="Arial" w:eastAsia="Arial" w:hAnsi="Arial"/>
          <w:sz w:val="19"/>
          <w:szCs w:val="19"/>
          <w:color w:val="auto"/>
        </w:rPr>
        <w:t>Wagner P.C., counsel for the Company, covering the matters set forth in Exhibit 4.4(a) and 4.4(b), respectively, and covering such other matters incident to the transactions contemplated hereby as such Purchaser or its counsel may reasonably request (and the Company hereby instructs its counsel to deliver such opinion to the Purchasers) and (b) from Chapman and Cutler LLP, the Purchasers’ special counsel in connection with such transactions, substantially in the form set forth in Exhibit 4.4(c) and covering such other matters incident to such transactions as such Purchaser may reasonably request.</w:t>
      </w:r>
    </w:p>
    <w:p>
      <w:pPr>
        <w:spacing w:after="0" w:line="148" w:lineRule="exact"/>
        <w:rPr>
          <w:sz w:val="20"/>
          <w:szCs w:val="20"/>
          <w:color w:val="auto"/>
        </w:rPr>
      </w:pPr>
    </w:p>
    <w:p>
      <w:pPr>
        <w:ind w:left="652"/>
        <w:spacing w:after="0"/>
        <w:tabs>
          <w:tab w:leader="none" w:pos="2032" w:val="left"/>
        </w:tabs>
        <w:rPr>
          <w:sz w:val="20"/>
          <w:szCs w:val="20"/>
          <w:color w:val="auto"/>
        </w:rPr>
      </w:pPr>
      <w:r>
        <w:rPr>
          <w:rFonts w:ascii="Arial" w:cs="Arial" w:eastAsia="Arial" w:hAnsi="Arial"/>
          <w:sz w:val="22"/>
          <w:szCs w:val="22"/>
          <w:b w:val="1"/>
          <w:bCs w:val="1"/>
          <w:color w:val="auto"/>
        </w:rPr>
        <w:t>Section e.</w:t>
      </w:r>
      <w:r>
        <w:rPr>
          <w:sz w:val="20"/>
          <w:szCs w:val="20"/>
          <w:color w:val="auto"/>
        </w:rPr>
        <w:tab/>
      </w:r>
      <w:r>
        <w:rPr>
          <w:rFonts w:ascii="Arial" w:cs="Arial" w:eastAsia="Arial" w:hAnsi="Arial"/>
          <w:sz w:val="19"/>
          <w:szCs w:val="19"/>
          <w:b w:val="1"/>
          <w:bCs w:val="1"/>
          <w:color w:val="auto"/>
        </w:rPr>
        <w:t>Purchase Permitted By Applicable Law, Etc</w:t>
      </w:r>
    </w:p>
    <w:p>
      <w:pPr>
        <w:spacing w:after="0" w:line="185" w:lineRule="exact"/>
        <w:rPr>
          <w:sz w:val="20"/>
          <w:szCs w:val="20"/>
          <w:color w:val="auto"/>
        </w:rPr>
      </w:pPr>
    </w:p>
    <w:p>
      <w:pPr>
        <w:jc w:val="both"/>
        <w:ind w:left="-8" w:firstLine="656"/>
        <w:spacing w:after="0" w:line="246" w:lineRule="auto"/>
        <w:tabs>
          <w:tab w:leader="none" w:pos="748" w:val="left"/>
        </w:tabs>
        <w:numPr>
          <w:ilvl w:val="0"/>
          <w:numId w:val="21"/>
        </w:numPr>
        <w:rPr>
          <w:rFonts w:ascii="Arial" w:cs="Arial" w:eastAsia="Arial" w:hAnsi="Arial"/>
          <w:sz w:val="19"/>
          <w:szCs w:val="19"/>
          <w:color w:val="auto"/>
        </w:rPr>
      </w:pPr>
      <w:r>
        <w:rPr>
          <w:rFonts w:ascii="Arial" w:cs="Arial" w:eastAsia="Arial" w:hAnsi="Arial"/>
          <w:sz w:val="19"/>
          <w:szCs w:val="19"/>
          <w:color w:val="auto"/>
        </w:rPr>
        <w:t>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46" w:lineRule="exact"/>
        <w:rPr>
          <w:sz w:val="20"/>
          <w:szCs w:val="20"/>
          <w:color w:val="auto"/>
        </w:rPr>
      </w:pPr>
    </w:p>
    <w:p>
      <w:pPr>
        <w:ind w:left="652"/>
        <w:spacing w:after="0"/>
        <w:tabs>
          <w:tab w:leader="none" w:pos="2012" w:val="left"/>
        </w:tabs>
        <w:rPr>
          <w:sz w:val="20"/>
          <w:szCs w:val="20"/>
          <w:color w:val="auto"/>
        </w:rPr>
      </w:pPr>
      <w:r>
        <w:rPr>
          <w:rFonts w:ascii="Arial" w:cs="Arial" w:eastAsia="Arial" w:hAnsi="Arial"/>
          <w:sz w:val="22"/>
          <w:szCs w:val="22"/>
          <w:b w:val="1"/>
          <w:bCs w:val="1"/>
          <w:color w:val="auto"/>
        </w:rPr>
        <w:t>Section f.</w:t>
      </w:r>
      <w:r>
        <w:rPr>
          <w:sz w:val="20"/>
          <w:szCs w:val="20"/>
          <w:color w:val="auto"/>
        </w:rPr>
        <w:tab/>
      </w:r>
      <w:r>
        <w:rPr>
          <w:rFonts w:ascii="Arial" w:cs="Arial" w:eastAsia="Arial" w:hAnsi="Arial"/>
          <w:sz w:val="19"/>
          <w:szCs w:val="19"/>
          <w:b w:val="1"/>
          <w:bCs w:val="1"/>
          <w:color w:val="auto"/>
        </w:rPr>
        <w:t>Sale of Other Notes</w:t>
      </w:r>
    </w:p>
    <w:p>
      <w:pPr>
        <w:spacing w:after="0" w:line="185" w:lineRule="exact"/>
        <w:rPr>
          <w:sz w:val="20"/>
          <w:szCs w:val="20"/>
          <w:color w:val="auto"/>
        </w:rPr>
      </w:pPr>
    </w:p>
    <w:p>
      <w:pPr>
        <w:ind w:left="-8" w:right="20" w:firstLine="656"/>
        <w:spacing w:after="0" w:line="232" w:lineRule="auto"/>
        <w:tabs>
          <w:tab w:leader="none" w:pos="775" w:val="left"/>
        </w:tabs>
        <w:numPr>
          <w:ilvl w:val="0"/>
          <w:numId w:val="22"/>
        </w:numPr>
        <w:rPr>
          <w:rFonts w:ascii="Arial" w:cs="Arial" w:eastAsia="Arial" w:hAnsi="Arial"/>
          <w:sz w:val="22"/>
          <w:szCs w:val="22"/>
          <w:color w:val="auto"/>
        </w:rPr>
      </w:pPr>
      <w:r>
        <w:rPr>
          <w:rFonts w:ascii="Arial" w:cs="Arial" w:eastAsia="Arial" w:hAnsi="Arial"/>
          <w:sz w:val="22"/>
          <w:szCs w:val="22"/>
          <w:color w:val="auto"/>
        </w:rPr>
        <w:t>Contemporaneously with the Closing the Company shall sell to each other Purchaser and each other Purchaser shall purchase the Notes to be purchased by it at the Closing as specified in Schedule A.</w:t>
      </w:r>
    </w:p>
    <w:p>
      <w:pPr>
        <w:spacing w:after="0" w:line="153" w:lineRule="exact"/>
        <w:rPr>
          <w:sz w:val="20"/>
          <w:szCs w:val="20"/>
          <w:color w:val="auto"/>
        </w:rPr>
      </w:pPr>
    </w:p>
    <w:p>
      <w:pPr>
        <w:ind w:left="652"/>
        <w:spacing w:after="0"/>
        <w:tabs>
          <w:tab w:leader="none" w:pos="2032" w:val="left"/>
        </w:tabs>
        <w:rPr>
          <w:sz w:val="20"/>
          <w:szCs w:val="20"/>
          <w:color w:val="auto"/>
        </w:rPr>
      </w:pPr>
      <w:r>
        <w:rPr>
          <w:rFonts w:ascii="Arial" w:cs="Arial" w:eastAsia="Arial" w:hAnsi="Arial"/>
          <w:sz w:val="22"/>
          <w:szCs w:val="22"/>
          <w:b w:val="1"/>
          <w:bCs w:val="1"/>
          <w:color w:val="auto"/>
        </w:rPr>
        <w:t>Section g.</w:t>
      </w:r>
      <w:r>
        <w:rPr>
          <w:sz w:val="20"/>
          <w:szCs w:val="20"/>
          <w:color w:val="auto"/>
        </w:rPr>
        <w:tab/>
      </w:r>
      <w:r>
        <w:rPr>
          <w:rFonts w:ascii="Arial" w:cs="Arial" w:eastAsia="Arial" w:hAnsi="Arial"/>
          <w:sz w:val="18"/>
          <w:szCs w:val="18"/>
          <w:b w:val="1"/>
          <w:bCs w:val="1"/>
          <w:color w:val="auto"/>
        </w:rPr>
        <w:t>Payment of Special Counsel Fees</w:t>
      </w:r>
    </w:p>
    <w:p>
      <w:pPr>
        <w:spacing w:after="0" w:line="185" w:lineRule="exact"/>
        <w:rPr>
          <w:sz w:val="20"/>
          <w:szCs w:val="20"/>
          <w:color w:val="auto"/>
        </w:rPr>
      </w:pPr>
    </w:p>
    <w:p>
      <w:pPr>
        <w:jc w:val="both"/>
        <w:ind w:left="-8" w:firstLine="656"/>
        <w:spacing w:after="0" w:line="223" w:lineRule="auto"/>
        <w:tabs>
          <w:tab w:leader="none" w:pos="815" w:val="left"/>
        </w:tabs>
        <w:numPr>
          <w:ilvl w:val="0"/>
          <w:numId w:val="23"/>
        </w:numPr>
        <w:rPr>
          <w:rFonts w:ascii="Arial" w:cs="Arial" w:eastAsia="Arial" w:hAnsi="Arial"/>
          <w:sz w:val="22"/>
          <w:szCs w:val="22"/>
          <w:color w:val="auto"/>
        </w:rPr>
      </w:pPr>
      <w:r>
        <w:rPr>
          <w:rFonts w:ascii="Arial" w:cs="Arial" w:eastAsia="Arial" w:hAnsi="Arial"/>
          <w:sz w:val="22"/>
          <w:szCs w:val="22"/>
          <w:color w:val="auto"/>
        </w:rPr>
        <w:t>Without limiting Section 15.1, the Company shall have paid on or before the Closing the fees, charges and disbursements of the Purchasers’ special counsel referred to in Section 4.4 to the extent reflected in a statement of such counsel rendered to the Company at least one Business Day prior to the date of the Closing.</w:t>
      </w:r>
    </w:p>
    <w:p>
      <w:pPr>
        <w:spacing w:after="0" w:line="153" w:lineRule="exact"/>
        <w:rPr>
          <w:sz w:val="20"/>
          <w:szCs w:val="20"/>
          <w:color w:val="auto"/>
        </w:rPr>
      </w:pPr>
    </w:p>
    <w:p>
      <w:pPr>
        <w:ind w:left="652"/>
        <w:spacing w:after="0"/>
        <w:tabs>
          <w:tab w:leader="none" w:pos="2032" w:val="left"/>
        </w:tabs>
        <w:rPr>
          <w:sz w:val="20"/>
          <w:szCs w:val="20"/>
          <w:color w:val="auto"/>
        </w:rPr>
      </w:pPr>
      <w:r>
        <w:rPr>
          <w:rFonts w:ascii="Arial" w:cs="Arial" w:eastAsia="Arial" w:hAnsi="Arial"/>
          <w:sz w:val="22"/>
          <w:szCs w:val="22"/>
          <w:b w:val="1"/>
          <w:bCs w:val="1"/>
          <w:color w:val="auto"/>
        </w:rPr>
        <w:t>Section h.</w:t>
      </w:r>
      <w:r>
        <w:rPr>
          <w:sz w:val="20"/>
          <w:szCs w:val="20"/>
          <w:color w:val="auto"/>
        </w:rPr>
        <w:tab/>
      </w:r>
      <w:r>
        <w:rPr>
          <w:rFonts w:ascii="Arial" w:cs="Arial" w:eastAsia="Arial" w:hAnsi="Arial"/>
          <w:sz w:val="19"/>
          <w:szCs w:val="19"/>
          <w:b w:val="1"/>
          <w:bCs w:val="1"/>
          <w:color w:val="auto"/>
        </w:rPr>
        <w:t>Private Placement Number</w:t>
      </w:r>
    </w:p>
    <w:p>
      <w:pPr>
        <w:spacing w:after="0" w:line="185" w:lineRule="exact"/>
        <w:rPr>
          <w:sz w:val="20"/>
          <w:szCs w:val="20"/>
          <w:color w:val="auto"/>
        </w:rPr>
      </w:pPr>
    </w:p>
    <w:p>
      <w:pPr>
        <w:ind w:left="-8" w:right="20" w:firstLine="656"/>
        <w:spacing w:after="0" w:line="232" w:lineRule="auto"/>
        <w:tabs>
          <w:tab w:leader="none" w:pos="748"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Private Placement Number issued by Standard &amp; Poor’s CUSIP Service Bureau (in cooperation with the SVO) shall have been obtained for the Notes.</w:t>
      </w:r>
    </w:p>
    <w:p>
      <w:pPr>
        <w:spacing w:after="0" w:line="153" w:lineRule="exact"/>
        <w:rPr>
          <w:sz w:val="20"/>
          <w:szCs w:val="20"/>
          <w:color w:val="auto"/>
        </w:rPr>
      </w:pPr>
    </w:p>
    <w:p>
      <w:pPr>
        <w:ind w:left="652"/>
        <w:spacing w:after="0"/>
        <w:tabs>
          <w:tab w:leader="none" w:pos="2012" w:val="left"/>
        </w:tabs>
        <w:rPr>
          <w:sz w:val="20"/>
          <w:szCs w:val="20"/>
          <w:color w:val="auto"/>
        </w:rPr>
      </w:pPr>
      <w:r>
        <w:rPr>
          <w:rFonts w:ascii="Arial" w:cs="Arial" w:eastAsia="Arial" w:hAnsi="Arial"/>
          <w:sz w:val="22"/>
          <w:szCs w:val="22"/>
          <w:b w:val="1"/>
          <w:bCs w:val="1"/>
          <w:color w:val="auto"/>
        </w:rPr>
        <w:t>Section i.</w:t>
      </w:r>
      <w:r>
        <w:rPr>
          <w:sz w:val="20"/>
          <w:szCs w:val="20"/>
          <w:color w:val="auto"/>
        </w:rPr>
        <w:tab/>
      </w:r>
      <w:r>
        <w:rPr>
          <w:rFonts w:ascii="Arial" w:cs="Arial" w:eastAsia="Arial" w:hAnsi="Arial"/>
          <w:sz w:val="19"/>
          <w:szCs w:val="19"/>
          <w:b w:val="1"/>
          <w:bCs w:val="1"/>
          <w:color w:val="auto"/>
        </w:rPr>
        <w:t>Changes in Corporate Structure</w:t>
      </w:r>
    </w:p>
    <w:p>
      <w:pPr>
        <w:spacing w:after="0" w:line="185" w:lineRule="exact"/>
        <w:rPr>
          <w:sz w:val="20"/>
          <w:szCs w:val="20"/>
          <w:color w:val="auto"/>
        </w:rPr>
      </w:pPr>
    </w:p>
    <w:p>
      <w:pPr>
        <w:jc w:val="both"/>
        <w:ind w:left="-8" w:firstLine="656"/>
        <w:spacing w:after="0" w:line="223" w:lineRule="auto"/>
        <w:tabs>
          <w:tab w:leader="none" w:pos="761"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Section 5.5.</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8" w:lineRule="exact"/>
        <w:rPr>
          <w:rFonts w:ascii="Arial" w:cs="Arial" w:eastAsia="Arial" w:hAnsi="Arial"/>
          <w:sz w:val="22"/>
          <w:szCs w:val="22"/>
          <w:color w:val="auto"/>
        </w:rPr>
      </w:pPr>
    </w:p>
    <w:p>
      <w:pPr>
        <w:ind w:left="5572" w:hanging="136"/>
        <w:spacing w:after="0"/>
        <w:tabs>
          <w:tab w:leader="none" w:pos="5572" w:val="left"/>
        </w:tabs>
        <w:numPr>
          <w:ilvl w:val="1"/>
          <w:numId w:val="25"/>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32"/>
          </w:cols>
          <w:pgMar w:left="328" w:top="1395" w:right="339" w:bottom="1440" w:gutter="0" w:footer="0" w:header="0"/>
        </w:sectPr>
      </w:pPr>
    </w:p>
    <w:bookmarkStart w:id="60" w:name="page61"/>
    <w:bookmarkEnd w:id="60"/>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j.</w:t>
      </w:r>
      <w:r>
        <w:rPr>
          <w:sz w:val="20"/>
          <w:szCs w:val="20"/>
          <w:color w:val="auto"/>
        </w:rPr>
        <w:tab/>
      </w:r>
      <w:r>
        <w:rPr>
          <w:rFonts w:ascii="Arial" w:cs="Arial" w:eastAsia="Arial" w:hAnsi="Arial"/>
          <w:sz w:val="19"/>
          <w:szCs w:val="19"/>
          <w:b w:val="1"/>
          <w:bCs w:val="1"/>
          <w:color w:val="auto"/>
        </w:rPr>
        <w:t>Funding Instructions</w:t>
      </w:r>
    </w:p>
    <w:p>
      <w:pPr>
        <w:spacing w:after="0" w:line="185" w:lineRule="exact"/>
        <w:rPr>
          <w:sz w:val="20"/>
          <w:szCs w:val="20"/>
          <w:color w:val="auto"/>
        </w:rPr>
      </w:pPr>
    </w:p>
    <w:p>
      <w:pPr>
        <w:jc w:val="both"/>
        <w:ind w:firstLine="656"/>
        <w:spacing w:after="0" w:line="218" w:lineRule="auto"/>
        <w:tabs>
          <w:tab w:leader="none" w:pos="769" w:val="left"/>
        </w:tabs>
        <w:numPr>
          <w:ilvl w:val="0"/>
          <w:numId w:val="26"/>
        </w:numPr>
        <w:rPr>
          <w:rFonts w:ascii="Arial" w:cs="Arial" w:eastAsia="Arial" w:hAnsi="Arial"/>
          <w:sz w:val="22"/>
          <w:szCs w:val="22"/>
          <w:color w:val="auto"/>
        </w:rPr>
      </w:pPr>
      <w:r>
        <w:rPr>
          <w:rFonts w:ascii="Arial" w:cs="Arial" w:eastAsia="Arial" w:hAnsi="Arial"/>
          <w:sz w:val="22"/>
          <w:szCs w:val="22"/>
          <w:color w:val="auto"/>
        </w:rPr>
        <w:t>At least three Business Days prior to the date of the Closing, each Purchaser shall have received written instructions signed by a Responsible Officer on letterhead of the Company confirming the information specified in Section 3 including (i) the name and address of the transferee bank, (ii) such transferee bank’s ABA number and (iii) the account name and number into which the purchase price for the Notes is to be deposited.</w:t>
      </w:r>
    </w:p>
    <w:p>
      <w:pPr>
        <w:spacing w:after="0" w:line="15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k.</w:t>
      </w:r>
      <w:r>
        <w:rPr>
          <w:sz w:val="20"/>
          <w:szCs w:val="20"/>
          <w:color w:val="auto"/>
        </w:rPr>
        <w:tab/>
      </w:r>
      <w:r>
        <w:rPr>
          <w:rFonts w:ascii="Arial" w:cs="Arial" w:eastAsia="Arial" w:hAnsi="Arial"/>
          <w:sz w:val="18"/>
          <w:szCs w:val="18"/>
          <w:b w:val="1"/>
          <w:bCs w:val="1"/>
          <w:color w:val="auto"/>
        </w:rPr>
        <w:t>Proceedings and Documents</w:t>
      </w:r>
    </w:p>
    <w:p>
      <w:pPr>
        <w:spacing w:after="0" w:line="185" w:lineRule="exact"/>
        <w:rPr>
          <w:sz w:val="20"/>
          <w:szCs w:val="20"/>
          <w:color w:val="auto"/>
        </w:rPr>
      </w:pPr>
    </w:p>
    <w:p>
      <w:pPr>
        <w:jc w:val="both"/>
        <w:ind w:firstLine="656"/>
        <w:spacing w:after="0" w:line="218" w:lineRule="auto"/>
        <w:tabs>
          <w:tab w:leader="none" w:pos="7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155"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Representations and Warranties of the Company.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represents and warrants to each Purchaser that:</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Organization; Power and Authority</w:t>
      </w:r>
    </w:p>
    <w:p>
      <w:pPr>
        <w:spacing w:after="0" w:line="185" w:lineRule="exact"/>
        <w:rPr>
          <w:sz w:val="20"/>
          <w:szCs w:val="20"/>
          <w:color w:val="auto"/>
        </w:rPr>
      </w:pPr>
    </w:p>
    <w:p>
      <w:pPr>
        <w:jc w:val="both"/>
        <w:ind w:firstLine="656"/>
        <w:spacing w:after="0" w:line="212" w:lineRule="auto"/>
        <w:tabs>
          <w:tab w:leader="none" w:pos="75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Notes and to perform the provisions hereof and thereof.</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Authorization, Etc</w:t>
      </w:r>
    </w:p>
    <w:p>
      <w:pPr>
        <w:spacing w:after="0" w:line="185" w:lineRule="exact"/>
        <w:rPr>
          <w:sz w:val="20"/>
          <w:szCs w:val="20"/>
          <w:color w:val="auto"/>
        </w:rPr>
      </w:pPr>
    </w:p>
    <w:p>
      <w:pPr>
        <w:jc w:val="both"/>
        <w:ind w:firstLine="656"/>
        <w:spacing w:after="0" w:line="214" w:lineRule="auto"/>
        <w:tabs>
          <w:tab w:leader="none" w:pos="756"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15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8"/>
          <w:szCs w:val="18"/>
          <w:b w:val="1"/>
          <w:bCs w:val="1"/>
          <w:color w:val="auto"/>
        </w:rPr>
        <w:t>Disclosure</w:t>
      </w:r>
    </w:p>
    <w:p>
      <w:pPr>
        <w:spacing w:after="0" w:line="185" w:lineRule="exact"/>
        <w:rPr>
          <w:sz w:val="20"/>
          <w:szCs w:val="20"/>
          <w:color w:val="auto"/>
        </w:rPr>
      </w:pPr>
    </w:p>
    <w:p>
      <w:pPr>
        <w:jc w:val="both"/>
        <w:ind w:firstLine="656"/>
        <w:spacing w:after="0" w:line="247" w:lineRule="auto"/>
        <w:tabs>
          <w:tab w:leader="none" w:pos="756"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Company, through its public filings, has made available to each Purchaser a copy of the Company’s Annual Report on Form 10-K for the year ended December 31, 2019, a copy of each of the Company’s Quarterly Reports on Form 10-Q for the quarters ended March 31, 2020 and June 30, 2020, and a copy of each of the Company’s Current Reports on Form 8-K filed with the SEC on February 3, 2020, March 31, 2020, April 13, 2020, April 14, 2020, May 15, 2020 and July 31, 2020, each of which has also been filed with the SEC under the Exchange Act (collectively, the “</w:t>
      </w:r>
      <w:r>
        <w:rPr>
          <w:rFonts w:ascii="Arial" w:cs="Arial" w:eastAsia="Arial" w:hAnsi="Arial"/>
          <w:sz w:val="19"/>
          <w:szCs w:val="19"/>
          <w:b w:val="1"/>
          <w:bCs w:val="1"/>
          <w:color w:val="auto"/>
        </w:rPr>
        <w:t>Disclosure Documents</w:t>
      </w:r>
      <w:r>
        <w:rPr>
          <w:rFonts w:ascii="Arial" w:cs="Arial" w:eastAsia="Arial" w:hAnsi="Arial"/>
          <w:sz w:val="19"/>
          <w:szCs w:val="19"/>
          <w:color w:val="auto"/>
        </w:rPr>
        <w:t>”). The Disclosure Documents fairly describe, in all material respects and as of their respective dates, the general nature of the business and principal properties of the Company and its Subsidiaries. The Disclosure Documents do not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5580" w:hanging="136"/>
        <w:spacing w:after="0"/>
        <w:tabs>
          <w:tab w:leader="none" w:pos="5580" w:val="left"/>
        </w:tabs>
        <w:numPr>
          <w:ilvl w:val="1"/>
          <w:numId w:val="30"/>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40"/>
          </w:cols>
          <w:pgMar w:left="320" w:top="1395" w:right="339" w:bottom="1440" w:gutter="0" w:footer="0" w:header="0"/>
        </w:sectPr>
      </w:pPr>
    </w:p>
    <w:bookmarkStart w:id="61" w:name="page62"/>
    <w:bookmarkEnd w:id="61"/>
    <w:p>
      <w:pPr>
        <w:jc w:val="both"/>
        <w:spacing w:after="0" w:line="249" w:lineRule="auto"/>
        <w:rPr>
          <w:sz w:val="20"/>
          <w:szCs w:val="20"/>
          <w:color w:val="auto"/>
        </w:rPr>
      </w:pPr>
      <w:r>
        <w:rPr>
          <w:rFonts w:ascii="Arial" w:cs="Arial" w:eastAsia="Arial" w:hAnsi="Arial"/>
          <w:sz w:val="19"/>
          <w:szCs w:val="19"/>
          <w:color w:val="auto"/>
        </w:rPr>
        <w:t>contain, as of their respective dates, any untrue statement of a material fact or omit to state any material fact necessary to make the statements therein not misleading in light of the circumstances under which they were made. Except as disclosed in the Disclosure Documents or on Schedule 5.3, since December 31, 2019, there has been no change in the financial condition, operations, business or properties of the Company or any Subsidiary except changes that individually or in the aggregate could not reasonably be expected to have a Material Adverse Effect. There is no fact known to the Company that could reasonably be expected to have a Material Adverse Effect that has not been set forth herein, in the Disclosure Documents or on Schedule 5.3.</w:t>
      </w:r>
    </w:p>
    <w:p>
      <w:pPr>
        <w:spacing w:after="0" w:line="3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Organization and Ownership of Shares of Subsidiaries; Affiliates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left="660" w:firstLine="444"/>
        <w:spacing w:after="0" w:line="218" w:lineRule="auto"/>
        <w:rPr>
          <w:sz w:val="20"/>
          <w:szCs w:val="20"/>
          <w:color w:val="auto"/>
        </w:rPr>
      </w:pPr>
      <w:r>
        <w:rPr>
          <w:rFonts w:ascii="Arial" w:cs="Arial" w:eastAsia="Arial" w:hAnsi="Arial"/>
          <w:sz w:val="22"/>
          <w:szCs w:val="22"/>
          <w:color w:val="auto"/>
        </w:rPr>
        <w:t>(i)Schedule 5.4 contains (except as noted therein) complete and correct lists of the Company’s active Subsidiaries, showing, as to each Subsidiary, the name thereof, the jurisdiction of its organization, the percentage of shares of each class of its capital stock or similar equity interests outstanding owned by the Company and each other Subsidiary and whether such Subsidiary is a Subsidiary Guarantor.</w:t>
      </w:r>
    </w:p>
    <w:p>
      <w:pPr>
        <w:spacing w:after="0" w:line="161" w:lineRule="exact"/>
        <w:rPr>
          <w:sz w:val="20"/>
          <w:szCs w:val="20"/>
          <w:color w:val="auto"/>
        </w:rPr>
      </w:pPr>
    </w:p>
    <w:p>
      <w:pPr>
        <w:jc w:val="both"/>
        <w:ind w:left="660" w:firstLine="384"/>
        <w:spacing w:after="0" w:line="268" w:lineRule="auto"/>
        <w:rPr>
          <w:sz w:val="20"/>
          <w:szCs w:val="20"/>
          <w:color w:val="auto"/>
        </w:rPr>
      </w:pPr>
      <w:r>
        <w:rPr>
          <w:rFonts w:ascii="Arial" w:cs="Arial" w:eastAsia="Arial" w:hAnsi="Arial"/>
          <w:sz w:val="19"/>
          <w:szCs w:val="19"/>
          <w:color w:val="auto"/>
        </w:rPr>
        <w:t>(ii)All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w:t>
      </w:r>
    </w:p>
    <w:p>
      <w:pPr>
        <w:spacing w:after="0" w:line="132" w:lineRule="exact"/>
        <w:rPr>
          <w:sz w:val="20"/>
          <w:szCs w:val="20"/>
          <w:color w:val="auto"/>
        </w:rPr>
      </w:pPr>
    </w:p>
    <w:p>
      <w:pPr>
        <w:jc w:val="both"/>
        <w:ind w:left="660" w:firstLine="324"/>
        <w:spacing w:after="0" w:line="222" w:lineRule="auto"/>
        <w:rPr>
          <w:sz w:val="20"/>
          <w:szCs w:val="20"/>
          <w:color w:val="auto"/>
        </w:rPr>
      </w:pPr>
      <w:r>
        <w:rPr>
          <w:rFonts w:ascii="Arial" w:cs="Arial" w:eastAsia="Arial" w:hAnsi="Arial"/>
          <w:sz w:val="21"/>
          <w:szCs w:val="21"/>
          <w:color w:val="auto"/>
        </w:rPr>
        <w:t>(iii)Each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58" w:lineRule="exact"/>
        <w:rPr>
          <w:sz w:val="20"/>
          <w:szCs w:val="20"/>
          <w:color w:val="auto"/>
        </w:rPr>
      </w:pPr>
    </w:p>
    <w:p>
      <w:pPr>
        <w:jc w:val="both"/>
        <w:ind w:left="660" w:firstLine="336"/>
        <w:spacing w:after="0" w:line="215" w:lineRule="auto"/>
        <w:rPr>
          <w:sz w:val="20"/>
          <w:szCs w:val="20"/>
          <w:color w:val="auto"/>
        </w:rPr>
      </w:pPr>
      <w:r>
        <w:rPr>
          <w:rFonts w:ascii="Arial" w:cs="Arial" w:eastAsia="Arial" w:hAnsi="Arial"/>
          <w:sz w:val="22"/>
          <w:szCs w:val="22"/>
          <w:color w:val="auto"/>
        </w:rPr>
        <w:t>(iv)No Significant Subsidiary nor Superior Water, Light and Power Company (“</w:t>
      </w:r>
      <w:r>
        <w:rPr>
          <w:rFonts w:ascii="Arial" w:cs="Arial" w:eastAsia="Arial" w:hAnsi="Arial"/>
          <w:sz w:val="22"/>
          <w:szCs w:val="22"/>
          <w:b w:val="1"/>
          <w:bCs w:val="1"/>
          <w:color w:val="auto"/>
        </w:rPr>
        <w:t>SWL&amp;P</w:t>
      </w:r>
      <w:r>
        <w:rPr>
          <w:rFonts w:ascii="Arial" w:cs="Arial" w:eastAsia="Arial" w:hAnsi="Arial"/>
          <w:sz w:val="22"/>
          <w:szCs w:val="22"/>
          <w:color w:val="auto"/>
        </w:rPr>
        <w:t>”) is a party to, or otherwise subject to any legal, regulatory, contractual or other restriction (other than this Agreement, the agreements listed on Schedule 5.4 and customary limitations imposed by corporate law, the Federal Power Act or similar statutes) restricting the ability of such Significant Subsidiary or SWL&amp;P to pay dividends out of profits or make any other similar distributions of profits to the Company or any of its Subsidiaries that owns outstanding shares of capital stock or similar equity interests of such Significant Subsidiary or SWL&amp;P.</w:t>
      </w:r>
    </w:p>
    <w:p>
      <w:pPr>
        <w:spacing w:after="0" w:line="15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e.</w:t>
      </w:r>
      <w:r>
        <w:rPr>
          <w:sz w:val="20"/>
          <w:szCs w:val="20"/>
          <w:color w:val="auto"/>
        </w:rPr>
        <w:tab/>
      </w:r>
      <w:r>
        <w:rPr>
          <w:rFonts w:ascii="Arial" w:cs="Arial" w:eastAsia="Arial" w:hAnsi="Arial"/>
          <w:sz w:val="19"/>
          <w:szCs w:val="19"/>
          <w:b w:val="1"/>
          <w:bCs w:val="1"/>
          <w:color w:val="auto"/>
        </w:rPr>
        <w:t>Financial Statements; Material Liabilities</w:t>
      </w:r>
    </w:p>
    <w:p>
      <w:pPr>
        <w:spacing w:after="0" w:line="185" w:lineRule="exact"/>
        <w:rPr>
          <w:sz w:val="20"/>
          <w:szCs w:val="20"/>
          <w:color w:val="auto"/>
        </w:rPr>
      </w:pPr>
    </w:p>
    <w:p>
      <w:pPr>
        <w:jc w:val="both"/>
        <w:ind w:firstLine="656"/>
        <w:spacing w:after="0" w:line="229" w:lineRule="auto"/>
        <w:tabs>
          <w:tab w:leader="none" w:pos="756"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financial statements included in the Disclosure Documents (including the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left="5580" w:hanging="136"/>
        <w:spacing w:after="0"/>
        <w:tabs>
          <w:tab w:leader="none" w:pos="55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5 -</w:t>
      </w:r>
    </w:p>
    <w:p>
      <w:pPr>
        <w:sectPr>
          <w:pgSz w:w="11900" w:h="16838" w:orient="portrait"/>
          <w:cols w:equalWidth="0" w:num="1">
            <w:col w:w="11240"/>
          </w:cols>
          <w:pgMar w:left="320" w:top="1401" w:right="339" w:bottom="1440" w:gutter="0" w:footer="0" w:header="0"/>
        </w:sectPr>
      </w:pPr>
    </w:p>
    <w:bookmarkStart w:id="62" w:name="page63"/>
    <w:bookmarkEnd w:id="62"/>
    <w:p>
      <w:pPr>
        <w:jc w:val="both"/>
        <w:spacing w:after="0" w:line="223" w:lineRule="auto"/>
        <w:rPr>
          <w:sz w:val="20"/>
          <w:szCs w:val="20"/>
          <w:color w:val="auto"/>
        </w:rPr>
      </w:pPr>
      <w:r>
        <w:rPr>
          <w:rFonts w:ascii="Arial" w:cs="Arial" w:eastAsia="Arial" w:hAnsi="Arial"/>
          <w:sz w:val="22"/>
          <w:szCs w:val="22"/>
          <w:color w:val="auto"/>
        </w:rPr>
        <w:t>periods involved except as set forth in the notes thereto (subject, in the case of any interim financial statements, to normal year-end adjustments). The Company and its Subsidiaries do not have any Material liabilities that are not disclosed on such financial statements or otherwise disclosed in the Disclosure Documents.</w:t>
      </w:r>
    </w:p>
    <w:p>
      <w:pPr>
        <w:spacing w:after="0" w:line="15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f.</w:t>
      </w:r>
      <w:r>
        <w:rPr>
          <w:sz w:val="20"/>
          <w:szCs w:val="20"/>
          <w:color w:val="auto"/>
        </w:rPr>
        <w:tab/>
      </w:r>
      <w:r>
        <w:rPr>
          <w:rFonts w:ascii="Arial" w:cs="Arial" w:eastAsia="Arial" w:hAnsi="Arial"/>
          <w:sz w:val="19"/>
          <w:szCs w:val="19"/>
          <w:b w:val="1"/>
          <w:bCs w:val="1"/>
          <w:color w:val="auto"/>
        </w:rPr>
        <w:t>Compliance with Laws, Other Instruments, Etc</w:t>
      </w:r>
    </w:p>
    <w:p>
      <w:pPr>
        <w:spacing w:after="0" w:line="185" w:lineRule="exact"/>
        <w:rPr>
          <w:sz w:val="20"/>
          <w:szCs w:val="20"/>
          <w:color w:val="auto"/>
        </w:rPr>
      </w:pPr>
    </w:p>
    <w:p>
      <w:pPr>
        <w:jc w:val="both"/>
        <w:ind w:firstLine="656"/>
        <w:spacing w:after="0" w:line="241" w:lineRule="auto"/>
        <w:tabs>
          <w:tab w:leader="none" w:pos="756"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this 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regulations or by-laws, shareholders agreement or any other Material agreement or instrument to which the Company or any Subsidiary is bound or by which the Company or any Subsidiary or any of their respective properties may be bound or affected,</w:t>
      </w:r>
    </w:p>
    <w:p>
      <w:pPr>
        <w:spacing w:after="0" w:line="1" w:lineRule="exact"/>
        <w:rPr>
          <w:rFonts w:ascii="Arial" w:cs="Arial" w:eastAsia="Arial" w:hAnsi="Arial"/>
          <w:sz w:val="19"/>
          <w:szCs w:val="19"/>
          <w:color w:val="auto"/>
        </w:rPr>
      </w:pPr>
    </w:p>
    <w:p>
      <w:pPr>
        <w:jc w:val="both"/>
        <w:ind w:firstLine="8"/>
        <w:spacing w:after="0" w:line="258" w:lineRule="auto"/>
        <w:tabs>
          <w:tab w:leader="none" w:pos="318"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conflict with or result in a breach of any of the terms, conditions or provisions of any order, judgment, decree, or ruling of any court, arbitrator or Governmental Authority applicable to the Company or any Significant Subsidiary or (iii) violate any provision of any statute or other rule or regulation of any Governmental Authority applicable to the Company or any Significant Subsidiary.</w:t>
      </w:r>
    </w:p>
    <w:p>
      <w:pPr>
        <w:spacing w:after="0" w:line="13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g.</w:t>
      </w:r>
      <w:r>
        <w:rPr>
          <w:sz w:val="20"/>
          <w:szCs w:val="20"/>
          <w:color w:val="auto"/>
        </w:rPr>
        <w:tab/>
      </w:r>
      <w:r>
        <w:rPr>
          <w:rFonts w:ascii="Arial" w:cs="Arial" w:eastAsia="Arial" w:hAnsi="Arial"/>
          <w:sz w:val="19"/>
          <w:szCs w:val="19"/>
          <w:b w:val="1"/>
          <w:bCs w:val="1"/>
          <w:color w:val="auto"/>
        </w:rPr>
        <w:t>Governmental Authorizations, Etc</w:t>
      </w:r>
    </w:p>
    <w:p>
      <w:pPr>
        <w:spacing w:after="0" w:line="185" w:lineRule="exact"/>
        <w:rPr>
          <w:sz w:val="20"/>
          <w:szCs w:val="20"/>
          <w:color w:val="auto"/>
        </w:rPr>
      </w:pPr>
    </w:p>
    <w:p>
      <w:pPr>
        <w:jc w:val="both"/>
        <w:ind w:firstLine="656"/>
        <w:spacing w:after="0" w:line="223" w:lineRule="auto"/>
        <w:tabs>
          <w:tab w:leader="none" w:pos="783"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 consent, approval or authorization of, or registration, filing or declaration with, any Governmental Authority is required in connection with the execution, delivery or performance by the Company of this Agreement or the Notes other than such which have been obtained and which shall be in full force and effect at the Closing.</w:t>
      </w:r>
    </w:p>
    <w:p>
      <w:pPr>
        <w:spacing w:after="0" w:line="15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h.</w:t>
      </w:r>
      <w:r>
        <w:rPr>
          <w:sz w:val="20"/>
          <w:szCs w:val="20"/>
          <w:color w:val="auto"/>
        </w:rPr>
        <w:tab/>
      </w:r>
      <w:r>
        <w:rPr>
          <w:rFonts w:ascii="Arial" w:cs="Arial" w:eastAsia="Arial" w:hAnsi="Arial"/>
          <w:sz w:val="19"/>
          <w:szCs w:val="19"/>
          <w:b w:val="1"/>
          <w:bCs w:val="1"/>
          <w:color w:val="auto"/>
        </w:rPr>
        <w:t>Litigation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left="660" w:firstLine="444"/>
        <w:spacing w:after="0" w:line="216" w:lineRule="auto"/>
        <w:rPr>
          <w:sz w:val="20"/>
          <w:szCs w:val="20"/>
          <w:color w:val="auto"/>
        </w:rPr>
      </w:pPr>
      <w:r>
        <w:rPr>
          <w:rFonts w:ascii="Arial" w:cs="Arial" w:eastAsia="Arial" w:hAnsi="Arial"/>
          <w:sz w:val="22"/>
          <w:szCs w:val="22"/>
          <w:color w:val="auto"/>
        </w:rPr>
        <w:t>(i)Except as described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which, if adversely determined, would individually or in the aggregate, reasonably be expected to have a Material Adverse Effect.</w:t>
      </w:r>
    </w:p>
    <w:p>
      <w:pPr>
        <w:spacing w:after="0" w:line="158" w:lineRule="exact"/>
        <w:rPr>
          <w:sz w:val="20"/>
          <w:szCs w:val="20"/>
          <w:color w:val="auto"/>
        </w:rPr>
      </w:pPr>
    </w:p>
    <w:p>
      <w:pPr>
        <w:jc w:val="both"/>
        <w:ind w:left="660" w:firstLine="384"/>
        <w:spacing w:after="0" w:line="216" w:lineRule="auto"/>
        <w:rPr>
          <w:sz w:val="20"/>
          <w:szCs w:val="20"/>
          <w:color w:val="auto"/>
        </w:rPr>
      </w:pPr>
      <w:r>
        <w:rPr>
          <w:rFonts w:ascii="Arial" w:cs="Arial" w:eastAsia="Arial" w:hAnsi="Arial"/>
          <w:sz w:val="22"/>
          <w:szCs w:val="22"/>
          <w:color w:val="auto"/>
        </w:rPr>
        <w:t>(ii)Neither the Company nor any Subsidiary is (i) in violation of any order, judgment, decree or ruling of any court, any arbitrator of any kind or any Governmental Authority or (ii) in violation of any applicable law, ordinance, rule or regulation of any Governmental Authority (including Environmental Laws, the USA Patriot Act or any of the other laws or regulations referred to in Section 5.16), which violation would, individually or in the aggregate, reasonably be expected to have a Material Adverse Effect.</w:t>
      </w:r>
    </w:p>
    <w:p>
      <w:pPr>
        <w:spacing w:after="0" w:line="395"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i.</w:t>
      </w:r>
      <w:r>
        <w:rPr>
          <w:sz w:val="20"/>
          <w:szCs w:val="20"/>
          <w:color w:val="auto"/>
        </w:rPr>
        <w:tab/>
      </w:r>
      <w:r>
        <w:rPr>
          <w:rFonts w:ascii="Arial" w:cs="Arial" w:eastAsia="Arial" w:hAnsi="Arial"/>
          <w:sz w:val="18"/>
          <w:szCs w:val="18"/>
          <w:b w:val="1"/>
          <w:bCs w:val="1"/>
          <w:color w:val="auto"/>
        </w:rPr>
        <w:t>Taxes</w:t>
      </w:r>
    </w:p>
    <w:p>
      <w:pPr>
        <w:spacing w:after="0" w:line="185" w:lineRule="exact"/>
        <w:rPr>
          <w:sz w:val="20"/>
          <w:szCs w:val="20"/>
          <w:color w:val="auto"/>
        </w:rPr>
      </w:pPr>
    </w:p>
    <w:p>
      <w:pPr>
        <w:jc w:val="both"/>
        <w:ind w:firstLine="656"/>
        <w:spacing w:after="0" w:line="257" w:lineRule="auto"/>
        <w:tabs>
          <w:tab w:leader="none" w:pos="756"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Company and its Subsidiaries have filed all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5580" w:hanging="136"/>
        <w:spacing w:after="0"/>
        <w:tabs>
          <w:tab w:leader="none" w:pos="55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6 -</w:t>
      </w:r>
    </w:p>
    <w:p>
      <w:pPr>
        <w:sectPr>
          <w:pgSz w:w="11900" w:h="16838" w:orient="portrait"/>
          <w:cols w:equalWidth="0" w:num="1">
            <w:col w:w="11240"/>
          </w:cols>
          <w:pgMar w:left="320" w:top="1401" w:right="339" w:bottom="1440" w:gutter="0" w:footer="0" w:header="0"/>
        </w:sectPr>
      </w:pPr>
    </w:p>
    <w:bookmarkStart w:id="63" w:name="page64"/>
    <w:bookmarkEnd w:id="63"/>
    <w:p>
      <w:pPr>
        <w:jc w:val="both"/>
        <w:spacing w:after="0" w:line="223" w:lineRule="auto"/>
        <w:rPr>
          <w:sz w:val="20"/>
          <w:szCs w:val="20"/>
          <w:color w:val="auto"/>
        </w:rPr>
      </w:pPr>
      <w:r>
        <w:rPr>
          <w:rFonts w:ascii="Arial" w:cs="Arial" w:eastAsia="Arial" w:hAnsi="Arial"/>
          <w:sz w:val="22"/>
          <w:szCs w:val="22"/>
          <w:color w:val="auto"/>
        </w:rPr>
        <w:t>individually or in the aggregate, is not Material or (ii) the amount, applicability or validity of which is currently being contested in good faith by appropriate proceedings and with respect to which the Company or a Subsidiary, as the case may be, has established adequate reserves in accordance with GAAP.</w:t>
      </w:r>
    </w:p>
    <w:p>
      <w:pPr>
        <w:spacing w:after="0" w:line="15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j.</w:t>
      </w:r>
      <w:r>
        <w:rPr>
          <w:sz w:val="20"/>
          <w:szCs w:val="20"/>
          <w:color w:val="auto"/>
        </w:rPr>
        <w:tab/>
      </w:r>
      <w:r>
        <w:rPr>
          <w:rFonts w:ascii="Arial" w:cs="Arial" w:eastAsia="Arial" w:hAnsi="Arial"/>
          <w:sz w:val="19"/>
          <w:szCs w:val="19"/>
          <w:b w:val="1"/>
          <w:bCs w:val="1"/>
          <w:color w:val="auto"/>
        </w:rPr>
        <w:t>Title to Property; Leases</w:t>
      </w:r>
    </w:p>
    <w:p>
      <w:pPr>
        <w:spacing w:after="0" w:line="185" w:lineRule="exact"/>
        <w:rPr>
          <w:sz w:val="20"/>
          <w:szCs w:val="20"/>
          <w:color w:val="auto"/>
        </w:rPr>
      </w:pPr>
    </w:p>
    <w:p>
      <w:pPr>
        <w:jc w:val="both"/>
        <w:ind w:firstLine="656"/>
        <w:spacing w:after="0" w:line="252" w:lineRule="auto"/>
        <w:tabs>
          <w:tab w:leader="none" w:pos="756"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and its Subsidiaries have good and sufficient title to their respective properties that individually or in the aggregate are Material, including all such properties reflected in the most recent audited balance sheet referred to in Section 5.5 or purported to have been acquired by the Company or any Subsidiary after such date (except as sold or otherwise disposed of in the ordinary course of business), in each case free and clear of Liens prohibited by this Agreement. All leases that individually or in the aggregate are Material are valid and subsisting and are in full force and effect in all material respects.</w:t>
      </w:r>
    </w:p>
    <w:p>
      <w:pPr>
        <w:spacing w:after="0" w:line="14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k.</w:t>
      </w:r>
      <w:r>
        <w:rPr>
          <w:sz w:val="20"/>
          <w:szCs w:val="20"/>
          <w:color w:val="auto"/>
        </w:rPr>
        <w:tab/>
      </w:r>
      <w:r>
        <w:rPr>
          <w:rFonts w:ascii="Arial" w:cs="Arial" w:eastAsia="Arial" w:hAnsi="Arial"/>
          <w:sz w:val="19"/>
          <w:szCs w:val="19"/>
          <w:b w:val="1"/>
          <w:bCs w:val="1"/>
          <w:color w:val="auto"/>
        </w:rPr>
        <w:t>Licenses, Permits, Etc</w:t>
      </w:r>
    </w:p>
    <w:p>
      <w:pPr>
        <w:spacing w:after="0" w:line="185" w:lineRule="exact"/>
        <w:rPr>
          <w:sz w:val="20"/>
          <w:szCs w:val="20"/>
          <w:color w:val="auto"/>
        </w:rPr>
      </w:pPr>
    </w:p>
    <w:p>
      <w:pPr>
        <w:jc w:val="both"/>
        <w:ind w:firstLine="656"/>
        <w:spacing w:after="0" w:line="268" w:lineRule="auto"/>
        <w:tabs>
          <w:tab w:leader="none" w:pos="756"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Except as set forth or contemplated in the Disclosure Documents,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w:t>
      </w:r>
    </w:p>
    <w:p>
      <w:pPr>
        <w:spacing w:after="0" w:line="12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l.</w:t>
      </w:r>
      <w:r>
        <w:rPr>
          <w:sz w:val="20"/>
          <w:szCs w:val="20"/>
          <w:color w:val="auto"/>
        </w:rPr>
        <w:tab/>
      </w:r>
      <w:r>
        <w:rPr>
          <w:rFonts w:ascii="Arial" w:cs="Arial" w:eastAsia="Arial" w:hAnsi="Arial"/>
          <w:sz w:val="19"/>
          <w:szCs w:val="19"/>
          <w:b w:val="1"/>
          <w:bCs w:val="1"/>
          <w:color w:val="auto"/>
        </w:rPr>
        <w:t>Compliance with Employee Benefit Plans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3" w:lineRule="exact"/>
        <w:rPr>
          <w:sz w:val="20"/>
          <w:szCs w:val="20"/>
          <w:color w:val="auto"/>
        </w:rPr>
      </w:pPr>
    </w:p>
    <w:p>
      <w:pPr>
        <w:jc w:val="both"/>
        <w:ind w:left="660" w:firstLine="444"/>
        <w:spacing w:after="0" w:line="219" w:lineRule="auto"/>
        <w:rPr>
          <w:sz w:val="20"/>
          <w:szCs w:val="20"/>
          <w:color w:val="auto"/>
        </w:rPr>
      </w:pPr>
      <w:r>
        <w:rPr>
          <w:rFonts w:ascii="Arial" w:cs="Arial" w:eastAsia="Arial" w:hAnsi="Arial"/>
          <w:sz w:val="21"/>
          <w:szCs w:val="21"/>
          <w:color w:val="auto"/>
        </w:rPr>
        <w:t>(i)The Company and each ERISA Affiliate have operated and administered each Plan in compliance with all applicable laws except for such instances of noncom pliance as have not resulted in and could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be individually or in the aggregate Material.</w:t>
      </w:r>
    </w:p>
    <w:p>
      <w:pPr>
        <w:spacing w:after="0" w:line="168" w:lineRule="exact"/>
        <w:rPr>
          <w:sz w:val="20"/>
          <w:szCs w:val="20"/>
          <w:color w:val="auto"/>
        </w:rPr>
      </w:pPr>
    </w:p>
    <w:p>
      <w:pPr>
        <w:jc w:val="both"/>
        <w:ind w:left="660" w:firstLine="384"/>
        <w:spacing w:after="0" w:line="226" w:lineRule="auto"/>
        <w:rPr>
          <w:sz w:val="20"/>
          <w:szCs w:val="20"/>
          <w:color w:val="auto"/>
        </w:rPr>
      </w:pPr>
      <w:r>
        <w:rPr>
          <w:rFonts w:ascii="Arial" w:cs="Arial" w:eastAsia="Arial" w:hAnsi="Arial"/>
          <w:sz w:val="21"/>
          <w:szCs w:val="21"/>
          <w:color w:val="auto"/>
        </w:rPr>
        <w:t>(ii)The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more than $105,056,491 in the case of any single Plan and by more than $130,534,101 in the aggregate for all Plans.</w:t>
      </w:r>
    </w:p>
    <w:p>
      <w:pPr>
        <w:spacing w:after="0" w:line="159" w:lineRule="exact"/>
        <w:rPr>
          <w:sz w:val="20"/>
          <w:szCs w:val="20"/>
          <w:color w:val="auto"/>
        </w:rPr>
      </w:pPr>
    </w:p>
    <w:p>
      <w:pPr>
        <w:jc w:val="both"/>
        <w:ind w:left="660" w:firstLine="324"/>
        <w:spacing w:after="0" w:line="232" w:lineRule="auto"/>
        <w:rPr>
          <w:sz w:val="20"/>
          <w:szCs w:val="20"/>
          <w:color w:val="auto"/>
        </w:rPr>
      </w:pPr>
      <w:r>
        <w:rPr>
          <w:rFonts w:ascii="Arial" w:cs="Arial" w:eastAsia="Arial" w:hAnsi="Arial"/>
          <w:sz w:val="22"/>
          <w:szCs w:val="22"/>
          <w:color w:val="auto"/>
        </w:rPr>
        <w:t>(iii)The Company and its ERISA Affiliates have not incurred withdrawal liabilities (and are not subject to contingent withdrawal liabilities) under section 4201 or 4204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401"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22"/>
          <w:szCs w:val="22"/>
          <w:color w:val="auto"/>
        </w:rPr>
        <w:t>ERISA in respect of Multiemployer Plans that individually or in the aggregate are Material.</w:t>
      </w:r>
    </w:p>
    <w:p>
      <w:pPr>
        <w:spacing w:after="0" w:line="179" w:lineRule="exact"/>
        <w:rPr>
          <w:sz w:val="20"/>
          <w:szCs w:val="20"/>
          <w:color w:val="auto"/>
        </w:rPr>
      </w:pPr>
    </w:p>
    <w:p>
      <w:pPr>
        <w:jc w:val="both"/>
        <w:ind w:left="660" w:firstLine="336"/>
        <w:spacing w:after="0" w:line="247" w:lineRule="auto"/>
        <w:rPr>
          <w:sz w:val="20"/>
          <w:szCs w:val="20"/>
          <w:color w:val="auto"/>
        </w:rPr>
      </w:pPr>
      <w:r>
        <w:rPr>
          <w:rFonts w:ascii="Arial" w:cs="Arial" w:eastAsia="Arial" w:hAnsi="Arial"/>
          <w:sz w:val="19"/>
          <w:szCs w:val="19"/>
          <w:color w:val="auto"/>
        </w:rPr>
        <w:t>(iv)The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and its Subsidiaries is approximately $1,003,768,623. A substantial portion of the annual postretirement benefit costs recognized by the Company’s regulated companies are recovered through rates filed with the Company’s regulatory jurisdictions, as more fully described in Note 12 to the Consolidated Financial Statements in the Company’s Annual Report on Form 10-K for the year ended December 31, 2019.</w:t>
      </w:r>
    </w:p>
    <w:p>
      <w:pPr>
        <w:spacing w:after="0" w:line="154" w:lineRule="exact"/>
        <w:rPr>
          <w:sz w:val="20"/>
          <w:szCs w:val="20"/>
          <w:color w:val="auto"/>
        </w:rPr>
      </w:pPr>
    </w:p>
    <w:p>
      <w:pPr>
        <w:jc w:val="both"/>
        <w:ind w:left="660" w:firstLine="396"/>
        <w:spacing w:after="0" w:line="214" w:lineRule="auto"/>
        <w:rPr>
          <w:sz w:val="20"/>
          <w:szCs w:val="20"/>
          <w:color w:val="auto"/>
        </w:rPr>
      </w:pPr>
      <w:r>
        <w:rPr>
          <w:rFonts w:ascii="Arial" w:cs="Arial" w:eastAsia="Arial" w:hAnsi="Arial"/>
          <w:sz w:val="22"/>
          <w:szCs w:val="22"/>
          <w:color w:val="auto"/>
        </w:rPr>
        <w:t>(v)The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Notes to be purchased by such Purchaser.</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(vi)The Company and its Subsidiaries do not have any Non-U.S. Plans.</w:t>
      </w:r>
    </w:p>
    <w:p>
      <w:pPr>
        <w:spacing w:after="0" w:line="17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m.</w:t>
      </w:r>
      <w:r>
        <w:rPr>
          <w:sz w:val="20"/>
          <w:szCs w:val="20"/>
          <w:color w:val="auto"/>
        </w:rPr>
        <w:tab/>
      </w:r>
      <w:r>
        <w:rPr>
          <w:rFonts w:ascii="Arial" w:cs="Arial" w:eastAsia="Arial" w:hAnsi="Arial"/>
          <w:sz w:val="19"/>
          <w:szCs w:val="19"/>
          <w:b w:val="1"/>
          <w:bCs w:val="1"/>
          <w:color w:val="auto"/>
        </w:rPr>
        <w:t>Private Offering by the Company</w:t>
      </w:r>
    </w:p>
    <w:p>
      <w:pPr>
        <w:spacing w:after="0" w:line="185" w:lineRule="exact"/>
        <w:rPr>
          <w:sz w:val="20"/>
          <w:szCs w:val="20"/>
          <w:color w:val="auto"/>
        </w:rPr>
      </w:pPr>
    </w:p>
    <w:p>
      <w:pPr>
        <w:jc w:val="both"/>
        <w:ind w:firstLine="656"/>
        <w:spacing w:after="0" w:line="224" w:lineRule="auto"/>
        <w:tabs>
          <w:tab w:leader="none" w:pos="783" w:val="left"/>
        </w:tabs>
        <w:numPr>
          <w:ilvl w:val="0"/>
          <w:numId w:val="37"/>
        </w:numPr>
        <w:rPr>
          <w:rFonts w:ascii="Arial" w:cs="Arial" w:eastAsia="Arial" w:hAnsi="Arial"/>
          <w:sz w:val="21"/>
          <w:szCs w:val="21"/>
          <w:color w:val="auto"/>
        </w:rPr>
      </w:pPr>
      <w:r>
        <w:rPr>
          <w:rFonts w:ascii="Arial" w:cs="Arial" w:eastAsia="Arial" w:hAnsi="Arial"/>
          <w:sz w:val="21"/>
          <w:szCs w:val="21"/>
          <w:color w:val="auto"/>
        </w:rPr>
        <w:t>Neither the Company nor anyone acting on its behalf has offered the Notes or any similar Securities for sale to, or solicited any offer to buy the Notes or any similar Securities from, or otherwise approached or negotiated in respect thereof with, any Person other than the Purchasers and not more than 45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spacing w:after="0" w:line="15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n.</w:t>
      </w:r>
      <w:r>
        <w:rPr>
          <w:sz w:val="20"/>
          <w:szCs w:val="20"/>
          <w:color w:val="auto"/>
        </w:rPr>
        <w:tab/>
      </w:r>
      <w:r>
        <w:rPr>
          <w:rFonts w:ascii="Arial" w:cs="Arial" w:eastAsia="Arial" w:hAnsi="Arial"/>
          <w:sz w:val="19"/>
          <w:szCs w:val="19"/>
          <w:b w:val="1"/>
          <w:bCs w:val="1"/>
          <w:color w:val="auto"/>
        </w:rPr>
        <w:t>Use of Proceeds; Margin Regulations</w:t>
      </w:r>
    </w:p>
    <w:p>
      <w:pPr>
        <w:spacing w:after="0" w:line="185" w:lineRule="exact"/>
        <w:rPr>
          <w:sz w:val="20"/>
          <w:szCs w:val="20"/>
          <w:color w:val="auto"/>
        </w:rPr>
      </w:pPr>
    </w:p>
    <w:p>
      <w:pPr>
        <w:jc w:val="both"/>
        <w:ind w:firstLine="656"/>
        <w:spacing w:after="0" w:line="244" w:lineRule="auto"/>
        <w:tabs>
          <w:tab w:leader="none" w:pos="769"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The Company will apply the proceeds of the sale of the Notes to fund corporate growth opportunities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20% of the value of the consolidated assets of the Company and its Subsidiaries and the Company does not have any present intention that margin stock will constitute more than 20% of the value of such assets. As used in this Section, the terms </w:t>
      </w:r>
      <w:r>
        <w:rPr>
          <w:rFonts w:ascii="Arial" w:cs="Arial" w:eastAsia="Arial" w:hAnsi="Arial"/>
          <w:sz w:val="19"/>
          <w:szCs w:val="19"/>
          <w:b w:val="1"/>
          <w:bCs w:val="1"/>
          <w:color w:val="auto"/>
        </w:rPr>
        <w:t>“margin stock”</w:t>
      </w:r>
      <w:r>
        <w:rPr>
          <w:rFonts w:ascii="Arial" w:cs="Arial" w:eastAsia="Arial" w:hAnsi="Arial"/>
          <w:sz w:val="19"/>
          <w:szCs w:val="19"/>
          <w:color w:val="auto"/>
        </w:rPr>
        <w:t xml:space="preserve"> and </w:t>
      </w:r>
      <w:r>
        <w:rPr>
          <w:rFonts w:ascii="Arial" w:cs="Arial" w:eastAsia="Arial" w:hAnsi="Arial"/>
          <w:sz w:val="19"/>
          <w:szCs w:val="19"/>
          <w:b w:val="1"/>
          <w:bCs w:val="1"/>
          <w:color w:val="auto"/>
        </w:rPr>
        <w:t>“purpose of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buy ing or carrying” </w:t>
      </w:r>
      <w:r>
        <w:rPr>
          <w:rFonts w:ascii="Arial" w:cs="Arial" w:eastAsia="Arial" w:hAnsi="Arial"/>
          <w:sz w:val="19"/>
          <w:szCs w:val="19"/>
          <w:color w:val="auto"/>
        </w:rPr>
        <w:t>shall have the meanings assigned to them in said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40"/>
          </w:cols>
          <w:pgMar w:left="320" w:top="1401" w:right="339" w:bottom="1440" w:gutter="0" w:footer="0" w:header="0"/>
        </w:sectPr>
      </w:pPr>
    </w:p>
    <w:bookmarkStart w:id="65" w:name="page66"/>
    <w:bookmarkEnd w:id="65"/>
    <w:p>
      <w:pPr>
        <w:ind w:left="4"/>
        <w:spacing w:after="0"/>
        <w:tabs>
          <w:tab w:leader="none" w:pos="1384" w:val="left"/>
        </w:tabs>
        <w:rPr>
          <w:sz w:val="20"/>
          <w:szCs w:val="20"/>
          <w:color w:val="auto"/>
        </w:rPr>
      </w:pPr>
      <w:r>
        <w:rPr>
          <w:rFonts w:ascii="Arial" w:cs="Arial" w:eastAsia="Arial" w:hAnsi="Arial"/>
          <w:sz w:val="22"/>
          <w:szCs w:val="22"/>
          <w:b w:val="1"/>
          <w:bCs w:val="1"/>
          <w:color w:val="auto"/>
        </w:rPr>
        <w:t>Section o.</w:t>
      </w:r>
      <w:r>
        <w:rPr>
          <w:sz w:val="20"/>
          <w:szCs w:val="20"/>
          <w:color w:val="auto"/>
        </w:rPr>
        <w:tab/>
      </w:r>
      <w:r>
        <w:rPr>
          <w:rFonts w:ascii="Arial" w:cs="Arial" w:eastAsia="Arial" w:hAnsi="Arial"/>
          <w:sz w:val="19"/>
          <w:szCs w:val="19"/>
          <w:b w:val="1"/>
          <w:bCs w:val="1"/>
          <w:color w:val="auto"/>
        </w:rPr>
        <w:t>Existing Indebtedness; Future Liens</w:t>
      </w:r>
    </w:p>
    <w:p>
      <w:pPr>
        <w:spacing w:after="0" w:line="185" w:lineRule="exact"/>
        <w:rPr>
          <w:sz w:val="20"/>
          <w:szCs w:val="20"/>
          <w:color w:val="auto"/>
        </w:rPr>
      </w:pPr>
    </w:p>
    <w:p>
      <w:pPr>
        <w:jc w:val="both"/>
        <w:ind w:left="-656" w:firstLine="656"/>
        <w:spacing w:after="0" w:line="247" w:lineRule="auto"/>
        <w:tabs>
          <w:tab w:leader="none" w:pos="113" w:val="left"/>
        </w:tabs>
        <w:numPr>
          <w:ilvl w:val="0"/>
          <w:numId w:val="39"/>
        </w:numPr>
        <w:rPr>
          <w:rFonts w:ascii="Arial" w:cs="Arial" w:eastAsia="Arial" w:hAnsi="Arial"/>
          <w:sz w:val="19"/>
          <w:szCs w:val="19"/>
          <w:color w:val="auto"/>
        </w:rPr>
      </w:pPr>
      <w:r>
        <w:rPr>
          <w:rFonts w:ascii="Arial" w:cs="Arial" w:eastAsia="Arial" w:hAnsi="Arial"/>
          <w:sz w:val="19"/>
          <w:szCs w:val="19"/>
          <w:color w:val="auto"/>
        </w:rPr>
        <w:t>Except as described therein, Schedule 5.15 sets forth a complete and correct list of all outstanding Indebtedness that is Material of the Company and its Significant Subsidiaries as of June 30, 2020, since which date there has been no Material change in the amounts, interest rates, sinking funds, installment payments or maturities of the Indebtedness of the Company or its Significant Subsidiaries. Neither the Company nor any Significant Subsidiary is in default and no waiver of default is currently in effect, in the payment of any principal or interest on any such Indebtedness and no event or condition exists with respect to such Indebtedness that would permit (or that with notice or the lapse of time, or both, would permit) one or more Persons to cause such Indebtedness to become due and payable before its stated maturity or before its regularly scheduled dates of payment.</w:t>
      </w:r>
    </w:p>
    <w:p>
      <w:pPr>
        <w:spacing w:after="0" w:line="154" w:lineRule="exact"/>
        <w:rPr>
          <w:sz w:val="20"/>
          <w:szCs w:val="20"/>
          <w:color w:val="auto"/>
        </w:rPr>
      </w:pPr>
    </w:p>
    <w:p>
      <w:pPr>
        <w:jc w:val="both"/>
        <w:ind w:left="4" w:firstLine="444"/>
        <w:spacing w:after="0" w:line="223" w:lineRule="auto"/>
        <w:rPr>
          <w:sz w:val="20"/>
          <w:szCs w:val="20"/>
          <w:color w:val="auto"/>
        </w:rPr>
      </w:pPr>
      <w:r>
        <w:rPr>
          <w:rFonts w:ascii="Arial" w:cs="Arial" w:eastAsia="Arial" w:hAnsi="Arial"/>
          <w:sz w:val="22"/>
          <w:szCs w:val="22"/>
          <w:color w:val="auto"/>
        </w:rPr>
        <w:t>(i)Except as disclosed in Schedule 5.15, neither the Company nor any Significant Subsidiary has agreed or consented to cause or permit in the future (upon the happening of a contingency or otherwise) any of its property, whether now owned or hereafter acquired, to be subject to a Lien not permitted by Section 10.4.</w:t>
      </w:r>
    </w:p>
    <w:p>
      <w:pPr>
        <w:spacing w:after="0" w:line="159" w:lineRule="exact"/>
        <w:rPr>
          <w:sz w:val="20"/>
          <w:szCs w:val="20"/>
          <w:color w:val="auto"/>
        </w:rPr>
      </w:pPr>
    </w:p>
    <w:p>
      <w:pPr>
        <w:jc w:val="both"/>
        <w:ind w:left="4" w:firstLine="384"/>
        <w:spacing w:after="0" w:line="257" w:lineRule="auto"/>
        <w:rPr>
          <w:sz w:val="20"/>
          <w:szCs w:val="20"/>
          <w:color w:val="auto"/>
        </w:rPr>
      </w:pPr>
      <w:r>
        <w:rPr>
          <w:rFonts w:ascii="Arial" w:cs="Arial" w:eastAsia="Arial" w:hAnsi="Arial"/>
          <w:sz w:val="19"/>
          <w:szCs w:val="19"/>
          <w:color w:val="auto"/>
        </w:rPr>
        <w:t>(ii)Neither the Company nor any Subsidiary is a party to, or otherwise subject to any provision contained in, any instrument evidencing Indebtedness that is Material of the Company or such Subsidiary, any agreement relating thereto or any other agreement (including its charter or any other organizational document) which limits the amount of, or otherwise imposes restrictions on the incurring of, Indebtedness of the Company, except as specifically indicated in Schedule 5.15.</w:t>
      </w:r>
    </w:p>
    <w:p>
      <w:pPr>
        <w:spacing w:after="0" w:line="138"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b w:val="1"/>
          <w:bCs w:val="1"/>
          <w:color w:val="auto"/>
        </w:rPr>
        <w:t>Section p.</w:t>
      </w:r>
      <w:r>
        <w:rPr>
          <w:sz w:val="20"/>
          <w:szCs w:val="20"/>
          <w:color w:val="auto"/>
        </w:rPr>
        <w:tab/>
      </w:r>
      <w:r>
        <w:rPr>
          <w:rFonts w:ascii="Arial" w:cs="Arial" w:eastAsia="Arial" w:hAnsi="Arial"/>
          <w:sz w:val="19"/>
          <w:szCs w:val="19"/>
          <w:b w:val="1"/>
          <w:bCs w:val="1"/>
          <w:color w:val="auto"/>
        </w:rPr>
        <w:t>Foreign Assets Control Regulations, Etc</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left="4" w:firstLine="444"/>
        <w:spacing w:after="0" w:line="223" w:lineRule="auto"/>
        <w:rPr>
          <w:sz w:val="20"/>
          <w:szCs w:val="20"/>
          <w:color w:val="auto"/>
        </w:rPr>
      </w:pPr>
      <w:r>
        <w:rPr>
          <w:rFonts w:ascii="Arial" w:cs="Arial" w:eastAsia="Arial" w:hAnsi="Arial"/>
          <w:sz w:val="22"/>
          <w:szCs w:val="22"/>
          <w:color w:val="auto"/>
        </w:rPr>
        <w:t>(i)Neither the Company nor any Controlled Entity (i) is a Blocked Person, (ii) has been notified that its name appears or may in the future appear on a State Sanctions List or (iii) is a target of sanctions that have been imposed by the United Nations or the European Union.</w:t>
      </w:r>
    </w:p>
    <w:p>
      <w:pPr>
        <w:spacing w:after="0" w:line="159" w:lineRule="exact"/>
        <w:rPr>
          <w:sz w:val="20"/>
          <w:szCs w:val="20"/>
          <w:color w:val="auto"/>
        </w:rPr>
      </w:pPr>
    </w:p>
    <w:p>
      <w:pPr>
        <w:jc w:val="both"/>
        <w:ind w:left="4" w:firstLine="384"/>
        <w:spacing w:after="0" w:line="229" w:lineRule="auto"/>
        <w:rPr>
          <w:sz w:val="20"/>
          <w:szCs w:val="20"/>
          <w:color w:val="auto"/>
        </w:rPr>
      </w:pPr>
      <w:r>
        <w:rPr>
          <w:rFonts w:ascii="Arial" w:cs="Arial" w:eastAsia="Arial" w:hAnsi="Arial"/>
          <w:sz w:val="21"/>
          <w:szCs w:val="21"/>
          <w:color w:val="auto"/>
        </w:rPr>
        <w:t>(ii)Neither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U.S. Economic Sanctions Laws, Anti-Money Laundering Laws or Anti-Corruption Laws.</w:t>
      </w:r>
    </w:p>
    <w:p>
      <w:pPr>
        <w:spacing w:after="0" w:line="226" w:lineRule="exact"/>
        <w:rPr>
          <w:sz w:val="20"/>
          <w:szCs w:val="20"/>
          <w:color w:val="auto"/>
        </w:rPr>
      </w:pPr>
    </w:p>
    <w:p>
      <w:pPr>
        <w:ind w:left="464" w:hanging="464"/>
        <w:spacing w:after="0"/>
        <w:tabs>
          <w:tab w:leader="none" w:pos="464" w:val="left"/>
        </w:tabs>
        <w:numPr>
          <w:ilvl w:val="0"/>
          <w:numId w:val="40"/>
        </w:numPr>
        <w:rPr>
          <w:rFonts w:ascii="Arial" w:cs="Arial" w:eastAsia="Arial" w:hAnsi="Arial"/>
          <w:sz w:val="22"/>
          <w:szCs w:val="22"/>
          <w:color w:val="auto"/>
        </w:rPr>
      </w:pPr>
      <w:r>
        <w:rPr>
          <w:rFonts w:ascii="Arial" w:cs="Arial" w:eastAsia="Arial" w:hAnsi="Arial"/>
          <w:sz w:val="22"/>
          <w:szCs w:val="22"/>
          <w:color w:val="auto"/>
        </w:rPr>
        <w:t>No part of the proceeds from the sale of the Notes hereunder:</w:t>
      </w:r>
    </w:p>
    <w:p>
      <w:pPr>
        <w:spacing w:after="0" w:line="246" w:lineRule="exact"/>
        <w:rPr>
          <w:rFonts w:ascii="Arial" w:cs="Arial" w:eastAsia="Arial" w:hAnsi="Arial"/>
          <w:sz w:val="22"/>
          <w:szCs w:val="22"/>
          <w:color w:val="auto"/>
        </w:rPr>
      </w:pPr>
    </w:p>
    <w:p>
      <w:pPr>
        <w:jc w:val="both"/>
        <w:ind w:left="4" w:firstLine="940"/>
        <w:spacing w:after="0" w:line="302" w:lineRule="auto"/>
        <w:tabs>
          <w:tab w:leader="none" w:pos="1381" w:val="left"/>
        </w:tabs>
        <w:numPr>
          <w:ilvl w:val="1"/>
          <w:numId w:val="40"/>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ind w:left="4924" w:hanging="136"/>
        <w:spacing w:after="0"/>
        <w:tabs>
          <w:tab w:leader="none" w:pos="4924" w:val="left"/>
        </w:tabs>
        <w:numPr>
          <w:ilvl w:val="2"/>
          <w:numId w:val="40"/>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0584"/>
          </w:cols>
          <w:pgMar w:left="976" w:top="1395" w:right="339" w:bottom="1440" w:gutter="0" w:footer="0" w:header="0"/>
        </w:sectPr>
      </w:pPr>
    </w:p>
    <w:bookmarkStart w:id="66" w:name="page67"/>
    <w:bookmarkEnd w:id="66"/>
    <w:p>
      <w:pPr>
        <w:spacing w:after="0" w:line="245" w:lineRule="exact"/>
        <w:rPr>
          <w:sz w:val="20"/>
          <w:szCs w:val="20"/>
          <w:color w:val="auto"/>
        </w:rPr>
      </w:pPr>
    </w:p>
    <w:p>
      <w:pPr>
        <w:ind w:left="660" w:firstLine="1090"/>
        <w:spacing w:after="0" w:line="263" w:lineRule="auto"/>
        <w:tabs>
          <w:tab w:leader="none" w:pos="2322" w:val="left"/>
        </w:tabs>
        <w:numPr>
          <w:ilvl w:val="2"/>
          <w:numId w:val="41"/>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Anti-Money Laundering Laws; or</w:t>
      </w:r>
    </w:p>
    <w:p>
      <w:pPr>
        <w:spacing w:after="0" w:line="201" w:lineRule="exact"/>
        <w:rPr>
          <w:rFonts w:ascii="Arial" w:cs="Arial" w:eastAsia="Arial" w:hAnsi="Arial"/>
          <w:sz w:val="22"/>
          <w:szCs w:val="22"/>
          <w:color w:val="auto"/>
        </w:rPr>
      </w:pPr>
    </w:p>
    <w:p>
      <w:pPr>
        <w:jc w:val="both"/>
        <w:ind w:left="660" w:firstLine="974"/>
        <w:spacing w:after="0" w:line="250" w:lineRule="auto"/>
        <w:tabs>
          <w:tab w:leader="none" w:pos="2208" w:val="left"/>
        </w:tabs>
        <w:numPr>
          <w:ilvl w:val="1"/>
          <w:numId w:val="42"/>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spacing w:after="0" w:line="214" w:lineRule="exact"/>
        <w:rPr>
          <w:rFonts w:ascii="Arial" w:cs="Arial" w:eastAsia="Arial" w:hAnsi="Arial"/>
          <w:sz w:val="22"/>
          <w:szCs w:val="22"/>
          <w:color w:val="auto"/>
        </w:rPr>
      </w:pPr>
    </w:p>
    <w:p>
      <w:pPr>
        <w:jc w:val="both"/>
        <w:ind w:firstLine="639"/>
        <w:spacing w:after="0" w:line="297" w:lineRule="auto"/>
        <w:tabs>
          <w:tab w:leader="none" w:pos="1195"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w:t>
      </w:r>
    </w:p>
    <w:p>
      <w:pPr>
        <w:spacing w:after="0" w:line="14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q.</w:t>
      </w:r>
      <w:r>
        <w:rPr>
          <w:sz w:val="20"/>
          <w:szCs w:val="20"/>
          <w:color w:val="auto"/>
        </w:rPr>
        <w:tab/>
      </w:r>
      <w:r>
        <w:rPr>
          <w:rFonts w:ascii="Arial" w:cs="Arial" w:eastAsia="Arial" w:hAnsi="Arial"/>
          <w:sz w:val="19"/>
          <w:szCs w:val="19"/>
          <w:b w:val="1"/>
          <w:bCs w:val="1"/>
          <w:color w:val="auto"/>
        </w:rPr>
        <w:t>Status under Investment Company Act and ICC Termination Act</w:t>
      </w:r>
    </w:p>
    <w:p>
      <w:pPr>
        <w:spacing w:after="0" w:line="185" w:lineRule="exact"/>
        <w:rPr>
          <w:sz w:val="20"/>
          <w:szCs w:val="20"/>
          <w:color w:val="auto"/>
        </w:rPr>
      </w:pPr>
    </w:p>
    <w:p>
      <w:pPr>
        <w:ind w:firstLine="656"/>
        <w:spacing w:after="0" w:line="232" w:lineRule="auto"/>
        <w:tabs>
          <w:tab w:leader="none" w:pos="796" w:val="left"/>
        </w:tabs>
        <w:numPr>
          <w:ilvl w:val="0"/>
          <w:numId w:val="44"/>
        </w:numPr>
        <w:rPr>
          <w:rFonts w:ascii="Arial" w:cs="Arial" w:eastAsia="Arial" w:hAnsi="Arial"/>
          <w:sz w:val="22"/>
          <w:szCs w:val="22"/>
          <w:color w:val="auto"/>
        </w:rPr>
      </w:pPr>
      <w:r>
        <w:rPr>
          <w:rFonts w:ascii="Arial" w:cs="Arial" w:eastAsia="Arial" w:hAnsi="Arial"/>
          <w:sz w:val="22"/>
          <w:szCs w:val="22"/>
          <w:color w:val="auto"/>
        </w:rPr>
        <w:t>Neither the Company nor any Subsidiary is subject to regulation under the Investment Company Act of 1940, as amended or the ICC Termination Act of 1995, as amended.</w:t>
      </w:r>
    </w:p>
    <w:p>
      <w:pPr>
        <w:spacing w:after="0" w:line="15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r.</w:t>
      </w:r>
      <w:r>
        <w:rPr>
          <w:sz w:val="20"/>
          <w:szCs w:val="20"/>
          <w:color w:val="auto"/>
        </w:rPr>
        <w:tab/>
      </w:r>
      <w:r>
        <w:rPr>
          <w:rFonts w:ascii="Arial" w:cs="Arial" w:eastAsia="Arial" w:hAnsi="Arial"/>
          <w:sz w:val="19"/>
          <w:szCs w:val="19"/>
          <w:b w:val="1"/>
          <w:bCs w:val="1"/>
          <w:color w:val="auto"/>
        </w:rPr>
        <w:t>Environmental Matters</w:t>
      </w:r>
      <w:r>
        <w:rPr>
          <w:rFonts w:ascii="Arial" w:cs="Arial" w:eastAsia="Arial" w:hAnsi="Arial"/>
          <w:sz w:val="19"/>
          <w:szCs w:val="19"/>
          <w:color w:val="auto"/>
        </w:rPr>
        <w:t>.</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Except as disclosed in the Disclosure Documents, the Company and its Subsidiaries (i) are in compliance with all Environmental Laws, (ii) have received all permits, licenses or other approvals required of them under applicable Environmental Laws to conduct their respective businesses, and (iii) are in compliance with all terms and conditions of any such permit, license or approval; except, in each case, such as could not reasonably be expected to result in a Material Adverse Effect.</w:t>
      </w:r>
    </w:p>
    <w:p>
      <w:pPr>
        <w:spacing w:after="0" w:line="136"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Representations of the Purchasers.</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Purchase for Investment</w:t>
      </w:r>
    </w:p>
    <w:p>
      <w:pPr>
        <w:spacing w:after="0" w:line="185" w:lineRule="exact"/>
        <w:rPr>
          <w:sz w:val="20"/>
          <w:szCs w:val="20"/>
          <w:color w:val="auto"/>
        </w:rPr>
      </w:pPr>
    </w:p>
    <w:p>
      <w:pPr>
        <w:jc w:val="both"/>
        <w:ind w:firstLine="656"/>
        <w:spacing w:after="0" w:line="212" w:lineRule="auto"/>
        <w:tabs>
          <w:tab w:leader="none" w:pos="783"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Each Purchaser severally represents that it is purchasing the Notes for its own account or for one or more separate accounts maintained by such Purchaser or for the account of one or more pension or trust funds and not with a view to the distribution thereof,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Source of Funds</w:t>
      </w:r>
    </w:p>
    <w:p>
      <w:pPr>
        <w:spacing w:after="0" w:line="185" w:lineRule="exact"/>
        <w:rPr>
          <w:sz w:val="20"/>
          <w:szCs w:val="20"/>
          <w:color w:val="auto"/>
        </w:rPr>
      </w:pPr>
    </w:p>
    <w:p>
      <w:pPr>
        <w:jc w:val="both"/>
        <w:ind w:right="20" w:firstLine="656"/>
        <w:spacing w:after="0" w:line="223" w:lineRule="auto"/>
        <w:tabs>
          <w:tab w:leader="none" w:pos="756" w:val="left"/>
        </w:tabs>
        <w:numPr>
          <w:ilvl w:val="0"/>
          <w:numId w:val="46"/>
        </w:numPr>
        <w:rPr>
          <w:rFonts w:ascii="Arial" w:cs="Arial" w:eastAsia="Arial" w:hAnsi="Arial"/>
          <w:sz w:val="22"/>
          <w:szCs w:val="22"/>
          <w:color w:val="auto"/>
        </w:rPr>
      </w:pPr>
      <w:r>
        <w:rPr>
          <w:rFonts w:ascii="Arial" w:cs="Arial" w:eastAsia="Arial" w:hAnsi="Arial"/>
          <w:sz w:val="22"/>
          <w:szCs w:val="22"/>
          <w:color w:val="auto"/>
        </w:rPr>
        <w:t>Each Purchaser severally represents that at least one of the following statements is an accurate representation as to each source of funds (a “Source”) to be used by such Purchaser to pay the purchase price of the Notes to be purchased by such Purchaser hereunder:</w:t>
      </w:r>
    </w:p>
    <w:p>
      <w:pPr>
        <w:spacing w:after="0" w:line="159" w:lineRule="exact"/>
        <w:rPr>
          <w:sz w:val="20"/>
          <w:szCs w:val="20"/>
          <w:color w:val="auto"/>
        </w:rPr>
      </w:pPr>
    </w:p>
    <w:p>
      <w:pPr>
        <w:ind w:left="660" w:firstLine="444"/>
        <w:spacing w:after="0" w:line="232" w:lineRule="auto"/>
        <w:rPr>
          <w:sz w:val="20"/>
          <w:szCs w:val="20"/>
          <w:color w:val="auto"/>
        </w:rPr>
      </w:pPr>
      <w:r>
        <w:rPr>
          <w:rFonts w:ascii="Arial" w:cs="Arial" w:eastAsia="Arial" w:hAnsi="Arial"/>
          <w:sz w:val="22"/>
          <w:szCs w:val="22"/>
          <w:color w:val="auto"/>
        </w:rPr>
        <w:t>(i)the Source is an “insurance company general account” (as the term is defined in the United States Department of Labor’s Prohibited Transaction Exemption (</w:t>
      </w:r>
      <w:r>
        <w:rPr>
          <w:rFonts w:ascii="Arial" w:cs="Arial" w:eastAsia="Arial" w:hAnsi="Arial"/>
          <w:sz w:val="22"/>
          <w:szCs w:val="22"/>
          <w:b w:val="1"/>
          <w:bCs w:val="1"/>
          <w:color w:val="auto"/>
        </w:rPr>
        <w:t>“PTE”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22" w:lineRule="auto"/>
        <w:rPr>
          <w:sz w:val="20"/>
          <w:szCs w:val="20"/>
          <w:color w:val="auto"/>
        </w:rPr>
      </w:pPr>
      <w:r>
        <w:rPr>
          <w:rFonts w:ascii="Arial" w:cs="Arial" w:eastAsia="Arial" w:hAnsi="Arial"/>
          <w:sz w:val="21"/>
          <w:szCs w:val="21"/>
          <w:color w:val="auto"/>
        </w:rPr>
        <w:t xml:space="preserve">95-60) in respect of which the reserves and liabilities (as defined by the annual statement for life insurance companies approved by the NAIC (the </w:t>
      </w:r>
      <w:r>
        <w:rPr>
          <w:rFonts w:ascii="Arial" w:cs="Arial" w:eastAsia="Arial" w:hAnsi="Arial"/>
          <w:sz w:val="21"/>
          <w:szCs w:val="21"/>
          <w:b w:val="1"/>
          <w:bCs w:val="1"/>
          <w:color w:val="auto"/>
        </w:rPr>
        <w:t>“NAIC Annual Statement”</w:t>
      </w:r>
      <w:r>
        <w:rPr>
          <w:rFonts w:ascii="Arial" w:cs="Arial" w:eastAsia="Arial" w:hAnsi="Arial"/>
          <w:sz w:val="21"/>
          <w:szCs w:val="21"/>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164" w:lineRule="exact"/>
        <w:rPr>
          <w:sz w:val="20"/>
          <w:szCs w:val="20"/>
          <w:color w:val="auto"/>
        </w:rPr>
      </w:pPr>
    </w:p>
    <w:p>
      <w:pPr>
        <w:jc w:val="both"/>
        <w:ind w:firstLine="384"/>
        <w:spacing w:after="0" w:line="229" w:lineRule="auto"/>
        <w:rPr>
          <w:sz w:val="20"/>
          <w:szCs w:val="20"/>
          <w:color w:val="auto"/>
        </w:rPr>
      </w:pPr>
      <w:r>
        <w:rPr>
          <w:rFonts w:ascii="Arial" w:cs="Arial" w:eastAsia="Arial" w:hAnsi="Arial"/>
          <w:sz w:val="21"/>
          <w:szCs w:val="21"/>
          <w:color w:val="auto"/>
        </w:rPr>
        <w:t>(ii)the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58"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22"/>
          <w:szCs w:val="22"/>
          <w:color w:val="auto"/>
        </w:rPr>
        <w:t>(iii)the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52" w:lineRule="exact"/>
        <w:rPr>
          <w:sz w:val="20"/>
          <w:szCs w:val="20"/>
          <w:color w:val="auto"/>
        </w:rPr>
      </w:pPr>
    </w:p>
    <w:p>
      <w:pPr>
        <w:jc w:val="both"/>
        <w:ind w:firstLine="336"/>
        <w:spacing w:after="0" w:line="242" w:lineRule="auto"/>
        <w:rPr>
          <w:sz w:val="20"/>
          <w:szCs w:val="20"/>
          <w:color w:val="auto"/>
        </w:rPr>
      </w:pPr>
      <w:r>
        <w:rPr>
          <w:rFonts w:ascii="Arial" w:cs="Arial" w:eastAsia="Arial" w:hAnsi="Arial"/>
          <w:sz w:val="19"/>
          <w:szCs w:val="19"/>
          <w:color w:val="auto"/>
        </w:rPr>
        <w:t xml:space="preserve">(iv)the Source constitutes assets of an “investment fund” (within the meaning of Part VI of PTE 84-14 (the </w:t>
      </w:r>
      <w:r>
        <w:rPr>
          <w:rFonts w:ascii="Arial" w:cs="Arial" w:eastAsia="Arial" w:hAnsi="Arial"/>
          <w:sz w:val="19"/>
          <w:szCs w:val="19"/>
          <w:b w:val="1"/>
          <w:bCs w:val="1"/>
          <w:color w:val="auto"/>
        </w:rPr>
        <w:t>“QPAM</w:t>
      </w:r>
      <w:r>
        <w:rPr>
          <w:rFonts w:ascii="Arial" w:cs="Arial" w:eastAsia="Arial" w:hAnsi="Arial"/>
          <w:sz w:val="19"/>
          <w:szCs w:val="19"/>
          <w:color w:val="auto"/>
        </w:rPr>
        <w:t xml:space="preserve"> </w:t>
      </w:r>
      <w:r>
        <w:rPr>
          <w:rFonts w:ascii="Arial" w:cs="Arial" w:eastAsia="Arial" w:hAnsi="Arial"/>
          <w:sz w:val="19"/>
          <w:szCs w:val="19"/>
          <w:b w:val="1"/>
          <w:bCs w:val="1"/>
          <w:color w:val="auto"/>
        </w:rPr>
        <w:t>Exemption”</w:t>
      </w:r>
      <w:r>
        <w:rPr>
          <w:rFonts w:ascii="Arial" w:cs="Arial" w:eastAsia="Arial" w:hAnsi="Arial"/>
          <w:sz w:val="19"/>
          <w:szCs w:val="19"/>
          <w:color w:val="auto"/>
        </w:rPr>
        <w:t>)) managed by a “qualified professional asset manager” or “QPAM” (within the meaning of Part VI of the</w:t>
      </w:r>
      <w:r>
        <w:rPr>
          <w:rFonts w:ascii="Arial" w:cs="Arial" w:eastAsia="Arial" w:hAnsi="Arial"/>
          <w:sz w:val="19"/>
          <w:szCs w:val="19"/>
          <w:b w:val="1"/>
          <w:bCs w:val="1"/>
          <w:color w:val="auto"/>
        </w:rPr>
        <w:t xml:space="preserve"> </w:t>
      </w:r>
      <w:r>
        <w:rPr>
          <w:rFonts w:ascii="Arial" w:cs="Arial" w:eastAsia="Arial" w:hAnsi="Arial"/>
          <w:sz w:val="19"/>
          <w:szCs w:val="19"/>
          <w:color w:val="auto"/>
        </w:rPr>
        <w:t>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any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160" w:lineRule="exact"/>
        <w:rPr>
          <w:sz w:val="20"/>
          <w:szCs w:val="20"/>
          <w:color w:val="auto"/>
        </w:rPr>
      </w:pPr>
    </w:p>
    <w:p>
      <w:pPr>
        <w:jc w:val="both"/>
        <w:ind w:firstLine="396"/>
        <w:spacing w:after="0" w:line="213" w:lineRule="auto"/>
        <w:rPr>
          <w:sz w:val="20"/>
          <w:szCs w:val="20"/>
          <w:color w:val="auto"/>
        </w:rPr>
      </w:pPr>
      <w:r>
        <w:rPr>
          <w:rFonts w:ascii="Arial" w:cs="Arial" w:eastAsia="Arial" w:hAnsi="Arial"/>
          <w:sz w:val="22"/>
          <w:szCs w:val="22"/>
          <w:color w:val="auto"/>
        </w:rPr>
        <w:t xml:space="preserve">(v)the Source constitutes assets of a “plan(s)” (within the meaning of Part IV(h) of PTE 96-23 (the </w:t>
      </w:r>
      <w:r>
        <w:rPr>
          <w:rFonts w:ascii="Arial" w:cs="Arial" w:eastAsia="Arial" w:hAnsi="Arial"/>
          <w:sz w:val="22"/>
          <w:szCs w:val="22"/>
          <w:b w:val="1"/>
          <w:bCs w:val="1"/>
          <w:color w:val="auto"/>
        </w:rPr>
        <w:t>“INHAM</w:t>
      </w:r>
      <w:r>
        <w:rPr>
          <w:rFonts w:ascii="Arial" w:cs="Arial" w:eastAsia="Arial" w:hAnsi="Arial"/>
          <w:sz w:val="22"/>
          <w:szCs w:val="22"/>
          <w:color w:val="auto"/>
        </w:rPr>
        <w:t xml:space="preserve"> </w:t>
      </w:r>
      <w:r>
        <w:rPr>
          <w:rFonts w:ascii="Arial" w:cs="Arial" w:eastAsia="Arial" w:hAnsi="Arial"/>
          <w:sz w:val="22"/>
          <w:szCs w:val="22"/>
          <w:b w:val="1"/>
          <w:bCs w:val="1"/>
          <w:color w:val="auto"/>
        </w:rPr>
        <w:t>Exemption”</w:t>
      </w:r>
      <w:r>
        <w:rPr>
          <w:rFonts w:ascii="Arial" w:cs="Arial" w:eastAsia="Arial" w:hAnsi="Arial"/>
          <w:sz w:val="22"/>
          <w:szCs w:val="22"/>
          <w:color w:val="auto"/>
        </w:rPr>
        <w:t>)) managed by an “in-house asset manager” or “INHAM” (within the meaning of Part IV(a) of the INHAM</w:t>
      </w:r>
      <w:r>
        <w:rPr>
          <w:rFonts w:ascii="Arial" w:cs="Arial" w:eastAsia="Arial" w:hAnsi="Arial"/>
          <w:sz w:val="22"/>
          <w:szCs w:val="22"/>
          <w:b w:val="1"/>
          <w:bCs w:val="1"/>
          <w:color w:val="auto"/>
        </w:rPr>
        <w:t xml:space="preserve"> </w:t>
      </w:r>
      <w:r>
        <w:rPr>
          <w:rFonts w:ascii="Arial" w:cs="Arial" w:eastAsia="Arial" w:hAnsi="Arial"/>
          <w:sz w:val="22"/>
          <w:szCs w:val="22"/>
          <w:color w:val="auto"/>
        </w:rPr>
        <w:t>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(vi)the Source is a governmental plan;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0"/>
          </w:cols>
          <w:pgMar w:left="980" w:top="1401" w:right="339" w:bottom="1440" w:gutter="0" w:footer="0" w:header="0"/>
        </w:sectPr>
      </w:pPr>
    </w:p>
    <w:bookmarkStart w:id="68" w:name="page69"/>
    <w:bookmarkEnd w:id="68"/>
    <w:p>
      <w:pPr>
        <w:jc w:val="both"/>
        <w:ind w:left="660" w:firstLine="276"/>
        <w:spacing w:after="0" w:line="298" w:lineRule="auto"/>
        <w:rPr>
          <w:sz w:val="20"/>
          <w:szCs w:val="20"/>
          <w:color w:val="auto"/>
        </w:rPr>
      </w:pPr>
      <w:r>
        <w:rPr>
          <w:rFonts w:ascii="Arial" w:cs="Arial" w:eastAsia="Arial" w:hAnsi="Arial"/>
          <w:sz w:val="19"/>
          <w:szCs w:val="19"/>
          <w:color w:val="auto"/>
        </w:rPr>
        <w:t>(vii)the Source is one or more employee benefit plans, or a separate account or trust fund comprised of one or more employee benefit plans, each of which has been identified to the Company in writing pursuant to this clause (g); or</w:t>
      </w:r>
    </w:p>
    <w:p>
      <w:pPr>
        <w:spacing w:after="0" w:line="105" w:lineRule="exact"/>
        <w:rPr>
          <w:sz w:val="20"/>
          <w:szCs w:val="20"/>
          <w:color w:val="auto"/>
        </w:rPr>
      </w:pPr>
    </w:p>
    <w:p>
      <w:pPr>
        <w:ind w:left="660" w:firstLine="216"/>
        <w:spacing w:after="0" w:line="232" w:lineRule="auto"/>
        <w:rPr>
          <w:sz w:val="20"/>
          <w:szCs w:val="20"/>
          <w:color w:val="auto"/>
        </w:rPr>
      </w:pPr>
      <w:r>
        <w:rPr>
          <w:rFonts w:ascii="Arial" w:cs="Arial" w:eastAsia="Arial" w:hAnsi="Arial"/>
          <w:sz w:val="22"/>
          <w:szCs w:val="22"/>
          <w:color w:val="auto"/>
        </w:rPr>
        <w:t>(viii)the Source does not include assets of any employee benefit plan, other than a plan exempt from the coverage of ERISA.</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 xml:space="preserve">As used in this Section 6.2, the terms </w:t>
      </w:r>
      <w:r>
        <w:rPr>
          <w:rFonts w:ascii="Arial" w:cs="Arial" w:eastAsia="Arial" w:hAnsi="Arial"/>
          <w:sz w:val="22"/>
          <w:szCs w:val="22"/>
          <w:b w:val="1"/>
          <w:bCs w:val="1"/>
          <w:color w:val="auto"/>
        </w:rPr>
        <w:t>“employee benefit plan,” “governmental plan,”</w:t>
      </w:r>
      <w:r>
        <w:rPr>
          <w:rFonts w:ascii="Arial" w:cs="Arial" w:eastAsia="Arial" w:hAnsi="Arial"/>
          <w:sz w:val="22"/>
          <w:szCs w:val="22"/>
          <w:color w:val="auto"/>
        </w:rPr>
        <w:t xml:space="preserve"> and </w:t>
      </w:r>
      <w:r>
        <w:rPr>
          <w:rFonts w:ascii="Arial" w:cs="Arial" w:eastAsia="Arial" w:hAnsi="Arial"/>
          <w:sz w:val="22"/>
          <w:szCs w:val="22"/>
          <w:b w:val="1"/>
          <w:bCs w:val="1"/>
          <w:color w:val="auto"/>
        </w:rPr>
        <w:t>“separate account”</w:t>
      </w:r>
      <w:r>
        <w:rPr>
          <w:rFonts w:ascii="Arial" w:cs="Arial" w:eastAsia="Arial" w:hAnsi="Arial"/>
          <w:sz w:val="22"/>
          <w:szCs w:val="22"/>
          <w:color w:val="auto"/>
        </w:rPr>
        <w:t xml:space="preserve"> shall have the respective meanings assigned to such terms in section 3 of ERISA.</w:t>
      </w:r>
    </w:p>
    <w:p>
      <w:pPr>
        <w:spacing w:after="0" w:line="135"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Information as to Company</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Financial and Business Information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The Company shall deliver to each holder of a Note that is an Institutional Investor:</w:t>
      </w:r>
    </w:p>
    <w:p>
      <w:pPr>
        <w:spacing w:after="0" w:line="179" w:lineRule="exact"/>
        <w:rPr>
          <w:sz w:val="20"/>
          <w:szCs w:val="20"/>
          <w:color w:val="auto"/>
        </w:rPr>
      </w:pPr>
    </w:p>
    <w:p>
      <w:pPr>
        <w:jc w:val="both"/>
        <w:ind w:left="660" w:firstLine="444"/>
        <w:spacing w:after="0" w:line="252" w:lineRule="auto"/>
        <w:rPr>
          <w:sz w:val="20"/>
          <w:szCs w:val="20"/>
          <w:color w:val="auto"/>
        </w:rPr>
      </w:pPr>
      <w:r>
        <w:rPr>
          <w:rFonts w:ascii="Arial" w:cs="Arial" w:eastAsia="Arial" w:hAnsi="Arial"/>
          <w:sz w:val="19"/>
          <w:szCs w:val="19"/>
          <w:color w:val="auto"/>
        </w:rPr>
        <w:t>(i)</w:t>
      </w:r>
      <w:r>
        <w:rPr>
          <w:rFonts w:ascii="Arial" w:cs="Arial" w:eastAsia="Arial" w:hAnsi="Arial"/>
          <w:sz w:val="19"/>
          <w:szCs w:val="19"/>
          <w:i w:val="1"/>
          <w:iCs w:val="1"/>
          <w:color w:val="auto"/>
        </w:rPr>
        <w:t>Quarterly Statements</w:t>
      </w:r>
      <w:r>
        <w:rPr>
          <w:rFonts w:ascii="Arial" w:cs="Arial" w:eastAsia="Arial" w:hAnsi="Arial"/>
          <w:sz w:val="19"/>
          <w:szCs w:val="19"/>
          <w:color w:val="auto"/>
        </w:rPr>
        <w:t xml:space="preserve"> — within 60 days (or such shorter period as is the earlier of (x) 15 days greater than the period applicable to the filing of the Company’s Quarterly Report on Form 10 Q (the </w:t>
      </w:r>
      <w:r>
        <w:rPr>
          <w:rFonts w:ascii="Arial" w:cs="Arial" w:eastAsia="Arial" w:hAnsi="Arial"/>
          <w:sz w:val="19"/>
          <w:szCs w:val="19"/>
          <w:b w:val="1"/>
          <w:bCs w:val="1"/>
          <w:color w:val="auto"/>
        </w:rPr>
        <w:t>“Form 10 Q”</w:t>
      </w:r>
      <w:r>
        <w:rPr>
          <w:rFonts w:ascii="Arial" w:cs="Arial" w:eastAsia="Arial" w:hAnsi="Arial"/>
          <w:sz w:val="19"/>
          <w:szCs w:val="19"/>
          <w:color w:val="auto"/>
        </w:rPr>
        <w:t>) with the SEC regardless of whether the Company is subject to the filing requirements thereof and (y) the date by which such financial statements are required to be delivered under any Material Credit Facility) after the end of each quarterly fiscal period in each fiscal year of the Company (other than the last quarterly fiscal period of each such fiscal year), duplicate copies of,</w:t>
      </w:r>
    </w:p>
    <w:p>
      <w:pPr>
        <w:spacing w:after="0" w:line="149" w:lineRule="exact"/>
        <w:rPr>
          <w:sz w:val="20"/>
          <w:szCs w:val="20"/>
          <w:color w:val="auto"/>
        </w:rPr>
      </w:pPr>
    </w:p>
    <w:p>
      <w:pPr>
        <w:ind w:left="3240" w:hanging="640"/>
        <w:spacing w:after="0"/>
        <w:tabs>
          <w:tab w:leader="none" w:pos="32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 such</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quarter, and</w:t>
      </w:r>
    </w:p>
    <w:p>
      <w:pPr>
        <w:spacing w:after="0" w:line="161" w:lineRule="exact"/>
        <w:rPr>
          <w:sz w:val="20"/>
          <w:szCs w:val="20"/>
          <w:color w:val="auto"/>
        </w:rPr>
      </w:pPr>
    </w:p>
    <w:p>
      <w:pPr>
        <w:jc w:val="both"/>
        <w:ind w:left="1300" w:firstLine="1300"/>
        <w:spacing w:after="0" w:line="223" w:lineRule="auto"/>
        <w:tabs>
          <w:tab w:leader="none" w:pos="3239" w:val="left"/>
        </w:tabs>
        <w:numPr>
          <w:ilvl w:val="0"/>
          <w:numId w:val="48"/>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8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w:t>
      </w:r>
    </w:p>
    <w:p>
      <w:pPr>
        <w:spacing w:after="0" w:line="115" w:lineRule="exact"/>
        <w:rPr>
          <w:sz w:val="20"/>
          <w:szCs w:val="20"/>
          <w:color w:val="auto"/>
        </w:rPr>
      </w:pPr>
    </w:p>
    <w:p>
      <w:pPr>
        <w:jc w:val="both"/>
        <w:ind w:left="660" w:firstLine="384"/>
        <w:spacing w:after="0" w:line="216" w:lineRule="auto"/>
        <w:rPr>
          <w:sz w:val="20"/>
          <w:szCs w:val="20"/>
          <w:color w:val="auto"/>
        </w:rPr>
      </w:pPr>
      <w:r>
        <w:rPr>
          <w:rFonts w:ascii="Arial" w:cs="Arial" w:eastAsia="Arial" w:hAnsi="Arial"/>
          <w:sz w:val="22"/>
          <w:szCs w:val="22"/>
          <w:color w:val="auto"/>
        </w:rPr>
        <w:t>(ii)</w:t>
      </w:r>
      <w:r>
        <w:rPr>
          <w:rFonts w:ascii="Arial" w:cs="Arial" w:eastAsia="Arial" w:hAnsi="Arial"/>
          <w:sz w:val="22"/>
          <w:szCs w:val="22"/>
          <w:i w:val="1"/>
          <w:iCs w:val="1"/>
          <w:color w:val="auto"/>
        </w:rPr>
        <w:t>Annual Statements</w:t>
      </w:r>
      <w:r>
        <w:rPr>
          <w:rFonts w:ascii="Arial" w:cs="Arial" w:eastAsia="Arial" w:hAnsi="Arial"/>
          <w:sz w:val="22"/>
          <w:szCs w:val="22"/>
          <w:color w:val="auto"/>
        </w:rPr>
        <w:t xml:space="preserve"> — within 120 days (or such shorter period as is the earlier of (x) 15 days greater than the period applicable to the filing of the Company’s Annual Report on Form 10 K (the </w:t>
      </w:r>
      <w:r>
        <w:rPr>
          <w:rFonts w:ascii="Arial" w:cs="Arial" w:eastAsia="Arial" w:hAnsi="Arial"/>
          <w:sz w:val="22"/>
          <w:szCs w:val="22"/>
          <w:b w:val="1"/>
          <w:bCs w:val="1"/>
          <w:color w:val="auto"/>
        </w:rPr>
        <w:t>“Form 10 K”</w:t>
      </w:r>
      <w:r>
        <w:rPr>
          <w:rFonts w:ascii="Arial" w:cs="Arial" w:eastAsia="Arial" w:hAnsi="Arial"/>
          <w:sz w:val="22"/>
          <w:szCs w:val="22"/>
          <w:color w:val="auto"/>
        </w:rPr>
        <w:t>) with the SEC regardless of whether the Company is subject to the filing requirements thereof and (y) the date by which such financial statements are required to be delivered under any Material Credit Facility) after the end of each fiscal year of the Company, duplicate copies of,</w:t>
      </w:r>
    </w:p>
    <w:p>
      <w:pPr>
        <w:spacing w:after="0" w:line="158" w:lineRule="exact"/>
        <w:rPr>
          <w:sz w:val="20"/>
          <w:szCs w:val="20"/>
          <w:color w:val="auto"/>
        </w:rPr>
      </w:pPr>
    </w:p>
    <w:p>
      <w:pPr>
        <w:ind w:left="3240" w:hanging="640"/>
        <w:spacing w:after="0"/>
        <w:tabs>
          <w:tab w:leader="none" w:pos="32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 such year,</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69" w:name="page70"/>
    <w:bookmarkEnd w:id="69"/>
    <w:p>
      <w:pPr>
        <w:ind w:left="640" w:firstLine="1300"/>
        <w:spacing w:after="0" w:line="232" w:lineRule="auto"/>
        <w:tabs>
          <w:tab w:leader="none" w:pos="2579" w:val="left"/>
        </w:tabs>
        <w:numPr>
          <w:ilvl w:val="0"/>
          <w:numId w:val="50"/>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spacing w:after="0" w:line="12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9"/>
          <w:szCs w:val="19"/>
          <w:color w:val="auto"/>
        </w:rPr>
        <w:t>(iii)</w:t>
      </w:r>
      <w:r>
        <w:rPr>
          <w:rFonts w:ascii="Arial" w:cs="Arial" w:eastAsia="Arial" w:hAnsi="Arial"/>
          <w:sz w:val="19"/>
          <w:szCs w:val="19"/>
          <w:i w:val="1"/>
          <w:iCs w:val="1"/>
          <w:color w:val="auto"/>
        </w:rPr>
        <w:t>SEC and Other Reports</w:t>
      </w:r>
      <w:r>
        <w:rPr>
          <w:rFonts w:ascii="Arial" w:cs="Arial" w:eastAsia="Arial" w:hAnsi="Arial"/>
          <w:sz w:val="19"/>
          <w:szCs w:val="19"/>
          <w:color w:val="auto"/>
        </w:rPr>
        <w:t xml:space="preserve"> — promptly upon their becoming available, one copy of (i) each financial statement, report, notice, proxy statement or similar document sent by the Company or any Subsidiary (x) to its creditors under any Material Credit Facility (excluding information sent to such creditors in the ordinary course of administration of a credit facility, such as information relating to pricing and borrowing availability) or (y) to its public Securities holders generally, and (ii) each regular or periodic report, each registration statement (without exhibits except as expressly requested by such holder), and each prospectus and all amendments thereto filed by the Company or any Subsidiary with the SEC;</w:t>
      </w:r>
    </w:p>
    <w:p>
      <w:pPr>
        <w:spacing w:after="0" w:line="152" w:lineRule="exact"/>
        <w:rPr>
          <w:sz w:val="20"/>
          <w:szCs w:val="20"/>
          <w:color w:val="auto"/>
        </w:rPr>
      </w:pPr>
    </w:p>
    <w:p>
      <w:pPr>
        <w:jc w:val="both"/>
        <w:ind w:firstLine="336"/>
        <w:spacing w:after="0" w:line="247" w:lineRule="auto"/>
        <w:rPr>
          <w:sz w:val="20"/>
          <w:szCs w:val="20"/>
          <w:color w:val="auto"/>
        </w:rPr>
      </w:pPr>
      <w:r>
        <w:rPr>
          <w:rFonts w:ascii="Arial" w:cs="Arial" w:eastAsia="Arial" w:hAnsi="Arial"/>
          <w:sz w:val="19"/>
          <w:szCs w:val="19"/>
          <w:color w:val="auto"/>
        </w:rPr>
        <w:t>(iv)</w:t>
      </w:r>
      <w:r>
        <w:rPr>
          <w:rFonts w:ascii="Arial" w:cs="Arial" w:eastAsia="Arial" w:hAnsi="Arial"/>
          <w:sz w:val="19"/>
          <w:szCs w:val="19"/>
          <w:i w:val="1"/>
          <w:iCs w:val="1"/>
          <w:color w:val="auto"/>
        </w:rPr>
        <w:t>Notice of Default or Event of Default</w:t>
      </w:r>
      <w:r>
        <w:rPr>
          <w:rFonts w:ascii="Arial" w:cs="Arial" w:eastAsia="Arial" w:hAnsi="Arial"/>
          <w:sz w:val="19"/>
          <w:szCs w:val="19"/>
          <w:color w:val="auto"/>
        </w:rPr>
        <w:t xml:space="preserve"> — 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 provided, however, that the Company shall not be required to comply with the provisions of this Section 7.1(d) for so long as the Company is subject to the public reporting requirements of the Exchange Act;</w:t>
      </w:r>
    </w:p>
    <w:p>
      <w:pPr>
        <w:spacing w:after="0" w:line="154" w:lineRule="exact"/>
        <w:rPr>
          <w:sz w:val="20"/>
          <w:szCs w:val="20"/>
          <w:color w:val="auto"/>
        </w:rPr>
      </w:pPr>
    </w:p>
    <w:p>
      <w:pPr>
        <w:jc w:val="both"/>
        <w:ind w:firstLine="396"/>
        <w:spacing w:after="0" w:line="223" w:lineRule="auto"/>
        <w:rPr>
          <w:sz w:val="20"/>
          <w:szCs w:val="20"/>
          <w:color w:val="auto"/>
        </w:rPr>
      </w:pPr>
      <w:r>
        <w:rPr>
          <w:rFonts w:ascii="Arial" w:cs="Arial" w:eastAsia="Arial" w:hAnsi="Arial"/>
          <w:sz w:val="22"/>
          <w:szCs w:val="22"/>
          <w:color w:val="auto"/>
        </w:rPr>
        <w:t>(v)</w:t>
      </w:r>
      <w:r>
        <w:rPr>
          <w:rFonts w:ascii="Arial" w:cs="Arial" w:eastAsia="Arial" w:hAnsi="Arial"/>
          <w:sz w:val="22"/>
          <w:szCs w:val="22"/>
          <w:i w:val="1"/>
          <w:iCs w:val="1"/>
          <w:color w:val="auto"/>
        </w:rPr>
        <w:t>Employee Benefits Matters</w:t>
      </w:r>
      <w:r>
        <w:rPr>
          <w:rFonts w:ascii="Arial" w:cs="Arial" w:eastAsia="Arial" w:hAnsi="Arial"/>
          <w:sz w:val="22"/>
          <w:szCs w:val="22"/>
          <w:color w:val="auto"/>
        </w:rPr>
        <w:t xml:space="preserve"> — promptly, and in any event within five days after a Responsible Officer becoming aware of any of the following, a written notice setting forth the nature thereof and the action, if any, that the Company or an ERISA Affiliate proposes to take with respect thereto:</w:t>
      </w:r>
    </w:p>
    <w:p>
      <w:pPr>
        <w:spacing w:after="0" w:line="159" w:lineRule="exact"/>
        <w:rPr>
          <w:sz w:val="20"/>
          <w:szCs w:val="20"/>
          <w:color w:val="auto"/>
        </w:rPr>
      </w:pPr>
    </w:p>
    <w:p>
      <w:pPr>
        <w:jc w:val="both"/>
        <w:ind w:left="640" w:firstLine="1300"/>
        <w:spacing w:after="0" w:line="223" w:lineRule="auto"/>
        <w:tabs>
          <w:tab w:leader="none" w:pos="2579" w:val="left"/>
        </w:tabs>
        <w:numPr>
          <w:ilvl w:val="0"/>
          <w:numId w:val="51"/>
        </w:numPr>
        <w:rPr>
          <w:rFonts w:ascii="Arial" w:cs="Arial" w:eastAsia="Arial" w:hAnsi="Arial"/>
          <w:sz w:val="22"/>
          <w:szCs w:val="22"/>
          <w:color w:val="auto"/>
        </w:rPr>
      </w:pPr>
      <w:r>
        <w:rPr>
          <w:rFonts w:ascii="Arial" w:cs="Arial" w:eastAsia="Arial" w:hAnsi="Arial"/>
          <w:sz w:val="22"/>
          <w:szCs w:val="22"/>
          <w:color w:val="auto"/>
        </w:rPr>
        <w:t>with respect to any Plan, any reportable event, as defined in section 4043(c) of ERISA and the regulations thereunder, for which notice thereof has not been waived pursuant to such regulations as in effect on the date hereof; or</w:t>
      </w:r>
    </w:p>
    <w:p>
      <w:pPr>
        <w:spacing w:after="0" w:line="158" w:lineRule="exact"/>
        <w:rPr>
          <w:rFonts w:ascii="Arial" w:cs="Arial" w:eastAsia="Arial" w:hAnsi="Arial"/>
          <w:sz w:val="22"/>
          <w:szCs w:val="22"/>
          <w:color w:val="auto"/>
        </w:rPr>
      </w:pPr>
    </w:p>
    <w:p>
      <w:pPr>
        <w:jc w:val="both"/>
        <w:ind w:left="640" w:firstLine="1300"/>
        <w:spacing w:after="0" w:line="234" w:lineRule="auto"/>
        <w:tabs>
          <w:tab w:leader="none" w:pos="2579"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24" w:lineRule="exact"/>
        <w:rPr>
          <w:rFonts w:ascii="Arial" w:cs="Arial" w:eastAsia="Arial" w:hAnsi="Arial"/>
          <w:sz w:val="21"/>
          <w:szCs w:val="21"/>
          <w:color w:val="auto"/>
        </w:rPr>
      </w:pPr>
    </w:p>
    <w:p>
      <w:pPr>
        <w:ind w:left="4860" w:hanging="130"/>
        <w:spacing w:after="0"/>
        <w:tabs>
          <w:tab w:leader="none" w:pos="48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0580"/>
          </w:cols>
          <w:pgMar w:left="980" w:top="1401" w:right="339" w:bottom="1440" w:gutter="0" w:footer="0" w:header="0"/>
        </w:sectPr>
      </w:pPr>
    </w:p>
    <w:bookmarkStart w:id="70" w:name="page71"/>
    <w:bookmarkEnd w:id="70"/>
    <w:p>
      <w:pPr>
        <w:ind w:left="1300"/>
        <w:spacing w:after="0"/>
        <w:rPr>
          <w:sz w:val="20"/>
          <w:szCs w:val="20"/>
          <w:color w:val="auto"/>
        </w:rPr>
      </w:pPr>
      <w:r>
        <w:rPr>
          <w:rFonts w:ascii="Arial" w:cs="Arial" w:eastAsia="Arial" w:hAnsi="Arial"/>
          <w:sz w:val="19"/>
          <w:szCs w:val="19"/>
          <w:color w:val="auto"/>
        </w:rPr>
        <w:t>Multiemployer Plan that such action has been taken by the PBGC with respect to such Multiemployer Plan; or</w:t>
      </w:r>
    </w:p>
    <w:p>
      <w:pPr>
        <w:spacing w:after="0" w:line="214" w:lineRule="exact"/>
        <w:rPr>
          <w:sz w:val="20"/>
          <w:szCs w:val="20"/>
          <w:color w:val="auto"/>
        </w:rPr>
      </w:pPr>
    </w:p>
    <w:p>
      <w:pPr>
        <w:jc w:val="both"/>
        <w:ind w:left="1300" w:firstLine="1300"/>
        <w:spacing w:after="0" w:line="224" w:lineRule="auto"/>
        <w:tabs>
          <w:tab w:leader="none" w:pos="3239" w:val="left"/>
        </w:tabs>
        <w:numPr>
          <w:ilvl w:val="0"/>
          <w:numId w:val="52"/>
        </w:numPr>
        <w:rPr>
          <w:rFonts w:ascii="Arial" w:cs="Arial" w:eastAsia="Arial" w:hAnsi="Arial"/>
          <w:sz w:val="21"/>
          <w:szCs w:val="21"/>
          <w:color w:val="auto"/>
        </w:rPr>
      </w:pPr>
      <w:r>
        <w:rPr>
          <w:rFonts w:ascii="Arial" w:cs="Arial" w:eastAsia="Arial" w:hAnsi="Arial"/>
          <w:sz w:val="21"/>
          <w:szCs w:val="21"/>
          <w:color w:val="auto"/>
        </w:rPr>
        <w:t>any event, transaction or condition that could result in the incurrence of any liability by the Company or any ERISA Affili 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spacing w:after="0" w:line="159" w:lineRule="exact"/>
        <w:rPr>
          <w:rFonts w:ascii="Arial" w:cs="Arial" w:eastAsia="Arial" w:hAnsi="Arial"/>
          <w:sz w:val="21"/>
          <w:szCs w:val="21"/>
          <w:color w:val="auto"/>
        </w:rPr>
      </w:pPr>
    </w:p>
    <w:p>
      <w:pPr>
        <w:jc w:val="both"/>
        <w:ind w:left="1300" w:firstLine="1300"/>
        <w:spacing w:after="0" w:line="223" w:lineRule="auto"/>
        <w:tabs>
          <w:tab w:leader="none" w:pos="3239" w:val="left"/>
        </w:tabs>
        <w:numPr>
          <w:ilvl w:val="0"/>
          <w:numId w:val="52"/>
        </w:numPr>
        <w:rPr>
          <w:rFonts w:ascii="Arial" w:cs="Arial" w:eastAsia="Arial" w:hAnsi="Arial"/>
          <w:sz w:val="22"/>
          <w:szCs w:val="22"/>
          <w:color w:val="auto"/>
        </w:rPr>
      </w:pPr>
      <w:r>
        <w:rPr>
          <w:rFonts w:ascii="Arial" w:cs="Arial" w:eastAsia="Arial" w:hAnsi="Arial"/>
          <w:sz w:val="22"/>
          <w:szCs w:val="22"/>
          <w:color w:val="auto"/>
        </w:rPr>
        <w:t>receipt of notice of the imposition of a Material financial penalty (which for this purpose shall mean any tax, penalty or other liability, whether by way of indemnity or otherwise) with respect to one or more Non-U.S Plans;</w:t>
      </w:r>
    </w:p>
    <w:p>
      <w:pPr>
        <w:spacing w:after="0" w:line="159" w:lineRule="exact"/>
        <w:rPr>
          <w:sz w:val="20"/>
          <w:szCs w:val="20"/>
          <w:color w:val="auto"/>
        </w:rPr>
      </w:pPr>
    </w:p>
    <w:p>
      <w:pPr>
        <w:jc w:val="both"/>
        <w:ind w:left="660" w:firstLine="336"/>
        <w:spacing w:after="0" w:line="223" w:lineRule="auto"/>
        <w:rPr>
          <w:sz w:val="20"/>
          <w:szCs w:val="20"/>
          <w:color w:val="auto"/>
        </w:rPr>
      </w:pPr>
      <w:r>
        <w:rPr>
          <w:rFonts w:ascii="Arial" w:cs="Arial" w:eastAsia="Arial" w:hAnsi="Arial"/>
          <w:sz w:val="22"/>
          <w:szCs w:val="22"/>
          <w:color w:val="auto"/>
        </w:rPr>
        <w:t>(vi)</w:t>
      </w:r>
      <w:r>
        <w:rPr>
          <w:rFonts w:ascii="Arial" w:cs="Arial" w:eastAsia="Arial" w:hAnsi="Arial"/>
          <w:sz w:val="22"/>
          <w:szCs w:val="22"/>
          <w:i w:val="1"/>
          <w:iCs w:val="1"/>
          <w:color w:val="auto"/>
        </w:rPr>
        <w:t>Resignation or Replacement of Auditors</w:t>
      </w:r>
      <w:r>
        <w:rPr>
          <w:rFonts w:ascii="Arial" w:cs="Arial" w:eastAsia="Arial" w:hAnsi="Arial"/>
          <w:sz w:val="22"/>
          <w:szCs w:val="22"/>
          <w:color w:val="auto"/>
        </w:rPr>
        <w:t xml:space="preserve"> — within 10 days following the date on which the Company’s auditors resign or the Company elects to change auditors, as the case may be, notification hereof, together with such further information as the Required Holders may request; and</w:t>
      </w:r>
    </w:p>
    <w:p>
      <w:pPr>
        <w:spacing w:after="0" w:line="159" w:lineRule="exact"/>
        <w:rPr>
          <w:sz w:val="20"/>
          <w:szCs w:val="20"/>
          <w:color w:val="auto"/>
        </w:rPr>
      </w:pPr>
    </w:p>
    <w:p>
      <w:pPr>
        <w:jc w:val="both"/>
        <w:ind w:left="660" w:firstLine="276"/>
        <w:spacing w:after="0" w:line="257" w:lineRule="auto"/>
        <w:rPr>
          <w:sz w:val="20"/>
          <w:szCs w:val="20"/>
          <w:color w:val="auto"/>
        </w:rPr>
      </w:pPr>
      <w:r>
        <w:rPr>
          <w:rFonts w:ascii="Arial" w:cs="Arial" w:eastAsia="Arial" w:hAnsi="Arial"/>
          <w:sz w:val="19"/>
          <w:szCs w:val="19"/>
          <w:color w:val="auto"/>
        </w:rPr>
        <w:t>(vii)</w:t>
      </w:r>
      <w:r>
        <w:rPr>
          <w:rFonts w:ascii="Arial" w:cs="Arial" w:eastAsia="Arial" w:hAnsi="Arial"/>
          <w:sz w:val="19"/>
          <w:szCs w:val="19"/>
          <w:i w:val="1"/>
          <w:iCs w:val="1"/>
          <w:color w:val="auto"/>
        </w:rPr>
        <w:t>Requested Information</w:t>
      </w:r>
      <w:r>
        <w:rPr>
          <w:rFonts w:ascii="Arial" w:cs="Arial" w:eastAsia="Arial" w:hAnsi="Arial"/>
          <w:sz w:val="19"/>
          <w:szCs w:val="19"/>
          <w:color w:val="auto"/>
        </w:rPr>
        <w:t xml:space="preserve"> — with reasonable promptness, such other data and information relating to the business, operations, affairs, financial condition, assets or properties of the Company or any of its Subsidiaries (including actual copies of the Company’s Form 10 Q and Form 10 K) or relating to the ability of the Company to perform its obligations hereunder and under the Notes as from time to time may be reasonably requested by any such holder of a Note.</w:t>
      </w:r>
    </w:p>
    <w:p>
      <w:pPr>
        <w:spacing w:after="0" w:line="13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Officer’s Certificate</w:t>
      </w:r>
    </w:p>
    <w:p>
      <w:pPr>
        <w:spacing w:after="0" w:line="185" w:lineRule="exact"/>
        <w:rPr>
          <w:sz w:val="20"/>
          <w:szCs w:val="20"/>
          <w:color w:val="auto"/>
        </w:rPr>
      </w:pPr>
    </w:p>
    <w:p>
      <w:pPr>
        <w:ind w:firstLine="656"/>
        <w:spacing w:after="0" w:line="232" w:lineRule="auto"/>
        <w:tabs>
          <w:tab w:leader="none" w:pos="769" w:val="left"/>
        </w:tabs>
        <w:numPr>
          <w:ilvl w:val="0"/>
          <w:numId w:val="53"/>
        </w:numPr>
        <w:rPr>
          <w:rFonts w:ascii="Arial" w:cs="Arial" w:eastAsia="Arial" w:hAnsi="Arial"/>
          <w:sz w:val="22"/>
          <w:szCs w:val="22"/>
          <w:color w:val="auto"/>
        </w:rPr>
      </w:pPr>
      <w:r>
        <w:rPr>
          <w:rFonts w:ascii="Arial" w:cs="Arial" w:eastAsia="Arial" w:hAnsi="Arial"/>
          <w:sz w:val="22"/>
          <w:szCs w:val="22"/>
          <w:color w:val="auto"/>
        </w:rPr>
        <w:t>Each set of financial statements delivered to a holder of a Note pursuant to Section 7.1(a) or Section 7.1(b) shall be accompanied by a certificate of a Senior Financial Officer:</w:t>
      </w:r>
    </w:p>
    <w:p>
      <w:pPr>
        <w:spacing w:after="0" w:line="159" w:lineRule="exact"/>
        <w:rPr>
          <w:sz w:val="20"/>
          <w:szCs w:val="20"/>
          <w:color w:val="auto"/>
        </w:rPr>
      </w:pPr>
    </w:p>
    <w:p>
      <w:pPr>
        <w:jc w:val="both"/>
        <w:ind w:left="660" w:firstLine="444"/>
        <w:spacing w:after="0" w:line="244" w:lineRule="auto"/>
        <w:rPr>
          <w:sz w:val="20"/>
          <w:szCs w:val="20"/>
          <w:color w:val="auto"/>
        </w:rPr>
      </w:pPr>
      <w:r>
        <w:rPr>
          <w:rFonts w:ascii="Arial" w:cs="Arial" w:eastAsia="Arial" w:hAnsi="Arial"/>
          <w:sz w:val="19"/>
          <w:szCs w:val="19"/>
          <w:color w:val="auto"/>
        </w:rPr>
        <w:t>(i)</w:t>
      </w:r>
      <w:r>
        <w:rPr>
          <w:rFonts w:ascii="Arial" w:cs="Arial" w:eastAsia="Arial" w:hAnsi="Arial"/>
          <w:sz w:val="19"/>
          <w:szCs w:val="19"/>
          <w:i w:val="1"/>
          <w:iCs w:val="1"/>
          <w:color w:val="auto"/>
        </w:rPr>
        <w:t>Covenant Compliance</w:t>
      </w:r>
      <w:r>
        <w:rPr>
          <w:rFonts w:ascii="Arial" w:cs="Arial" w:eastAsia="Arial" w:hAnsi="Arial"/>
          <w:sz w:val="19"/>
          <w:szCs w:val="19"/>
          <w:color w:val="auto"/>
        </w:rPr>
        <w:t xml:space="preserve"> — setting forth the information from such financial statements that is required in order to establish whether the Company was in compliance with the requirements of Section 10.4 or Section 10.5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w:t>
      </w:r>
    </w:p>
    <w:p>
      <w:pPr>
        <w:spacing w:after="0" w:line="155" w:lineRule="exact"/>
        <w:rPr>
          <w:sz w:val="20"/>
          <w:szCs w:val="20"/>
          <w:color w:val="auto"/>
        </w:rPr>
      </w:pPr>
    </w:p>
    <w:p>
      <w:pPr>
        <w:jc w:val="both"/>
        <w:ind w:left="660" w:firstLine="384"/>
        <w:spacing w:after="0" w:line="268" w:lineRule="auto"/>
        <w:rPr>
          <w:sz w:val="20"/>
          <w:szCs w:val="20"/>
          <w:color w:val="auto"/>
        </w:rPr>
      </w:pPr>
      <w:r>
        <w:rPr>
          <w:rFonts w:ascii="Arial" w:cs="Arial" w:eastAsia="Arial" w:hAnsi="Arial"/>
          <w:sz w:val="19"/>
          <w:szCs w:val="19"/>
          <w:color w:val="auto"/>
        </w:rPr>
        <w:t>(ii)</w:t>
      </w:r>
      <w:r>
        <w:rPr>
          <w:rFonts w:ascii="Arial" w:cs="Arial" w:eastAsia="Arial" w:hAnsi="Arial"/>
          <w:sz w:val="19"/>
          <w:szCs w:val="19"/>
          <w:i w:val="1"/>
          <w:iCs w:val="1"/>
          <w:color w:val="auto"/>
        </w:rPr>
        <w:t>Event of Default</w:t>
      </w:r>
      <w:r>
        <w:rPr>
          <w:rFonts w:ascii="Arial" w:cs="Arial" w:eastAsia="Arial" w:hAnsi="Arial"/>
          <w:sz w:val="19"/>
          <w:szCs w:val="19"/>
          <w:color w:val="auto"/>
        </w:rPr>
        <w:t xml:space="preserve"> — certifying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71" w:name="page72"/>
    <w:bookmarkEnd w:id="71"/>
    <w:p>
      <w:pPr>
        <w:jc w:val="both"/>
        <w:ind w:left="660"/>
        <w:spacing w:after="0" w:line="218" w:lineRule="auto"/>
        <w:rPr>
          <w:sz w:val="20"/>
          <w:szCs w:val="20"/>
          <w:color w:val="auto"/>
        </w:rPr>
      </w:pPr>
      <w:r>
        <w:rPr>
          <w:rFonts w:ascii="Arial" w:cs="Arial" w:eastAsia="Arial" w:hAnsi="Arial"/>
          <w:sz w:val="22"/>
          <w:szCs w:val="22"/>
          <w:color w:val="auto"/>
        </w:rPr>
        <w:t>furnished to the date of the certificate and that such review shall not have disclosed the existence during such period of any condition or event that constitutes a Default or an Event of Default or, if any such condition or event existed or exists, specifying the nature and period of existence thereof and what action the Company shall have taken or proposes to take with respect thereto; and</w:t>
      </w:r>
    </w:p>
    <w:p>
      <w:pPr>
        <w:spacing w:after="0" w:line="228" w:lineRule="exact"/>
        <w:rPr>
          <w:sz w:val="20"/>
          <w:szCs w:val="20"/>
          <w:color w:val="auto"/>
        </w:rPr>
      </w:pPr>
    </w:p>
    <w:p>
      <w:pPr>
        <w:jc w:val="both"/>
        <w:ind w:left="660" w:firstLine="252"/>
        <w:spacing w:after="0" w:line="253" w:lineRule="auto"/>
        <w:tabs>
          <w:tab w:leader="none" w:pos="1413"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 xml:space="preserve">Subsidiary Guarantors </w:t>
      </w:r>
      <w:r>
        <w:rPr>
          <w:rFonts w:ascii="Arial" w:cs="Arial" w:eastAsia="Arial" w:hAnsi="Arial"/>
          <w:sz w:val="22"/>
          <w:szCs w:val="22"/>
          <w:color w:val="auto"/>
        </w:rPr>
        <w:t>– setting forth a list of all Subsidiaries that are Subsidiary Guarantors and certifying that</w:t>
      </w:r>
      <w:r>
        <w:rPr>
          <w:rFonts w:ascii="Arial" w:cs="Arial" w:eastAsia="Arial" w:hAnsi="Arial"/>
          <w:sz w:val="22"/>
          <w:szCs w:val="22"/>
          <w:i w:val="1"/>
          <w:iCs w:val="1"/>
          <w:color w:val="auto"/>
        </w:rPr>
        <w:t xml:space="preserve"> </w:t>
      </w:r>
      <w:r>
        <w:rPr>
          <w:rFonts w:ascii="Arial" w:cs="Arial" w:eastAsia="Arial" w:hAnsi="Arial"/>
          <w:sz w:val="22"/>
          <w:szCs w:val="22"/>
          <w:color w:val="auto"/>
        </w:rPr>
        <w:t>each Subsidiary that is required to be a Subsidiary Guarantor pursuant to Section 9.7 is a Subsidiary Guarantor, in each case, as of the date of such certificate of Senior Financial Officer.</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9"/>
          <w:szCs w:val="19"/>
          <w:b w:val="1"/>
          <w:bCs w:val="1"/>
          <w:color w:val="auto"/>
        </w:rPr>
        <w:t>Visitation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The Company shall permit the representatives of each holder of Notes that is an Institutional Investor:</w:t>
      </w:r>
    </w:p>
    <w:p>
      <w:pPr>
        <w:spacing w:after="0" w:line="179" w:lineRule="exact"/>
        <w:rPr>
          <w:sz w:val="20"/>
          <w:szCs w:val="20"/>
          <w:color w:val="auto"/>
        </w:rPr>
      </w:pPr>
    </w:p>
    <w:p>
      <w:pPr>
        <w:jc w:val="both"/>
        <w:ind w:left="660" w:firstLine="444"/>
        <w:spacing w:after="0" w:line="249" w:lineRule="auto"/>
        <w:rPr>
          <w:sz w:val="20"/>
          <w:szCs w:val="20"/>
          <w:color w:val="auto"/>
        </w:rPr>
      </w:pPr>
      <w:r>
        <w:rPr>
          <w:rFonts w:ascii="Arial" w:cs="Arial" w:eastAsia="Arial" w:hAnsi="Arial"/>
          <w:sz w:val="19"/>
          <w:szCs w:val="19"/>
          <w:color w:val="auto"/>
        </w:rPr>
        <w:t>(i)</w:t>
      </w:r>
      <w:r>
        <w:rPr>
          <w:rFonts w:ascii="Arial" w:cs="Arial" w:eastAsia="Arial" w:hAnsi="Arial"/>
          <w:sz w:val="19"/>
          <w:szCs w:val="19"/>
          <w:i w:val="1"/>
          <w:iCs w:val="1"/>
          <w:color w:val="auto"/>
        </w:rPr>
        <w:t>No Default</w:t>
      </w:r>
      <w:r>
        <w:rPr>
          <w:rFonts w:ascii="Arial" w:cs="Arial" w:eastAsia="Arial" w:hAnsi="Arial"/>
          <w:sz w:val="19"/>
          <w:szCs w:val="19"/>
          <w:color w:val="auto"/>
        </w:rPr>
        <w:t xml:space="preserve"> — if no Default or Event of Default then exists, the Company shall permit the representatives of each holder of Notes that is an Institutional Investor,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152" w:lineRule="exact"/>
        <w:rPr>
          <w:sz w:val="20"/>
          <w:szCs w:val="20"/>
          <w:color w:val="auto"/>
        </w:rPr>
      </w:pPr>
    </w:p>
    <w:p>
      <w:pPr>
        <w:jc w:val="both"/>
        <w:ind w:left="660" w:firstLine="384"/>
        <w:spacing w:after="0" w:line="214" w:lineRule="auto"/>
        <w:rPr>
          <w:sz w:val="20"/>
          <w:szCs w:val="20"/>
          <w:color w:val="auto"/>
        </w:rPr>
      </w:pPr>
      <w:r>
        <w:rPr>
          <w:rFonts w:ascii="Arial" w:cs="Arial" w:eastAsia="Arial" w:hAnsi="Arial"/>
          <w:sz w:val="22"/>
          <w:szCs w:val="22"/>
          <w:color w:val="auto"/>
        </w:rPr>
        <w:t>(ii)</w:t>
      </w:r>
      <w:r>
        <w:rPr>
          <w:rFonts w:ascii="Arial" w:cs="Arial" w:eastAsia="Arial" w:hAnsi="Arial"/>
          <w:sz w:val="22"/>
          <w:szCs w:val="22"/>
          <w:i w:val="1"/>
          <w:iCs w:val="1"/>
          <w:color w:val="auto"/>
        </w:rPr>
        <w:t>Default</w:t>
      </w:r>
      <w:r>
        <w:rPr>
          <w:rFonts w:ascii="Arial" w:cs="Arial" w:eastAsia="Arial" w:hAnsi="Arial"/>
          <w:sz w:val="22"/>
          <w:szCs w:val="22"/>
          <w:color w:val="auto"/>
        </w:rPr>
        <w:t xml:space="preserve">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spacing w:after="0" w:line="15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Electronic Delivery</w:t>
      </w:r>
      <w:r>
        <w:rPr>
          <w:rFonts w:ascii="Arial" w:cs="Arial" w:eastAsia="Arial" w:hAnsi="Arial"/>
          <w:sz w:val="19"/>
          <w:szCs w:val="19"/>
          <w:color w:val="auto"/>
        </w:rPr>
        <w:t>.</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Financial statements, opinions of independent certified public accountants, other information and Officer’s Certificates that are required to be delivered by the Company pursuant to Sections 7.1(a), (b) or (c) and Section 7.2 shall be deemed to have been delivered if the Company satisfies any of the following requirements with respect thereto:</w:t>
      </w:r>
    </w:p>
    <w:p>
      <w:pPr>
        <w:spacing w:after="0" w:line="194" w:lineRule="exact"/>
        <w:rPr>
          <w:sz w:val="20"/>
          <w:szCs w:val="20"/>
          <w:color w:val="auto"/>
        </w:rPr>
      </w:pPr>
    </w:p>
    <w:p>
      <w:pPr>
        <w:jc w:val="both"/>
        <w:ind w:left="660" w:firstLine="1017"/>
        <w:spacing w:after="0" w:line="250" w:lineRule="auto"/>
        <w:tabs>
          <w:tab w:leader="none" w:pos="2293" w:val="left"/>
        </w:tabs>
        <w:numPr>
          <w:ilvl w:val="1"/>
          <w:numId w:val="55"/>
        </w:numPr>
        <w:rPr>
          <w:rFonts w:ascii="Arial" w:cs="Arial" w:eastAsia="Arial" w:hAnsi="Arial"/>
          <w:sz w:val="22"/>
          <w:szCs w:val="22"/>
          <w:color w:val="auto"/>
        </w:rPr>
      </w:pPr>
      <w:r>
        <w:rPr>
          <w:rFonts w:ascii="Arial" w:cs="Arial" w:eastAsia="Arial" w:hAnsi="Arial"/>
          <w:sz w:val="22"/>
          <w:szCs w:val="22"/>
          <w:color w:val="auto"/>
        </w:rPr>
        <w:t>such financial statements satisfying the requirements of Section 7.1(a) or (b) and related Officer’s Certificate satisfying the requirements of Section 7.2 and any other information required under Section 7.1(c) are delivered to each holder of a Note by e-mail at the e-mail address set forth in Schedule A or as communicated from time to time in a separate writing delivered to the Company;</w:t>
      </w:r>
    </w:p>
    <w:p>
      <w:pPr>
        <w:spacing w:after="0" w:line="214" w:lineRule="exact"/>
        <w:rPr>
          <w:rFonts w:ascii="Arial" w:cs="Arial" w:eastAsia="Arial" w:hAnsi="Arial"/>
          <w:sz w:val="22"/>
          <w:szCs w:val="22"/>
          <w:color w:val="auto"/>
        </w:rPr>
      </w:pPr>
    </w:p>
    <w:p>
      <w:pPr>
        <w:jc w:val="both"/>
        <w:ind w:left="660" w:firstLine="214"/>
        <w:spacing w:after="0"/>
        <w:tabs>
          <w:tab w:leader="none" w:pos="1348"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Company shall have timely filed such Form 10–Q or Form 10–K, satisfying the requirements of Section 7.1(a) or Section 7.1(b), as the case may be, with the SEC on EDGAR and shall have (i) made such form available on its home page on the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3" w:lineRule="exact"/>
        <w:rPr>
          <w:rFonts w:ascii="Arial" w:cs="Arial" w:eastAsia="Arial" w:hAnsi="Arial"/>
          <w:sz w:val="22"/>
          <w:szCs w:val="22"/>
          <w:color w:val="auto"/>
        </w:rPr>
      </w:pPr>
    </w:p>
    <w:p>
      <w:pPr>
        <w:ind w:left="5520" w:hanging="130"/>
        <w:spacing w:after="0"/>
        <w:tabs>
          <w:tab w:leader="none" w:pos="5520" w:val="left"/>
        </w:tabs>
        <w:numPr>
          <w:ilvl w:val="2"/>
          <w:numId w:val="56"/>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240"/>
          </w:cols>
          <w:pgMar w:left="320" w:top="1401" w:right="339" w:bottom="1440" w:gutter="0" w:footer="0" w:header="0"/>
        </w:sectPr>
      </w:pPr>
    </w:p>
    <w:bookmarkStart w:id="72" w:name="page73"/>
    <w:bookmarkEnd w:id="72"/>
    <w:p>
      <w:pPr>
        <w:spacing w:after="0" w:line="231" w:lineRule="exact"/>
        <w:rPr>
          <w:sz w:val="20"/>
          <w:szCs w:val="20"/>
          <w:color w:val="auto"/>
        </w:rPr>
      </w:pPr>
    </w:p>
    <w:p>
      <w:pPr>
        <w:ind w:left="660" w:right="20"/>
        <w:spacing w:after="0" w:line="274" w:lineRule="auto"/>
        <w:rPr>
          <w:sz w:val="20"/>
          <w:szCs w:val="20"/>
          <w:color w:val="auto"/>
        </w:rPr>
      </w:pPr>
      <w:r>
        <w:rPr>
          <w:rFonts w:ascii="Arial" w:cs="Arial" w:eastAsia="Arial" w:hAnsi="Arial"/>
          <w:sz w:val="21"/>
          <w:szCs w:val="21"/>
          <w:color w:val="auto"/>
        </w:rPr>
        <w:t xml:space="preserve">internet, which is located at </w:t>
      </w:r>
      <w:r>
        <w:rPr>
          <w:rFonts w:ascii="Arial" w:cs="Arial" w:eastAsia="Arial" w:hAnsi="Arial"/>
          <w:sz w:val="21"/>
          <w:szCs w:val="21"/>
          <w:u w:val="single" w:color="auto"/>
          <w:color w:val="0000FF"/>
        </w:rPr>
        <w:t>http://www.allete.com</w:t>
      </w:r>
      <w:r>
        <w:rPr>
          <w:rFonts w:ascii="Arial" w:cs="Arial" w:eastAsia="Arial" w:hAnsi="Arial"/>
          <w:sz w:val="21"/>
          <w:szCs w:val="21"/>
          <w:color w:val="auto"/>
        </w:rPr>
        <w:t xml:space="preserve"> as of the date of this Agreement and (ii) delivered the related Officer’s Certificate satisfying the requirements of Section 7.2 by e-mail in accordance with Section 7.4(a);</w:t>
      </w:r>
    </w:p>
    <w:p>
      <w:pPr>
        <w:spacing w:after="0" w:line="178" w:lineRule="exact"/>
        <w:rPr>
          <w:sz w:val="20"/>
          <w:szCs w:val="20"/>
          <w:color w:val="auto"/>
        </w:rPr>
      </w:pPr>
    </w:p>
    <w:p>
      <w:pPr>
        <w:jc w:val="both"/>
        <w:ind w:left="660" w:firstLine="303"/>
        <w:spacing w:after="0" w:line="238" w:lineRule="auto"/>
        <w:tabs>
          <w:tab w:leader="none" w:pos="1513" w:val="left"/>
        </w:tabs>
        <w:numPr>
          <w:ilvl w:val="1"/>
          <w:numId w:val="57"/>
        </w:numPr>
        <w:rPr>
          <w:rFonts w:ascii="Arial" w:cs="Arial" w:eastAsia="Arial" w:hAnsi="Arial"/>
          <w:sz w:val="22"/>
          <w:szCs w:val="22"/>
          <w:color w:val="auto"/>
        </w:rPr>
      </w:pPr>
      <w:r>
        <w:rPr>
          <w:rFonts w:ascii="Arial" w:cs="Arial" w:eastAsia="Arial" w:hAnsi="Arial"/>
          <w:sz w:val="22"/>
          <w:szCs w:val="22"/>
          <w:color w:val="auto"/>
        </w:rPr>
        <w:t>such financial statements satisfying the requirements of Section 7.1(a) or Section 7.1(b) and related Officer’s Certificate(s) satisfying the requirements of Section 7.2 and any other information required under Section 7.1(c) are timely posted by or on behalf of the Company on IntraLinks or on any other similar website to which each holder of Notes has free access; or</w:t>
      </w:r>
    </w:p>
    <w:p>
      <w:pPr>
        <w:spacing w:after="0" w:line="225" w:lineRule="exact"/>
        <w:rPr>
          <w:rFonts w:ascii="Arial" w:cs="Arial" w:eastAsia="Arial" w:hAnsi="Arial"/>
          <w:sz w:val="22"/>
          <w:szCs w:val="22"/>
          <w:color w:val="auto"/>
        </w:rPr>
      </w:pPr>
    </w:p>
    <w:p>
      <w:pPr>
        <w:jc w:val="both"/>
        <w:ind w:left="660" w:firstLine="245"/>
        <w:spacing w:after="0"/>
        <w:tabs>
          <w:tab w:leader="none" w:pos="1409"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shall have timely filed any of the items referred to in Section 7.1(c) with the SEC on EDGAR and shall have made such items available on its home page on the internet or on IntraLinks or on any other similar website to which each holder of Notes has free access;</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1"/>
          <w:szCs w:val="21"/>
          <w:i w:val="1"/>
          <w:iCs w:val="1"/>
          <w:color w:val="auto"/>
        </w:rPr>
        <w:t xml:space="preserve">provided however, </w:t>
      </w:r>
      <w:r>
        <w:rPr>
          <w:rFonts w:ascii="Arial" w:cs="Arial" w:eastAsia="Arial" w:hAnsi="Arial"/>
          <w:sz w:val="21"/>
          <w:szCs w:val="21"/>
          <w:color w:val="auto"/>
        </w:rPr>
        <w:t>that in no case shall access to such financial statements, other information and Officer’s Certificates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conditioned upon any waiver or other agreement or consent (other than confidentiality provisions consistent with Section 20 of this Agreement);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in the case of any of clauses (b), (c) or (d), the Company shall have given each holder of a Note prior written notice, which may be by e-mail or in accordance with Section 18, of such posting or filing in connection with each delivery,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upon request of any holder to receive paper copies of such forms, financial statements, other information and Officer’s Certificates or to receive them by e-mail, the Company will promptly e-mail them or deliver such paper copies, as the case may be, to such holder.</w:t>
      </w:r>
    </w:p>
    <w:p>
      <w:pPr>
        <w:spacing w:after="0" w:line="174"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Payment and Prepayment of the Notes.</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21"/>
          <w:szCs w:val="21"/>
          <w:b w:val="1"/>
          <w:bCs w:val="1"/>
          <w:color w:val="auto"/>
        </w:rPr>
        <w:t>Maturity</w:t>
      </w:r>
    </w:p>
    <w:p>
      <w:pPr>
        <w:spacing w:after="0" w:line="185" w:lineRule="exact"/>
        <w:rPr>
          <w:sz w:val="20"/>
          <w:szCs w:val="20"/>
          <w:color w:val="auto"/>
        </w:rPr>
      </w:pPr>
    </w:p>
    <w:p>
      <w:pPr>
        <w:ind w:left="760" w:hanging="104"/>
        <w:spacing w:after="0"/>
        <w:tabs>
          <w:tab w:leader="none" w:pos="7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As provided therein, the entire unpaid principal balance of the Notes shall be due and payable on the stated maturity date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15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Optional Prepayments with Make-Whole Amount</w:t>
      </w:r>
    </w:p>
    <w:p>
      <w:pPr>
        <w:spacing w:after="0" w:line="185" w:lineRule="exact"/>
        <w:rPr>
          <w:sz w:val="20"/>
          <w:szCs w:val="20"/>
          <w:color w:val="auto"/>
        </w:rPr>
      </w:pPr>
    </w:p>
    <w:p>
      <w:pPr>
        <w:jc w:val="both"/>
        <w:ind w:firstLine="656"/>
        <w:spacing w:after="0" w:line="242" w:lineRule="auto"/>
        <w:tabs>
          <w:tab w:leader="none" w:pos="756"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Company may, at its option, upon notice as provided below, prepay at any time all, or from time to time any part of, the Notes, in an amount not less than 10% of the aggregate principal amount of the Notes then outstanding in the case of a partial prepayment, at 100% of the principal amount so prepaid, together with interest accrued thereon to the date of such prepayment, and the Make-Whole Amount determined for the prepayment date with respect to such principal amount. The Company will give each holder of Notes written notice of each optional prepayment under this Section 8.2 not less than 30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Notes to be prepaid on such date, the principal amount of each Note held by such holder to be prepaid (determined in accordance with Section 8.4),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1" w:lineRule="exact"/>
        <w:rPr>
          <w:rFonts w:ascii="Arial" w:cs="Arial" w:eastAsia="Arial" w:hAnsi="Arial"/>
          <w:sz w:val="19"/>
          <w:szCs w:val="19"/>
          <w:color w:val="auto"/>
        </w:rPr>
      </w:pPr>
    </w:p>
    <w:p>
      <w:pPr>
        <w:ind w:left="5520" w:hanging="130"/>
        <w:spacing w:after="0"/>
        <w:tabs>
          <w:tab w:leader="none" w:pos="55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98" w:lineRule="auto"/>
        <w:rPr>
          <w:sz w:val="20"/>
          <w:szCs w:val="20"/>
          <w:color w:val="auto"/>
        </w:rPr>
      </w:pPr>
      <w:r>
        <w:rPr>
          <w:rFonts w:ascii="Arial" w:cs="Arial" w:eastAsia="Arial" w:hAnsi="Arial"/>
          <w:sz w:val="19"/>
          <w:szCs w:val="19"/>
          <w:color w:val="auto"/>
        </w:rPr>
        <w:t>computation. Two Business Days prior to such prepayment, the Company shall deliver to each holder of Notes a certificate of a Senior Financial Officer specifying the calculation of such Make-Whole Amount as of the specified prepayment date.</w:t>
      </w:r>
    </w:p>
    <w:p>
      <w:pPr>
        <w:spacing w:after="0" w:line="9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9"/>
          <w:szCs w:val="19"/>
          <w:b w:val="1"/>
          <w:bCs w:val="1"/>
          <w:color w:val="auto"/>
        </w:rPr>
        <w:t>Change in Control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left="660" w:firstLine="444"/>
        <w:spacing w:after="0" w:line="257" w:lineRule="auto"/>
        <w:rPr>
          <w:sz w:val="20"/>
          <w:szCs w:val="20"/>
          <w:color w:val="auto"/>
        </w:rPr>
      </w:pPr>
      <w:r>
        <w:rPr>
          <w:rFonts w:ascii="Arial" w:cs="Arial" w:eastAsia="Arial" w:hAnsi="Arial"/>
          <w:sz w:val="19"/>
          <w:szCs w:val="19"/>
          <w:color w:val="auto"/>
        </w:rPr>
        <w:t>(i)</w:t>
      </w:r>
      <w:r>
        <w:rPr>
          <w:rFonts w:ascii="Arial" w:cs="Arial" w:eastAsia="Arial" w:hAnsi="Arial"/>
          <w:sz w:val="19"/>
          <w:szCs w:val="19"/>
          <w:i w:val="1"/>
          <w:iCs w:val="1"/>
          <w:color w:val="auto"/>
        </w:rPr>
        <w:t>Notice of Change in Control</w:t>
      </w:r>
      <w:r>
        <w:rPr>
          <w:rFonts w:ascii="Arial" w:cs="Arial" w:eastAsia="Arial" w:hAnsi="Arial"/>
          <w:sz w:val="19"/>
          <w:szCs w:val="19"/>
          <w:color w:val="auto"/>
        </w:rPr>
        <w:t>. The Company will, within five Business Days after any Responsible Officer has knowledge of the occurrence of any Change in Control, give written notice of such Change in Control to each holder of Notes. Such notice shall contain and constitute an offer to prepay Notes as described in subparagraph (b) of this Section 8.3 and shall be accompanied by the certificate described in subparagraph (e) of this Section 8.3.</w:t>
      </w:r>
    </w:p>
    <w:p>
      <w:pPr>
        <w:spacing w:after="0" w:line="144" w:lineRule="exact"/>
        <w:rPr>
          <w:sz w:val="20"/>
          <w:szCs w:val="20"/>
          <w:color w:val="auto"/>
        </w:rPr>
      </w:pPr>
    </w:p>
    <w:p>
      <w:pPr>
        <w:jc w:val="both"/>
        <w:ind w:left="660" w:firstLine="384"/>
        <w:spacing w:after="0" w:line="252" w:lineRule="auto"/>
        <w:rPr>
          <w:sz w:val="20"/>
          <w:szCs w:val="20"/>
          <w:color w:val="auto"/>
        </w:rPr>
      </w:pPr>
      <w:r>
        <w:rPr>
          <w:rFonts w:ascii="Arial" w:cs="Arial" w:eastAsia="Arial" w:hAnsi="Arial"/>
          <w:sz w:val="19"/>
          <w:szCs w:val="19"/>
          <w:color w:val="auto"/>
        </w:rPr>
        <w:t>(ii)</w:t>
      </w:r>
      <w:r>
        <w:rPr>
          <w:rFonts w:ascii="Arial" w:cs="Arial" w:eastAsia="Arial" w:hAnsi="Arial"/>
          <w:sz w:val="19"/>
          <w:szCs w:val="19"/>
          <w:i w:val="1"/>
          <w:iCs w:val="1"/>
          <w:color w:val="auto"/>
        </w:rPr>
        <w:t>Offer to Prepay Notes</w:t>
      </w:r>
      <w:r>
        <w:rPr>
          <w:rFonts w:ascii="Arial" w:cs="Arial" w:eastAsia="Arial" w:hAnsi="Arial"/>
          <w:sz w:val="19"/>
          <w:szCs w:val="19"/>
          <w:color w:val="auto"/>
        </w:rPr>
        <w:t>. The offer to prepay the Notes contemplated by subparagraph (a) of this Section 8.3 shall be an offer to prepay, in accordance with and subject to this Section 8.3, all, but not less than all, of the Notes held by each holder (in this case only, “</w:t>
      </w:r>
      <w:r>
        <w:rPr>
          <w:rFonts w:ascii="Arial" w:cs="Arial" w:eastAsia="Arial" w:hAnsi="Arial"/>
          <w:sz w:val="19"/>
          <w:szCs w:val="19"/>
          <w:b w:val="1"/>
          <w:bCs w:val="1"/>
          <w:color w:val="auto"/>
        </w:rPr>
        <w:t>holder</w:t>
      </w:r>
      <w:r>
        <w:rPr>
          <w:rFonts w:ascii="Arial" w:cs="Arial" w:eastAsia="Arial" w:hAnsi="Arial"/>
          <w:sz w:val="19"/>
          <w:szCs w:val="19"/>
          <w:color w:val="auto"/>
        </w:rPr>
        <w:t>” in respect of any Note registered in the name of a nominee for a disclosed beneficial owner shall mean such beneficial owner) on a date specified in such offer (the “Proposed Prepayment Date”). Such date shall be not less than 30 days and not more than 60 days after the date of such offer.</w:t>
      </w:r>
    </w:p>
    <w:p>
      <w:pPr>
        <w:spacing w:after="0" w:line="149" w:lineRule="exact"/>
        <w:rPr>
          <w:sz w:val="20"/>
          <w:szCs w:val="20"/>
          <w:color w:val="auto"/>
        </w:rPr>
      </w:pPr>
    </w:p>
    <w:p>
      <w:pPr>
        <w:jc w:val="both"/>
        <w:ind w:left="660" w:firstLine="324"/>
        <w:spacing w:after="0" w:line="218" w:lineRule="auto"/>
        <w:rPr>
          <w:sz w:val="20"/>
          <w:szCs w:val="20"/>
          <w:color w:val="auto"/>
        </w:rPr>
      </w:pPr>
      <w:r>
        <w:rPr>
          <w:rFonts w:ascii="Arial" w:cs="Arial" w:eastAsia="Arial" w:hAnsi="Arial"/>
          <w:sz w:val="22"/>
          <w:szCs w:val="22"/>
          <w:color w:val="auto"/>
        </w:rPr>
        <w:t>(iii)</w:t>
      </w:r>
      <w:r>
        <w:rPr>
          <w:rFonts w:ascii="Arial" w:cs="Arial" w:eastAsia="Arial" w:hAnsi="Arial"/>
          <w:sz w:val="22"/>
          <w:szCs w:val="22"/>
          <w:i w:val="1"/>
          <w:iCs w:val="1"/>
          <w:color w:val="auto"/>
        </w:rPr>
        <w:t>Acceptance</w:t>
      </w:r>
      <w:r>
        <w:rPr>
          <w:rFonts w:ascii="Arial" w:cs="Arial" w:eastAsia="Arial" w:hAnsi="Arial"/>
          <w:sz w:val="22"/>
          <w:szCs w:val="22"/>
          <w:color w:val="auto"/>
        </w:rPr>
        <w:t>. A holder of Notes may accept the offer to prepay made pursuant to this Section 8.3 by causing a notice of such acceptance to be delivered to the Company not later than 15 days prior to the Proposed Prepayment Date. A failure by a holder of Notes to respond to the offer to prepay made pursuant to this Section 8.3 shall be deemed to constitute a rejection of such offer by such holder.</w:t>
      </w:r>
    </w:p>
    <w:p>
      <w:pPr>
        <w:spacing w:after="0" w:line="161" w:lineRule="exact"/>
        <w:rPr>
          <w:sz w:val="20"/>
          <w:szCs w:val="20"/>
          <w:color w:val="auto"/>
        </w:rPr>
      </w:pPr>
    </w:p>
    <w:p>
      <w:pPr>
        <w:jc w:val="both"/>
        <w:ind w:left="660" w:firstLine="336"/>
        <w:spacing w:after="0" w:line="223" w:lineRule="auto"/>
        <w:rPr>
          <w:sz w:val="20"/>
          <w:szCs w:val="20"/>
          <w:color w:val="auto"/>
        </w:rPr>
      </w:pPr>
      <w:r>
        <w:rPr>
          <w:rFonts w:ascii="Arial" w:cs="Arial" w:eastAsia="Arial" w:hAnsi="Arial"/>
          <w:sz w:val="22"/>
          <w:szCs w:val="22"/>
          <w:color w:val="auto"/>
        </w:rPr>
        <w:t>(iv)</w:t>
      </w:r>
      <w:r>
        <w:rPr>
          <w:rFonts w:ascii="Arial" w:cs="Arial" w:eastAsia="Arial" w:hAnsi="Arial"/>
          <w:sz w:val="22"/>
          <w:szCs w:val="22"/>
          <w:i w:val="1"/>
          <w:iCs w:val="1"/>
          <w:color w:val="auto"/>
        </w:rPr>
        <w:t>Prepayment</w:t>
      </w:r>
      <w:r>
        <w:rPr>
          <w:rFonts w:ascii="Arial" w:cs="Arial" w:eastAsia="Arial" w:hAnsi="Arial"/>
          <w:sz w:val="22"/>
          <w:szCs w:val="22"/>
          <w:color w:val="auto"/>
        </w:rPr>
        <w:t>. Prepayment of the Notes to be prepaid pursuant to this Section 8.3 shall be at 100% of the principal amount of such Notes, together with interest on such Notes accrued to the date of prepayment and without any Make-Whole Amount. The Prepayment shall be made on the Proposed Prepayment Date.</w:t>
      </w:r>
    </w:p>
    <w:p>
      <w:pPr>
        <w:spacing w:after="0" w:line="159" w:lineRule="exact"/>
        <w:rPr>
          <w:sz w:val="20"/>
          <w:szCs w:val="20"/>
          <w:color w:val="auto"/>
        </w:rPr>
      </w:pPr>
    </w:p>
    <w:p>
      <w:pPr>
        <w:jc w:val="both"/>
        <w:ind w:left="660" w:firstLine="396"/>
        <w:spacing w:after="0" w:line="214" w:lineRule="auto"/>
        <w:rPr>
          <w:sz w:val="20"/>
          <w:szCs w:val="20"/>
          <w:color w:val="auto"/>
        </w:rPr>
      </w:pPr>
      <w:r>
        <w:rPr>
          <w:rFonts w:ascii="Arial" w:cs="Arial" w:eastAsia="Arial" w:hAnsi="Arial"/>
          <w:sz w:val="22"/>
          <w:szCs w:val="22"/>
          <w:color w:val="auto"/>
        </w:rPr>
        <w:t>(v)</w:t>
      </w:r>
      <w:r>
        <w:rPr>
          <w:rFonts w:ascii="Arial" w:cs="Arial" w:eastAsia="Arial" w:hAnsi="Arial"/>
          <w:sz w:val="22"/>
          <w:szCs w:val="22"/>
          <w:i w:val="1"/>
          <w:iCs w:val="1"/>
          <w:color w:val="auto"/>
        </w:rPr>
        <w:t>Officer’s Certificate</w:t>
      </w:r>
      <w:r>
        <w:rPr>
          <w:rFonts w:ascii="Arial" w:cs="Arial" w:eastAsia="Arial" w:hAnsi="Arial"/>
          <w:sz w:val="22"/>
          <w:szCs w:val="22"/>
          <w:color w:val="auto"/>
        </w:rPr>
        <w:t>. Each offer to prepay the Notes pursuant to this Section 8.3 shall be accompanied by a certificate, executed by a Senior Financial Officer of the Company and dated the date of such offer, specifying: (i) the Proposed Prepayment Date; (ii) that such offer is made pursuant to this Section 8.3; (iii) the interest that would be due on each Note offered to be prepaid, accrued to the Proposed Prepayment Date; (iv) that the conditions of this Section 8.3 have been fulfilled; (v) in reasonable detail, the nature of the Change in Control; and (vi) any written response from the relevant rating agency.</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(vi)</w:t>
      </w:r>
      <w:r>
        <w:rPr>
          <w:rFonts w:ascii="Arial" w:cs="Arial" w:eastAsia="Arial" w:hAnsi="Arial"/>
          <w:sz w:val="22"/>
          <w:szCs w:val="22"/>
          <w:i w:val="1"/>
          <w:iCs w:val="1"/>
          <w:color w:val="auto"/>
        </w:rPr>
        <w:t>“Change in Control” Definition</w:t>
      </w:r>
      <w:r>
        <w:rPr>
          <w:rFonts w:ascii="Arial" w:cs="Arial" w:eastAsia="Arial" w:hAnsi="Arial"/>
          <w:sz w:val="22"/>
          <w:szCs w:val="22"/>
          <w:color w:val="auto"/>
        </w:rPr>
        <w:t>.</w:t>
      </w:r>
    </w:p>
    <w:p>
      <w:pPr>
        <w:spacing w:after="0" w:line="200" w:lineRule="exact"/>
        <w:rPr>
          <w:sz w:val="20"/>
          <w:szCs w:val="20"/>
          <w:color w:val="auto"/>
        </w:rPr>
      </w:pPr>
    </w:p>
    <w:p>
      <w:pPr>
        <w:jc w:val="both"/>
        <w:ind w:left="740" w:firstLine="129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occurrence of any of the following: (a) the consummation of any transaction the result of which is that any “person” or “group” (within the meaning of Section 13(d)(3) of the Exchange Act but excluding any employee benefit plan of the Company or its Subsidiaries, and any Person acting in its capacity as trustee, agent or other fiduciary or administrator of any such plan) becomes the “beneficial owner” (as such term is defined in Rule 13d 3 under the Exchange Act) of more than 30% of the total voting power in the aggregate of all classes of the Voting Securities of the Company then outstanding, (b) during any period of two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74" w:name="page75"/>
    <w:bookmarkEnd w:id="74"/>
    <w:p>
      <w:pPr>
        <w:jc w:val="both"/>
        <w:ind w:left="84"/>
        <w:spacing w:after="0" w:line="290" w:lineRule="auto"/>
        <w:rPr>
          <w:sz w:val="20"/>
          <w:szCs w:val="20"/>
          <w:color w:val="auto"/>
        </w:rPr>
      </w:pPr>
      <w:r>
        <w:rPr>
          <w:rFonts w:ascii="Arial" w:cs="Arial" w:eastAsia="Arial" w:hAnsi="Arial"/>
          <w:sz w:val="19"/>
          <w:szCs w:val="19"/>
          <w:color w:val="auto"/>
        </w:rPr>
        <w:t>calendar years, individuals who at the beginning of such period constituted the board of directors of the Company cease for any reason to constitute a majority of the directors of the Company then in office unless (i) such new directors were elected or nominated by a majority of the directors of the Company who constituted the board of directors of the Company at the beginning of such period or (ii) the reason for such directors failing to constitute a majority is a result of retirement by directors due to age, death or disability or (c) any event or condition relating to a change of control of the Company shall occur which requires or permits the holder or holders of indebtedness of the Company in an aggregate principal amount of $35,000,000 or more, or any agent or trustee for such holders, to require payment, purchase, redemption or defeasance of such indebtedness prior to its expressed maturity..</w:t>
      </w:r>
    </w:p>
    <w:p>
      <w:pPr>
        <w:spacing w:after="0" w:line="129" w:lineRule="exact"/>
        <w:rPr>
          <w:sz w:val="20"/>
          <w:szCs w:val="20"/>
          <w:color w:val="auto"/>
        </w:rPr>
      </w:pPr>
    </w:p>
    <w:p>
      <w:pPr>
        <w:jc w:val="both"/>
        <w:ind w:left="4" w:firstLine="276"/>
        <w:spacing w:after="0" w:line="216" w:lineRule="auto"/>
        <w:rPr>
          <w:sz w:val="20"/>
          <w:szCs w:val="20"/>
          <w:color w:val="auto"/>
        </w:rPr>
      </w:pPr>
      <w:r>
        <w:rPr>
          <w:rFonts w:ascii="Arial" w:cs="Arial" w:eastAsia="Arial" w:hAnsi="Arial"/>
          <w:sz w:val="22"/>
          <w:szCs w:val="22"/>
          <w:color w:val="auto"/>
        </w:rPr>
        <w:t>(vii)</w:t>
      </w:r>
      <w:r>
        <w:rPr>
          <w:rFonts w:ascii="Arial" w:cs="Arial" w:eastAsia="Arial" w:hAnsi="Arial"/>
          <w:sz w:val="22"/>
          <w:szCs w:val="22"/>
          <w:i w:val="1"/>
          <w:iCs w:val="1"/>
          <w:color w:val="auto"/>
        </w:rPr>
        <w:t>Assumptions</w:t>
      </w:r>
      <w:r>
        <w:rPr>
          <w:rFonts w:ascii="Arial" w:cs="Arial" w:eastAsia="Arial" w:hAnsi="Arial"/>
          <w:sz w:val="22"/>
          <w:szCs w:val="22"/>
          <w:color w:val="auto"/>
        </w:rPr>
        <w:t>. All calculations contemplated in this Section 8.3 involving the capital stock or other equity interest of any Person shall be made with the assumption that all convertible securities of such Person then outstanding and all convertible securities issuable upon the exercise of any warrants, options and other rights outstanding at such time were converted at such time and that all options, warrants and similar rights to acquire shares of capital stock or other equity interest of such Person were exercised at such time.</w:t>
      </w:r>
    </w:p>
    <w:p>
      <w:pPr>
        <w:spacing w:after="0" w:line="152"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Allocation of Partial Prepayments</w:t>
      </w:r>
    </w:p>
    <w:p>
      <w:pPr>
        <w:spacing w:after="0" w:line="185" w:lineRule="exact"/>
        <w:rPr>
          <w:sz w:val="20"/>
          <w:szCs w:val="20"/>
          <w:color w:val="auto"/>
        </w:rPr>
      </w:pPr>
    </w:p>
    <w:p>
      <w:pPr>
        <w:jc w:val="both"/>
        <w:ind w:left="-656" w:firstLine="656"/>
        <w:spacing w:after="0" w:line="218" w:lineRule="auto"/>
        <w:tabs>
          <w:tab w:leader="none" w:pos="113"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the case of each partial prepayment of the Notes pursuant to Section 8.2, the principal amount of the Notes to be prepaid shall be allocated among all of the Notes at the time outstanding in proportion, as nearly as practicable, to the respective unpaid principal amounts thereof not theretofore called for prepayment. All prepayments pursuant to Section 8.3 shall be applied as therein provided.</w:t>
      </w:r>
    </w:p>
    <w:p>
      <w:pPr>
        <w:spacing w:after="0" w:line="155"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b w:val="1"/>
          <w:bCs w:val="1"/>
          <w:color w:val="auto"/>
        </w:rPr>
        <w:t>Section e.</w:t>
      </w:r>
      <w:r>
        <w:rPr>
          <w:sz w:val="20"/>
          <w:szCs w:val="20"/>
          <w:color w:val="auto"/>
        </w:rPr>
        <w:tab/>
      </w:r>
      <w:r>
        <w:rPr>
          <w:rFonts w:ascii="Arial" w:cs="Arial" w:eastAsia="Arial" w:hAnsi="Arial"/>
          <w:sz w:val="19"/>
          <w:szCs w:val="19"/>
          <w:b w:val="1"/>
          <w:bCs w:val="1"/>
          <w:color w:val="auto"/>
        </w:rPr>
        <w:t>Maturity; Surrender, Etc</w:t>
      </w:r>
    </w:p>
    <w:p>
      <w:pPr>
        <w:spacing w:after="0" w:line="185" w:lineRule="exact"/>
        <w:rPr>
          <w:sz w:val="20"/>
          <w:szCs w:val="20"/>
          <w:color w:val="auto"/>
        </w:rPr>
      </w:pPr>
    </w:p>
    <w:p>
      <w:pPr>
        <w:jc w:val="both"/>
        <w:ind w:left="-656" w:firstLine="656"/>
        <w:spacing w:after="0" w:line="249" w:lineRule="auto"/>
        <w:tabs>
          <w:tab w:leader="none" w:pos="100" w:val="left"/>
        </w:tabs>
        <w:numPr>
          <w:ilvl w:val="0"/>
          <w:numId w:val="62"/>
        </w:numPr>
        <w:rPr>
          <w:rFonts w:ascii="Arial" w:cs="Arial" w:eastAsia="Arial" w:hAnsi="Arial"/>
          <w:sz w:val="19"/>
          <w:szCs w:val="19"/>
          <w:i w:val="1"/>
          <w:iCs w:val="1"/>
          <w:color w:val="auto"/>
        </w:rPr>
      </w:pPr>
      <w:r>
        <w:rPr>
          <w:rFonts w:ascii="Arial" w:cs="Arial" w:eastAsia="Arial" w:hAnsi="Arial"/>
          <w:sz w:val="19"/>
          <w:szCs w:val="19"/>
          <w:color w:val="auto"/>
        </w:rPr>
        <w:t>In the case of each prepayment of Notes pursuant to this Section 8, the principal amount of each Note to be prepaid shall mature and become due and payable 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spacing w:after="0" w:line="146" w:lineRule="exact"/>
        <w:rPr>
          <w:sz w:val="20"/>
          <w:szCs w:val="20"/>
          <w:color w:val="auto"/>
        </w:rPr>
      </w:pPr>
    </w:p>
    <w:p>
      <w:pPr>
        <w:ind w:left="4"/>
        <w:spacing w:after="0"/>
        <w:tabs>
          <w:tab w:leader="none" w:pos="1364" w:val="left"/>
        </w:tabs>
        <w:rPr>
          <w:sz w:val="20"/>
          <w:szCs w:val="20"/>
          <w:color w:val="auto"/>
        </w:rPr>
      </w:pPr>
      <w:r>
        <w:rPr>
          <w:rFonts w:ascii="Arial" w:cs="Arial" w:eastAsia="Arial" w:hAnsi="Arial"/>
          <w:sz w:val="22"/>
          <w:szCs w:val="22"/>
          <w:b w:val="1"/>
          <w:bCs w:val="1"/>
          <w:color w:val="auto"/>
        </w:rPr>
        <w:t>Section f.</w:t>
      </w:r>
      <w:r>
        <w:rPr>
          <w:sz w:val="20"/>
          <w:szCs w:val="20"/>
          <w:color w:val="auto"/>
        </w:rPr>
        <w:tab/>
      </w:r>
      <w:r>
        <w:rPr>
          <w:rFonts w:ascii="Arial" w:cs="Arial" w:eastAsia="Arial" w:hAnsi="Arial"/>
          <w:sz w:val="18"/>
          <w:szCs w:val="18"/>
          <w:b w:val="1"/>
          <w:bCs w:val="1"/>
          <w:color w:val="auto"/>
        </w:rPr>
        <w:t>Purchase of Notes</w:t>
      </w:r>
    </w:p>
    <w:p>
      <w:pPr>
        <w:spacing w:after="0" w:line="185" w:lineRule="exact"/>
        <w:rPr>
          <w:sz w:val="20"/>
          <w:szCs w:val="20"/>
          <w:color w:val="auto"/>
        </w:rPr>
      </w:pPr>
    </w:p>
    <w:p>
      <w:pPr>
        <w:jc w:val="both"/>
        <w:ind w:left="-656" w:firstLine="656"/>
        <w:spacing w:after="0" w:line="221" w:lineRule="auto"/>
        <w:tabs>
          <w:tab w:leader="none" w:pos="113"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Company will not and will not permit any Affiliate to purchase, redeem, prepay or otherwise acquire, directly or indirectly, any of the outstanding Notes except (a) upon the payment or prepayment of the Notes in accordance with the terms of this Agreement and the Notes or (b) pursuant to an offer to purchase made by the Company or an Affiliate pro rata to the holders of all Notes at the time outstanding upon the same terms and conditions. Any such offer shall provide each holder with sufficient information to enable it to make an informed decision with respect to such offer, and shall remain open for at least 10 Business Days. If the holders of more than 25% of the principal amount of the Notes then outstanding accept such offer, the Company shall promptly notify the remaining holders of such fact and the expiration date for the acceptance by holders of Notes of such offer shall be extended by the number of days necessary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1" w:lineRule="exact"/>
        <w:rPr>
          <w:rFonts w:ascii="Arial" w:cs="Arial" w:eastAsia="Arial" w:hAnsi="Arial"/>
          <w:sz w:val="21"/>
          <w:szCs w:val="21"/>
          <w:color w:val="auto"/>
        </w:rPr>
      </w:pPr>
    </w:p>
    <w:p>
      <w:pPr>
        <w:ind w:left="4864" w:hanging="130"/>
        <w:spacing w:after="0"/>
        <w:tabs>
          <w:tab w:leader="none" w:pos="4864" w:val="left"/>
        </w:tabs>
        <w:numPr>
          <w:ilvl w:val="1"/>
          <w:numId w:val="63"/>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0584"/>
          </w:cols>
          <w:pgMar w:left="976" w:top="1428" w:right="339" w:bottom="1440" w:gutter="0" w:footer="0" w:header="0"/>
        </w:sectPr>
      </w:pPr>
    </w:p>
    <w:bookmarkStart w:id="75" w:name="page76"/>
    <w:bookmarkEnd w:id="75"/>
    <w:p>
      <w:pPr>
        <w:jc w:val="both"/>
        <w:ind w:right="20"/>
        <w:spacing w:after="0" w:line="268" w:lineRule="auto"/>
        <w:rPr>
          <w:sz w:val="20"/>
          <w:szCs w:val="20"/>
          <w:color w:val="auto"/>
        </w:rPr>
      </w:pPr>
      <w:r>
        <w:rPr>
          <w:rFonts w:ascii="Arial" w:cs="Arial" w:eastAsia="Arial" w:hAnsi="Arial"/>
          <w:sz w:val="19"/>
          <w:szCs w:val="19"/>
          <w:color w:val="auto"/>
        </w:rPr>
        <w:t>to give each such remaining holder at least 10 Business Days from its receipt of such notice to accept such offer. The Company will promptly cancel all Notes acquired by it or any Affiliate pursuant to any payment, prepayment or purchase of Notes pursuant to any provision of this Agreement and no Notes may be issued in substitution or exchange for any such Notes.</w:t>
      </w:r>
    </w:p>
    <w:p>
      <w:pPr>
        <w:spacing w:after="0" w:line="12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g.</w:t>
      </w:r>
      <w:r>
        <w:rPr>
          <w:sz w:val="20"/>
          <w:szCs w:val="20"/>
          <w:color w:val="auto"/>
        </w:rPr>
        <w:tab/>
      </w:r>
      <w:r>
        <w:rPr>
          <w:rFonts w:ascii="Arial" w:cs="Arial" w:eastAsia="Arial" w:hAnsi="Arial"/>
          <w:sz w:val="19"/>
          <w:szCs w:val="19"/>
          <w:b w:val="1"/>
          <w:bCs w:val="1"/>
          <w:color w:val="auto"/>
        </w:rPr>
        <w:t>Make-Whole Amount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The term </w:t>
      </w:r>
      <w:r>
        <w:rPr>
          <w:rFonts w:ascii="Arial" w:cs="Arial" w:eastAsia="Arial" w:hAnsi="Arial"/>
          <w:sz w:val="22"/>
          <w:szCs w:val="22"/>
          <w:b w:val="1"/>
          <w:bCs w:val="1"/>
          <w:color w:val="auto"/>
        </w:rPr>
        <w:t>“Make-Whole Amount”</w:t>
      </w:r>
      <w:r>
        <w:rPr>
          <w:rFonts w:ascii="Arial" w:cs="Arial" w:eastAsia="Arial" w:hAnsi="Arial"/>
          <w:sz w:val="22"/>
          <w:szCs w:val="22"/>
          <w:color w:val="auto"/>
        </w:rPr>
        <w:t xml:space="preserve"> means, with respect to any Note, an amount equal to the excess, if any, of the Discounted Value of the Remaining Scheduled Payments with respect to the Called Principal of such Note over the amount of such Called Principal,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Make-Whole Amount may in no event be less than zero. For the purposes of determining the Make-Whole Amount, the following terms have the following meanings:</w:t>
      </w:r>
    </w:p>
    <w:p>
      <w:pPr>
        <w:spacing w:after="0" w:line="18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“Called Principal” </w:t>
      </w:r>
      <w:r>
        <w:rPr>
          <w:rFonts w:ascii="Arial" w:cs="Arial" w:eastAsia="Arial" w:hAnsi="Arial"/>
          <w:sz w:val="19"/>
          <w:szCs w:val="19"/>
          <w:color w:val="auto"/>
        </w:rPr>
        <w:t>means, with respect to any Note, the principal of such Note that is to be prepaid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8.2 or has become or is declared to be immediately due and payable pursuant to Section 12.1, as the context requires.</w:t>
      </w:r>
    </w:p>
    <w:p>
      <w:pPr>
        <w:spacing w:after="0" w:line="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“Discounted Value” </w:t>
      </w:r>
      <w:r>
        <w:rPr>
          <w:rFonts w:ascii="Arial" w:cs="Arial" w:eastAsia="Arial" w:hAnsi="Arial"/>
          <w:sz w:val="22"/>
          <w:szCs w:val="22"/>
          <w:color w:val="auto"/>
        </w:rPr>
        <w:t>means, with respect to the Called Principal of any Note, the amount obtained by discounting 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“Reinvestment Yield” </w:t>
      </w:r>
      <w:r>
        <w:rPr>
          <w:rFonts w:ascii="Arial" w:cs="Arial" w:eastAsia="Arial" w:hAnsi="Arial"/>
          <w:sz w:val="19"/>
          <w:szCs w:val="19"/>
          <w:color w:val="auto"/>
        </w:rPr>
        <w:t>means, with respect to the Called Principal of any Note, the sum of (a) 0.50% plus (b) the yield to</w:t>
      </w:r>
      <w:r>
        <w:rPr>
          <w:rFonts w:ascii="Arial" w:cs="Arial" w:eastAsia="Arial" w:hAnsi="Arial"/>
          <w:sz w:val="19"/>
          <w:szCs w:val="19"/>
          <w:b w:val="1"/>
          <w:bCs w:val="1"/>
          <w:color w:val="auto"/>
        </w:rPr>
        <w:t xml:space="preserve"> </w:t>
      </w:r>
      <w:r>
        <w:rPr>
          <w:rFonts w:ascii="Arial" w:cs="Arial" w:eastAsia="Arial" w:hAnsi="Arial"/>
          <w:sz w:val="19"/>
          <w:szCs w:val="19"/>
          <w:color w:val="auto"/>
        </w:rPr>
        <w:t>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rFonts w:ascii="Arial" w:cs="Arial" w:eastAsia="Arial" w:hAnsi="Arial"/>
          <w:sz w:val="19"/>
          <w:szCs w:val="19"/>
          <w:b w:val="1"/>
          <w:bCs w:val="1"/>
          <w:color w:val="auto"/>
        </w:rPr>
        <w:t>“Reported”</w:t>
      </w:r>
      <w:r>
        <w:rPr>
          <w:rFonts w:ascii="Arial" w:cs="Arial" w:eastAsia="Arial" w:hAnsi="Arial"/>
          <w:sz w:val="19"/>
          <w:szCs w:val="19"/>
          <w:color w:val="auto"/>
        </w:rPr>
        <w:t>)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w:t>
      </w:r>
    </w:p>
    <w:p>
      <w:pPr>
        <w:spacing w:after="0" w:line="15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If such yields are not Reported or the yields Reported as of such time are not ascertainable (including by way of interpolation), then </w:t>
      </w:r>
      <w:r>
        <w:rPr>
          <w:rFonts w:ascii="Arial" w:cs="Arial" w:eastAsia="Arial" w:hAnsi="Arial"/>
          <w:sz w:val="21"/>
          <w:szCs w:val="21"/>
          <w:b w:val="1"/>
          <w:bCs w:val="1"/>
          <w:color w:val="auto"/>
        </w:rPr>
        <w:t>“Reinvestment Yield”</w:t>
      </w:r>
      <w:r>
        <w:rPr>
          <w:rFonts w:ascii="Arial" w:cs="Arial" w:eastAsia="Arial" w:hAnsi="Arial"/>
          <w:sz w:val="21"/>
          <w:szCs w:val="21"/>
          <w:color w:val="auto"/>
        </w:rPr>
        <w:t xml:space="preserve">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76" w:name="page77"/>
    <w:bookmarkEnd w:id="76"/>
    <w:p>
      <w:pPr>
        <w:jc w:val="both"/>
        <w:spacing w:after="0" w:line="292" w:lineRule="auto"/>
        <w:rPr>
          <w:sz w:val="20"/>
          <w:szCs w:val="20"/>
          <w:color w:val="auto"/>
        </w:rPr>
      </w:pPr>
      <w:r>
        <w:rPr>
          <w:rFonts w:ascii="Arial" w:cs="Arial" w:eastAsia="Arial" w:hAnsi="Arial"/>
          <w:sz w:val="19"/>
          <w:szCs w:val="19"/>
          <w:color w:val="auto"/>
        </w:rPr>
        <w:t>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“Remaining Average Life” </w:t>
      </w:r>
      <w:r>
        <w:rPr>
          <w:rFonts w:ascii="Arial" w:cs="Arial" w:eastAsia="Arial" w:hAnsi="Arial"/>
          <w:sz w:val="21"/>
          <w:szCs w:val="21"/>
          <w:color w:val="auto"/>
        </w:rPr>
        <w:t>means, with respect to any Called Principal, the number of years obtained by dividing</w:t>
      </w:r>
    </w:p>
    <w:p>
      <w:pPr>
        <w:spacing w:after="0" w:line="39" w:lineRule="exact"/>
        <w:rPr>
          <w:sz w:val="20"/>
          <w:szCs w:val="20"/>
          <w:color w:val="auto"/>
        </w:rPr>
      </w:pPr>
    </w:p>
    <w:p>
      <w:pPr>
        <w:jc w:val="both"/>
        <w:ind w:firstLine="8"/>
        <w:spacing w:after="0" w:line="295" w:lineRule="auto"/>
        <w:tabs>
          <w:tab w:leader="none" w:pos="261" w:val="left"/>
        </w:tabs>
        <w:numPr>
          <w:ilvl w:val="0"/>
          <w:numId w:val="64"/>
        </w:numPr>
        <w:rPr>
          <w:rFonts w:ascii="Arial" w:cs="Arial" w:eastAsia="Arial" w:hAnsi="Arial"/>
          <w:sz w:val="19"/>
          <w:szCs w:val="19"/>
          <w:color w:val="auto"/>
        </w:rPr>
      </w:pPr>
      <w:r>
        <w:rPr>
          <w:rFonts w:ascii="Arial" w:cs="Arial" w:eastAsia="Arial" w:hAnsi="Arial"/>
          <w:sz w:val="19"/>
          <w:szCs w:val="19"/>
          <w:color w:val="auto"/>
        </w:rPr>
        <w:t>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“Remaining Scheduled Payments” </w:t>
      </w:r>
      <w:r>
        <w:rPr>
          <w:rFonts w:ascii="Arial" w:cs="Arial" w:eastAsia="Arial" w:hAnsi="Arial"/>
          <w:sz w:val="22"/>
          <w:szCs w:val="22"/>
          <w:color w:val="auto"/>
        </w:rPr>
        <w:t>means, with respect to the Called Principal of any Note, all payments of such Called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Principal and interest thereon that would be due after the Settlement Date with respect to such Called Principal if no payment of such Called Principal were made prior to its scheduled due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Section 8.2 or Section 12.1.</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“Settlement Date” </w:t>
      </w:r>
      <w:r>
        <w:rPr>
          <w:rFonts w:ascii="Arial" w:cs="Arial" w:eastAsia="Arial" w:hAnsi="Arial"/>
          <w:sz w:val="22"/>
          <w:szCs w:val="22"/>
          <w:color w:val="auto"/>
        </w:rPr>
        <w:t>means, with respect to the Called Principal of any Note, the date on which such Called Principal is to</w:t>
      </w:r>
      <w:r>
        <w:rPr>
          <w:rFonts w:ascii="Arial" w:cs="Arial" w:eastAsia="Arial" w:hAnsi="Arial"/>
          <w:sz w:val="22"/>
          <w:szCs w:val="22"/>
          <w:b w:val="1"/>
          <w:bCs w:val="1"/>
          <w:color w:val="auto"/>
        </w:rPr>
        <w:t xml:space="preserve"> </w:t>
      </w:r>
      <w:r>
        <w:rPr>
          <w:rFonts w:ascii="Arial" w:cs="Arial" w:eastAsia="Arial" w:hAnsi="Arial"/>
          <w:sz w:val="22"/>
          <w:szCs w:val="22"/>
          <w:color w:val="auto"/>
        </w:rPr>
        <w:t>be prepaid pursuant to Section 8.2 or has become or is declared to be immediately due and payable pursuant to Section 12.1, as the context requires.</w:t>
      </w:r>
    </w:p>
    <w:p>
      <w:pPr>
        <w:spacing w:after="0" w:line="14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h.</w:t>
      </w:r>
      <w:r>
        <w:rPr>
          <w:sz w:val="20"/>
          <w:szCs w:val="20"/>
          <w:color w:val="auto"/>
        </w:rPr>
        <w:tab/>
      </w:r>
      <w:r>
        <w:rPr>
          <w:rFonts w:ascii="Arial" w:cs="Arial" w:eastAsia="Arial" w:hAnsi="Arial"/>
          <w:sz w:val="18"/>
          <w:szCs w:val="18"/>
          <w:b w:val="1"/>
          <w:bCs w:val="1"/>
          <w:color w:val="auto"/>
        </w:rPr>
        <w:t>Payments Due on Non-Business Days</w:t>
      </w:r>
      <w:r>
        <w:rPr>
          <w:rFonts w:ascii="Arial" w:cs="Arial" w:eastAsia="Arial" w:hAnsi="Arial"/>
          <w:sz w:val="18"/>
          <w:szCs w:val="18"/>
          <w:color w:val="auto"/>
        </w:rPr>
        <w:t>.</w:t>
      </w:r>
    </w:p>
    <w:p>
      <w:pPr>
        <w:spacing w:after="0" w:line="2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Anything in this Agreement or the Notes to the contrary 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w:t>
      </w:r>
    </w:p>
    <w:p>
      <w:pPr>
        <w:spacing w:after="0" w:line="116"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Affirmative Covenants.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covenants that so long as any of the Notes 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77" w:name="page78"/>
    <w:bookmarkEnd w:id="77"/>
    <w:p>
      <w:pPr>
        <w:ind w:left="4"/>
        <w:spacing w:after="0"/>
        <w:tabs>
          <w:tab w:leader="none" w:pos="1384"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Compliance with Law</w:t>
      </w:r>
    </w:p>
    <w:p>
      <w:pPr>
        <w:spacing w:after="0" w:line="185" w:lineRule="exact"/>
        <w:rPr>
          <w:sz w:val="20"/>
          <w:szCs w:val="20"/>
          <w:color w:val="auto"/>
        </w:rPr>
      </w:pPr>
    </w:p>
    <w:p>
      <w:pPr>
        <w:jc w:val="both"/>
        <w:ind w:left="-656" w:firstLine="656"/>
        <w:spacing w:after="0" w:line="221" w:lineRule="auto"/>
        <w:tabs>
          <w:tab w:leader="none" w:pos="127" w:val="left"/>
        </w:tabs>
        <w:numPr>
          <w:ilvl w:val="0"/>
          <w:numId w:val="65"/>
        </w:numPr>
        <w:rPr>
          <w:rFonts w:ascii="Arial" w:cs="Arial" w:eastAsia="Arial" w:hAnsi="Arial"/>
          <w:sz w:val="21"/>
          <w:szCs w:val="21"/>
          <w:color w:val="auto"/>
        </w:rPr>
      </w:pPr>
      <w:r>
        <w:rPr>
          <w:rFonts w:ascii="Arial" w:cs="Arial" w:eastAsia="Arial" w:hAnsi="Arial"/>
          <w:sz w:val="21"/>
          <w:szCs w:val="21"/>
          <w:color w:val="auto"/>
        </w:rPr>
        <w:t>Without limiting Section 10.3, the Company will, and will cause each of its Subsidiaries to, comply with all laws, ordinances or governmental rules or regulations to which each of them is subject (including ERISA, the USA Patriot Act, Environmental Laws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59"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Insurance</w:t>
      </w:r>
    </w:p>
    <w:p>
      <w:pPr>
        <w:spacing w:after="0" w:line="185" w:lineRule="exact"/>
        <w:rPr>
          <w:sz w:val="20"/>
          <w:szCs w:val="20"/>
          <w:color w:val="auto"/>
        </w:rPr>
      </w:pPr>
    </w:p>
    <w:p>
      <w:pPr>
        <w:jc w:val="both"/>
        <w:ind w:left="-656" w:firstLine="656"/>
        <w:spacing w:after="0" w:line="224" w:lineRule="auto"/>
        <w:tabs>
          <w:tab w:leader="none" w:pos="113"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except in each case to the extent that any non-compliance with the terms of this Section 9.2 could not reasonably be expected to have a Material Adverse Effect.</w:t>
      </w:r>
    </w:p>
    <w:p>
      <w:pPr>
        <w:spacing w:after="0" w:line="154"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9"/>
          <w:szCs w:val="19"/>
          <w:b w:val="1"/>
          <w:bCs w:val="1"/>
          <w:color w:val="auto"/>
        </w:rPr>
        <w:t>Maintenance of Properties</w:t>
      </w:r>
    </w:p>
    <w:p>
      <w:pPr>
        <w:spacing w:after="0" w:line="185" w:lineRule="exact"/>
        <w:rPr>
          <w:sz w:val="20"/>
          <w:szCs w:val="20"/>
          <w:color w:val="auto"/>
        </w:rPr>
      </w:pPr>
    </w:p>
    <w:p>
      <w:pPr>
        <w:jc w:val="both"/>
        <w:ind w:left="-656" w:firstLine="656"/>
        <w:spacing w:after="0" w:line="224" w:lineRule="auto"/>
        <w:tabs>
          <w:tab w:leader="none" w:pos="113"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Section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154"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Payment of Taxes and Claims</w:t>
      </w:r>
    </w:p>
    <w:p>
      <w:pPr>
        <w:spacing w:after="0" w:line="185" w:lineRule="exact"/>
        <w:rPr>
          <w:sz w:val="20"/>
          <w:szCs w:val="20"/>
          <w:color w:val="auto"/>
        </w:rPr>
      </w:pPr>
    </w:p>
    <w:p>
      <w:pPr>
        <w:jc w:val="both"/>
        <w:ind w:left="-656" w:firstLine="656"/>
        <w:spacing w:after="0" w:line="244" w:lineRule="auto"/>
        <w:tabs>
          <w:tab w:leader="none" w:pos="1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Company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non-filing of all such returns and/or nonpayment of all such taxes, assessments, charges, levies and claims (as the case may be) in the aggregate could not reasonably be expected to have a Material Adverse Effect.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4864" w:hanging="130"/>
        <w:spacing w:after="0"/>
        <w:tabs>
          <w:tab w:leader="none" w:pos="4864" w:val="left"/>
        </w:tabs>
        <w:numPr>
          <w:ilvl w:val="1"/>
          <w:numId w:val="68"/>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0584"/>
          </w:cols>
          <w:pgMar w:left="976" w:top="1395" w:right="339" w:bottom="1440" w:gutter="0" w:footer="0" w:header="0"/>
        </w:sectPr>
      </w:pPr>
    </w:p>
    <w:bookmarkStart w:id="78" w:name="page79"/>
    <w:bookmarkEnd w:id="78"/>
    <w:p>
      <w:pPr>
        <w:ind w:left="652"/>
        <w:spacing w:after="0"/>
        <w:tabs>
          <w:tab w:leader="none" w:pos="2032" w:val="left"/>
        </w:tabs>
        <w:rPr>
          <w:sz w:val="20"/>
          <w:szCs w:val="20"/>
          <w:color w:val="auto"/>
        </w:rPr>
      </w:pPr>
      <w:r>
        <w:rPr>
          <w:rFonts w:ascii="Arial" w:cs="Arial" w:eastAsia="Arial" w:hAnsi="Arial"/>
          <w:sz w:val="22"/>
          <w:szCs w:val="22"/>
          <w:b w:val="1"/>
          <w:bCs w:val="1"/>
          <w:color w:val="auto"/>
        </w:rPr>
        <w:t>Section e.</w:t>
      </w:r>
      <w:r>
        <w:rPr>
          <w:sz w:val="20"/>
          <w:szCs w:val="20"/>
          <w:color w:val="auto"/>
        </w:rPr>
        <w:tab/>
      </w:r>
      <w:r>
        <w:rPr>
          <w:rFonts w:ascii="Arial" w:cs="Arial" w:eastAsia="Arial" w:hAnsi="Arial"/>
          <w:sz w:val="19"/>
          <w:szCs w:val="19"/>
          <w:b w:val="1"/>
          <w:bCs w:val="1"/>
          <w:color w:val="auto"/>
        </w:rPr>
        <w:t>Corporate Existence, Etc</w:t>
      </w:r>
    </w:p>
    <w:p>
      <w:pPr>
        <w:spacing w:after="0" w:line="185" w:lineRule="exact"/>
        <w:rPr>
          <w:sz w:val="20"/>
          <w:szCs w:val="20"/>
          <w:color w:val="auto"/>
        </w:rPr>
      </w:pPr>
    </w:p>
    <w:p>
      <w:pPr>
        <w:jc w:val="both"/>
        <w:ind w:left="-8" w:firstLine="656"/>
        <w:spacing w:after="0" w:line="214" w:lineRule="auto"/>
        <w:tabs>
          <w:tab w:leader="none" w:pos="748"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Subject to Section 10.2, the Company will at all times preserve and keep its corporate existence in full force and effect. Subject to Section 10.2, the Company will at all times preserve and keep in full force and effect the corporate existence of each of its Subsidiaries (unless merged into the Company or a Wholly-Owned Subsidiary) and all Material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53" w:lineRule="exact"/>
        <w:rPr>
          <w:sz w:val="20"/>
          <w:szCs w:val="20"/>
          <w:color w:val="auto"/>
        </w:rPr>
      </w:pPr>
    </w:p>
    <w:p>
      <w:pPr>
        <w:ind w:left="652"/>
        <w:spacing w:after="0"/>
        <w:tabs>
          <w:tab w:leader="none" w:pos="2012" w:val="left"/>
        </w:tabs>
        <w:rPr>
          <w:sz w:val="20"/>
          <w:szCs w:val="20"/>
          <w:color w:val="auto"/>
        </w:rPr>
      </w:pPr>
      <w:r>
        <w:rPr>
          <w:rFonts w:ascii="Arial" w:cs="Arial" w:eastAsia="Arial" w:hAnsi="Arial"/>
          <w:sz w:val="22"/>
          <w:szCs w:val="22"/>
          <w:b w:val="1"/>
          <w:bCs w:val="1"/>
          <w:color w:val="auto"/>
        </w:rPr>
        <w:t>Section f.</w:t>
      </w:r>
      <w:r>
        <w:rPr>
          <w:sz w:val="20"/>
          <w:szCs w:val="20"/>
          <w:color w:val="auto"/>
        </w:rPr>
        <w:tab/>
      </w:r>
      <w:r>
        <w:rPr>
          <w:rFonts w:ascii="Arial" w:cs="Arial" w:eastAsia="Arial" w:hAnsi="Arial"/>
          <w:sz w:val="18"/>
          <w:szCs w:val="18"/>
          <w:b w:val="1"/>
          <w:bCs w:val="1"/>
          <w:color w:val="auto"/>
        </w:rPr>
        <w:t>Books and Records</w:t>
      </w:r>
    </w:p>
    <w:p>
      <w:pPr>
        <w:spacing w:after="0" w:line="185" w:lineRule="exact"/>
        <w:rPr>
          <w:sz w:val="20"/>
          <w:szCs w:val="20"/>
          <w:color w:val="auto"/>
        </w:rPr>
      </w:pPr>
    </w:p>
    <w:p>
      <w:pPr>
        <w:jc w:val="both"/>
        <w:ind w:left="-8" w:firstLine="656"/>
        <w:spacing w:after="0" w:line="247" w:lineRule="auto"/>
        <w:tabs>
          <w:tab w:leader="none" w:pos="748"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spacing w:after="0" w:line="148" w:lineRule="exact"/>
        <w:rPr>
          <w:sz w:val="20"/>
          <w:szCs w:val="20"/>
          <w:color w:val="auto"/>
        </w:rPr>
      </w:pPr>
    </w:p>
    <w:p>
      <w:pPr>
        <w:ind w:left="652"/>
        <w:spacing w:after="0"/>
        <w:tabs>
          <w:tab w:leader="none" w:pos="2032" w:val="left"/>
        </w:tabs>
        <w:rPr>
          <w:sz w:val="20"/>
          <w:szCs w:val="20"/>
          <w:color w:val="auto"/>
        </w:rPr>
      </w:pPr>
      <w:r>
        <w:rPr>
          <w:rFonts w:ascii="Arial" w:cs="Arial" w:eastAsia="Arial" w:hAnsi="Arial"/>
          <w:sz w:val="22"/>
          <w:szCs w:val="22"/>
          <w:b w:val="1"/>
          <w:bCs w:val="1"/>
          <w:color w:val="auto"/>
        </w:rPr>
        <w:t>Section g.</w:t>
      </w:r>
      <w:r>
        <w:rPr>
          <w:sz w:val="20"/>
          <w:szCs w:val="20"/>
          <w:color w:val="auto"/>
        </w:rPr>
        <w:tab/>
      </w:r>
      <w:r>
        <w:rPr>
          <w:rFonts w:ascii="Arial" w:cs="Arial" w:eastAsia="Arial" w:hAnsi="Arial"/>
          <w:sz w:val="19"/>
          <w:szCs w:val="19"/>
          <w:b w:val="1"/>
          <w:bCs w:val="1"/>
          <w:color w:val="auto"/>
        </w:rPr>
        <w:t>Subsidiary Guarantors</w:t>
      </w:r>
    </w:p>
    <w:p>
      <w:pPr>
        <w:spacing w:after="0" w:line="239" w:lineRule="exact"/>
        <w:rPr>
          <w:sz w:val="20"/>
          <w:szCs w:val="20"/>
          <w:color w:val="auto"/>
        </w:rPr>
      </w:pPr>
    </w:p>
    <w:p>
      <w:pPr>
        <w:jc w:val="both"/>
        <w:ind w:left="-8" w:firstLine="8"/>
        <w:spacing w:after="0"/>
        <w:tabs>
          <w:tab w:leader="none" w:pos="127" w:val="left"/>
        </w:tabs>
        <w:numPr>
          <w:ilvl w:val="0"/>
          <w:numId w:val="71"/>
        </w:numPr>
        <w:rPr>
          <w:rFonts w:ascii="Arial" w:cs="Arial" w:eastAsia="Arial" w:hAnsi="Arial"/>
          <w:sz w:val="22"/>
          <w:szCs w:val="22"/>
          <w:color w:val="auto"/>
        </w:rPr>
      </w:pPr>
      <w:r>
        <w:rPr>
          <w:rFonts w:ascii="Arial" w:cs="Arial" w:eastAsia="Arial" w:hAnsi="Arial"/>
          <w:sz w:val="22"/>
          <w:szCs w:val="22"/>
          <w:color w:val="auto"/>
        </w:rPr>
        <w:t>(a) The Company will cause each of its Subsidiaries that guarantees or otherwise becomes liable at any time, whether as a borrower or an additional or co-borrower or otherwise, for or in respect of any Indebtedness under any Material Credit Facility to concurrently therewith:</w:t>
      </w:r>
    </w:p>
    <w:p>
      <w:pPr>
        <w:spacing w:after="0" w:line="213" w:lineRule="exact"/>
        <w:rPr>
          <w:rFonts w:ascii="Arial" w:cs="Arial" w:eastAsia="Arial" w:hAnsi="Arial"/>
          <w:sz w:val="22"/>
          <w:szCs w:val="22"/>
          <w:color w:val="auto"/>
        </w:rPr>
      </w:pPr>
    </w:p>
    <w:p>
      <w:pPr>
        <w:jc w:val="both"/>
        <w:ind w:left="-8" w:firstLine="246"/>
        <w:spacing w:after="0" w:line="234" w:lineRule="auto"/>
        <w:tabs>
          <w:tab w:leader="none" w:pos="909"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enter into an agreement in form and substance satisfactory to the Required Holders providing for the guaranty by such Subsidiary, on a joint and several basis with all other such Subsidiaries, of (x) the prompt payment in full when due of all amounts payable by the Company pursuant to the Notes (whether for principal, interest, Make-Whole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Guaranty</w:t>
      </w: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231" w:lineRule="exact"/>
        <w:rPr>
          <w:sz w:val="20"/>
          <w:szCs w:val="20"/>
          <w:color w:val="auto"/>
        </w:rPr>
      </w:pPr>
    </w:p>
    <w:p>
      <w:pPr>
        <w:ind w:left="912" w:hanging="696"/>
        <w:spacing w:after="0"/>
        <w:tabs>
          <w:tab w:leader="none" w:pos="912" w:val="left"/>
        </w:tabs>
        <w:numPr>
          <w:ilvl w:val="0"/>
          <w:numId w:val="72"/>
        </w:numPr>
        <w:rPr>
          <w:rFonts w:ascii="Arial" w:cs="Arial" w:eastAsia="Arial" w:hAnsi="Arial"/>
          <w:sz w:val="22"/>
          <w:szCs w:val="22"/>
          <w:color w:val="auto"/>
        </w:rPr>
      </w:pPr>
      <w:r>
        <w:rPr>
          <w:rFonts w:ascii="Arial" w:cs="Arial" w:eastAsia="Arial" w:hAnsi="Arial"/>
          <w:sz w:val="22"/>
          <w:szCs w:val="22"/>
          <w:color w:val="auto"/>
        </w:rPr>
        <w:t>deliver the following to each holder of a Note:</w:t>
      </w:r>
    </w:p>
    <w:p>
      <w:pPr>
        <w:spacing w:after="0" w:line="246" w:lineRule="exact"/>
        <w:rPr>
          <w:rFonts w:ascii="Arial" w:cs="Arial" w:eastAsia="Arial" w:hAnsi="Arial"/>
          <w:sz w:val="22"/>
          <w:szCs w:val="22"/>
          <w:color w:val="auto"/>
        </w:rPr>
      </w:pPr>
    </w:p>
    <w:p>
      <w:pPr>
        <w:ind w:left="1652" w:hanging="518"/>
        <w:spacing w:after="0"/>
        <w:tabs>
          <w:tab w:leader="none" w:pos="1652" w:val="left"/>
        </w:tabs>
        <w:numPr>
          <w:ilvl w:val="1"/>
          <w:numId w:val="72"/>
        </w:numPr>
        <w:rPr>
          <w:rFonts w:ascii="Arial" w:cs="Arial" w:eastAsia="Arial" w:hAnsi="Arial"/>
          <w:sz w:val="22"/>
          <w:szCs w:val="22"/>
          <w:color w:val="auto"/>
        </w:rPr>
      </w:pPr>
      <w:r>
        <w:rPr>
          <w:rFonts w:ascii="Arial" w:cs="Arial" w:eastAsia="Arial" w:hAnsi="Arial"/>
          <w:sz w:val="22"/>
          <w:szCs w:val="22"/>
          <w:color w:val="auto"/>
        </w:rPr>
        <w:t>an executed counterpart of such Subsidiary Guaranty;</w:t>
      </w:r>
    </w:p>
    <w:p>
      <w:pPr>
        <w:spacing w:after="0" w:line="233" w:lineRule="exact"/>
        <w:rPr>
          <w:rFonts w:ascii="Arial" w:cs="Arial" w:eastAsia="Arial" w:hAnsi="Arial"/>
          <w:sz w:val="22"/>
          <w:szCs w:val="22"/>
          <w:color w:val="auto"/>
        </w:rPr>
      </w:pPr>
    </w:p>
    <w:p>
      <w:pPr>
        <w:jc w:val="both"/>
        <w:ind w:left="1132" w:firstLine="2"/>
        <w:spacing w:after="0" w:line="238" w:lineRule="auto"/>
        <w:tabs>
          <w:tab w:leader="none" w:pos="1741" w:val="left"/>
        </w:tabs>
        <w:numPr>
          <w:ilvl w:val="1"/>
          <w:numId w:val="72"/>
        </w:numPr>
        <w:rPr>
          <w:rFonts w:ascii="Arial" w:cs="Arial" w:eastAsia="Arial" w:hAnsi="Arial"/>
          <w:sz w:val="22"/>
          <w:szCs w:val="22"/>
          <w:color w:val="auto"/>
        </w:rPr>
      </w:pPr>
      <w:r>
        <w:rPr>
          <w:rFonts w:ascii="Arial" w:cs="Arial" w:eastAsia="Arial" w:hAnsi="Arial"/>
          <w:sz w:val="22"/>
          <w:szCs w:val="22"/>
          <w:color w:val="auto"/>
        </w:rPr>
        <w:t xml:space="preserve">a certificate signed by an authorized responsible officer of such Subsidiary containing representations and warranties on behalf of such Subsidiary to the same effect, </w:t>
      </w:r>
      <w:r>
        <w:rPr>
          <w:rFonts w:ascii="Arial" w:cs="Arial" w:eastAsia="Arial" w:hAnsi="Arial"/>
          <w:sz w:val="22"/>
          <w:szCs w:val="22"/>
          <w:i w:val="1"/>
          <w:iCs w:val="1"/>
          <w:color w:val="auto"/>
        </w:rPr>
        <w:t>mutatis mutandis</w:t>
      </w:r>
      <w:r>
        <w:rPr>
          <w:rFonts w:ascii="Arial" w:cs="Arial" w:eastAsia="Arial" w:hAnsi="Arial"/>
          <w:sz w:val="22"/>
          <w:szCs w:val="22"/>
          <w:color w:val="auto"/>
        </w:rPr>
        <w:t>, as those contained in Sections 5.1, 5.2, 5.6 and 5.7 of this Agreement (but with respect to such Subsidiary and such Subsidiary Guaranty rather than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ind w:left="5512" w:hanging="130"/>
        <w:spacing w:after="0"/>
        <w:tabs>
          <w:tab w:leader="none" w:pos="5512" w:val="left"/>
        </w:tabs>
        <w:numPr>
          <w:ilvl w:val="2"/>
          <w:numId w:val="72"/>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1232"/>
          </w:cols>
          <w:pgMar w:left="328" w:top="1395" w:right="339" w:bottom="1440" w:gutter="0" w:footer="0" w:header="0"/>
        </w:sectPr>
      </w:pPr>
    </w:p>
    <w:bookmarkStart w:id="79" w:name="page80"/>
    <w:bookmarkEnd w:id="79"/>
    <w:p>
      <w:pPr>
        <w:spacing w:after="0" w:line="231" w:lineRule="exact"/>
        <w:rPr>
          <w:sz w:val="20"/>
          <w:szCs w:val="20"/>
          <w:color w:val="auto"/>
        </w:rPr>
      </w:pPr>
    </w:p>
    <w:p>
      <w:pPr>
        <w:jc w:val="both"/>
        <w:ind w:left="1140" w:firstLine="2"/>
        <w:spacing w:after="0" w:line="238" w:lineRule="auto"/>
        <w:tabs>
          <w:tab w:leader="none" w:pos="1752" w:val="left"/>
        </w:tabs>
        <w:numPr>
          <w:ilvl w:val="1"/>
          <w:numId w:val="73"/>
        </w:numPr>
        <w:rPr>
          <w:rFonts w:ascii="Arial" w:cs="Arial" w:eastAsia="Arial" w:hAnsi="Arial"/>
          <w:sz w:val="22"/>
          <w:szCs w:val="22"/>
          <w:color w:val="auto"/>
        </w:rPr>
      </w:pPr>
      <w:r>
        <w:rPr>
          <w:rFonts w:ascii="Arial" w:cs="Arial" w:eastAsia="Arial" w:hAnsi="Arial"/>
          <w:sz w:val="22"/>
          <w:szCs w:val="22"/>
          <w:color w:val="auto"/>
        </w:rPr>
        <w:t>all documents as may be reasonably requested by the Required Holders to evidence the due organization, continuing existence and, where applicable, good standing of such Subsidiary and the due authorization by all requisite action on the part of such Subsidiary of the execution and delivery of such Subsidiary Guaranty and the performance by such Subsidiary of its obligations thereunder; and</w:t>
      </w:r>
    </w:p>
    <w:p>
      <w:pPr>
        <w:spacing w:after="0" w:line="76" w:lineRule="exact"/>
        <w:rPr>
          <w:rFonts w:ascii="Arial" w:cs="Arial" w:eastAsia="Arial" w:hAnsi="Arial"/>
          <w:sz w:val="22"/>
          <w:szCs w:val="22"/>
          <w:color w:val="auto"/>
        </w:rPr>
      </w:pPr>
    </w:p>
    <w:p>
      <w:pPr>
        <w:ind w:left="1140" w:firstLine="2"/>
        <w:spacing w:after="0" w:line="274" w:lineRule="auto"/>
        <w:tabs>
          <w:tab w:leader="none" w:pos="1701" w:val="left"/>
        </w:tabs>
        <w:numPr>
          <w:ilvl w:val="1"/>
          <w:numId w:val="73"/>
        </w:numPr>
        <w:rPr>
          <w:rFonts w:ascii="Arial" w:cs="Arial" w:eastAsia="Arial" w:hAnsi="Arial"/>
          <w:sz w:val="21"/>
          <w:szCs w:val="21"/>
          <w:color w:val="auto"/>
        </w:rPr>
      </w:pPr>
      <w:r>
        <w:rPr>
          <w:rFonts w:ascii="Arial" w:cs="Arial" w:eastAsia="Arial" w:hAnsi="Arial"/>
          <w:sz w:val="21"/>
          <w:szCs w:val="21"/>
          <w:color w:val="auto"/>
        </w:rPr>
        <w:t>an opinion of counsel reasonably satisfactory to the Required Holders covering such matters relating to such Subsidiary and such Subsidiary Guaranty as the Required Holders may reasonably request.</w:t>
      </w:r>
    </w:p>
    <w:p>
      <w:pPr>
        <w:spacing w:after="0" w:line="299" w:lineRule="exact"/>
        <w:rPr>
          <w:rFonts w:ascii="Arial" w:cs="Arial" w:eastAsia="Arial" w:hAnsi="Arial"/>
          <w:sz w:val="21"/>
          <w:szCs w:val="21"/>
          <w:color w:val="auto"/>
        </w:rPr>
      </w:pPr>
    </w:p>
    <w:p>
      <w:pPr>
        <w:ind w:right="40" w:firstLine="248"/>
        <w:spacing w:after="0" w:line="287" w:lineRule="auto"/>
        <w:tabs>
          <w:tab w:leader="none" w:pos="696"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At the election of the Company and by written notice to each holder of Notes, any Subsidiary Guarantor that has provided a Subsidiary Guaranty under subparagraph (a) of this Section 9.7 may be discharged from all of its obligations and liabilities under its Subsidiary Guaranty and shall be automatically released from its obligations thereunder without the need for the execution or delivery of any other document by the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 (iv) if in connection with such Subsidiary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clauses (i) through (iv).</w:t>
      </w:r>
    </w:p>
    <w:p>
      <w:pPr>
        <w:spacing w:after="0" w:line="153"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color w:val="auto"/>
        </w:rPr>
        <w:t>Negative Covenants.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covenants that so long as any of the Notes are outstanding:</w:t>
      </w:r>
    </w:p>
    <w:p>
      <w:pPr>
        <w:spacing w:after="0" w:line="18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Transactions with Affiliates</w:t>
      </w:r>
    </w:p>
    <w:p>
      <w:pPr>
        <w:spacing w:after="0" w:line="185" w:lineRule="exact"/>
        <w:rPr>
          <w:sz w:val="20"/>
          <w:szCs w:val="20"/>
          <w:color w:val="auto"/>
        </w:rPr>
      </w:pPr>
    </w:p>
    <w:p>
      <w:pPr>
        <w:jc w:val="both"/>
        <w:ind w:firstLine="656"/>
        <w:spacing w:after="0" w:line="219" w:lineRule="auto"/>
        <w:tabs>
          <w:tab w:leader="none" w:pos="769"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The Company will not, and will not permit any Significant Subsidiary to, enter into directly or indirectly any Material transaction or Material group of related transactions (including the purchase, lease, sale or exchange of properties of any kind or the rendering of any service) with any Affiliate (other than the Company or another Subsidiary), except in the ordinary course and pursuant to the reasonable requirements of the Company’s or such Significant Subsidiary’s business and upon fair and reasonable terms no less favorable to the Company or such Significant Subsidiary than would be obtainable in a comparable arm’s-length transaction with a Person not an Affiliate,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Section 10.1 shall not apply to (i) any transaction that is in compliance with applicable laws and regulations of the Federal Energy Regulatory Commission, the Public Service Commission of Wisconsin or the Minnesota Public Utilities Commission, or any Governmental Authority succeeding to the functions of any of these commissions, pertaining to affiliate transactions or is authorized by a tariff or rate schedule which has been approved by a Governmental Authority or performed in accordance with its orders, (ii) any transaction that is otherwise permitted under Section 10.2 and (iii) transactions pursuant to any contract in effect on the date of this Agreement, as such contract may be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0" w:lineRule="exact"/>
        <w:rPr>
          <w:rFonts w:ascii="Arial" w:cs="Arial" w:eastAsia="Arial" w:hAnsi="Arial"/>
          <w:sz w:val="21"/>
          <w:szCs w:val="21"/>
          <w:color w:val="auto"/>
        </w:rPr>
      </w:pPr>
    </w:p>
    <w:p>
      <w:pPr>
        <w:ind w:left="5520" w:hanging="130"/>
        <w:spacing w:after="0"/>
        <w:tabs>
          <w:tab w:leader="none" w:pos="5520" w:val="left"/>
        </w:tabs>
        <w:numPr>
          <w:ilvl w:val="1"/>
          <w:numId w:val="75"/>
        </w:numPr>
        <w:rPr>
          <w:rFonts w:ascii="Arial" w:cs="Arial" w:eastAsia="Arial" w:hAnsi="Arial"/>
          <w:sz w:val="22"/>
          <w:szCs w:val="22"/>
          <w:color w:val="auto"/>
        </w:rPr>
      </w:pPr>
      <w:r>
        <w:rPr>
          <w:rFonts w:ascii="Arial" w:cs="Arial" w:eastAsia="Arial" w:hAnsi="Arial"/>
          <w:sz w:val="22"/>
          <w:szCs w:val="22"/>
          <w:color w:val="auto"/>
        </w:rPr>
        <w:t>23 -</w:t>
      </w:r>
    </w:p>
    <w:p>
      <w:pPr>
        <w:sectPr>
          <w:pgSz w:w="11900" w:h="16838" w:orient="portrait"/>
          <w:cols w:equalWidth="0" w:num="1">
            <w:col w:w="11240"/>
          </w:cols>
          <w:pgMar w:left="320" w:top="1440" w:right="339" w:bottom="1440" w:gutter="0" w:footer="0" w:header="0"/>
        </w:sectPr>
      </w:pPr>
    </w:p>
    <w:bookmarkStart w:id="80" w:name="page81"/>
    <w:bookmarkEnd w:id="80"/>
    <w:p>
      <w:pPr>
        <w:jc w:val="both"/>
        <w:spacing w:after="0" w:line="218" w:lineRule="auto"/>
        <w:rPr>
          <w:sz w:val="20"/>
          <w:szCs w:val="20"/>
          <w:color w:val="auto"/>
        </w:rPr>
      </w:pPr>
      <w:r>
        <w:rPr>
          <w:rFonts w:ascii="Arial" w:cs="Arial" w:eastAsia="Arial" w:hAnsi="Arial"/>
          <w:sz w:val="22"/>
          <w:szCs w:val="22"/>
          <w:color w:val="auto"/>
        </w:rPr>
        <w:t>amended, extended or replaced from time to time so long as (x) such contract as so amended, extended or replaced is, taken as a whole, not materially less favorable to the Company and its Subsidiaries than under those contracts in effect on the date of this Agreement and (y) any such amendment, extension or replacement would not result in a transaction that would violate any other provision of this Agreement .</w:t>
      </w:r>
    </w:p>
    <w:p>
      <w:pPr>
        <w:spacing w:after="0" w:line="15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Merger, Consolidation, Etc</w:t>
      </w:r>
    </w:p>
    <w:p>
      <w:pPr>
        <w:spacing w:after="0" w:line="185" w:lineRule="exact"/>
        <w:rPr>
          <w:sz w:val="20"/>
          <w:szCs w:val="20"/>
          <w:color w:val="auto"/>
        </w:rPr>
      </w:pPr>
    </w:p>
    <w:p>
      <w:pPr>
        <w:jc w:val="both"/>
        <w:ind w:firstLine="656"/>
        <w:spacing w:after="0" w:line="223" w:lineRule="auto"/>
        <w:tabs>
          <w:tab w:leader="none" w:pos="783"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Company will not, and will not permit any Subsidiary Guarantor to, consolidate with or merge with any other Person or convey, transfer or lease all or substantially all of its assets in a single transaction or series of transactions to any Person unless:</w:t>
      </w:r>
    </w:p>
    <w:p>
      <w:pPr>
        <w:spacing w:after="0" w:line="159" w:lineRule="exact"/>
        <w:rPr>
          <w:sz w:val="20"/>
          <w:szCs w:val="20"/>
          <w:color w:val="auto"/>
        </w:rPr>
      </w:pPr>
    </w:p>
    <w:p>
      <w:pPr>
        <w:jc w:val="both"/>
        <w:ind w:left="660" w:firstLine="444"/>
        <w:spacing w:after="0" w:line="242" w:lineRule="auto"/>
        <w:rPr>
          <w:sz w:val="20"/>
          <w:szCs w:val="20"/>
          <w:color w:val="auto"/>
        </w:rPr>
      </w:pPr>
      <w:r>
        <w:rPr>
          <w:rFonts w:ascii="Arial" w:cs="Arial" w:eastAsia="Arial" w:hAnsi="Arial"/>
          <w:sz w:val="19"/>
          <w:szCs w:val="19"/>
          <w:color w:val="auto"/>
        </w:rPr>
        <w:t>(i)in the case of any transaction involving the Company, 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Canada or any jurisdiction thereof (including the District of Columbia), and, if the Company is not such corporation or limited liability company, (i) such corporation or limited liability company shall, immediately after giving effect to such transaction, have an Investment Grade Rating, (ii) such corporation or limited liability company shall have executed and delivered to each holder of any Notes its assumption of the due and punctual performance and observance of each covenant and condition of this Agreement and the Notes and (iii) such corporation or limited liability company shall have caused to be delivered to each holder 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w:t>
      </w:r>
    </w:p>
    <w:p>
      <w:pPr>
        <w:spacing w:after="0" w:line="200" w:lineRule="exact"/>
        <w:rPr>
          <w:sz w:val="20"/>
          <w:szCs w:val="20"/>
          <w:color w:val="auto"/>
        </w:rPr>
      </w:pPr>
    </w:p>
    <w:p>
      <w:pPr>
        <w:spacing w:after="0" w:line="212" w:lineRule="exact"/>
        <w:rPr>
          <w:sz w:val="20"/>
          <w:szCs w:val="20"/>
          <w:color w:val="auto"/>
        </w:rPr>
      </w:pPr>
    </w:p>
    <w:p>
      <w:pPr>
        <w:jc w:val="both"/>
        <w:ind w:left="660" w:firstLine="234"/>
        <w:spacing w:after="0" w:line="286" w:lineRule="auto"/>
        <w:tabs>
          <w:tab w:leader="none" w:pos="1389"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the case of any such transaction involving a Subsidiary Guarantor, the successor formed by such consolidation or the survivor of such merger or the Person that acquires by conveyance, transfer or lease all or substantially all of the assets of such Subsidiary Guarantor as an entirety, as the case may be, shall be (1) the Company, such Subsidiary Guarantor or another Subsidiary Guarantor; or (2) a solvent corporation or limited liability company (other than the Company or another Subsidiary Guarantor) that is organized and existing under the laws of the United States or any state thereof (including the District of Columbia) and, if such Subsidiary Guarantor is not such corporation or limited liability company, (A) such corporation or limited liability company shall, immediately after giving effect to such transaction, have an Investment Grade Rating, (B) such corporation or limited liability company shall have executed and delivered to each holder of Notes its assumption of the due and punctual performance and observance of each covenant and condition of the Subsidiary Guaranty of such Subsidiary Guarantor and (C) the Company shall have caused to be delivered to each holder of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w:t>
      </w:r>
    </w:p>
    <w:p>
      <w:pPr>
        <w:spacing w:after="0" w:line="206" w:lineRule="exact"/>
        <w:rPr>
          <w:rFonts w:ascii="Arial" w:cs="Arial" w:eastAsia="Arial" w:hAnsi="Arial"/>
          <w:sz w:val="19"/>
          <w:szCs w:val="19"/>
          <w:color w:val="auto"/>
        </w:rPr>
      </w:pPr>
    </w:p>
    <w:p>
      <w:pPr>
        <w:ind w:left="660" w:firstLine="232"/>
        <w:spacing w:after="0" w:line="263" w:lineRule="auto"/>
        <w:tabs>
          <w:tab w:leader="none" w:pos="1372" w:val="left"/>
        </w:tabs>
        <w:numPr>
          <w:ilvl w:val="0"/>
          <w:numId w:val="77"/>
        </w:numPr>
        <w:rPr>
          <w:rFonts w:ascii="Arial" w:cs="Arial" w:eastAsia="Arial" w:hAnsi="Arial"/>
          <w:sz w:val="22"/>
          <w:szCs w:val="22"/>
          <w:color w:val="auto"/>
        </w:rPr>
      </w:pPr>
      <w:r>
        <w:rPr>
          <w:rFonts w:ascii="Arial" w:cs="Arial" w:eastAsia="Arial" w:hAnsi="Arial"/>
          <w:sz w:val="22"/>
          <w:szCs w:val="22"/>
          <w:color w:val="auto"/>
        </w:rPr>
        <w:t>each Subsidiary Guarantor under any Subsidiary Guaranty that is outstanding at the time such transaction or each transaction in such a series 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98" w:lineRule="exact"/>
        <w:rPr>
          <w:rFonts w:ascii="Arial" w:cs="Arial" w:eastAsia="Arial" w:hAnsi="Arial"/>
          <w:sz w:val="22"/>
          <w:szCs w:val="22"/>
          <w:color w:val="auto"/>
        </w:rPr>
      </w:pPr>
    </w:p>
    <w:p>
      <w:pPr>
        <w:ind w:left="5520" w:hanging="130"/>
        <w:spacing w:after="0"/>
        <w:tabs>
          <w:tab w:leader="none" w:pos="55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240"/>
          </w:cols>
          <w:pgMar w:left="320" w:top="1401" w:right="339" w:bottom="1440" w:gutter="0" w:footer="0" w:header="0"/>
        </w:sectPr>
      </w:pPr>
    </w:p>
    <w:bookmarkStart w:id="81" w:name="page82"/>
    <w:bookmarkEnd w:id="81"/>
    <w:p>
      <w:pPr>
        <w:spacing w:after="0" w:line="24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transactions occurs reaffirms its obligations under such Subsidiary Guaranty in writing at such time pursuant to documentation that is reasonably acceptable to the Required Holders; and</w:t>
      </w:r>
    </w:p>
    <w:p>
      <w:pPr>
        <w:spacing w:after="0" w:line="175" w:lineRule="exact"/>
        <w:rPr>
          <w:sz w:val="20"/>
          <w:szCs w:val="20"/>
          <w:color w:val="auto"/>
        </w:rPr>
      </w:pPr>
    </w:p>
    <w:p>
      <w:pPr>
        <w:jc w:val="both"/>
        <w:ind w:left="660" w:firstLine="725"/>
        <w:spacing w:after="0" w:line="223" w:lineRule="auto"/>
        <w:tabs>
          <w:tab w:leader="none" w:pos="1899" w:val="left"/>
        </w:tabs>
        <w:numPr>
          <w:ilvl w:val="0"/>
          <w:numId w:val="78"/>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or each transaction in any such series of transactions, no Default or Event of Default shall have occurred and be continuing and the Company would be able to incur at least $1.00 of additional Indebtedness.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No such conveyance, transfer or lease of substantially all of the assets of the Company or any Subsidiary Guarantor shall have the effect of releasing the Company or such Subsidiary Guarantor, as the case may be, or any successor corporation or limited liability company that shall theretofore have become such in the manner prescribed in this Section 10.2, from its liability under</w:t>
      </w:r>
    </w:p>
    <w:p>
      <w:pPr>
        <w:spacing w:after="0" w:line="1" w:lineRule="exact"/>
        <w:rPr>
          <w:sz w:val="20"/>
          <w:szCs w:val="20"/>
          <w:color w:val="auto"/>
        </w:rPr>
      </w:pPr>
    </w:p>
    <w:p>
      <w:pPr>
        <w:jc w:val="both"/>
        <w:ind w:firstLine="8"/>
        <w:spacing w:after="0" w:line="244" w:lineRule="auto"/>
        <w:tabs>
          <w:tab w:leader="none" w:pos="33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this Agreement or the Notes (in the case of the Company) or (y) the Subsidiary Guaranty (in the case of any Subsidiary Guarantor), unless, in the case of the conveyance, transfer or lease of substantially all of the assets of a Subsidiary Guarantor, such Subsidiary Guarantor is released from its Subsidiary Guaranty in accordance with Section 9.7(b) in connection with or immediately following such conveyance, transfer or lease.</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8"/>
          <w:szCs w:val="18"/>
          <w:b w:val="1"/>
          <w:bCs w:val="1"/>
          <w:color w:val="auto"/>
        </w:rPr>
        <w:t>Economic Sanctions, Etc.</w:t>
      </w:r>
    </w:p>
    <w:p>
      <w:pPr>
        <w:spacing w:after="0" w:line="185" w:lineRule="exact"/>
        <w:rPr>
          <w:sz w:val="20"/>
          <w:szCs w:val="20"/>
          <w:color w:val="auto"/>
        </w:rPr>
      </w:pPr>
    </w:p>
    <w:p>
      <w:pPr>
        <w:jc w:val="both"/>
        <w:ind w:firstLine="656"/>
        <w:spacing w:after="0" w:line="214" w:lineRule="auto"/>
        <w:tabs>
          <w:tab w:leader="none" w:pos="75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Company will not and will not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15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Liens</w:t>
      </w:r>
    </w:p>
    <w:p>
      <w:pPr>
        <w:spacing w:after="0" w:line="185" w:lineRule="exact"/>
        <w:rPr>
          <w:sz w:val="20"/>
          <w:szCs w:val="20"/>
          <w:color w:val="auto"/>
        </w:rPr>
      </w:pPr>
    </w:p>
    <w:p>
      <w:pPr>
        <w:jc w:val="both"/>
        <w:ind w:firstLine="656"/>
        <w:spacing w:after="0" w:line="216" w:lineRule="auto"/>
        <w:tabs>
          <w:tab w:leader="none" w:pos="783"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Company will not, and will not permit any of its Subsidiaries to, directly or indirectly create, incur, assume or permit to exist (upon the happening of a contingency or otherwise) any Lien on or with respect to any property or asset (including any document or instrument in respect of goods or accounts receivable) of the Company or any such Subsidiary, whether now owned or held or hereafter acquired, or any income or profits therefrom or assign or otherwise convey any right to receive income or profits, except:</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(i)Liens existing on the date of this Agreement;</w:t>
      </w:r>
    </w:p>
    <w:p>
      <w:pPr>
        <w:spacing w:after="0" w:line="179" w:lineRule="exact"/>
        <w:rPr>
          <w:sz w:val="20"/>
          <w:szCs w:val="20"/>
          <w:color w:val="auto"/>
        </w:rPr>
      </w:pPr>
    </w:p>
    <w:p>
      <w:pPr>
        <w:jc w:val="both"/>
        <w:ind w:left="660" w:firstLine="384"/>
        <w:spacing w:after="0" w:line="232" w:lineRule="auto"/>
        <w:rPr>
          <w:sz w:val="20"/>
          <w:szCs w:val="20"/>
          <w:color w:val="auto"/>
        </w:rPr>
      </w:pPr>
      <w:r>
        <w:rPr>
          <w:rFonts w:ascii="Arial" w:cs="Arial" w:eastAsia="Arial" w:hAnsi="Arial"/>
          <w:sz w:val="22"/>
          <w:szCs w:val="22"/>
          <w:color w:val="auto"/>
        </w:rPr>
        <w:t>(ii)Liens on any Utility Property securing Indebtedness incurred in the ordinary course of the Company’s utility business;</w:t>
      </w:r>
    </w:p>
    <w:p>
      <w:pPr>
        <w:spacing w:after="0" w:line="159" w:lineRule="exact"/>
        <w:rPr>
          <w:sz w:val="20"/>
          <w:szCs w:val="20"/>
          <w:color w:val="auto"/>
        </w:rPr>
      </w:pPr>
    </w:p>
    <w:p>
      <w:pPr>
        <w:jc w:val="both"/>
        <w:ind w:left="660" w:right="20" w:firstLine="324"/>
        <w:spacing w:after="0" w:line="232" w:lineRule="auto"/>
        <w:rPr>
          <w:sz w:val="20"/>
          <w:szCs w:val="20"/>
          <w:color w:val="auto"/>
        </w:rPr>
      </w:pPr>
      <w:r>
        <w:rPr>
          <w:rFonts w:ascii="Arial" w:cs="Arial" w:eastAsia="Arial" w:hAnsi="Arial"/>
          <w:sz w:val="22"/>
          <w:szCs w:val="22"/>
          <w:color w:val="auto"/>
        </w:rPr>
        <w:t>(iii)Liens for taxes, assessments or other governmental charges which are not yet due and payable or the payment of which is not at the time required by Section 9.4;</w:t>
      </w:r>
    </w:p>
    <w:p>
      <w:pPr>
        <w:spacing w:after="0" w:line="159" w:lineRule="exact"/>
        <w:rPr>
          <w:sz w:val="20"/>
          <w:szCs w:val="20"/>
          <w:color w:val="auto"/>
        </w:rPr>
      </w:pPr>
    </w:p>
    <w:p>
      <w:pPr>
        <w:jc w:val="both"/>
        <w:ind w:left="660" w:firstLine="336"/>
        <w:spacing w:after="0" w:line="234" w:lineRule="auto"/>
        <w:rPr>
          <w:sz w:val="20"/>
          <w:szCs w:val="20"/>
          <w:color w:val="auto"/>
        </w:rPr>
      </w:pPr>
      <w:r>
        <w:rPr>
          <w:rFonts w:ascii="Arial" w:cs="Arial" w:eastAsia="Arial" w:hAnsi="Arial"/>
          <w:sz w:val="21"/>
          <w:szCs w:val="21"/>
          <w:color w:val="auto"/>
        </w:rPr>
        <w:t>(iv)statutory Liens of landlords and Liens of carriers, warehousemen, mechanics, materialmen and other similar Liens including Liens incident to construction</w:t>
      </w:r>
      <w:r>
        <w:rPr>
          <w:rFonts w:ascii="Arial" w:cs="Arial" w:eastAsia="Arial" w:hAnsi="Arial"/>
          <w:sz w:val="21"/>
          <w:szCs w:val="21"/>
          <w:b w:val="1"/>
          <w:bCs w:val="1"/>
          <w:color w:val="auto"/>
        </w:rPr>
        <w:t>,</w:t>
      </w:r>
      <w:r>
        <w:rPr>
          <w:rFonts w:ascii="Arial" w:cs="Arial" w:eastAsia="Arial" w:hAnsi="Arial"/>
          <w:sz w:val="21"/>
          <w:szCs w:val="21"/>
          <w:color w:val="auto"/>
        </w:rPr>
        <w:t xml:space="preserve"> in each case, incurred in the ordinary course of business for sums not yet due and payable or the payment of which is not at the time required by Section 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82" w:name="page83"/>
    <w:bookmarkEnd w:id="82"/>
    <w:p>
      <w:pPr>
        <w:jc w:val="both"/>
        <w:ind w:firstLine="396"/>
        <w:spacing w:after="0" w:line="246" w:lineRule="auto"/>
        <w:rPr>
          <w:sz w:val="20"/>
          <w:szCs w:val="20"/>
          <w:color w:val="auto"/>
        </w:rPr>
      </w:pPr>
      <w:r>
        <w:rPr>
          <w:rFonts w:ascii="Arial" w:cs="Arial" w:eastAsia="Arial" w:hAnsi="Arial"/>
          <w:sz w:val="19"/>
          <w:szCs w:val="19"/>
          <w:color w:val="auto"/>
        </w:rPr>
        <w:t>(v)Liens (other than any Lien imposed by ERISA) incurred or deposits made in the ordinary course of business (i) for salary or wages earned, but not yet payable, or (ii) in connection with workers’ compensation, unemployment insurance and other types of social security or retirement benefits, or (iii) to secure (or to obtain letters of credit that secure) the performance of tenders, statutory obligations, surety, reclamations or appeal bonds, bids, leases (other than Capital Lease Obligations), obligations, or (iv) to secure (or to obtain letters of credit that secure) obligations to public utilities, municipalities, governmental or other public authorities in connection with the supply of services or utilities to the Company or a Subsidiary, in each case not incurred or made in connection with the borrowing of money, the obtaining of advances or credit or the payment of the deferred purchase price of property;</w:t>
      </w:r>
    </w:p>
    <w:p>
      <w:pPr>
        <w:spacing w:after="0" w:line="152" w:lineRule="exact"/>
        <w:rPr>
          <w:sz w:val="20"/>
          <w:szCs w:val="20"/>
          <w:color w:val="auto"/>
        </w:rPr>
      </w:pPr>
    </w:p>
    <w:p>
      <w:pPr>
        <w:jc w:val="both"/>
        <w:ind w:firstLine="336"/>
        <w:spacing w:after="0" w:line="223" w:lineRule="auto"/>
        <w:rPr>
          <w:sz w:val="20"/>
          <w:szCs w:val="20"/>
          <w:color w:val="auto"/>
        </w:rPr>
      </w:pPr>
      <w:r>
        <w:rPr>
          <w:rFonts w:ascii="Arial" w:cs="Arial" w:eastAsia="Arial" w:hAnsi="Arial"/>
          <w:sz w:val="22"/>
          <w:szCs w:val="22"/>
          <w:color w:val="auto"/>
        </w:rPr>
        <w:t>(vi)any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spacing w:after="0" w:line="159" w:lineRule="exact"/>
        <w:rPr>
          <w:sz w:val="20"/>
          <w:szCs w:val="20"/>
          <w:color w:val="auto"/>
        </w:rPr>
      </w:pPr>
    </w:p>
    <w:p>
      <w:pPr>
        <w:jc w:val="both"/>
        <w:ind w:firstLine="276"/>
        <w:spacing w:after="0" w:line="218" w:lineRule="auto"/>
        <w:rPr>
          <w:sz w:val="20"/>
          <w:szCs w:val="20"/>
          <w:color w:val="auto"/>
        </w:rPr>
      </w:pPr>
      <w:r>
        <w:rPr>
          <w:rFonts w:ascii="Arial" w:cs="Arial" w:eastAsia="Arial" w:hAnsi="Arial"/>
          <w:sz w:val="22"/>
          <w:szCs w:val="22"/>
          <w:color w:val="auto"/>
        </w:rPr>
        <w:t xml:space="preserve">(vii)leases or subleases granted to others, easements, rights-of-way, title irregularities, restrictions, encroachments and other charges or encumbrances, in each case incidental to the ownership of property or assets or the ordinary course of business of the Company or any of its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Liens do not, in the aggregate, materially detract from the value of such property;</w:t>
      </w:r>
    </w:p>
    <w:p>
      <w:pPr>
        <w:spacing w:after="0" w:line="161" w:lineRule="exact"/>
        <w:rPr>
          <w:sz w:val="20"/>
          <w:szCs w:val="20"/>
          <w:color w:val="auto"/>
        </w:rPr>
      </w:pPr>
    </w:p>
    <w:p>
      <w:pPr>
        <w:jc w:val="both"/>
        <w:ind w:right="20" w:firstLine="216"/>
        <w:spacing w:after="0" w:line="232" w:lineRule="auto"/>
        <w:rPr>
          <w:sz w:val="20"/>
          <w:szCs w:val="20"/>
          <w:color w:val="auto"/>
        </w:rPr>
      </w:pPr>
      <w:r>
        <w:rPr>
          <w:rFonts w:ascii="Arial" w:cs="Arial" w:eastAsia="Arial" w:hAnsi="Arial"/>
          <w:sz w:val="22"/>
          <w:szCs w:val="22"/>
          <w:color w:val="auto"/>
        </w:rPr>
        <w:t>(viii)minor survey exceptions and the like which do not, in the aggregate, materially detract from the value of such property;</w:t>
      </w:r>
    </w:p>
    <w:p>
      <w:pPr>
        <w:spacing w:after="0" w:line="159" w:lineRule="exact"/>
        <w:rPr>
          <w:sz w:val="20"/>
          <w:szCs w:val="20"/>
          <w:color w:val="auto"/>
        </w:rPr>
      </w:pPr>
    </w:p>
    <w:p>
      <w:pPr>
        <w:jc w:val="both"/>
        <w:ind w:firstLine="336"/>
        <w:spacing w:after="0" w:line="232" w:lineRule="auto"/>
        <w:rPr>
          <w:sz w:val="20"/>
          <w:szCs w:val="20"/>
          <w:color w:val="auto"/>
        </w:rPr>
      </w:pPr>
      <w:r>
        <w:rPr>
          <w:rFonts w:ascii="Arial" w:cs="Arial" w:eastAsia="Arial" w:hAnsi="Arial"/>
          <w:sz w:val="22"/>
          <w:szCs w:val="22"/>
          <w:color w:val="auto"/>
        </w:rPr>
        <w:t>(ix)Liens on property or assets of any Subsidiary securing Indebtedness owing to the Company or to another Wholly-Owned Subsidiary;</w:t>
      </w:r>
    </w:p>
    <w:p>
      <w:pPr>
        <w:spacing w:after="0" w:line="159" w:lineRule="exact"/>
        <w:rPr>
          <w:sz w:val="20"/>
          <w:szCs w:val="20"/>
          <w:color w:val="auto"/>
        </w:rPr>
      </w:pPr>
    </w:p>
    <w:p>
      <w:pPr>
        <w:jc w:val="both"/>
        <w:ind w:firstLine="396"/>
        <w:spacing w:after="0" w:line="223" w:lineRule="auto"/>
        <w:rPr>
          <w:sz w:val="20"/>
          <w:szCs w:val="20"/>
          <w:color w:val="auto"/>
        </w:rPr>
      </w:pPr>
      <w:r>
        <w:rPr>
          <w:rFonts w:ascii="Arial" w:cs="Arial" w:eastAsia="Arial" w:hAnsi="Arial"/>
          <w:sz w:val="22"/>
          <w:szCs w:val="22"/>
          <w:color w:val="auto"/>
        </w:rPr>
        <w:t xml:space="preserve">(x)any Lien created to secure all or any part of the purchase price, or to secure Indebtedness incurred or assumed to pay all or any part of the purchase price or cost of construction, of property (or any improvement thereof) acquired or constructed by the Company or a Subsidiary after the date of the Closing,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59" w:lineRule="exact"/>
        <w:rPr>
          <w:sz w:val="20"/>
          <w:szCs w:val="20"/>
          <w:color w:val="auto"/>
        </w:rPr>
      </w:pPr>
    </w:p>
    <w:p>
      <w:pPr>
        <w:jc w:val="both"/>
        <w:ind w:left="640" w:firstLine="1300"/>
        <w:spacing w:after="0" w:line="226" w:lineRule="auto"/>
        <w:tabs>
          <w:tab w:leader="none" w:pos="2579" w:val="left"/>
        </w:tabs>
        <w:numPr>
          <w:ilvl w:val="0"/>
          <w:numId w:val="82"/>
        </w:numPr>
        <w:rPr>
          <w:rFonts w:ascii="Arial" w:cs="Arial" w:eastAsia="Arial" w:hAnsi="Arial"/>
          <w:sz w:val="21"/>
          <w:szCs w:val="21"/>
          <w:color w:val="auto"/>
        </w:rPr>
      </w:pPr>
      <w:r>
        <w:rPr>
          <w:rFonts w:ascii="Arial" w:cs="Arial" w:eastAsia="Arial" w:hAnsi="Arial"/>
          <w:sz w:val="21"/>
          <w:szCs w:val="21"/>
          <w:color w:val="auto"/>
        </w:rPr>
        <w:t>any such Lien shall extend solely to the item or items of such property (or improvement thereon) so acquired or constructed and, if required by the terms of the instrument originally creating such Lien, other property (or improvements thereon) which is an improvement to or is acquired for specific use in connection with such acquired or constructed property (or improvement thereof) or which is real property being improved by such acquired or constructed property (or improvement thereon),</w:t>
      </w:r>
    </w:p>
    <w:p>
      <w:pPr>
        <w:spacing w:after="0" w:line="159" w:lineRule="exact"/>
        <w:rPr>
          <w:rFonts w:ascii="Arial" w:cs="Arial" w:eastAsia="Arial" w:hAnsi="Arial"/>
          <w:sz w:val="21"/>
          <w:szCs w:val="21"/>
          <w:color w:val="auto"/>
        </w:rPr>
      </w:pPr>
    </w:p>
    <w:p>
      <w:pPr>
        <w:jc w:val="both"/>
        <w:ind w:left="640" w:firstLine="1300"/>
        <w:spacing w:after="0" w:line="216" w:lineRule="auto"/>
        <w:tabs>
          <w:tab w:leader="none" w:pos="2579"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principal amount of the Indebtedness secured by such Lien shall at no time exceed an amount equal to 100% of the lesser of (A) the cost to the Company or such Subsidiary of the property (or improvement thereon) so acquired or constructed and (B) the fair market value (as determined in good faith by the board of directors of the Company) of such property (or improvement thereon) at the time of such acquisition or construction; and</w:t>
      </w:r>
    </w:p>
    <w:p>
      <w:pPr>
        <w:spacing w:after="0" w:line="157" w:lineRule="exact"/>
        <w:rPr>
          <w:rFonts w:ascii="Arial" w:cs="Arial" w:eastAsia="Arial" w:hAnsi="Arial"/>
          <w:sz w:val="22"/>
          <w:szCs w:val="22"/>
          <w:color w:val="auto"/>
        </w:rPr>
      </w:pPr>
    </w:p>
    <w:p>
      <w:pPr>
        <w:ind w:left="640" w:firstLine="1300"/>
        <w:spacing w:after="0" w:line="232" w:lineRule="auto"/>
        <w:tabs>
          <w:tab w:leader="none" w:pos="2579"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such Lien shall be created contemporaneously with, or within 365 days after, the acquisition or construction of such property;</w:t>
      </w:r>
    </w:p>
    <w:p>
      <w:pPr>
        <w:spacing w:after="0" w:line="159" w:lineRule="exact"/>
        <w:rPr>
          <w:sz w:val="20"/>
          <w:szCs w:val="20"/>
          <w:color w:val="auto"/>
        </w:rPr>
      </w:pPr>
    </w:p>
    <w:p>
      <w:pPr>
        <w:ind w:right="20" w:firstLine="336"/>
        <w:spacing w:after="0" w:line="232" w:lineRule="auto"/>
        <w:rPr>
          <w:sz w:val="20"/>
          <w:szCs w:val="20"/>
          <w:color w:val="auto"/>
        </w:rPr>
      </w:pPr>
      <w:r>
        <w:rPr>
          <w:rFonts w:ascii="Arial" w:cs="Arial" w:eastAsia="Arial" w:hAnsi="Arial"/>
          <w:sz w:val="22"/>
          <w:szCs w:val="22"/>
          <w:color w:val="auto"/>
        </w:rPr>
        <w:t>(xi)any Lien existing on property of a Person immediately prior to its being consolidated with or merged into the Company or a Subsidiary or its becoming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580"/>
          </w:cols>
          <w:pgMar w:left="980" w:top="1401" w:right="339" w:bottom="1440" w:gutter="0" w:footer="0" w:header="0"/>
        </w:sectPr>
      </w:pPr>
    </w:p>
    <w:bookmarkStart w:id="83" w:name="page84"/>
    <w:bookmarkEnd w:id="83"/>
    <w:p>
      <w:pPr>
        <w:jc w:val="both"/>
        <w:spacing w:after="0" w:line="249" w:lineRule="auto"/>
        <w:rPr>
          <w:sz w:val="20"/>
          <w:szCs w:val="20"/>
          <w:color w:val="auto"/>
        </w:rPr>
      </w:pPr>
      <w:r>
        <w:rPr>
          <w:rFonts w:ascii="Arial" w:cs="Arial" w:eastAsia="Arial" w:hAnsi="Arial"/>
          <w:sz w:val="19"/>
          <w:szCs w:val="19"/>
          <w:color w:val="auto"/>
        </w:rPr>
        <w:t>Subsidiary, or any Lien existing on any property acquired by the Company or any Subsidiary at the time such property is so acquired (whether or not the Indebtedness secured thereby shall have been assumed), provided that (i) no such Lien shall have been created or assumed in contemplation of such consolidation or merger or such Person's becoming a Subsidiary or such acquisition of property, and, (ii) each such Lien shall extend solely to the item or items of property so acquired and, if required by the terms of the instrument originally creating such Lien, other property which is an improvement to or is acquired for specific use in connection with such acquired property;</w:t>
      </w:r>
    </w:p>
    <w:p>
      <w:pPr>
        <w:spacing w:after="0" w:line="152" w:lineRule="exact"/>
        <w:rPr>
          <w:sz w:val="20"/>
          <w:szCs w:val="20"/>
          <w:color w:val="auto"/>
        </w:rPr>
      </w:pPr>
    </w:p>
    <w:p>
      <w:pPr>
        <w:jc w:val="both"/>
        <w:ind w:firstLine="276"/>
        <w:spacing w:after="0" w:line="214" w:lineRule="auto"/>
        <w:rPr>
          <w:sz w:val="20"/>
          <w:szCs w:val="20"/>
          <w:color w:val="auto"/>
        </w:rPr>
      </w:pPr>
      <w:r>
        <w:rPr>
          <w:rFonts w:ascii="Arial" w:cs="Arial" w:eastAsia="Arial" w:hAnsi="Arial"/>
          <w:sz w:val="22"/>
          <w:szCs w:val="22"/>
          <w:color w:val="auto"/>
        </w:rPr>
        <w:t>(xii)controls, restrictions, obligations, duties and/or other burdens imposed by federal, state, municipal or other law, or by rules, regulations or orders of Governmental Authorities, upon any property of the Company or its Subsidiaries or the ownership, operation or use thereof or upon the Company with respect to any of its property or the operation or use thereof or with respect to any franchise, grant, license, permit or public purpose requirement, or any rights reserved to or otherwise vested in Governmental Authorities to impose any such controls, restrictions, obligations, duties and/or other burdens;</w:t>
      </w:r>
    </w:p>
    <w:p>
      <w:pPr>
        <w:spacing w:after="0" w:line="159" w:lineRule="exact"/>
        <w:rPr>
          <w:sz w:val="20"/>
          <w:szCs w:val="20"/>
          <w:color w:val="auto"/>
        </w:rPr>
      </w:pPr>
    </w:p>
    <w:p>
      <w:pPr>
        <w:jc w:val="both"/>
        <w:ind w:firstLine="216"/>
        <w:spacing w:after="0" w:line="218" w:lineRule="auto"/>
        <w:rPr>
          <w:sz w:val="20"/>
          <w:szCs w:val="20"/>
          <w:color w:val="auto"/>
        </w:rPr>
      </w:pPr>
      <w:r>
        <w:rPr>
          <w:rFonts w:ascii="Arial" w:cs="Arial" w:eastAsia="Arial" w:hAnsi="Arial"/>
          <w:sz w:val="22"/>
          <w:szCs w:val="22"/>
          <w:color w:val="auto"/>
        </w:rPr>
        <w:t>(xiii)rights reserved to or vested in others to take or receive any part of any coal, ore, gas, oil and other minerals, any timber and/or any electric capacity or energy, gas, water, steam and any other products developed, produced, manufactured, generated, purchased or otherwise acquired by the Company or by others on property of the Company or any of its Subsidiaries;</w:t>
      </w:r>
    </w:p>
    <w:p>
      <w:pPr>
        <w:spacing w:after="0" w:line="161" w:lineRule="exact"/>
        <w:rPr>
          <w:sz w:val="20"/>
          <w:szCs w:val="20"/>
          <w:color w:val="auto"/>
        </w:rPr>
      </w:pPr>
    </w:p>
    <w:p>
      <w:pPr>
        <w:jc w:val="both"/>
        <w:ind w:firstLine="228"/>
        <w:spacing w:after="0" w:line="214" w:lineRule="auto"/>
        <w:rPr>
          <w:sz w:val="20"/>
          <w:szCs w:val="20"/>
          <w:color w:val="auto"/>
        </w:rPr>
      </w:pPr>
      <w:r>
        <w:rPr>
          <w:rFonts w:ascii="Arial" w:cs="Arial" w:eastAsia="Arial" w:hAnsi="Arial"/>
          <w:sz w:val="22"/>
          <w:szCs w:val="22"/>
          <w:color w:val="auto"/>
        </w:rPr>
        <w:t>(xiv)(i) rights and interests of Persons other than the Company or its Subsidiaries arising out of contracts, agreements and other instruments to which the Company or any of its Subsidiaries is a party and which relate to the common ownership or joint use of property; and (ii) all Liens on the interests of Persons other than the Company or its Subsidiaries in property owned in common by such Persons and the Company or any of its Subsidiaries if and to the extent that the enforcement of such Liens would not adversely affect the interests of the Company or its Subsidiaries in such property in any material respect;</w:t>
      </w:r>
    </w:p>
    <w:p>
      <w:pPr>
        <w:spacing w:after="0" w:line="159" w:lineRule="exact"/>
        <w:rPr>
          <w:sz w:val="20"/>
          <w:szCs w:val="20"/>
          <w:color w:val="auto"/>
        </w:rPr>
      </w:pPr>
    </w:p>
    <w:p>
      <w:pPr>
        <w:jc w:val="both"/>
        <w:ind w:right="20" w:firstLine="288"/>
        <w:spacing w:after="0" w:line="232" w:lineRule="auto"/>
        <w:rPr>
          <w:sz w:val="20"/>
          <w:szCs w:val="20"/>
          <w:color w:val="auto"/>
        </w:rPr>
      </w:pPr>
      <w:r>
        <w:rPr>
          <w:rFonts w:ascii="Arial" w:cs="Arial" w:eastAsia="Arial" w:hAnsi="Arial"/>
          <w:sz w:val="22"/>
          <w:szCs w:val="22"/>
          <w:color w:val="auto"/>
        </w:rPr>
        <w:t>(xv)any Liens which have been bonded for the full amount in dispute or for the payment of which other adequate security arrangement have been made;</w:t>
      </w:r>
    </w:p>
    <w:p>
      <w:pPr>
        <w:spacing w:after="0" w:line="159" w:lineRule="exact"/>
        <w:rPr>
          <w:sz w:val="20"/>
          <w:szCs w:val="20"/>
          <w:color w:val="auto"/>
        </w:rPr>
      </w:pPr>
    </w:p>
    <w:p>
      <w:pPr>
        <w:jc w:val="both"/>
        <w:ind w:firstLine="228"/>
        <w:spacing w:after="0" w:line="224" w:lineRule="auto"/>
        <w:rPr>
          <w:sz w:val="20"/>
          <w:szCs w:val="20"/>
          <w:color w:val="auto"/>
        </w:rPr>
      </w:pPr>
      <w:r>
        <w:rPr>
          <w:rFonts w:ascii="Arial" w:cs="Arial" w:eastAsia="Arial" w:hAnsi="Arial"/>
          <w:sz w:val="21"/>
          <w:szCs w:val="21"/>
          <w:color w:val="auto"/>
        </w:rPr>
        <w:t xml:space="preserve">(xvi)grants by the Company or any of its Subsidiaries of easements, ground leases or rights-of-way in, upon, over and/or across the property or rights-of-way of the Company or its Subsidiaries for the purpose of roads, pipelines, transmission lines, distribution lines, communication lines, railways, removal of coal or other minerals or timber, and other like purposes, or for the joint or common use of real property, rights-of-way, facilities and/or equipment;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such grant shall materially impair the use of the property or rights-of-way for the purposes for which</w:t>
      </w:r>
      <w:r>
        <w:rPr>
          <w:rFonts w:ascii="Arial" w:cs="Arial" w:eastAsia="Arial" w:hAnsi="Arial"/>
          <w:sz w:val="21"/>
          <w:szCs w:val="21"/>
          <w:i w:val="1"/>
          <w:iCs w:val="1"/>
          <w:color w:val="auto"/>
        </w:rPr>
        <w:t xml:space="preserve"> </w:t>
      </w:r>
      <w:r>
        <w:rPr>
          <w:rFonts w:ascii="Arial" w:cs="Arial" w:eastAsia="Arial" w:hAnsi="Arial"/>
          <w:sz w:val="21"/>
          <w:szCs w:val="21"/>
          <w:color w:val="auto"/>
        </w:rPr>
        <w:t>such property or rights-of-way are held by the Company or its Subsidiaries;</w:t>
      </w:r>
    </w:p>
    <w:p>
      <w:pPr>
        <w:spacing w:after="0" w:line="160" w:lineRule="exact"/>
        <w:rPr>
          <w:sz w:val="20"/>
          <w:szCs w:val="20"/>
          <w:color w:val="auto"/>
        </w:rPr>
      </w:pPr>
    </w:p>
    <w:p>
      <w:pPr>
        <w:jc w:val="both"/>
        <w:ind w:right="20" w:firstLine="168"/>
        <w:spacing w:after="0" w:line="247" w:lineRule="auto"/>
        <w:rPr>
          <w:sz w:val="20"/>
          <w:szCs w:val="20"/>
          <w:color w:val="auto"/>
        </w:rPr>
      </w:pPr>
      <w:r>
        <w:rPr>
          <w:rFonts w:ascii="Arial" w:cs="Arial" w:eastAsia="Arial" w:hAnsi="Arial"/>
          <w:sz w:val="21"/>
          <w:szCs w:val="21"/>
          <w:color w:val="auto"/>
        </w:rPr>
        <w:t>(xvii)Liens on property of the Company or its Subsidiaries which secure indebtedness for borrowed money less than one year from the date of the issuance or incurrence thereof and is not extendible at the option of the issuer;</w:t>
      </w:r>
    </w:p>
    <w:p>
      <w:pPr>
        <w:spacing w:after="0" w:line="151" w:lineRule="exact"/>
        <w:rPr>
          <w:sz w:val="20"/>
          <w:szCs w:val="20"/>
          <w:color w:val="auto"/>
        </w:rPr>
      </w:pPr>
    </w:p>
    <w:p>
      <w:pPr>
        <w:jc w:val="both"/>
        <w:ind w:firstLine="108"/>
        <w:spacing w:after="0" w:line="229" w:lineRule="auto"/>
        <w:rPr>
          <w:sz w:val="20"/>
          <w:szCs w:val="20"/>
          <w:color w:val="auto"/>
        </w:rPr>
      </w:pPr>
      <w:r>
        <w:rPr>
          <w:rFonts w:ascii="Arial" w:cs="Arial" w:eastAsia="Arial" w:hAnsi="Arial"/>
          <w:sz w:val="21"/>
          <w:szCs w:val="21"/>
          <w:color w:val="auto"/>
        </w:rPr>
        <w:t>(xviii)Liens created or assumed by the Company or its Subsidiaries in connection with the issuance of debt securities the interest on which is not included in gross income for purposes of federal income taxation pursuant to Section 103 of the Code (or any successor provision of law), for the purpose of financing or refinancing, in whole or in part, costs of acquisition or construction in connection with the issuance of such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580"/>
          </w:cols>
          <w:pgMar w:left="980" w:top="1401" w:right="339" w:bottom="1440" w:gutter="0" w:footer="0" w:header="0"/>
        </w:sectPr>
      </w:pPr>
    </w:p>
    <w:bookmarkStart w:id="84" w:name="page85"/>
    <w:bookmarkEnd w:id="84"/>
    <w:p>
      <w:pPr>
        <w:jc w:val="both"/>
        <w:spacing w:after="0" w:line="232" w:lineRule="auto"/>
        <w:rPr>
          <w:sz w:val="20"/>
          <w:szCs w:val="20"/>
          <w:color w:val="auto"/>
        </w:rPr>
      </w:pPr>
      <w:r>
        <w:rPr>
          <w:rFonts w:ascii="Arial" w:cs="Arial" w:eastAsia="Arial" w:hAnsi="Arial"/>
          <w:sz w:val="22"/>
          <w:szCs w:val="22"/>
          <w:color w:val="auto"/>
        </w:rPr>
        <w:t>securities either by applicable law or by the issuer of such debt securities or is otherwise necessary in order to establish or maintain such exclusion from gross income;</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(xix)Liens securing Project Finance Indebtedness;</w:t>
      </w:r>
    </w:p>
    <w:p>
      <w:pPr>
        <w:spacing w:after="0" w:line="179" w:lineRule="exact"/>
        <w:rPr>
          <w:sz w:val="20"/>
          <w:szCs w:val="20"/>
          <w:color w:val="auto"/>
        </w:rPr>
      </w:pPr>
    </w:p>
    <w:p>
      <w:pPr>
        <w:jc w:val="both"/>
        <w:ind w:firstLine="288"/>
        <w:spacing w:after="0" w:line="246" w:lineRule="auto"/>
        <w:rPr>
          <w:sz w:val="20"/>
          <w:szCs w:val="20"/>
          <w:color w:val="auto"/>
        </w:rPr>
      </w:pPr>
      <w:r>
        <w:rPr>
          <w:rFonts w:ascii="Arial" w:cs="Arial" w:eastAsia="Arial" w:hAnsi="Arial"/>
          <w:sz w:val="19"/>
          <w:szCs w:val="19"/>
          <w:color w:val="auto"/>
        </w:rPr>
        <w:t>(xx)Liens created by the Mortgage and Deed of Trust dated September 1, 1945 between the Company and Irving Trust Company (now The Bank of New York Mellon) and Richard H. West (Andres Serrano, successor), as Trustees, as heretofore and hereafter supplemented and amended (the “Mortgage”); Liens created by any other indenture hereafter executed by the Company pursuant to which bonds issued under the Mortgage are or are to be delivered to the trustee(s) under such indenture in a principal amount at least equal to the principal amount of debt securities to be secured by such indenture; and Liens created by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spacing w:after="0" w:line="152" w:lineRule="exact"/>
        <w:rPr>
          <w:sz w:val="20"/>
          <w:szCs w:val="20"/>
          <w:color w:val="auto"/>
        </w:rPr>
      </w:pPr>
    </w:p>
    <w:p>
      <w:pPr>
        <w:jc w:val="both"/>
        <w:ind w:firstLine="228"/>
        <w:spacing w:after="0" w:line="218" w:lineRule="auto"/>
        <w:rPr>
          <w:sz w:val="20"/>
          <w:szCs w:val="20"/>
          <w:color w:val="auto"/>
        </w:rPr>
      </w:pPr>
      <w:r>
        <w:rPr>
          <w:rFonts w:ascii="Arial" w:cs="Arial" w:eastAsia="Arial" w:hAnsi="Arial"/>
          <w:sz w:val="22"/>
          <w:szCs w:val="22"/>
          <w:color w:val="auto"/>
        </w:rPr>
        <w:t>(xxi)any mortgage, pledge, security interest, Lien or encumbrance upon any shares of capital stock of majority owned subsidiaries of the Company to the extent such capital stock is directly owned by the Company, created at the time of the acquisition of such capital stock by the Company, or within 365 days after such time, to secure all or a portion of the purchase price for such capital stock;</w:t>
      </w:r>
    </w:p>
    <w:p>
      <w:pPr>
        <w:spacing w:after="0" w:line="161" w:lineRule="exact"/>
        <w:rPr>
          <w:sz w:val="20"/>
          <w:szCs w:val="20"/>
          <w:color w:val="auto"/>
        </w:rPr>
      </w:pPr>
    </w:p>
    <w:p>
      <w:pPr>
        <w:jc w:val="both"/>
        <w:ind w:firstLine="168"/>
        <w:spacing w:after="0" w:line="218" w:lineRule="auto"/>
        <w:rPr>
          <w:sz w:val="20"/>
          <w:szCs w:val="20"/>
          <w:color w:val="auto"/>
        </w:rPr>
      </w:pPr>
      <w:r>
        <w:rPr>
          <w:rFonts w:ascii="Arial" w:cs="Arial" w:eastAsia="Arial" w:hAnsi="Arial"/>
          <w:sz w:val="22"/>
          <w:szCs w:val="22"/>
          <w:color w:val="auto"/>
        </w:rPr>
        <w:t>(xxii)any mortgage, pledge, security interest, Lien or encumbrance upon any such capital stock existing thereon at the time of the acquisition thereof by the Company (whether or not the obligations secured thereby are assumed by the Company and whether or not such mortgage, pledge, security interest, Lien or encumbrance was created in contemplation of such acquisition);</w:t>
      </w:r>
    </w:p>
    <w:p>
      <w:pPr>
        <w:spacing w:after="0" w:line="161" w:lineRule="exact"/>
        <w:rPr>
          <w:sz w:val="20"/>
          <w:szCs w:val="20"/>
          <w:color w:val="auto"/>
        </w:rPr>
      </w:pPr>
    </w:p>
    <w:p>
      <w:pPr>
        <w:jc w:val="both"/>
        <w:ind w:firstLine="108"/>
        <w:spacing w:after="0" w:line="247" w:lineRule="auto"/>
        <w:rPr>
          <w:sz w:val="20"/>
          <w:szCs w:val="20"/>
          <w:color w:val="auto"/>
        </w:rPr>
      </w:pPr>
      <w:r>
        <w:rPr>
          <w:rFonts w:ascii="Arial" w:cs="Arial" w:eastAsia="Arial" w:hAnsi="Arial"/>
          <w:sz w:val="19"/>
          <w:szCs w:val="19"/>
          <w:color w:val="auto"/>
        </w:rPr>
        <w:t>(xxiii)any extension, renewal or replacement of any mortgage, pledge, security interest, Lien or encumbrance permitted by subsection (u) or (v) of this Section 10.4, or of any indebtedness for borrowed money secured thereby; provided that the principal amount of indebtedness so secured immediately following the time of such extension, renewal or replacement shall not exceed the principal amount of indebtedness so secured immediately preceding the time of such extension, renewal or replacement, and that such extension, renewal or replacement mortgage, pledge, security interest, Lien or encumbrance shall be limited to no more than the same proportion of all shares of capital stock as were covered by the mortgage, pledge, security interest, Lien or encumbrance that was extended, renewed or replaced;</w:t>
      </w:r>
    </w:p>
    <w:p>
      <w:pPr>
        <w:spacing w:after="0" w:line="154" w:lineRule="exact"/>
        <w:rPr>
          <w:sz w:val="20"/>
          <w:szCs w:val="20"/>
          <w:color w:val="auto"/>
        </w:rPr>
      </w:pPr>
    </w:p>
    <w:p>
      <w:pPr>
        <w:jc w:val="both"/>
        <w:ind w:firstLine="120"/>
        <w:spacing w:after="0" w:line="212" w:lineRule="auto"/>
        <w:rPr>
          <w:sz w:val="20"/>
          <w:szCs w:val="20"/>
          <w:color w:val="auto"/>
        </w:rPr>
      </w:pPr>
      <w:r>
        <w:rPr>
          <w:rFonts w:ascii="Arial" w:cs="Arial" w:eastAsia="Arial" w:hAnsi="Arial"/>
          <w:sz w:val="22"/>
          <w:szCs w:val="22"/>
          <w:color w:val="auto"/>
        </w:rPr>
        <w:t xml:space="preserve">(xxiv)any Lien renewing, extending or replacing Liens permitted by subsections (a), (b), (j), (k), (q), (r) and (s) of this Section 10.4,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the principal amount of Indebtedness secured by such Lien immediately prior to such extension, renewal or refunding is not increased (or if increased, the increased principal amount of Indebtedness so secured does not exceed the fair market value of the secured property, as determined in good faith by the board of directors of the Company or the Subsidiary, as the case may be), or the maturity thereof reduced, (ii) such Lien is not extended to any other property, and (iii) immediately after such extension, renewal or refunding, no Default or Event of Default would exist;</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(xxv)CoBank ACB’s statutory Lien in the CoBank Equities; and</w:t>
      </w:r>
    </w:p>
    <w:p>
      <w:pPr>
        <w:spacing w:after="0" w:line="179" w:lineRule="exact"/>
        <w:rPr>
          <w:sz w:val="20"/>
          <w:szCs w:val="20"/>
          <w:color w:val="auto"/>
        </w:rPr>
      </w:pPr>
    </w:p>
    <w:p>
      <w:pPr>
        <w:jc w:val="both"/>
        <w:ind w:right="20" w:firstLine="120"/>
        <w:spacing w:after="0" w:line="232" w:lineRule="auto"/>
        <w:rPr>
          <w:sz w:val="20"/>
          <w:szCs w:val="20"/>
          <w:color w:val="auto"/>
        </w:rPr>
      </w:pPr>
      <w:r>
        <w:rPr>
          <w:rFonts w:ascii="Arial" w:cs="Arial" w:eastAsia="Arial" w:hAnsi="Arial"/>
          <w:sz w:val="22"/>
          <w:szCs w:val="22"/>
          <w:color w:val="auto"/>
        </w:rPr>
        <w:t>(xxvi)any Lien, other than a Lien described in any of the foregoing subsections (a) through (y), inclusive, to the extent that it secures Indebtedness, or guarantees thereof,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580"/>
          </w:cols>
          <w:pgMar w:left="980" w:top="1401" w:right="339" w:bottom="1440" w:gutter="0" w:footer="0" w:header="0"/>
        </w:sectPr>
      </w:pPr>
    </w:p>
    <w:bookmarkStart w:id="85" w:name="page86"/>
    <w:bookmarkEnd w:id="85"/>
    <w:p>
      <w:pPr>
        <w:jc w:val="both"/>
        <w:ind w:left="660"/>
        <w:spacing w:after="0" w:line="244" w:lineRule="auto"/>
        <w:rPr>
          <w:sz w:val="20"/>
          <w:szCs w:val="20"/>
          <w:color w:val="auto"/>
        </w:rPr>
      </w:pPr>
      <w:r>
        <w:rPr>
          <w:rFonts w:ascii="Arial" w:cs="Arial" w:eastAsia="Arial" w:hAnsi="Arial"/>
          <w:sz w:val="19"/>
          <w:szCs w:val="19"/>
          <w:color w:val="auto"/>
        </w:rPr>
        <w:t xml:space="preserve">outstanding principal amount of which at the time of creation of such Lien, when added to (i) the outstanding principal balance of all Indebtedness secured by Liens incurred under this subsection (z) then outstanding and (ii) the outstanding principal amount of all unsecured Indebtedness of all Subsidiaries (excluding (1) Project Finance Indebtedness and (2) any unsecured Indebtedness of any Subsidiary guaranteeing the Notes), does not exceed 20% of Consolidated Assets,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notwithstanding the foregoing, the Company shall not secure pursuant to this Section 10.4(z) any</w:t>
      </w:r>
      <w:r>
        <w:rPr>
          <w:rFonts w:ascii="Arial" w:cs="Arial" w:eastAsia="Arial" w:hAnsi="Arial"/>
          <w:sz w:val="19"/>
          <w:szCs w:val="19"/>
          <w:i w:val="1"/>
          <w:iCs w:val="1"/>
          <w:color w:val="auto"/>
        </w:rPr>
        <w:t xml:space="preserve"> </w:t>
      </w:r>
      <w:r>
        <w:rPr>
          <w:rFonts w:ascii="Arial" w:cs="Arial" w:eastAsia="Arial" w:hAnsi="Arial"/>
          <w:sz w:val="19"/>
          <w:szCs w:val="19"/>
          <w:color w:val="auto"/>
        </w:rPr>
        <w:t>Indebtedness outstanding under or pursuant to any Material Credit Facility unless and until the Notes (and any guaranty delivered therewith) shall concurrently be secured equally and ratably with such Indebtedness pursuant to documentation reasonably acceptable to the Required Holders in substance and in form, including an intercreditor agreement and opinions of counsel to the Company, from counsel that is reasonably acceptable to the Required Holders.</w:t>
      </w:r>
    </w:p>
    <w:p>
      <w:pPr>
        <w:spacing w:after="0" w:line="15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e.</w:t>
      </w:r>
      <w:r>
        <w:rPr>
          <w:sz w:val="20"/>
          <w:szCs w:val="20"/>
          <w:color w:val="auto"/>
        </w:rPr>
        <w:tab/>
      </w:r>
      <w:r>
        <w:rPr>
          <w:rFonts w:ascii="Arial" w:cs="Arial" w:eastAsia="Arial" w:hAnsi="Arial"/>
          <w:sz w:val="19"/>
          <w:szCs w:val="19"/>
          <w:b w:val="1"/>
          <w:bCs w:val="1"/>
          <w:color w:val="auto"/>
        </w:rPr>
        <w:t>Maximum Ratio of Total Indebtedness to Total Capitalization</w:t>
      </w:r>
    </w:p>
    <w:p>
      <w:pPr>
        <w:spacing w:after="0" w:line="185" w:lineRule="exact"/>
        <w:rPr>
          <w:sz w:val="20"/>
          <w:szCs w:val="20"/>
          <w:color w:val="auto"/>
        </w:rPr>
      </w:pPr>
    </w:p>
    <w:p>
      <w:pPr>
        <w:ind w:firstLine="656"/>
        <w:spacing w:after="0" w:line="232" w:lineRule="auto"/>
        <w:tabs>
          <w:tab w:leader="none" w:pos="769"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Company will not permit Total Indebtedness to be greater than 65% of Total Capitalization as of the end of any fiscal quarter.</w:t>
      </w:r>
    </w:p>
    <w:p>
      <w:pPr>
        <w:spacing w:after="0" w:line="153"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color w:val="auto"/>
        </w:rPr>
        <w:t>Events of Default.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An </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shall exist if any of the following conditions or events shall occur and be continu ing:</w:t>
      </w:r>
    </w:p>
    <w:p>
      <w:pPr>
        <w:spacing w:after="0" w:line="199" w:lineRule="exact"/>
        <w:rPr>
          <w:sz w:val="20"/>
          <w:szCs w:val="20"/>
          <w:color w:val="auto"/>
        </w:rPr>
      </w:pPr>
    </w:p>
    <w:p>
      <w:pPr>
        <w:jc w:val="both"/>
        <w:ind w:left="660" w:right="20" w:firstLine="444"/>
        <w:spacing w:after="0" w:line="298" w:lineRule="auto"/>
        <w:rPr>
          <w:sz w:val="20"/>
          <w:szCs w:val="20"/>
          <w:color w:val="auto"/>
        </w:rPr>
      </w:pPr>
      <w:r>
        <w:rPr>
          <w:rFonts w:ascii="Arial" w:cs="Arial" w:eastAsia="Arial" w:hAnsi="Arial"/>
          <w:sz w:val="19"/>
          <w:szCs w:val="19"/>
          <w:color w:val="auto"/>
        </w:rPr>
        <w:t>(i)the Company defaults in the payment of any principal or Make-Whole Amount, if any, on any Note when the same becomes due and payable, whether at maturity or at a date fixed for prepayment or by declaration or otherwise; or</w:t>
      </w:r>
    </w:p>
    <w:p>
      <w:pPr>
        <w:spacing w:after="0" w:line="105" w:lineRule="exact"/>
        <w:rPr>
          <w:sz w:val="20"/>
          <w:szCs w:val="20"/>
          <w:color w:val="auto"/>
        </w:rPr>
      </w:pPr>
    </w:p>
    <w:p>
      <w:pPr>
        <w:jc w:val="both"/>
        <w:ind w:left="660" w:firstLine="384"/>
        <w:spacing w:after="0" w:line="232" w:lineRule="auto"/>
        <w:rPr>
          <w:sz w:val="20"/>
          <w:szCs w:val="20"/>
          <w:color w:val="auto"/>
        </w:rPr>
      </w:pPr>
      <w:r>
        <w:rPr>
          <w:rFonts w:ascii="Arial" w:cs="Arial" w:eastAsia="Arial" w:hAnsi="Arial"/>
          <w:sz w:val="22"/>
          <w:szCs w:val="22"/>
          <w:color w:val="auto"/>
        </w:rPr>
        <w:t>(ii)the Company defaults in the payment of any interest on any Note for more than five Business Days after the same becomes due and payable; or</w:t>
      </w:r>
    </w:p>
    <w:p>
      <w:pPr>
        <w:spacing w:after="0" w:line="159" w:lineRule="exact"/>
        <w:rPr>
          <w:sz w:val="20"/>
          <w:szCs w:val="20"/>
          <w:color w:val="auto"/>
        </w:rPr>
      </w:pPr>
    </w:p>
    <w:p>
      <w:pPr>
        <w:jc w:val="both"/>
        <w:ind w:left="660" w:firstLine="324"/>
        <w:spacing w:after="0" w:line="232" w:lineRule="auto"/>
        <w:rPr>
          <w:sz w:val="20"/>
          <w:szCs w:val="20"/>
          <w:color w:val="auto"/>
        </w:rPr>
      </w:pPr>
      <w:r>
        <w:rPr>
          <w:rFonts w:ascii="Arial" w:cs="Arial" w:eastAsia="Arial" w:hAnsi="Arial"/>
          <w:sz w:val="22"/>
          <w:szCs w:val="22"/>
          <w:color w:val="auto"/>
        </w:rPr>
        <w:t>(iii)the Company defaults in the performance of or compliance with any term contained in Section 7.1(d), Section 10.2 or Section 10.5; or</w:t>
      </w:r>
    </w:p>
    <w:p>
      <w:pPr>
        <w:spacing w:after="0" w:line="159" w:lineRule="exact"/>
        <w:rPr>
          <w:sz w:val="20"/>
          <w:szCs w:val="20"/>
          <w:color w:val="auto"/>
        </w:rPr>
      </w:pPr>
    </w:p>
    <w:p>
      <w:pPr>
        <w:jc w:val="both"/>
        <w:ind w:left="660" w:firstLine="336"/>
        <w:spacing w:after="0" w:line="243" w:lineRule="auto"/>
        <w:rPr>
          <w:sz w:val="20"/>
          <w:szCs w:val="20"/>
          <w:color w:val="auto"/>
        </w:rPr>
      </w:pPr>
      <w:r>
        <w:rPr>
          <w:rFonts w:ascii="Arial" w:cs="Arial" w:eastAsia="Arial" w:hAnsi="Arial"/>
          <w:sz w:val="19"/>
          <w:szCs w:val="19"/>
          <w:color w:val="auto"/>
        </w:rPr>
        <w:t>(iv)the Company or any Subsidiary Guarantor defaults in the perfor mance of or compliance with any term contained herein (other than those referred to in Sections 11(a), (b) and (c) or in any Subsidiary Guaranty and such default is not remedied within 30 days after the earlier of (i) a Responsible Officer obtaining actual knowledge of such default and</w:t>
      </w:r>
    </w:p>
    <w:p>
      <w:pPr>
        <w:spacing w:after="0" w:line="2" w:lineRule="exact"/>
        <w:rPr>
          <w:sz w:val="20"/>
          <w:szCs w:val="20"/>
          <w:color w:val="auto"/>
        </w:rPr>
      </w:pPr>
    </w:p>
    <w:p>
      <w:pPr>
        <w:ind w:left="660" w:hanging="4"/>
        <w:spacing w:after="0" w:line="224" w:lineRule="auto"/>
        <w:tabs>
          <w:tab w:leader="none" w:pos="1015"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Company receiving written notice of such default from any holder of a Note (any such written notice to be identified as a “notice of default” and to refer specifically to this Section 11(d)); or</w:t>
      </w:r>
    </w:p>
    <w:p>
      <w:pPr>
        <w:spacing w:after="0" w:line="158" w:lineRule="exact"/>
        <w:rPr>
          <w:sz w:val="20"/>
          <w:szCs w:val="20"/>
          <w:color w:val="auto"/>
        </w:rPr>
      </w:pPr>
    </w:p>
    <w:p>
      <w:pPr>
        <w:jc w:val="both"/>
        <w:ind w:left="660" w:firstLine="396"/>
        <w:spacing w:after="0" w:line="224" w:lineRule="auto"/>
        <w:rPr>
          <w:sz w:val="20"/>
          <w:szCs w:val="20"/>
          <w:color w:val="auto"/>
        </w:rPr>
      </w:pPr>
      <w:r>
        <w:rPr>
          <w:rFonts w:ascii="Arial" w:cs="Arial" w:eastAsia="Arial" w:hAnsi="Arial"/>
          <w:sz w:val="21"/>
          <w:szCs w:val="21"/>
          <w:color w:val="auto"/>
        </w:rPr>
        <w:t>(v)(i)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(ii) any representation or warranty made in writing by or on behalf of any Subsidiary Guarantor or by any officer of such Subsidiary Guarantor in any Subsidiary Guaranty or any writing furnished in connection with such Subsidiary Guaranty proves to have been false or incorrect in any material respect on the date as of which made; or</w:t>
      </w:r>
    </w:p>
    <w:p>
      <w:pPr>
        <w:spacing w:after="0" w:line="160" w:lineRule="exact"/>
        <w:rPr>
          <w:sz w:val="20"/>
          <w:szCs w:val="20"/>
          <w:color w:val="auto"/>
        </w:rPr>
      </w:pPr>
    </w:p>
    <w:p>
      <w:pPr>
        <w:jc w:val="both"/>
        <w:ind w:left="660" w:firstLine="336"/>
        <w:spacing w:after="0" w:line="223" w:lineRule="auto"/>
        <w:rPr>
          <w:sz w:val="20"/>
          <w:szCs w:val="20"/>
          <w:color w:val="auto"/>
        </w:rPr>
      </w:pPr>
      <w:r>
        <w:rPr>
          <w:rFonts w:ascii="Arial" w:cs="Arial" w:eastAsia="Arial" w:hAnsi="Arial"/>
          <w:sz w:val="22"/>
          <w:szCs w:val="22"/>
          <w:color w:val="auto"/>
        </w:rPr>
        <w:t>(vi)(i) the Company or any Subsidiary is in default (as principal or as guarantor or other surety) in the payment of any principal of or premium or make-whole amount or interest on any Indebtedness (other than any Project Finance Indebtedness which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1" w:right="339" w:bottom="1440" w:gutter="0" w:footer="0" w:header="0"/>
        </w:sectPr>
      </w:pPr>
    </w:p>
    <w:bookmarkStart w:id="86" w:name="page87"/>
    <w:bookmarkEnd w:id="86"/>
    <w:p>
      <w:pPr>
        <w:jc w:val="both"/>
        <w:spacing w:after="0" w:line="241" w:lineRule="auto"/>
        <w:rPr>
          <w:sz w:val="20"/>
          <w:szCs w:val="20"/>
          <w:color w:val="auto"/>
        </w:rPr>
      </w:pPr>
      <w:r>
        <w:rPr>
          <w:rFonts w:ascii="Arial" w:cs="Arial" w:eastAsia="Arial" w:hAnsi="Arial"/>
          <w:sz w:val="19"/>
          <w:szCs w:val="19"/>
          <w:color w:val="auto"/>
        </w:rPr>
        <w:t>individually or in the aggregate exceed $200,000,000) that is outstanding in an aggregate principal amount in excess of the lesser of (x) the lowest dollar amount figure in the corresponding event of default provision in any Material Credit Facility, and (y) 2% of Consolidated Assets beyond any period of grace provided with respect thereto, or (ii) the Company or any Subsidiary is in default in the performance of or compliance with any term of any evidence of any Indebtedness (other than any Project Finance Indebtedness which does not individually or in the aggregate exceed $200,000,000) in an aggregate outstanding principal amount in excess of 2% of Consolidated Assets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(other than any Project Finance Indebtedness which does not individually or in the aggregate exceed $200,000,000) to convert such Indebtedness into equity interests), (x) the Company or any Subsidiary has become obligated to purchase or repay Indebtedness (other than any Project Finance Indebtedness which does not individually or in the aggregate exceed $200,000,000) before its regular maturity or before its regularly scheduled dates of payment in an aggregate outstanding principal amount in excess of 2% of Consolidated Assets, or (y) one or more Persons have the right to require the Company or any Subsidiary so to purchase or repay such Indebtedness (other than any Project Finance Indebtedness which does not individually or in the aggregate exceed $200,000,000); or</w:t>
      </w:r>
    </w:p>
    <w:p>
      <w:pPr>
        <w:spacing w:after="0" w:line="158" w:lineRule="exact"/>
        <w:rPr>
          <w:sz w:val="20"/>
          <w:szCs w:val="20"/>
          <w:color w:val="auto"/>
        </w:rPr>
      </w:pPr>
    </w:p>
    <w:p>
      <w:pPr>
        <w:jc w:val="both"/>
        <w:ind w:firstLine="276"/>
        <w:spacing w:after="0" w:line="247" w:lineRule="auto"/>
        <w:rPr>
          <w:sz w:val="20"/>
          <w:szCs w:val="20"/>
          <w:color w:val="auto"/>
        </w:rPr>
      </w:pPr>
      <w:r>
        <w:rPr>
          <w:rFonts w:ascii="Arial" w:cs="Arial" w:eastAsia="Arial" w:hAnsi="Arial"/>
          <w:sz w:val="19"/>
          <w:szCs w:val="19"/>
          <w:color w:val="auto"/>
        </w:rPr>
        <w:t>(vii)the Company or any Significant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54" w:lineRule="exact"/>
        <w:rPr>
          <w:sz w:val="20"/>
          <w:szCs w:val="20"/>
          <w:color w:val="auto"/>
        </w:rPr>
      </w:pPr>
    </w:p>
    <w:p>
      <w:pPr>
        <w:jc w:val="both"/>
        <w:ind w:firstLine="216"/>
        <w:spacing w:after="0" w:line="222" w:lineRule="auto"/>
        <w:rPr>
          <w:sz w:val="20"/>
          <w:szCs w:val="20"/>
          <w:color w:val="auto"/>
        </w:rPr>
      </w:pPr>
      <w:r>
        <w:rPr>
          <w:rFonts w:ascii="Arial" w:cs="Arial" w:eastAsia="Arial" w:hAnsi="Arial"/>
          <w:sz w:val="21"/>
          <w:szCs w:val="21"/>
          <w:color w:val="auto"/>
        </w:rPr>
        <w:t>(viii)a court or other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spacing w:after="0" w:line="164" w:lineRule="exact"/>
        <w:rPr>
          <w:sz w:val="20"/>
          <w:szCs w:val="20"/>
          <w:color w:val="auto"/>
        </w:rPr>
      </w:pPr>
    </w:p>
    <w:p>
      <w:pPr>
        <w:jc w:val="both"/>
        <w:ind w:firstLine="336"/>
        <w:spacing w:after="0" w:line="218" w:lineRule="auto"/>
        <w:rPr>
          <w:sz w:val="20"/>
          <w:szCs w:val="20"/>
          <w:color w:val="auto"/>
        </w:rPr>
      </w:pPr>
      <w:r>
        <w:rPr>
          <w:rFonts w:ascii="Arial" w:cs="Arial" w:eastAsia="Arial" w:hAnsi="Arial"/>
          <w:sz w:val="22"/>
          <w:szCs w:val="22"/>
          <w:color w:val="auto"/>
        </w:rPr>
        <w:t xml:space="preserve">(ix)any event occurs with respect to the Company or any Subsidiary which under the laws of any jurisdiction is analogous to any of the events described in Section 11(g) or Section 11(h),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applicable grace period, if any, which shall apply shall be the one applicable to the relevant proceeding which most closely corresponds to the proceeding described in Section 11(g) or Section 11(h); or</w:t>
      </w:r>
    </w:p>
    <w:p>
      <w:pPr>
        <w:spacing w:after="0" w:line="161" w:lineRule="exact"/>
        <w:rPr>
          <w:sz w:val="20"/>
          <w:szCs w:val="20"/>
          <w:color w:val="auto"/>
        </w:rPr>
      </w:pPr>
    </w:p>
    <w:p>
      <w:pPr>
        <w:jc w:val="both"/>
        <w:ind w:firstLine="396"/>
        <w:spacing w:after="0" w:line="223" w:lineRule="auto"/>
        <w:rPr>
          <w:sz w:val="20"/>
          <w:szCs w:val="20"/>
          <w:color w:val="auto"/>
        </w:rPr>
      </w:pPr>
      <w:r>
        <w:rPr>
          <w:rFonts w:ascii="Arial" w:cs="Arial" w:eastAsia="Arial" w:hAnsi="Arial"/>
          <w:sz w:val="22"/>
          <w:szCs w:val="22"/>
          <w:color w:val="auto"/>
        </w:rPr>
        <w:t>(x)one or more final judgments or orders for the payment of money aggregating in excess of 2% of Consolidated Assets, including any such final order enforcing a binding arbitration decision, are rendered against one or more of the Company and its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580"/>
          </w:cols>
          <w:pgMar w:left="980" w:top="1401" w:right="339" w:bottom="1440" w:gutter="0" w:footer="0" w:header="0"/>
        </w:sectPr>
      </w:pPr>
    </w:p>
    <w:bookmarkStart w:id="87" w:name="page88"/>
    <w:bookmarkEnd w:id="87"/>
    <w:p>
      <w:pPr>
        <w:jc w:val="both"/>
        <w:ind w:left="660"/>
        <w:spacing w:after="0" w:line="232" w:lineRule="auto"/>
        <w:rPr>
          <w:sz w:val="20"/>
          <w:szCs w:val="20"/>
          <w:color w:val="auto"/>
        </w:rPr>
      </w:pPr>
      <w:r>
        <w:rPr>
          <w:rFonts w:ascii="Arial" w:cs="Arial" w:eastAsia="Arial" w:hAnsi="Arial"/>
          <w:sz w:val="22"/>
          <w:szCs w:val="22"/>
          <w:color w:val="auto"/>
        </w:rPr>
        <w:t>Subsidiaries and which judgments are not, within 60 days after entry thereof, bonded, discharged or stayed pending appeal, or are not discharged within 60 days after the expiration of such stay; or</w:t>
      </w:r>
    </w:p>
    <w:p>
      <w:pPr>
        <w:spacing w:after="0" w:line="159" w:lineRule="exact"/>
        <w:rPr>
          <w:sz w:val="20"/>
          <w:szCs w:val="20"/>
          <w:color w:val="auto"/>
        </w:rPr>
      </w:pPr>
    </w:p>
    <w:p>
      <w:pPr>
        <w:jc w:val="both"/>
        <w:ind w:left="660" w:firstLine="336"/>
        <w:spacing w:after="0" w:line="239" w:lineRule="auto"/>
        <w:rPr>
          <w:sz w:val="20"/>
          <w:szCs w:val="20"/>
          <w:color w:val="auto"/>
        </w:rPr>
      </w:pPr>
      <w:r>
        <w:rPr>
          <w:rFonts w:ascii="Arial" w:cs="Arial" w:eastAsia="Arial" w:hAnsi="Arial"/>
          <w:sz w:val="19"/>
          <w:szCs w:val="19"/>
          <w:color w:val="auto"/>
        </w:rPr>
        <w:t>(xi)if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4001(a)(18) of ERISA) under one or more Plans, determined in accordance with Title IV of ERISA, (iv) the aggregate present value of accrued benefit liabilities under all funded Non-U.S. Plans exceeds the aggregate current value of the assets of such Non-U.S. Plans allocable to such liabilities, (v)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w:t>
      </w:r>
    </w:p>
    <w:p>
      <w:pPr>
        <w:spacing w:after="0" w:line="1" w:lineRule="exact"/>
        <w:rPr>
          <w:sz w:val="20"/>
          <w:szCs w:val="20"/>
          <w:color w:val="auto"/>
        </w:rPr>
      </w:pPr>
    </w:p>
    <w:p>
      <w:pPr>
        <w:jc w:val="both"/>
        <w:ind w:left="660" w:hanging="4"/>
        <w:spacing w:after="0" w:line="237" w:lineRule="auto"/>
        <w:tabs>
          <w:tab w:leader="none" w:pos="1134"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Company or any Subsidiary establishes or amends any employee welfare benefit plan that provides post-employment welfare benefits in a manner that would increase the liability of the Company or any Subsidiary thereunder,</w:t>
      </w:r>
    </w:p>
    <w:p>
      <w:pPr>
        <w:jc w:val="both"/>
        <w:ind w:left="660" w:hanging="4"/>
        <w:spacing w:after="0" w:line="243" w:lineRule="auto"/>
        <w:tabs>
          <w:tab w:leader="none" w:pos="1147"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Company or any Subsidiary fails to administer or maintain a Non-U.S. Plan in compliance with the requirements of any and all applicable laws, statutes, rules, regulations or court orders or any Non-U.S.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(i) through (ix) above, either individually or together with any other such event or events, could reasonably be expected to have a Material Adverse Effect. As used in this Section 11(k), the terms </w:t>
      </w:r>
      <w:r>
        <w:rPr>
          <w:rFonts w:ascii="Arial" w:cs="Arial" w:eastAsia="Arial" w:hAnsi="Arial"/>
          <w:sz w:val="19"/>
          <w:szCs w:val="19"/>
          <w:b w:val="1"/>
          <w:bCs w:val="1"/>
          <w:color w:val="auto"/>
        </w:rPr>
        <w:t>“employee benefit plan”</w:t>
      </w:r>
      <w:r>
        <w:rPr>
          <w:rFonts w:ascii="Arial" w:cs="Arial" w:eastAsia="Arial" w:hAnsi="Arial"/>
          <w:sz w:val="19"/>
          <w:szCs w:val="19"/>
          <w:color w:val="auto"/>
        </w:rPr>
        <w:t xml:space="preserve"> and </w:t>
      </w:r>
      <w:r>
        <w:rPr>
          <w:rFonts w:ascii="Arial" w:cs="Arial" w:eastAsia="Arial" w:hAnsi="Arial"/>
          <w:sz w:val="19"/>
          <w:szCs w:val="19"/>
          <w:b w:val="1"/>
          <w:bCs w:val="1"/>
          <w:color w:val="auto"/>
        </w:rPr>
        <w:t>“employee welfare benefit plan”</w:t>
      </w:r>
      <w:r>
        <w:rPr>
          <w:rFonts w:ascii="Arial" w:cs="Arial" w:eastAsia="Arial" w:hAnsi="Arial"/>
          <w:sz w:val="19"/>
          <w:szCs w:val="19"/>
          <w:color w:val="auto"/>
        </w:rPr>
        <w:t xml:space="preserve"> shall have the respective meanings assigned to such terms in section 3 of ERISA;</w:t>
      </w:r>
    </w:p>
    <w:p>
      <w:pPr>
        <w:spacing w:after="0" w:line="183" w:lineRule="exact"/>
        <w:rPr>
          <w:sz w:val="20"/>
          <w:szCs w:val="20"/>
          <w:color w:val="auto"/>
        </w:rPr>
      </w:pPr>
    </w:p>
    <w:p>
      <w:pPr>
        <w:ind w:left="440"/>
        <w:spacing w:after="0"/>
        <w:tabs>
          <w:tab w:leader="none" w:pos="900" w:val="left"/>
          <w:tab w:leader="none" w:pos="7340" w:val="left"/>
        </w:tabs>
        <w:rPr>
          <w:sz w:val="20"/>
          <w:szCs w:val="20"/>
          <w:color w:val="auto"/>
        </w:rPr>
      </w:pPr>
      <w:r>
        <w:rPr>
          <w:rFonts w:ascii="Arial" w:cs="Arial" w:eastAsia="Arial" w:hAnsi="Arial"/>
          <w:sz w:val="22"/>
          <w:szCs w:val="22"/>
          <w:color w:val="auto"/>
        </w:rPr>
        <w:t>(l)</w:t>
        <w:tab/>
        <w:t>the Company shall fail to own, directly or indirectly, substantially all of</w:t>
      </w:r>
      <w:r>
        <w:rPr>
          <w:sz w:val="20"/>
          <w:szCs w:val="20"/>
          <w:color w:val="auto"/>
        </w:rPr>
        <w:tab/>
      </w:r>
      <w:r>
        <w:rPr>
          <w:rFonts w:ascii="Arial" w:cs="Arial" w:eastAsia="Arial" w:hAnsi="Arial"/>
          <w:sz w:val="19"/>
          <w:szCs w:val="19"/>
          <w:color w:val="auto"/>
        </w:rPr>
        <w:t>the assets of Minnesota Power; or</w:t>
      </w:r>
    </w:p>
    <w:p>
      <w:pPr>
        <w:spacing w:after="0" w:line="247" w:lineRule="exact"/>
        <w:rPr>
          <w:sz w:val="20"/>
          <w:szCs w:val="20"/>
          <w:color w:val="auto"/>
        </w:rPr>
      </w:pPr>
    </w:p>
    <w:p>
      <w:pPr>
        <w:ind w:left="660" w:right="60" w:firstLine="212"/>
        <w:spacing w:after="0" w:line="302" w:lineRule="auto"/>
        <w:tabs>
          <w:tab w:leader="none" w:pos="1404"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Subsidiary Guaranty shall cease to be in full force and effect, any Subsidiary Guarantor or any Person acting on behalf of any Subsidiary Guarantor shall contest in any manner the validity, binding nature or enforceability of any Subsidiary Guaranty, or the obligations of any Subsidiary Guarantor under any Subsidiary Guaranty are not or cease to be legal, valid, binding and enforceable in accordance with the terms of such Subsidiary Guaranty.</w:t>
      </w:r>
    </w:p>
    <w:p>
      <w:pPr>
        <w:spacing w:after="0" w:line="136"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color w:val="auto"/>
        </w:rPr>
        <w:t>Remedies on Default, Etc.</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Acceleration</w:t>
      </w:r>
    </w:p>
    <w:p>
      <w:pPr>
        <w:spacing w:after="0" w:line="185" w:lineRule="exact"/>
        <w:rPr>
          <w:sz w:val="20"/>
          <w:szCs w:val="20"/>
          <w:color w:val="auto"/>
        </w:rPr>
      </w:pPr>
    </w:p>
    <w:p>
      <w:pPr>
        <w:jc w:val="both"/>
        <w:ind w:firstLine="656"/>
        <w:spacing w:after="0" w:line="223" w:lineRule="auto"/>
        <w:tabs>
          <w:tab w:leader="none" w:pos="756"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If an Event of Default with respect to the Company described in Section 11(g), (h) or (other than an Event of Default described in clause (i) of Section 11(g) or described in clause (vi) of Section 11(g) by virtue of the fact that such clause encompasses clause (i) of</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5520" w:hanging="130"/>
        <w:spacing w:after="0"/>
        <w:tabs>
          <w:tab w:leader="none" w:pos="5520" w:val="left"/>
        </w:tabs>
        <w:numPr>
          <w:ilvl w:val="1"/>
          <w:numId w:val="87"/>
        </w:numPr>
        <w:rPr>
          <w:rFonts w:ascii="Arial" w:cs="Arial" w:eastAsia="Arial" w:hAnsi="Arial"/>
          <w:sz w:val="22"/>
          <w:szCs w:val="22"/>
          <w:color w:val="auto"/>
        </w:rPr>
      </w:pPr>
      <w:r>
        <w:rPr>
          <w:rFonts w:ascii="Arial" w:cs="Arial" w:eastAsia="Arial" w:hAnsi="Arial"/>
          <w:sz w:val="22"/>
          <w:szCs w:val="22"/>
          <w:color w:val="auto"/>
        </w:rPr>
        <w:t>31 -</w:t>
      </w:r>
    </w:p>
    <w:p>
      <w:pPr>
        <w:sectPr>
          <w:pgSz w:w="11900" w:h="16838" w:orient="portrait"/>
          <w:cols w:equalWidth="0" w:num="1">
            <w:col w:w="11240"/>
          </w:cols>
          <w:pgMar w:left="320" w:top="1401" w:right="339" w:bottom="1440" w:gutter="0" w:footer="0" w:header="0"/>
        </w:sectPr>
      </w:pPr>
    </w:p>
    <w:bookmarkStart w:id="88" w:name="page89"/>
    <w:bookmarkEnd w:id="88"/>
    <w:p>
      <w:pPr>
        <w:spacing w:after="0"/>
        <w:rPr>
          <w:sz w:val="20"/>
          <w:szCs w:val="20"/>
          <w:color w:val="auto"/>
        </w:rPr>
      </w:pPr>
      <w:r>
        <w:rPr>
          <w:rFonts w:ascii="Arial" w:cs="Arial" w:eastAsia="Arial" w:hAnsi="Arial"/>
          <w:sz w:val="21"/>
          <w:szCs w:val="21"/>
          <w:color w:val="auto"/>
        </w:rPr>
        <w:t>Section 11(g)) has occurred, all the Notes then outstanding shall automatically become immediately due and payable.</w:t>
      </w:r>
    </w:p>
    <w:p>
      <w:pPr>
        <w:spacing w:after="0" w:line="191" w:lineRule="exact"/>
        <w:rPr>
          <w:sz w:val="20"/>
          <w:szCs w:val="20"/>
          <w:color w:val="auto"/>
        </w:rPr>
      </w:pPr>
    </w:p>
    <w:p>
      <w:pPr>
        <w:jc w:val="both"/>
        <w:ind w:left="660" w:firstLine="444"/>
        <w:spacing w:after="0" w:line="298" w:lineRule="auto"/>
        <w:rPr>
          <w:sz w:val="20"/>
          <w:szCs w:val="20"/>
          <w:color w:val="auto"/>
        </w:rPr>
      </w:pPr>
      <w:r>
        <w:rPr>
          <w:rFonts w:ascii="Arial" w:cs="Arial" w:eastAsia="Arial" w:hAnsi="Arial"/>
          <w:sz w:val="19"/>
          <w:szCs w:val="19"/>
          <w:color w:val="auto"/>
        </w:rPr>
        <w:t>(i)If any other Event of Default has occurred and is continuing, the Required Holders may at any time at its or their option, by notice or notices to the Company, declare all the Notes then outstanding to be immediately due and payable.</w:t>
      </w:r>
    </w:p>
    <w:p>
      <w:pPr>
        <w:spacing w:after="0" w:line="105" w:lineRule="exact"/>
        <w:rPr>
          <w:sz w:val="20"/>
          <w:szCs w:val="20"/>
          <w:color w:val="auto"/>
        </w:rPr>
      </w:pPr>
    </w:p>
    <w:p>
      <w:pPr>
        <w:jc w:val="both"/>
        <w:ind w:left="660" w:firstLine="384"/>
        <w:spacing w:after="0" w:line="234" w:lineRule="auto"/>
        <w:rPr>
          <w:sz w:val="20"/>
          <w:szCs w:val="20"/>
          <w:color w:val="auto"/>
        </w:rPr>
      </w:pPr>
      <w:r>
        <w:rPr>
          <w:rFonts w:ascii="Arial" w:cs="Arial" w:eastAsia="Arial" w:hAnsi="Arial"/>
          <w:sz w:val="21"/>
          <w:szCs w:val="21"/>
          <w:color w:val="auto"/>
        </w:rPr>
        <w:t>(ii)If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Upon any Notes becoming due and payable under this Section 12.1, whether automatically or by declaration, such Notes will forthwith mature and the entire unpaid principal amount of such Notes, plus (x) all accrued and unpaid interest thereon (including interest accrued thereon at the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spacing w:after="0" w:line="14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Other Remedies</w:t>
      </w:r>
    </w:p>
    <w:p>
      <w:pPr>
        <w:spacing w:after="0" w:line="185" w:lineRule="exact"/>
        <w:rPr>
          <w:sz w:val="20"/>
          <w:szCs w:val="20"/>
          <w:color w:val="auto"/>
        </w:rPr>
      </w:pPr>
    </w:p>
    <w:p>
      <w:pPr>
        <w:jc w:val="both"/>
        <w:ind w:firstLine="656"/>
        <w:spacing w:after="0" w:line="214" w:lineRule="auto"/>
        <w:tabs>
          <w:tab w:leader="none" w:pos="756"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Subsidiary Guaranty, or for an injunction against a violation of any of the terms hereof or thereof, or in aid of the exercise of any power granted hereby or thereby or by law or otherwise.</w:t>
      </w:r>
    </w:p>
    <w:p>
      <w:pPr>
        <w:spacing w:after="0" w:line="15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7"/>
          <w:szCs w:val="17"/>
          <w:b w:val="1"/>
          <w:bCs w:val="1"/>
          <w:color w:val="auto"/>
        </w:rPr>
        <w:t>Rescission</w:t>
      </w:r>
    </w:p>
    <w:p>
      <w:pPr>
        <w:spacing w:after="0" w:line="185" w:lineRule="exact"/>
        <w:rPr>
          <w:sz w:val="20"/>
          <w:szCs w:val="20"/>
          <w:color w:val="auto"/>
        </w:rPr>
      </w:pPr>
    </w:p>
    <w:p>
      <w:pPr>
        <w:jc w:val="both"/>
        <w:ind w:firstLine="656"/>
        <w:spacing w:after="0" w:line="241" w:lineRule="auto"/>
        <w:tabs>
          <w:tab w:leader="none" w:pos="783" w:val="left"/>
        </w:tabs>
        <w:numPr>
          <w:ilvl w:val="1"/>
          <w:numId w:val="89"/>
        </w:numPr>
        <w:rPr>
          <w:rFonts w:ascii="Arial" w:cs="Arial" w:eastAsia="Arial" w:hAnsi="Arial"/>
          <w:sz w:val="19"/>
          <w:szCs w:val="19"/>
          <w:color w:val="auto"/>
        </w:rPr>
      </w:pPr>
      <w:r>
        <w:rPr>
          <w:rFonts w:ascii="Arial" w:cs="Arial" w:eastAsia="Arial" w:hAnsi="Arial"/>
          <w:sz w:val="19"/>
          <w:szCs w:val="19"/>
          <w:color w:val="auto"/>
        </w:rPr>
        <w:t>At any time after any Notes have been declared due and payable pursuant to Section 12.1(b) or (c), the Required Holders,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Default Rate,</w:t>
      </w:r>
    </w:p>
    <w:p>
      <w:pPr>
        <w:spacing w:after="0" w:line="1" w:lineRule="exact"/>
        <w:rPr>
          <w:rFonts w:ascii="Arial" w:cs="Arial" w:eastAsia="Arial" w:hAnsi="Arial"/>
          <w:sz w:val="19"/>
          <w:szCs w:val="19"/>
          <w:color w:val="auto"/>
        </w:rPr>
      </w:pPr>
    </w:p>
    <w:p>
      <w:pPr>
        <w:jc w:val="both"/>
        <w:ind w:firstLine="8"/>
        <w:spacing w:after="0" w:line="247" w:lineRule="auto"/>
        <w:tabs>
          <w:tab w:leader="none" w:pos="329" w:val="left"/>
        </w:tabs>
        <w:numPr>
          <w:ilvl w:val="0"/>
          <w:numId w:val="89"/>
        </w:numPr>
        <w:rPr>
          <w:rFonts w:ascii="Arial" w:cs="Arial" w:eastAsia="Arial" w:hAnsi="Arial"/>
          <w:sz w:val="19"/>
          <w:szCs w:val="19"/>
          <w:color w:val="auto"/>
        </w:rPr>
      </w:pPr>
      <w:r>
        <w:rPr>
          <w:rFonts w:ascii="Arial" w:cs="Arial" w:eastAsia="Arial" w:hAnsi="Arial"/>
          <w:sz w:val="19"/>
          <w:szCs w:val="19"/>
          <w:color w:val="auto"/>
        </w:rPr>
        <w:t>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14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No Waivers or Election of Remedies, Expenses,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01" w:right="339" w:bottom="1440" w:gutter="0" w:footer="0" w:header="0"/>
        </w:sectPr>
      </w:pPr>
    </w:p>
    <w:bookmarkStart w:id="89" w:name="page90"/>
    <w:bookmarkEnd w:id="89"/>
    <w:p>
      <w:pPr>
        <w:jc w:val="both"/>
        <w:ind w:firstLine="656"/>
        <w:spacing w:after="0" w:line="222" w:lineRule="auto"/>
        <w:tabs>
          <w:tab w:leader="none" w:pos="756" w:val="left"/>
        </w:tabs>
        <w:numPr>
          <w:ilvl w:val="0"/>
          <w:numId w:val="90"/>
        </w:numPr>
        <w:rPr>
          <w:rFonts w:ascii="Arial" w:cs="Arial" w:eastAsia="Arial" w:hAnsi="Arial"/>
          <w:sz w:val="21"/>
          <w:szCs w:val="21"/>
          <w:color w:val="auto"/>
        </w:rPr>
      </w:pPr>
      <w:r>
        <w:rPr>
          <w:rFonts w:ascii="Arial" w:cs="Arial" w:eastAsia="Arial" w:hAnsi="Arial"/>
          <w:sz w:val="21"/>
          <w:szCs w:val="21"/>
          <w:color w:val="auto"/>
        </w:rPr>
        <w:t>No course of dealing and no delay on the part of any holder of any Note in exercising any right, power or remedy shall operate as a waiver thereof or otherwise prejudice such holder’s rights, powers or remedies. No right, power or remedy conferred by this Agreement, any Subsidiary Guaranty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costs and expenses of such holder incurred in any enforcement or collection under this Section 12, including reasonable attorneys’ fees, expenses and disbursements.</w:t>
      </w:r>
    </w:p>
    <w:p>
      <w:pPr>
        <w:spacing w:after="0" w:line="158"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color w:val="auto"/>
        </w:rPr>
        <w:t>Registration; Exchange; Substitution of Notes.</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Registration of Notes</w:t>
      </w:r>
    </w:p>
    <w:p>
      <w:pPr>
        <w:spacing w:after="0" w:line="185" w:lineRule="exact"/>
        <w:rPr>
          <w:sz w:val="20"/>
          <w:szCs w:val="20"/>
          <w:color w:val="auto"/>
        </w:rPr>
      </w:pPr>
    </w:p>
    <w:p>
      <w:pPr>
        <w:jc w:val="both"/>
        <w:ind w:firstLine="656"/>
        <w:spacing w:after="0" w:line="220" w:lineRule="auto"/>
        <w:tabs>
          <w:tab w:leader="none" w:pos="774"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Company shall keep at the principal office of U.S. Bank in St. Paul, Minnesota a register for the 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U.S. Bank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15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Transfer and Exchange of Notes</w:t>
      </w:r>
    </w:p>
    <w:p>
      <w:pPr>
        <w:spacing w:after="0" w:line="185" w:lineRule="exact"/>
        <w:rPr>
          <w:sz w:val="20"/>
          <w:szCs w:val="20"/>
          <w:color w:val="auto"/>
        </w:rPr>
      </w:pPr>
    </w:p>
    <w:p>
      <w:pPr>
        <w:jc w:val="both"/>
        <w:ind w:firstLine="656"/>
        <w:spacing w:after="0" w:line="241" w:lineRule="auto"/>
        <w:tabs>
          <w:tab w:leader="none" w:pos="762" w:val="left"/>
        </w:tabs>
        <w:numPr>
          <w:ilvl w:val="0"/>
          <w:numId w:val="92"/>
        </w:numPr>
        <w:rPr>
          <w:rFonts w:ascii="Arial" w:cs="Arial" w:eastAsia="Arial" w:hAnsi="Arial"/>
          <w:sz w:val="19"/>
          <w:szCs w:val="19"/>
          <w:color w:val="auto"/>
        </w:rPr>
      </w:pPr>
      <w:r>
        <w:rPr>
          <w:rFonts w:ascii="Arial" w:cs="Arial" w:eastAsia="Arial" w:hAnsi="Arial"/>
          <w:sz w:val="19"/>
          <w:szCs w:val="19"/>
          <w:color w:val="auto"/>
        </w:rPr>
        <w:t>Upon surrender of any Note to U.S. Bank at the address and to the attention of the designated officer (all as specified in Section 18(iv)),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10 Business Days thereafter,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Exhibit 1. Each such new Note shall be dated and bear interest from the date to which interest shall have been paid on the surrendered Note or dated the date of the surrendered Note if no interest shall have been paid thereon. U.S. Bank may require payment of a sum sufficient to cover any stamp tax or governmental charge imposed in respect of any such transfer of Notes. Notes shall not be transferred in denominations of less than $100,000, provided that if necessary to enable the registration of transfer by a holder of its entire holding of Notes, one Note may be in a denomination of less than $100,000. Any transferee, by its acceptance of a Note registered in its name (or the name of its nominee), shall be deemed to have made the representation set forth in Section 6.2.</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9"/>
          <w:szCs w:val="19"/>
          <w:b w:val="1"/>
          <w:bCs w:val="1"/>
          <w:color w:val="auto"/>
        </w:rPr>
        <w:t>Replacement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1" w:right="339" w:bottom="1440" w:gutter="0" w:footer="0" w:header="0"/>
        </w:sectPr>
      </w:pPr>
    </w:p>
    <w:bookmarkStart w:id="90" w:name="page91"/>
    <w:bookmarkEnd w:id="90"/>
    <w:p>
      <w:pPr>
        <w:spacing w:after="0" w:line="69" w:lineRule="exact"/>
        <w:rPr>
          <w:sz w:val="20"/>
          <w:szCs w:val="20"/>
          <w:color w:val="auto"/>
        </w:rPr>
      </w:pPr>
    </w:p>
    <w:p>
      <w:pPr>
        <w:ind w:left="420" w:right="100" w:firstLine="479"/>
        <w:spacing w:after="0" w:line="250" w:lineRule="auto"/>
        <w:tabs>
          <w:tab w:leader="none" w:pos="1014" w:val="left"/>
        </w:tabs>
        <w:numPr>
          <w:ilvl w:val="0"/>
          <w:numId w:val="93"/>
        </w:numPr>
        <w:rPr>
          <w:rFonts w:ascii="Arial" w:cs="Arial" w:eastAsia="Arial" w:hAnsi="Arial"/>
          <w:sz w:val="22"/>
          <w:szCs w:val="22"/>
          <w:color w:val="auto"/>
        </w:rPr>
      </w:pPr>
      <w:r>
        <w:rPr>
          <w:rFonts w:ascii="Arial" w:cs="Arial" w:eastAsia="Arial" w:hAnsi="Arial"/>
          <w:sz w:val="22"/>
          <w:szCs w:val="22"/>
          <w:color w:val="auto"/>
        </w:rPr>
        <w:t>Upon receipt by U.S. Bank at the address and to the attention of the designated officer (all as specified in Section 18(iv))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52" w:lineRule="exact"/>
        <w:rPr>
          <w:rFonts w:ascii="Arial" w:cs="Arial" w:eastAsia="Arial" w:hAnsi="Arial"/>
          <w:sz w:val="22"/>
          <w:szCs w:val="22"/>
          <w:color w:val="auto"/>
        </w:rPr>
      </w:pPr>
    </w:p>
    <w:p>
      <w:pPr>
        <w:ind w:left="1620" w:right="180" w:hanging="316"/>
        <w:spacing w:after="0" w:line="265" w:lineRule="auto"/>
        <w:tabs>
          <w:tab w:leader="none" w:pos="1617" w:val="left"/>
        </w:tabs>
        <w:numPr>
          <w:ilvl w:val="1"/>
          <w:numId w:val="93"/>
        </w:numPr>
        <w:rPr>
          <w:rFonts w:ascii="Arial" w:cs="Arial" w:eastAsia="Arial" w:hAnsi="Arial"/>
          <w:sz w:val="21"/>
          <w:szCs w:val="21"/>
          <w:color w:val="auto"/>
        </w:rPr>
      </w:pPr>
      <w:r>
        <w:rPr>
          <w:rFonts w:ascii="Arial" w:cs="Arial" w:eastAsia="Arial" w:hAnsi="Arial"/>
          <w:sz w:val="21"/>
          <w:szCs w:val="21"/>
          <w:color w:val="auto"/>
        </w:rPr>
        <w:t>in the case of loss, theft or destruction, of indemnity reasonably satisfactory to the Company (provided that if the holder of such Note is, or is a nominee for, an original Purchaser or another holder of a Note with a minimum net worth of at least $100,000,000 or a Qualified Institutional Buyer, such Person’s own unsecured agreement of indemnity shall be deemed to be satisfactory), or</w:t>
      </w:r>
    </w:p>
    <w:p>
      <w:pPr>
        <w:spacing w:after="0" w:line="40" w:lineRule="exact"/>
        <w:rPr>
          <w:rFonts w:ascii="Arial" w:cs="Arial" w:eastAsia="Arial" w:hAnsi="Arial"/>
          <w:sz w:val="21"/>
          <w:szCs w:val="21"/>
          <w:color w:val="auto"/>
        </w:rPr>
      </w:pPr>
    </w:p>
    <w:p>
      <w:pPr>
        <w:ind w:left="1620" w:right="140" w:hanging="316"/>
        <w:spacing w:after="0" w:line="286" w:lineRule="auto"/>
        <w:tabs>
          <w:tab w:leader="none" w:pos="1615" w:val="left"/>
        </w:tabs>
        <w:numPr>
          <w:ilvl w:val="1"/>
          <w:numId w:val="93"/>
        </w:numPr>
        <w:rPr>
          <w:rFonts w:ascii="Arial" w:cs="Arial" w:eastAsia="Arial" w:hAnsi="Arial"/>
          <w:sz w:val="19"/>
          <w:szCs w:val="19"/>
          <w:color w:val="auto"/>
        </w:rPr>
      </w:pPr>
      <w:r>
        <w:rPr>
          <w:rFonts w:ascii="Arial" w:cs="Arial" w:eastAsia="Arial" w:hAnsi="Arial"/>
          <w:sz w:val="19"/>
          <w:szCs w:val="19"/>
          <w:color w:val="auto"/>
        </w:rPr>
        <w:t>in the case of mutilation, upon surrender and cancellation thereof, within 10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 .</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8"/>
          <w:szCs w:val="18"/>
          <w:b w:val="1"/>
          <w:bCs w:val="1"/>
          <w:color w:val="auto"/>
        </w:rPr>
        <w:t>Payments on Notes.</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Place of Payment</w:t>
      </w:r>
    </w:p>
    <w:p>
      <w:pPr>
        <w:spacing w:after="0" w:line="185" w:lineRule="exact"/>
        <w:rPr>
          <w:sz w:val="20"/>
          <w:szCs w:val="20"/>
          <w:color w:val="auto"/>
        </w:rPr>
      </w:pPr>
    </w:p>
    <w:p>
      <w:pPr>
        <w:jc w:val="both"/>
        <w:ind w:firstLine="656"/>
        <w:spacing w:after="0" w:line="216" w:lineRule="auto"/>
        <w:tabs>
          <w:tab w:leader="none" w:pos="756" w:val="left"/>
        </w:tabs>
        <w:numPr>
          <w:ilvl w:val="0"/>
          <w:numId w:val="94"/>
        </w:numPr>
        <w:rPr>
          <w:rFonts w:ascii="Arial" w:cs="Arial" w:eastAsia="Arial" w:hAnsi="Arial"/>
          <w:sz w:val="22"/>
          <w:szCs w:val="22"/>
          <w:color w:val="auto"/>
        </w:rPr>
      </w:pPr>
      <w:r>
        <w:rPr>
          <w:rFonts w:ascii="Arial" w:cs="Arial" w:eastAsia="Arial" w:hAnsi="Arial"/>
          <w:sz w:val="22"/>
          <w:szCs w:val="22"/>
          <w:color w:val="auto"/>
        </w:rPr>
        <w:t>Subject to Section 14.2, payments of principal, Make-Whole Amount, if any, and interest becoming due and payable on the Notes shall be made in New York, New York at the principal office of U.S. Bank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15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Payment by Wire Transfer</w:t>
      </w:r>
    </w:p>
    <w:p>
      <w:pPr>
        <w:spacing w:after="0" w:line="185" w:lineRule="exact"/>
        <w:rPr>
          <w:sz w:val="20"/>
          <w:szCs w:val="20"/>
          <w:color w:val="auto"/>
        </w:rPr>
      </w:pPr>
    </w:p>
    <w:p>
      <w:pPr>
        <w:jc w:val="both"/>
        <w:ind w:firstLine="656"/>
        <w:spacing w:after="0" w:line="242" w:lineRule="auto"/>
        <w:tabs>
          <w:tab w:leader="none" w:pos="769" w:val="left"/>
        </w:tabs>
        <w:numPr>
          <w:ilvl w:val="0"/>
          <w:numId w:val="95"/>
        </w:numPr>
        <w:rPr>
          <w:rFonts w:ascii="Arial" w:cs="Arial" w:eastAsia="Arial" w:hAnsi="Arial"/>
          <w:sz w:val="19"/>
          <w:szCs w:val="19"/>
          <w:color w:val="auto"/>
        </w:rPr>
      </w:pPr>
      <w:r>
        <w:rPr>
          <w:rFonts w:ascii="Arial" w:cs="Arial" w:eastAsia="Arial" w:hAnsi="Arial"/>
          <w:sz w:val="19"/>
          <w:szCs w:val="19"/>
          <w:color w:val="auto"/>
        </w:rPr>
        <w:t>So long as any Purchaser or its nominee shall be the holder of any Note, and notwithstanding anything contained in Section 14.1 or in such Note to the contrary, the Company will pay all sums becoming due on such Note for principal, Make-Whole Amount, if any, interest and all other amounts becoming due hereunder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a Purchaser under this Agreement and that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5520" w:hanging="130"/>
        <w:spacing w:after="0"/>
        <w:tabs>
          <w:tab w:leader="none" w:pos="5520" w:val="left"/>
        </w:tabs>
        <w:numPr>
          <w:ilvl w:val="1"/>
          <w:numId w:val="95"/>
        </w:numPr>
        <w:rPr>
          <w:rFonts w:ascii="Arial" w:cs="Arial" w:eastAsia="Arial" w:hAnsi="Arial"/>
          <w:sz w:val="22"/>
          <w:szCs w:val="22"/>
          <w:color w:val="auto"/>
        </w:rPr>
      </w:pPr>
      <w:r>
        <w:rPr>
          <w:rFonts w:ascii="Arial" w:cs="Arial" w:eastAsia="Arial" w:hAnsi="Arial"/>
          <w:sz w:val="22"/>
          <w:szCs w:val="22"/>
          <w:color w:val="auto"/>
        </w:rPr>
        <w:t>34 -</w:t>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has made the same agreement relating to such Note as the Purchasers have made in this Section 14.2.</w:t>
      </w:r>
    </w:p>
    <w:p>
      <w:pPr>
        <w:spacing w:after="0" w:line="17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9"/>
          <w:szCs w:val="19"/>
          <w:b w:val="1"/>
          <w:bCs w:val="1"/>
          <w:color w:val="auto"/>
        </w:rPr>
        <w:t>FATCA Information</w:t>
      </w:r>
      <w:r>
        <w:rPr>
          <w:rFonts w:ascii="Arial" w:cs="Arial" w:eastAsia="Arial" w:hAnsi="Arial"/>
          <w:sz w:val="19"/>
          <w:szCs w:val="19"/>
          <w:color w:val="auto"/>
        </w:rPr>
        <w:t>.</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By acceptance of any Note, the holder of such Note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w:t>
      </w:r>
    </w:p>
    <w:p>
      <w:pPr>
        <w:jc w:val="both"/>
        <w:spacing w:after="0" w:line="292" w:lineRule="auto"/>
        <w:rPr>
          <w:sz w:val="20"/>
          <w:szCs w:val="20"/>
          <w:color w:val="auto"/>
        </w:rPr>
      </w:pPr>
      <w:r>
        <w:rPr>
          <w:rFonts w:ascii="Arial" w:cs="Arial" w:eastAsia="Arial" w:hAnsi="Arial"/>
          <w:sz w:val="19"/>
          <w:szCs w:val="19"/>
          <w:color w:val="auto"/>
        </w:rPr>
        <w:t>(3)(C)(i)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w:t>
      </w:r>
    </w:p>
    <w:p>
      <w:pPr>
        <w:spacing w:after="0" w:line="145"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8"/>
          <w:szCs w:val="18"/>
          <w:b w:val="1"/>
          <w:bCs w:val="1"/>
          <w:color w:val="auto"/>
        </w:rPr>
        <w:t>Expenses, Etc.</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8"/>
          <w:szCs w:val="18"/>
          <w:b w:val="1"/>
          <w:bCs w:val="1"/>
          <w:color w:val="auto"/>
        </w:rPr>
        <w:t>Transaction Expenses</w:t>
      </w:r>
    </w:p>
    <w:p>
      <w:pPr>
        <w:spacing w:after="0" w:line="185" w:lineRule="exact"/>
        <w:rPr>
          <w:sz w:val="20"/>
          <w:szCs w:val="20"/>
          <w:color w:val="auto"/>
        </w:rPr>
      </w:pPr>
    </w:p>
    <w:p>
      <w:pPr>
        <w:jc w:val="both"/>
        <w:ind w:firstLine="656"/>
        <w:spacing w:after="0" w:line="242" w:lineRule="auto"/>
        <w:tabs>
          <w:tab w:leader="none" w:pos="769" w:val="left"/>
        </w:tabs>
        <w:numPr>
          <w:ilvl w:val="0"/>
          <w:numId w:val="96"/>
        </w:numPr>
        <w:rPr>
          <w:rFonts w:ascii="Arial" w:cs="Arial" w:eastAsia="Arial" w:hAnsi="Arial"/>
          <w:sz w:val="19"/>
          <w:szCs w:val="19"/>
          <w:i w:val="1"/>
          <w:iCs w:val="1"/>
          <w:color w:val="auto"/>
        </w:rPr>
      </w:pPr>
      <w:r>
        <w:rPr>
          <w:rFonts w:ascii="Arial" w:cs="Arial" w:eastAsia="Arial" w:hAnsi="Arial"/>
          <w:sz w:val="19"/>
          <w:szCs w:val="19"/>
          <w:color w:val="auto"/>
        </w:rPr>
        <w:t xml:space="preserve">Whether or not the transactions contemplated hereby are consummated, the Company will pay all costs and expenses (including reasonable attorneys’ fees of a special counsel and, if reasonably required by the Required Holders, local or other counsel) incurred by the Purchasers and each other holder of a Note in connection with such transactions and in connection with any amendments, waivers or consents under or in respect of this Agreement, any Subsidiary Guaranty or the Notes (whether or not such amendment, waiver or consent becomes effective), including: (a) the costs and expenses incurred in enforcing or defending (or determining whether or how to enforce or defend) any rights under this Agreement, any Subsidiary Guaranty or the Notes or in responding to any subpoena or other legal process or informal investigative demand issued in connection with this Agreement, any Subsidiary Guaranty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Subsidiary Guaranty and (c) the costs and expenses incurred in connection with the initial filing of this Agreement and all related documents and financial information with the SVO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costs and expenses under this clause (c) shall not exceed $3,500. If required by the NAIC, the Company shall obtain and maintain at its own cost and expense a Legal Entity Identifier (LEI).</w:t>
      </w:r>
    </w:p>
    <w:p>
      <w:pPr>
        <w:spacing w:after="0" w:line="16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01" w:right="339" w:bottom="1440" w:gutter="0" w:footer="0" w:header="0"/>
        </w:sectPr>
      </w:pPr>
    </w:p>
    <w:bookmarkStart w:id="92" w:name="page93"/>
    <w:bookmarkEnd w:id="92"/>
    <w:p>
      <w:pPr>
        <w:jc w:val="both"/>
        <w:spacing w:after="0" w:line="298" w:lineRule="auto"/>
        <w:rPr>
          <w:sz w:val="20"/>
          <w:szCs w:val="20"/>
          <w:color w:val="auto"/>
        </w:rPr>
      </w:pPr>
      <w:r>
        <w:rPr>
          <w:rFonts w:ascii="Arial" w:cs="Arial" w:eastAsia="Arial" w:hAnsi="Arial"/>
          <w:sz w:val="19"/>
          <w:szCs w:val="19"/>
          <w:color w:val="auto"/>
        </w:rPr>
        <w:t>claim, order, decree, fine, penalty, cost, fee, expense (including reasonable attorneys’ fees and expenses) or obligation resulting from the consummation of the transactions contemplated hereby, including the use of the proceeds of the Notes by the Company.</w:t>
      </w:r>
    </w:p>
    <w:p>
      <w:pPr>
        <w:spacing w:after="0" w:line="9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Certain Taxes</w:t>
      </w:r>
      <w:r>
        <w:rPr>
          <w:rFonts w:ascii="Arial" w:cs="Arial" w:eastAsia="Arial" w:hAnsi="Arial"/>
          <w:sz w:val="19"/>
          <w:szCs w:val="19"/>
          <w:color w:val="auto"/>
        </w:rPr>
        <w:t>.</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Company agrees to pay all stamp, documentary or similar taxes or fees which may be payable in respect of the execution and delivery or the enforcement of this Agreement or any Subsidiary Guaranty or the execution and delivery (but not the transfer) or the enforcement of any of the Notes in the United States or any other jurisdiction where the Company or any Subsidiary Guarantor has assets or of any amendment of, or waiver or consent under or with respect to, this Agreement or any Subsidiary Guaranty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15.3</w:t>
      </w:r>
      <w:r>
        <w:rPr>
          <w:sz w:val="20"/>
          <w:szCs w:val="20"/>
          <w:color w:val="auto"/>
        </w:rPr>
        <w:tab/>
      </w:r>
      <w:r>
        <w:rPr>
          <w:rFonts w:ascii="Arial" w:cs="Arial" w:eastAsia="Arial" w:hAnsi="Arial"/>
          <w:sz w:val="19"/>
          <w:szCs w:val="19"/>
          <w:b w:val="1"/>
          <w:bCs w:val="1"/>
          <w:color w:val="auto"/>
        </w:rPr>
        <w:t>Survival</w:t>
      </w:r>
    </w:p>
    <w:p>
      <w:pPr>
        <w:spacing w:after="0" w:line="185" w:lineRule="exact"/>
        <w:rPr>
          <w:sz w:val="20"/>
          <w:szCs w:val="20"/>
          <w:color w:val="auto"/>
        </w:rPr>
      </w:pPr>
    </w:p>
    <w:p>
      <w:pPr>
        <w:jc w:val="both"/>
        <w:ind w:firstLine="656"/>
        <w:spacing w:after="0" w:line="223" w:lineRule="auto"/>
        <w:tabs>
          <w:tab w:leader="none" w:pos="756" w:val="left"/>
        </w:tabs>
        <w:numPr>
          <w:ilvl w:val="0"/>
          <w:numId w:val="97"/>
        </w:numPr>
        <w:rPr>
          <w:rFonts w:ascii="Arial" w:cs="Arial" w:eastAsia="Arial" w:hAnsi="Arial"/>
          <w:sz w:val="22"/>
          <w:szCs w:val="22"/>
          <w:i w:val="1"/>
          <w:iCs w:val="1"/>
          <w:color w:val="auto"/>
        </w:rPr>
      </w:pPr>
      <w:r>
        <w:rPr>
          <w:rFonts w:ascii="Arial" w:cs="Arial" w:eastAsia="Arial" w:hAnsi="Arial"/>
          <w:sz w:val="22"/>
          <w:szCs w:val="22"/>
          <w:color w:val="auto"/>
        </w:rPr>
        <w:t>The obligations of the Company under this Section 15 will survive the payment or transfer of any Note, the enforcement, amendment or waiver of any provision of this Agreement, any Subsidiary Guaranty or the Notes, and the termination of this Agreement.</w:t>
      </w:r>
    </w:p>
    <w:p>
      <w:pPr>
        <w:spacing w:after="0" w:line="153"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color w:val="auto"/>
        </w:rPr>
        <w:t>Survival of Representations and Warranties; Entire Agreement.</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Guarantees embody the entire agreement and understanding between each Purchaser and the Company and supersede all prior agreements and understandings relating to the subject matter hereof.</w:t>
      </w:r>
    </w:p>
    <w:p>
      <w:pPr>
        <w:spacing w:after="0" w:line="150"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color w:val="auto"/>
        </w:rPr>
        <w:t>Amendment and Waiver.</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9"/>
          <w:szCs w:val="19"/>
          <w:b w:val="1"/>
          <w:bCs w:val="1"/>
          <w:color w:val="auto"/>
        </w:rPr>
        <w:t>Requirements</w:t>
      </w:r>
    </w:p>
    <w:p>
      <w:pPr>
        <w:spacing w:after="0" w:line="185" w:lineRule="exact"/>
        <w:rPr>
          <w:sz w:val="20"/>
          <w:szCs w:val="20"/>
          <w:color w:val="auto"/>
        </w:rPr>
      </w:pPr>
    </w:p>
    <w:p>
      <w:pPr>
        <w:ind w:firstLine="656"/>
        <w:spacing w:after="0" w:line="298" w:lineRule="auto"/>
        <w:tabs>
          <w:tab w:leader="none" w:pos="756"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This Agreement and the Notes may be amended, and the observance of any term hereof or of the Notes may be waived (either retroactively or prospectively), only with the written consent of the Company and the Required Holders, except that:</w:t>
      </w:r>
    </w:p>
    <w:p>
      <w:pPr>
        <w:spacing w:after="0" w:line="105" w:lineRule="exact"/>
        <w:rPr>
          <w:sz w:val="20"/>
          <w:szCs w:val="20"/>
          <w:color w:val="auto"/>
        </w:rPr>
      </w:pPr>
    </w:p>
    <w:p>
      <w:pPr>
        <w:ind w:firstLine="656"/>
        <w:spacing w:after="0" w:line="232" w:lineRule="auto"/>
        <w:tabs>
          <w:tab w:leader="none" w:pos="944"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 amendment or waiver of any of Sections 1, 2, 3, 4, 5, 6 or 21 hereof, or any defined term (as it is used therein), will be effective as to any Purchaser unless consented to by such Purchaser in writing;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left="5520" w:hanging="130"/>
        <w:spacing w:after="0"/>
        <w:tabs>
          <w:tab w:leader="none" w:pos="5520" w:val="left"/>
        </w:tabs>
        <w:numPr>
          <w:ilvl w:val="1"/>
          <w:numId w:val="99"/>
        </w:numPr>
        <w:rPr>
          <w:rFonts w:ascii="Arial" w:cs="Arial" w:eastAsia="Arial" w:hAnsi="Arial"/>
          <w:sz w:val="22"/>
          <w:szCs w:val="22"/>
          <w:color w:val="auto"/>
        </w:rPr>
      </w:pPr>
      <w:r>
        <w:rPr>
          <w:rFonts w:ascii="Arial" w:cs="Arial" w:eastAsia="Arial" w:hAnsi="Arial"/>
          <w:sz w:val="22"/>
          <w:szCs w:val="22"/>
          <w:color w:val="auto"/>
        </w:rPr>
        <w:t>36 -</w:t>
      </w:r>
    </w:p>
    <w:p>
      <w:pPr>
        <w:sectPr>
          <w:pgSz w:w="11900" w:h="16838" w:orient="portrait"/>
          <w:cols w:equalWidth="0" w:num="1">
            <w:col w:w="11240"/>
          </w:cols>
          <w:pgMar w:left="320" w:top="1401" w:right="339" w:bottom="1440" w:gutter="0" w:footer="0" w:header="0"/>
        </w:sectPr>
      </w:pPr>
    </w:p>
    <w:bookmarkStart w:id="93" w:name="page94"/>
    <w:bookmarkEnd w:id="93"/>
    <w:p>
      <w:pPr>
        <w:jc w:val="both"/>
        <w:ind w:left="-656" w:firstLine="656"/>
        <w:spacing w:after="0" w:line="214" w:lineRule="auto"/>
        <w:tabs>
          <w:tab w:leader="none" w:pos="30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Make-Whole Amount, (ii) change the percentage of the principal amount of the Notes the holders of which are required to consent to any amendment or waiver, or (iii) amend any of Sections 8 (except as set forth in the second sentence of Section 8.2), 11(a), 11(b), 12, 17 or 20.</w:t>
      </w:r>
    </w:p>
    <w:p>
      <w:pPr>
        <w:spacing w:after="0" w:line="153"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Solicitation of Holders of Notes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p>
    <w:p>
      <w:pPr>
        <w:spacing w:after="0" w:line="179" w:lineRule="exact"/>
        <w:rPr>
          <w:sz w:val="20"/>
          <w:szCs w:val="20"/>
          <w:color w:val="auto"/>
        </w:rPr>
      </w:pPr>
    </w:p>
    <w:p>
      <w:pPr>
        <w:jc w:val="both"/>
        <w:ind w:left="4" w:firstLine="644"/>
        <w:spacing w:after="0" w:line="249" w:lineRule="auto"/>
        <w:tabs>
          <w:tab w:leader="none" w:pos="1295" w:val="left"/>
        </w:tabs>
        <w:numPr>
          <w:ilvl w:val="0"/>
          <w:numId w:val="101"/>
        </w:numPr>
        <w:rPr>
          <w:rFonts w:ascii="Arial" w:cs="Arial" w:eastAsia="Arial" w:hAnsi="Arial"/>
          <w:sz w:val="19"/>
          <w:szCs w:val="19"/>
          <w:color w:val="auto"/>
        </w:rPr>
      </w:pPr>
      <w:r>
        <w:rPr>
          <w:rFonts w:ascii="Arial" w:cs="Arial" w:eastAsia="Arial" w:hAnsi="Arial"/>
          <w:sz w:val="19"/>
          <w:szCs w:val="19"/>
          <w:i w:val="1"/>
          <w:iCs w:val="1"/>
          <w:color w:val="auto"/>
        </w:rPr>
        <w:t xml:space="preserve">Solicitation. </w:t>
      </w:r>
      <w:r>
        <w:rPr>
          <w:rFonts w:ascii="Arial" w:cs="Arial" w:eastAsia="Arial" w:hAnsi="Arial"/>
          <w:sz w:val="19"/>
          <w:szCs w:val="19"/>
          <w:color w:val="auto"/>
        </w:rPr>
        <w:t>The Company will provide each holder of a Note with sufficient information, sufficiently far</w:t>
      </w:r>
      <w:r>
        <w:rPr>
          <w:rFonts w:ascii="Arial" w:cs="Arial" w:eastAsia="Arial" w:hAnsi="Arial"/>
          <w:sz w:val="19"/>
          <w:szCs w:val="19"/>
          <w:i w:val="1"/>
          <w:iCs w:val="1"/>
          <w:color w:val="auto"/>
        </w:rPr>
        <w:t xml:space="preserve"> </w:t>
      </w:r>
      <w:r>
        <w:rPr>
          <w:rFonts w:ascii="Arial" w:cs="Arial" w:eastAsia="Arial" w:hAnsi="Arial"/>
          <w:sz w:val="19"/>
          <w:szCs w:val="19"/>
          <w:color w:val="auto"/>
        </w:rPr>
        <w:t>in advance of the date a decision is required, to enable such holder to make an informed and considered decision with respect to any proposed amendment, waiver or consent in respect of any of the provisions hereof or of the Notes or any Subsidiary Guaranty. The Company will deliver executed or true and correct copies of each amendment, waiver or consent effected pursuant to this Section 17 or any Subsidiary Guaranty to each holder of a Note promptly following the date on which it is executed and delivered by, or receives the consent or approval of, the requisite holders of Notes.</w:t>
      </w:r>
    </w:p>
    <w:p>
      <w:pPr>
        <w:spacing w:after="0" w:line="151" w:lineRule="exact"/>
        <w:rPr>
          <w:rFonts w:ascii="Arial" w:cs="Arial" w:eastAsia="Arial" w:hAnsi="Arial"/>
          <w:sz w:val="19"/>
          <w:szCs w:val="19"/>
          <w:color w:val="auto"/>
        </w:rPr>
      </w:pPr>
    </w:p>
    <w:p>
      <w:pPr>
        <w:jc w:val="both"/>
        <w:ind w:left="4" w:firstLine="644"/>
        <w:spacing w:after="0" w:line="214" w:lineRule="auto"/>
        <w:tabs>
          <w:tab w:leader="none" w:pos="1295" w:val="left"/>
        </w:tabs>
        <w:numPr>
          <w:ilvl w:val="0"/>
          <w:numId w:val="101"/>
        </w:numPr>
        <w:rPr>
          <w:rFonts w:ascii="Arial" w:cs="Arial" w:eastAsia="Arial" w:hAnsi="Arial"/>
          <w:sz w:val="22"/>
          <w:szCs w:val="22"/>
          <w:color w:val="auto"/>
        </w:rPr>
      </w:pPr>
      <w:r>
        <w:rPr>
          <w:rFonts w:ascii="Arial" w:cs="Arial" w:eastAsia="Arial" w:hAnsi="Arial"/>
          <w:sz w:val="22"/>
          <w:szCs w:val="22"/>
          <w:i w:val="1"/>
          <w:iCs w:val="1"/>
          <w:color w:val="auto"/>
        </w:rPr>
        <w:t xml:space="preserve">Offer of Payment. </w:t>
      </w:r>
      <w:r>
        <w:rPr>
          <w:rFonts w:ascii="Arial" w:cs="Arial" w:eastAsia="Arial" w:hAnsi="Arial"/>
          <w:sz w:val="22"/>
          <w:szCs w:val="22"/>
          <w:color w:val="auto"/>
        </w:rPr>
        <w:t>The Company will not offer to pay any remuneration, whether by way of supplemental</w:t>
      </w:r>
      <w:r>
        <w:rPr>
          <w:rFonts w:ascii="Arial" w:cs="Arial" w:eastAsia="Arial" w:hAnsi="Arial"/>
          <w:sz w:val="22"/>
          <w:szCs w:val="22"/>
          <w:i w:val="1"/>
          <w:iCs w:val="1"/>
          <w:color w:val="auto"/>
        </w:rPr>
        <w:t xml:space="preserve"> </w:t>
      </w:r>
      <w:r>
        <w:rPr>
          <w:rFonts w:ascii="Arial" w:cs="Arial" w:eastAsia="Arial" w:hAnsi="Arial"/>
          <w:sz w:val="22"/>
          <w:szCs w:val="22"/>
          <w:color w:val="auto"/>
        </w:rPr>
        <w:t>or additional interest, fee or otherwise, or grant any security or provide other credit support, to any holder of a Note as consideration for or as an inducement to the entering into by such holder of any waiver or amendment of any of the terms and provisions hereof or of any Subsidiary Guaranty or any Note unless such remuneration is concurrently offered or security is concurrently granted or other credit support concurrently provided, on the same terms, ratably to each holder of a Note then outstanding</w:t>
      </w:r>
    </w:p>
    <w:p>
      <w:pPr>
        <w:spacing w:after="0" w:line="158" w:lineRule="exact"/>
        <w:rPr>
          <w:rFonts w:ascii="Arial" w:cs="Arial" w:eastAsia="Arial" w:hAnsi="Arial"/>
          <w:sz w:val="22"/>
          <w:szCs w:val="22"/>
          <w:color w:val="auto"/>
        </w:rPr>
      </w:pPr>
    </w:p>
    <w:p>
      <w:pPr>
        <w:jc w:val="both"/>
        <w:ind w:left="4" w:firstLine="644"/>
        <w:spacing w:after="0" w:line="246" w:lineRule="auto"/>
        <w:tabs>
          <w:tab w:leader="none" w:pos="1295" w:val="left"/>
        </w:tabs>
        <w:numPr>
          <w:ilvl w:val="0"/>
          <w:numId w:val="101"/>
        </w:numPr>
        <w:rPr>
          <w:rFonts w:ascii="Arial" w:cs="Arial" w:eastAsia="Arial" w:hAnsi="Arial"/>
          <w:sz w:val="19"/>
          <w:szCs w:val="19"/>
          <w:color w:val="auto"/>
        </w:rPr>
      </w:pPr>
      <w:r>
        <w:rPr>
          <w:rFonts w:ascii="Arial" w:cs="Arial" w:eastAsia="Arial" w:hAnsi="Arial"/>
          <w:sz w:val="19"/>
          <w:szCs w:val="19"/>
          <w:i w:val="1"/>
          <w:iCs w:val="1"/>
          <w:color w:val="auto"/>
        </w:rPr>
        <w:t xml:space="preserve">Consent in Contemplation of Transfer. </w:t>
      </w:r>
      <w:r>
        <w:rPr>
          <w:rFonts w:ascii="Arial" w:cs="Arial" w:eastAsia="Arial" w:hAnsi="Arial"/>
          <w:sz w:val="19"/>
          <w:szCs w:val="19"/>
          <w:color w:val="auto"/>
        </w:rPr>
        <w:t>Any consent given pursuant to this Section 17 or any Subsidiary</w:t>
      </w:r>
      <w:r>
        <w:rPr>
          <w:rFonts w:ascii="Arial" w:cs="Arial" w:eastAsia="Arial" w:hAnsi="Arial"/>
          <w:sz w:val="19"/>
          <w:szCs w:val="19"/>
          <w:i w:val="1"/>
          <w:iCs w:val="1"/>
          <w:color w:val="auto"/>
        </w:rPr>
        <w:t xml:space="preserve"> </w:t>
      </w:r>
      <w:r>
        <w:rPr>
          <w:rFonts w:ascii="Arial" w:cs="Arial" w:eastAsia="Arial" w:hAnsi="Arial"/>
          <w:sz w:val="19"/>
          <w:szCs w:val="19"/>
          <w:color w:val="auto"/>
        </w:rPr>
        <w:t>Guaranty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spacing w:after="0" w:line="146" w:lineRule="exact"/>
        <w:rPr>
          <w:sz w:val="20"/>
          <w:szCs w:val="20"/>
          <w:color w:val="auto"/>
        </w:rPr>
      </w:pPr>
    </w:p>
    <w:p>
      <w:pPr>
        <w:ind w:left="4"/>
        <w:spacing w:after="0"/>
        <w:tabs>
          <w:tab w:leader="none" w:pos="1384"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9"/>
          <w:szCs w:val="19"/>
          <w:b w:val="1"/>
          <w:bCs w:val="1"/>
          <w:color w:val="auto"/>
        </w:rPr>
        <w:t>Binding Effect, Etc</w:t>
      </w:r>
    </w:p>
    <w:p>
      <w:pPr>
        <w:spacing w:after="0" w:line="185" w:lineRule="exact"/>
        <w:rPr>
          <w:sz w:val="20"/>
          <w:szCs w:val="20"/>
          <w:color w:val="auto"/>
        </w:rPr>
      </w:pPr>
    </w:p>
    <w:p>
      <w:pPr>
        <w:jc w:val="both"/>
        <w:ind w:left="-656" w:firstLine="656"/>
        <w:spacing w:after="0" w:line="249" w:lineRule="auto"/>
        <w:tabs>
          <w:tab w:leader="none" w:pos="100" w:val="left"/>
        </w:tabs>
        <w:numPr>
          <w:ilvl w:val="0"/>
          <w:numId w:val="102"/>
        </w:numPr>
        <w:rPr>
          <w:rFonts w:ascii="Arial" w:cs="Arial" w:eastAsia="Arial" w:hAnsi="Arial"/>
          <w:sz w:val="19"/>
          <w:szCs w:val="19"/>
          <w:i w:val="1"/>
          <w:iCs w:val="1"/>
          <w:color w:val="auto"/>
        </w:rPr>
      </w:pPr>
      <w:r>
        <w:rPr>
          <w:rFonts w:ascii="Arial" w:cs="Arial" w:eastAsia="Arial" w:hAnsi="Arial"/>
          <w:sz w:val="19"/>
          <w:szCs w:val="19"/>
          <w:color w:val="auto"/>
        </w:rPr>
        <w:t>Any amendment or waiver consented to as provided in this Section 17 or any Subsidiary Guaranty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Note and no delay in exercising any rights hereunder or under any Note or Subsidiary Guaranty shall operate as a waiver of any rights of any holder of such Note.</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18" w:lineRule="exact"/>
        <w:rPr>
          <w:rFonts w:ascii="Arial" w:cs="Arial" w:eastAsia="Arial" w:hAnsi="Arial"/>
          <w:sz w:val="19"/>
          <w:szCs w:val="19"/>
          <w:i w:val="1"/>
          <w:iCs w:val="1"/>
          <w:color w:val="auto"/>
        </w:rPr>
      </w:pPr>
    </w:p>
    <w:p>
      <w:pPr>
        <w:ind w:left="4864" w:hanging="130"/>
        <w:spacing w:after="0"/>
        <w:tabs>
          <w:tab w:leader="none" w:pos="486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37 -</w:t>
      </w:r>
    </w:p>
    <w:p>
      <w:pPr>
        <w:sectPr>
          <w:pgSz w:w="11900" w:h="16838" w:orient="portrait"/>
          <w:cols w:equalWidth="0" w:num="1">
            <w:col w:w="10584"/>
          </w:cols>
          <w:pgMar w:left="976" w:top="1401" w:right="339" w:bottom="1440" w:gutter="0" w:footer="0" w:header="0"/>
        </w:sectPr>
      </w:pPr>
    </w:p>
    <w:bookmarkStart w:id="94" w:name="page95"/>
    <w:bookmarkEnd w:id="94"/>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Notes Held by Company, Etc</w:t>
      </w:r>
    </w:p>
    <w:p>
      <w:pPr>
        <w:spacing w:after="0" w:line="185" w:lineRule="exact"/>
        <w:rPr>
          <w:sz w:val="20"/>
          <w:szCs w:val="20"/>
          <w:color w:val="auto"/>
        </w:rPr>
      </w:pPr>
    </w:p>
    <w:p>
      <w:pPr>
        <w:jc w:val="both"/>
        <w:ind w:firstLine="656"/>
        <w:spacing w:after="0" w:line="252" w:lineRule="auto"/>
        <w:tabs>
          <w:tab w:leader="none" w:pos="756" w:val="left"/>
        </w:tabs>
        <w:numPr>
          <w:ilvl w:val="0"/>
          <w:numId w:val="103"/>
        </w:numPr>
        <w:rPr>
          <w:rFonts w:ascii="Arial" w:cs="Arial" w:eastAsia="Arial" w:hAnsi="Arial"/>
          <w:sz w:val="19"/>
          <w:szCs w:val="19"/>
          <w:i w:val="1"/>
          <w:iCs w:val="1"/>
          <w:color w:val="auto"/>
        </w:rPr>
      </w:pPr>
      <w:r>
        <w:rPr>
          <w:rFonts w:ascii="Arial" w:cs="Arial" w:eastAsia="Arial" w:hAnsi="Arial"/>
          <w:sz w:val="19"/>
          <w:szCs w:val="19"/>
          <w:color w:val="auto"/>
        </w:rPr>
        <w:t>Solely for the purpose of determining whether the holders of the requisite percentage of the aggregate principal amount of Notes then outstanding approved or consented to any amendment, waiver or consent to be given under this Agreement, any Subsidiary Guaranty or the Notes, or have directed the taking of any action provided herein or in any Subsidiary Guaranty or in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143"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18"/>
          <w:szCs w:val="18"/>
          <w:b w:val="1"/>
          <w:bCs w:val="1"/>
          <w:color w:val="auto"/>
        </w:rPr>
        <w:t>Notices.</w:t>
      </w:r>
    </w:p>
    <w:p>
      <w:pPr>
        <w:spacing w:after="0" w:line="212" w:lineRule="exact"/>
        <w:rPr>
          <w:sz w:val="20"/>
          <w:szCs w:val="20"/>
          <w:color w:val="auto"/>
        </w:rPr>
      </w:pPr>
    </w:p>
    <w:p>
      <w:pPr>
        <w:ind w:right="20" w:firstLine="657"/>
        <w:spacing w:after="0" w:line="248" w:lineRule="auto"/>
        <w:rPr>
          <w:sz w:val="20"/>
          <w:szCs w:val="20"/>
          <w:color w:val="auto"/>
        </w:rPr>
      </w:pPr>
      <w:r>
        <w:rPr>
          <w:rFonts w:ascii="Arial" w:cs="Arial" w:eastAsia="Arial" w:hAnsi="Arial"/>
          <w:sz w:val="22"/>
          <w:szCs w:val="22"/>
          <w:color w:val="auto"/>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or (b) by registered or certified mail with return receipt requested (postage prepaid), or (c) by an internationally recognized overnight delivery service (with charges prepaid). Any such notice must be sent:</w:t>
      </w:r>
    </w:p>
    <w:p>
      <w:pPr>
        <w:spacing w:after="0" w:line="232" w:lineRule="exact"/>
        <w:rPr>
          <w:sz w:val="20"/>
          <w:szCs w:val="20"/>
          <w:color w:val="auto"/>
        </w:rPr>
      </w:pPr>
    </w:p>
    <w:p>
      <w:pPr>
        <w:ind w:left="1940" w:right="60" w:hanging="641"/>
        <w:spacing w:after="0" w:line="253" w:lineRule="auto"/>
        <w:tabs>
          <w:tab w:leader="none" w:pos="192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to any Purchaser or its nominee, to such Purchaser or nominee at the address specified for such communications in Schedule A, or at such other address as such Purchaser or nominee shall have specified to U.S. Bank in writing,</w:t>
      </w:r>
    </w:p>
    <w:p>
      <w:pPr>
        <w:spacing w:after="0" w:line="212" w:lineRule="exact"/>
        <w:rPr>
          <w:rFonts w:ascii="Arial" w:cs="Arial" w:eastAsia="Arial" w:hAnsi="Arial"/>
          <w:sz w:val="22"/>
          <w:szCs w:val="22"/>
          <w:color w:val="auto"/>
        </w:rPr>
      </w:pPr>
    </w:p>
    <w:p>
      <w:pPr>
        <w:ind w:left="1940" w:right="160" w:hanging="641"/>
        <w:spacing w:after="0" w:line="263" w:lineRule="auto"/>
        <w:tabs>
          <w:tab w:leader="none" w:pos="193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to any other holder of any Note, to such holder at such address as such other holder shall have specified to U.S. Bank in writing,</w:t>
      </w:r>
    </w:p>
    <w:p>
      <w:pPr>
        <w:spacing w:after="0" w:line="201" w:lineRule="exact"/>
        <w:rPr>
          <w:rFonts w:ascii="Arial" w:cs="Arial" w:eastAsia="Arial" w:hAnsi="Arial"/>
          <w:sz w:val="22"/>
          <w:szCs w:val="22"/>
          <w:color w:val="auto"/>
        </w:rPr>
      </w:pPr>
    </w:p>
    <w:p>
      <w:pPr>
        <w:ind w:left="1940" w:right="200" w:hanging="641"/>
        <w:spacing w:after="0" w:line="253" w:lineRule="auto"/>
        <w:tabs>
          <w:tab w:leader="none" w:pos="194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to the Company, to the Company at its address set forth at the beginning hereof to the attention of its General Counsel, or at such other address as the Company shall have specified to the holder of each Note in writing, or</w:t>
      </w:r>
    </w:p>
    <w:p>
      <w:pPr>
        <w:spacing w:after="0" w:line="212" w:lineRule="exact"/>
        <w:rPr>
          <w:rFonts w:ascii="Arial" w:cs="Arial" w:eastAsia="Arial" w:hAnsi="Arial"/>
          <w:sz w:val="22"/>
          <w:szCs w:val="22"/>
          <w:color w:val="auto"/>
        </w:rPr>
      </w:pPr>
    </w:p>
    <w:p>
      <w:pPr>
        <w:ind w:left="1940" w:right="20" w:hanging="641"/>
        <w:spacing w:after="0" w:line="263" w:lineRule="auto"/>
        <w:tabs>
          <w:tab w:leader="none" w:pos="192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to U.S. Bank, to U.S. Bank at its address set forth below, or at such other address as U.S. Bank shall have specified to the holder of each Note in writing:</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U.S. Bank Global Corporate Trust Services – New York</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100 Wall Street, Suite 1600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New York, New York 10005</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Wendy Kumar – Vice President/ Josh Hahn – Vice President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Notices under this Section 18 will be deemed given only when actually received.</w:t>
      </w:r>
    </w:p>
    <w:p>
      <w:pPr>
        <w:spacing w:after="0" w:line="187"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19.</w:t>
      </w:r>
      <w:r>
        <w:rPr>
          <w:sz w:val="20"/>
          <w:szCs w:val="20"/>
          <w:color w:val="auto"/>
        </w:rPr>
        <w:tab/>
      </w:r>
      <w:r>
        <w:rPr>
          <w:rFonts w:ascii="Arial" w:cs="Arial" w:eastAsia="Arial" w:hAnsi="Arial"/>
          <w:sz w:val="19"/>
          <w:szCs w:val="19"/>
          <w:b w:val="1"/>
          <w:bCs w:val="1"/>
          <w:color w:val="auto"/>
        </w:rPr>
        <w:t>Reproduction of Documents.</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Agreement and all documents relating thereto, including (a) consents, waivers and modifications that may hereafter be executed, (b) documents received by any Purchaser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395" w:right="339" w:bottom="1440" w:gutter="0" w:footer="0" w:header="0"/>
        </w:sectPr>
      </w:pPr>
    </w:p>
    <w:bookmarkStart w:id="95" w:name="page96"/>
    <w:bookmarkEnd w:id="95"/>
    <w:p>
      <w:pPr>
        <w:jc w:val="both"/>
        <w:spacing w:after="0" w:line="259" w:lineRule="auto"/>
        <w:rPr>
          <w:sz w:val="20"/>
          <w:szCs w:val="20"/>
          <w:color w:val="auto"/>
        </w:rPr>
      </w:pPr>
      <w:r>
        <w:rPr>
          <w:rFonts w:ascii="Arial" w:cs="Arial" w:eastAsia="Arial" w:hAnsi="Arial"/>
          <w:sz w:val="21"/>
          <w:szCs w:val="21"/>
          <w:color w:val="auto"/>
        </w:rPr>
        <w:t>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w:t>
      </w:r>
    </w:p>
    <w:p>
      <w:pPr>
        <w:spacing w:after="0" w:line="146"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20.</w:t>
      </w:r>
      <w:r>
        <w:rPr>
          <w:sz w:val="20"/>
          <w:szCs w:val="20"/>
          <w:color w:val="auto"/>
        </w:rPr>
        <w:tab/>
      </w:r>
      <w:r>
        <w:rPr>
          <w:rFonts w:ascii="Arial" w:cs="Arial" w:eastAsia="Arial" w:hAnsi="Arial"/>
          <w:sz w:val="19"/>
          <w:szCs w:val="19"/>
          <w:b w:val="1"/>
          <w:bCs w:val="1"/>
          <w:color w:val="auto"/>
        </w:rPr>
        <w:t>Confidential Information.</w:t>
      </w:r>
    </w:p>
    <w:p>
      <w:pPr>
        <w:spacing w:after="0" w:line="20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For the purposes of this Section 20,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w:t>
      </w:r>
    </w:p>
    <w:p>
      <w:pPr>
        <w:spacing w:after="0" w:line="1" w:lineRule="exact"/>
        <w:rPr>
          <w:sz w:val="20"/>
          <w:szCs w:val="20"/>
          <w:color w:val="auto"/>
        </w:rPr>
      </w:pPr>
    </w:p>
    <w:p>
      <w:pPr>
        <w:jc w:val="both"/>
        <w:ind w:firstLine="8"/>
        <w:spacing w:after="0" w:line="245" w:lineRule="auto"/>
        <w:tabs>
          <w:tab w:leader="none" w:pos="36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ind w:left="5520" w:hanging="130"/>
        <w:spacing w:after="0"/>
        <w:tabs>
          <w:tab w:leader="none" w:pos="55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39 -</w:t>
      </w:r>
    </w:p>
    <w:p>
      <w:pPr>
        <w:sectPr>
          <w:pgSz w:w="11900" w:h="16838" w:orient="portrait"/>
          <w:cols w:equalWidth="0" w:num="1">
            <w:col w:w="11240"/>
          </w:cols>
          <w:pgMar w:left="320" w:top="1428" w:right="339" w:bottom="1440" w:gutter="0" w:footer="0" w:header="0"/>
        </w:sectPr>
      </w:pPr>
    </w:p>
    <w:bookmarkStart w:id="96" w:name="page97"/>
    <w:bookmarkEnd w:id="96"/>
    <w:p>
      <w:pPr>
        <w:jc w:val="both"/>
        <w:spacing w:after="0" w:line="260" w:lineRule="auto"/>
        <w:rPr>
          <w:sz w:val="20"/>
          <w:szCs w:val="20"/>
          <w:color w:val="auto"/>
        </w:rPr>
      </w:pPr>
      <w:r>
        <w:rPr>
          <w:rFonts w:ascii="Arial" w:cs="Arial" w:eastAsia="Arial" w:hAnsi="Arial"/>
          <w:sz w:val="21"/>
          <w:szCs w:val="21"/>
          <w:color w:val="auto"/>
        </w:rPr>
        <w:t>such Purchaser may reasonably determine such delivery and disclosure to be necessary or appropriate in the enforcement or for the protection of the rights and remedies under such Purchaser’s Notes, this Agreement or any Subsidiary Guaranty.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20.</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spacing w:after="0" w:line="114"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color w:val="auto"/>
        </w:rPr>
        <w:t>Substitution of Purchaser.</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Each Purchaser shall have the right to substitute any one of its Affiliates or another Purchaser or any one of such other Purchaser’s Affiliates (a </w:t>
      </w:r>
      <w:r>
        <w:rPr>
          <w:rFonts w:ascii="Arial" w:cs="Arial" w:eastAsia="Arial" w:hAnsi="Arial"/>
          <w:sz w:val="21"/>
          <w:szCs w:val="21"/>
          <w:b w:val="1"/>
          <w:bCs w:val="1"/>
          <w:color w:val="auto"/>
        </w:rPr>
        <w:t>“Substitute Purchaser”</w:t>
      </w:r>
      <w:r>
        <w:rPr>
          <w:rFonts w:ascii="Arial" w:cs="Arial" w:eastAsia="Arial" w:hAnsi="Arial"/>
          <w:sz w:val="21"/>
          <w:szCs w:val="21"/>
          <w:color w:val="auto"/>
        </w:rPr>
        <w:t>) as the purchaser of the Notes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w:t>
      </w:r>
    </w:p>
    <w:p>
      <w:pPr>
        <w:spacing w:after="0" w:line="158"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8"/>
          <w:szCs w:val="18"/>
          <w:b w:val="1"/>
          <w:bCs w:val="1"/>
          <w:color w:val="auto"/>
        </w:rPr>
        <w:t>Miscellaneous.</w:t>
      </w:r>
    </w:p>
    <w:p>
      <w:pPr>
        <w:spacing w:after="0" w:line="17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a.</w:t>
      </w:r>
      <w:r>
        <w:rPr>
          <w:sz w:val="20"/>
          <w:szCs w:val="20"/>
          <w:color w:val="auto"/>
        </w:rPr>
        <w:tab/>
      </w:r>
      <w:r>
        <w:rPr>
          <w:rFonts w:ascii="Arial" w:cs="Arial" w:eastAsia="Arial" w:hAnsi="Arial"/>
          <w:sz w:val="18"/>
          <w:szCs w:val="18"/>
          <w:b w:val="1"/>
          <w:bCs w:val="1"/>
          <w:color w:val="auto"/>
        </w:rPr>
        <w:t>Successors and Assigns</w:t>
      </w:r>
    </w:p>
    <w:p>
      <w:pPr>
        <w:spacing w:after="0" w:line="185" w:lineRule="exact"/>
        <w:rPr>
          <w:sz w:val="20"/>
          <w:szCs w:val="20"/>
          <w:color w:val="auto"/>
        </w:rPr>
      </w:pPr>
    </w:p>
    <w:p>
      <w:pPr>
        <w:jc w:val="both"/>
        <w:ind w:firstLine="656"/>
        <w:spacing w:after="0" w:line="226" w:lineRule="auto"/>
        <w:tabs>
          <w:tab w:leader="none" w:pos="769" w:val="left"/>
        </w:tabs>
        <w:numPr>
          <w:ilvl w:val="0"/>
          <w:numId w:val="106"/>
        </w:numPr>
        <w:rPr>
          <w:rFonts w:ascii="Arial" w:cs="Arial" w:eastAsia="Arial" w:hAnsi="Arial"/>
          <w:sz w:val="21"/>
          <w:szCs w:val="21"/>
          <w:i w:val="1"/>
          <w:iCs w:val="1"/>
          <w:color w:val="auto"/>
        </w:rPr>
      </w:pPr>
      <w:r>
        <w:rPr>
          <w:rFonts w:ascii="Arial" w:cs="Arial" w:eastAsia="Arial" w:hAnsi="Arial"/>
          <w:sz w:val="21"/>
          <w:szCs w:val="21"/>
          <w:color w:val="auto"/>
        </w:rPr>
        <w:t>All covenants and other agreements contained in this Agreement by or on behalf of any of the parties hereto bind and inure to the benefit of their respective successors and assigns (including any subsequent holder of a Note) whether so expressed or not, except that, subject to Section 10.2, the Company may not assign or otherwise transfer any of its rights or obligations hereunder or under the Notes without the prior written consent of each holder. Nothing in this Agreement, expressed or implied, shall be construed to confer upon any Person (other than the</w:t>
      </w: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25" w:lineRule="exact"/>
        <w:rPr>
          <w:rFonts w:ascii="Arial" w:cs="Arial" w:eastAsia="Arial" w:hAnsi="Arial"/>
          <w:sz w:val="21"/>
          <w:szCs w:val="21"/>
          <w:i w:val="1"/>
          <w:iCs w:val="1"/>
          <w:color w:val="auto"/>
        </w:rPr>
      </w:pPr>
    </w:p>
    <w:p>
      <w:pPr>
        <w:ind w:left="5520" w:hanging="130"/>
        <w:spacing w:after="0"/>
        <w:tabs>
          <w:tab w:leader="none" w:pos="552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40 -</w:t>
      </w:r>
    </w:p>
    <w:p>
      <w:pPr>
        <w:sectPr>
          <w:pgSz w:w="11900" w:h="16838" w:orient="portrait"/>
          <w:cols w:equalWidth="0" w:num="1">
            <w:col w:w="11240"/>
          </w:cols>
          <w:pgMar w:left="320" w:top="1428" w:right="339" w:bottom="1440" w:gutter="0" w:footer="0" w:header="0"/>
        </w:sectPr>
      </w:pPr>
    </w:p>
    <w:bookmarkStart w:id="97" w:name="page98"/>
    <w:bookmarkEnd w:id="97"/>
    <w:p>
      <w:pPr>
        <w:spacing w:after="0" w:line="232" w:lineRule="auto"/>
        <w:rPr>
          <w:sz w:val="20"/>
          <w:szCs w:val="20"/>
          <w:color w:val="auto"/>
        </w:rPr>
      </w:pPr>
      <w:r>
        <w:rPr>
          <w:rFonts w:ascii="Arial" w:cs="Arial" w:eastAsia="Arial" w:hAnsi="Arial"/>
          <w:sz w:val="22"/>
          <w:szCs w:val="22"/>
          <w:color w:val="auto"/>
        </w:rPr>
        <w:t>parties hereto and their respective successors and assigns permitted hereby) any legal or equitable rights, remedy or claim under or by reason of this Agreement.</w:t>
      </w:r>
    </w:p>
    <w:p>
      <w:pPr>
        <w:spacing w:after="0" w:line="15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b.</w:t>
      </w:r>
      <w:r>
        <w:rPr>
          <w:sz w:val="20"/>
          <w:szCs w:val="20"/>
          <w:color w:val="auto"/>
        </w:rPr>
        <w:tab/>
      </w:r>
      <w:r>
        <w:rPr>
          <w:rFonts w:ascii="Arial" w:cs="Arial" w:eastAsia="Arial" w:hAnsi="Arial"/>
          <w:sz w:val="19"/>
          <w:szCs w:val="19"/>
          <w:b w:val="1"/>
          <w:bCs w:val="1"/>
          <w:color w:val="auto"/>
        </w:rPr>
        <w:t>Accounting Terms</w:t>
      </w:r>
    </w:p>
    <w:p>
      <w:pPr>
        <w:spacing w:after="0" w:line="185" w:lineRule="exact"/>
        <w:rPr>
          <w:sz w:val="20"/>
          <w:szCs w:val="20"/>
          <w:color w:val="auto"/>
        </w:rPr>
      </w:pPr>
    </w:p>
    <w:p>
      <w:pPr>
        <w:jc w:val="both"/>
        <w:ind w:firstLine="656"/>
        <w:spacing w:after="0" w:line="246" w:lineRule="auto"/>
        <w:tabs>
          <w:tab w:leader="none" w:pos="783" w:val="left"/>
        </w:tabs>
        <w:numPr>
          <w:ilvl w:val="0"/>
          <w:numId w:val="107"/>
        </w:numPr>
        <w:rPr>
          <w:rFonts w:ascii="Arial" w:cs="Arial" w:eastAsia="Arial" w:hAnsi="Arial"/>
          <w:sz w:val="19"/>
          <w:szCs w:val="19"/>
          <w:i w:val="1"/>
          <w:iCs w:val="1"/>
          <w:color w:val="auto"/>
        </w:rPr>
      </w:pPr>
      <w:r>
        <w:rPr>
          <w:rFonts w:ascii="Arial" w:cs="Arial" w:eastAsia="Arial" w:hAnsi="Arial"/>
          <w:sz w:val="19"/>
          <w:szCs w:val="19"/>
          <w:color w:val="auto"/>
        </w:rPr>
        <w:t xml:space="preserve">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w:t>
      </w:r>
      <w:r>
        <w:rPr>
          <w:rFonts w:ascii="Arial" w:cs="Arial" w:eastAsia="Arial" w:hAnsi="Arial"/>
          <w:sz w:val="19"/>
          <w:szCs w:val="19"/>
          <w:i w:val="1"/>
          <w:iCs w:val="1"/>
          <w:color w:val="auto"/>
        </w:rPr>
        <w:t>Fair Value Option</w:t>
      </w:r>
      <w:r>
        <w:rPr>
          <w:rFonts w:ascii="Arial" w:cs="Arial" w:eastAsia="Arial" w:hAnsi="Arial"/>
          <w:sz w:val="19"/>
          <w:szCs w:val="19"/>
          <w:color w:val="auto"/>
        </w:rPr>
        <w:t xml:space="preserve">, International Accounting Standard 39 – </w:t>
      </w:r>
      <w:r>
        <w:rPr>
          <w:rFonts w:ascii="Arial" w:cs="Arial" w:eastAsia="Arial" w:hAnsi="Arial"/>
          <w:sz w:val="19"/>
          <w:szCs w:val="19"/>
          <w:i w:val="1"/>
          <w:iCs w:val="1"/>
          <w:color w:val="auto"/>
        </w:rPr>
        <w:t>Financial Instruments: Recognition and Measurement</w:t>
      </w:r>
      <w:r>
        <w:rPr>
          <w:rFonts w:ascii="Arial" w:cs="Arial" w:eastAsia="Arial" w:hAnsi="Arial"/>
          <w:sz w:val="19"/>
          <w:szCs w:val="19"/>
          <w:color w:val="auto"/>
        </w:rPr>
        <w:t xml:space="preserve"> or any similar accounting standard) shall be disregarded and such determination shall be made as if such election had not been made.</w:t>
      </w:r>
    </w:p>
    <w:p>
      <w:pPr>
        <w:spacing w:after="0" w:line="14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c.</w:t>
      </w:r>
      <w:r>
        <w:rPr>
          <w:sz w:val="20"/>
          <w:szCs w:val="20"/>
          <w:color w:val="auto"/>
        </w:rPr>
        <w:tab/>
      </w:r>
      <w:r>
        <w:rPr>
          <w:rFonts w:ascii="Arial" w:cs="Arial" w:eastAsia="Arial" w:hAnsi="Arial"/>
          <w:sz w:val="19"/>
          <w:szCs w:val="19"/>
          <w:b w:val="1"/>
          <w:bCs w:val="1"/>
          <w:color w:val="auto"/>
        </w:rPr>
        <w:t>Severability</w:t>
      </w:r>
    </w:p>
    <w:p>
      <w:pPr>
        <w:spacing w:after="0" w:line="185" w:lineRule="exact"/>
        <w:rPr>
          <w:sz w:val="20"/>
          <w:szCs w:val="20"/>
          <w:color w:val="auto"/>
        </w:rPr>
      </w:pPr>
    </w:p>
    <w:p>
      <w:pPr>
        <w:jc w:val="both"/>
        <w:ind w:firstLine="656"/>
        <w:spacing w:after="0" w:line="218" w:lineRule="auto"/>
        <w:tabs>
          <w:tab w:leader="none" w:pos="756" w:val="left"/>
        </w:tabs>
        <w:numPr>
          <w:ilvl w:val="0"/>
          <w:numId w:val="108"/>
        </w:numPr>
        <w:rPr>
          <w:rFonts w:ascii="Arial" w:cs="Arial" w:eastAsia="Arial" w:hAnsi="Arial"/>
          <w:sz w:val="22"/>
          <w:szCs w:val="22"/>
          <w:i w:val="1"/>
          <w:iCs w:val="1"/>
          <w:color w:val="auto"/>
        </w:rPr>
      </w:pPr>
      <w:r>
        <w:rPr>
          <w:rFonts w:ascii="Arial" w:cs="Arial" w:eastAsia="Arial" w:hAnsi="Arial"/>
          <w:sz w:val="22"/>
          <w:szCs w:val="22"/>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5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d.</w:t>
      </w:r>
      <w:r>
        <w:rPr>
          <w:sz w:val="20"/>
          <w:szCs w:val="20"/>
          <w:color w:val="auto"/>
        </w:rPr>
        <w:tab/>
      </w:r>
      <w:r>
        <w:rPr>
          <w:rFonts w:ascii="Arial" w:cs="Arial" w:eastAsia="Arial" w:hAnsi="Arial"/>
          <w:sz w:val="19"/>
          <w:szCs w:val="19"/>
          <w:b w:val="1"/>
          <w:bCs w:val="1"/>
          <w:color w:val="auto"/>
        </w:rPr>
        <w:t>Construction, Etc</w:t>
      </w:r>
    </w:p>
    <w:p>
      <w:pPr>
        <w:spacing w:after="0" w:line="185" w:lineRule="exact"/>
        <w:rPr>
          <w:sz w:val="20"/>
          <w:szCs w:val="20"/>
          <w:color w:val="auto"/>
        </w:rPr>
      </w:pPr>
    </w:p>
    <w:p>
      <w:pPr>
        <w:jc w:val="both"/>
        <w:ind w:firstLine="656"/>
        <w:spacing w:after="0" w:line="216" w:lineRule="auto"/>
        <w:tabs>
          <w:tab w:leader="none" w:pos="769" w:val="left"/>
        </w:tabs>
        <w:numPr>
          <w:ilvl w:val="0"/>
          <w:numId w:val="109"/>
        </w:numPr>
        <w:rPr>
          <w:rFonts w:ascii="Arial" w:cs="Arial" w:eastAsia="Arial" w:hAnsi="Arial"/>
          <w:sz w:val="22"/>
          <w:szCs w:val="22"/>
          <w:i w:val="1"/>
          <w:iCs w:val="1"/>
          <w:color w:val="auto"/>
        </w:rPr>
      </w:pPr>
      <w:r>
        <w:rPr>
          <w:rFonts w:ascii="Arial" w:cs="Arial" w:eastAsia="Arial" w:hAnsi="Arial"/>
          <w:sz w:val="22"/>
          <w:szCs w:val="22"/>
          <w:color w:val="auto"/>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185" w:lineRule="exact"/>
        <w:rPr>
          <w:sz w:val="20"/>
          <w:szCs w:val="20"/>
          <w:color w:val="auto"/>
        </w:rPr>
      </w:pPr>
    </w:p>
    <w:p>
      <w:pPr>
        <w:ind w:right="60" w:firstLine="216"/>
        <w:spacing w:after="0" w:line="257" w:lineRule="auto"/>
        <w:rPr>
          <w:sz w:val="20"/>
          <w:szCs w:val="20"/>
          <w:color w:val="auto"/>
        </w:rPr>
      </w:pPr>
      <w:r>
        <w:rPr>
          <w:rFonts w:ascii="Arial" w:cs="Arial" w:eastAsia="Arial" w:hAnsi="Arial"/>
          <w:sz w:val="21"/>
          <w:szCs w:val="21"/>
          <w:color w:val="auto"/>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Schedules and Exhibits shall be construed to refer to Sections of, and Schedules and Exhibits to, this Agreement, and (e) any reference to any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01" w:right="339" w:bottom="1440" w:gutter="0" w:footer="0" w:header="0"/>
        </w:sectPr>
      </w:pPr>
    </w:p>
    <w:bookmarkStart w:id="98" w:name="page99"/>
    <w:bookmarkEnd w:id="98"/>
    <w:p>
      <w:pPr>
        <w:ind w:right="280"/>
        <w:spacing w:after="0" w:line="263" w:lineRule="auto"/>
        <w:rPr>
          <w:sz w:val="20"/>
          <w:szCs w:val="20"/>
          <w:color w:val="auto"/>
        </w:rPr>
      </w:pPr>
      <w:r>
        <w:rPr>
          <w:rFonts w:ascii="Arial" w:cs="Arial" w:eastAsia="Arial" w:hAnsi="Arial"/>
          <w:sz w:val="22"/>
          <w:szCs w:val="22"/>
          <w:color w:val="auto"/>
        </w:rPr>
        <w:t>regulation herein shall, unless otherwise specified, refer to such law or regulation as amended, modified or supplemented from time to time.</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e.</w:t>
      </w:r>
      <w:r>
        <w:rPr>
          <w:sz w:val="20"/>
          <w:szCs w:val="20"/>
          <w:color w:val="auto"/>
        </w:rPr>
        <w:tab/>
      </w:r>
      <w:r>
        <w:rPr>
          <w:rFonts w:ascii="Arial" w:cs="Arial" w:eastAsia="Arial" w:hAnsi="Arial"/>
          <w:sz w:val="19"/>
          <w:szCs w:val="19"/>
          <w:b w:val="1"/>
          <w:bCs w:val="1"/>
          <w:color w:val="auto"/>
        </w:rPr>
        <w:t>Counterparts; Electronic Contracting</w:t>
      </w:r>
    </w:p>
    <w:p>
      <w:pPr>
        <w:spacing w:after="0" w:line="185" w:lineRule="exact"/>
        <w:rPr>
          <w:sz w:val="20"/>
          <w:szCs w:val="20"/>
          <w:color w:val="auto"/>
        </w:rPr>
      </w:pPr>
    </w:p>
    <w:p>
      <w:pPr>
        <w:jc w:val="both"/>
        <w:ind w:firstLine="656"/>
        <w:spacing w:after="0" w:line="214" w:lineRule="auto"/>
        <w:tabs>
          <w:tab w:leader="none" w:pos="769" w:val="left"/>
        </w:tabs>
        <w:numPr>
          <w:ilvl w:val="0"/>
          <w:numId w:val="110"/>
        </w:numPr>
        <w:rPr>
          <w:rFonts w:ascii="Arial" w:cs="Arial" w:eastAsia="Arial" w:hAnsi="Arial"/>
          <w:sz w:val="22"/>
          <w:szCs w:val="22"/>
          <w:i w:val="1"/>
          <w:iCs w:val="1"/>
          <w:color w:val="auto"/>
        </w:rPr>
      </w:pPr>
      <w:r>
        <w:rPr>
          <w:rFonts w:ascii="Arial" w:cs="Arial" w:eastAsia="Arial" w:hAnsi="Arial"/>
          <w:sz w:val="22"/>
          <w:szCs w:val="22"/>
          <w:color w:val="auto"/>
        </w:rPr>
        <w:t>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Delivery of an electronic signature to, or a signed copy of, this Agreement by facsimile, email or other electronic transmission shall be fully binding on the parties to the same extent as the delivery of the signed originals and shall be admissible into evidence for all purposes.</w:t>
      </w:r>
    </w:p>
    <w:p>
      <w:pPr>
        <w:spacing w:after="0" w:line="15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f.</w:t>
      </w:r>
      <w:r>
        <w:rPr>
          <w:sz w:val="20"/>
          <w:szCs w:val="20"/>
          <w:color w:val="auto"/>
        </w:rPr>
        <w:tab/>
      </w:r>
      <w:r>
        <w:rPr>
          <w:rFonts w:ascii="Arial" w:cs="Arial" w:eastAsia="Arial" w:hAnsi="Arial"/>
          <w:sz w:val="19"/>
          <w:szCs w:val="19"/>
          <w:b w:val="1"/>
          <w:bCs w:val="1"/>
          <w:color w:val="auto"/>
        </w:rPr>
        <w:t>Governing Law</w:t>
      </w:r>
    </w:p>
    <w:p>
      <w:pPr>
        <w:spacing w:after="0" w:line="185" w:lineRule="exact"/>
        <w:rPr>
          <w:sz w:val="20"/>
          <w:szCs w:val="20"/>
          <w:color w:val="auto"/>
        </w:rPr>
      </w:pPr>
    </w:p>
    <w:p>
      <w:pPr>
        <w:jc w:val="both"/>
        <w:ind w:firstLine="656"/>
        <w:spacing w:after="0" w:line="223" w:lineRule="auto"/>
        <w:tabs>
          <w:tab w:leader="none" w:pos="756" w:val="left"/>
        </w:tabs>
        <w:numPr>
          <w:ilvl w:val="0"/>
          <w:numId w:val="111"/>
        </w:numPr>
        <w:rPr>
          <w:rFonts w:ascii="Arial" w:cs="Arial" w:eastAsia="Arial" w:hAnsi="Arial"/>
          <w:sz w:val="22"/>
          <w:szCs w:val="22"/>
          <w:i w:val="1"/>
          <w:iCs w:val="1"/>
          <w:color w:val="auto"/>
        </w:rPr>
      </w:pPr>
      <w:r>
        <w:rPr>
          <w:rFonts w:ascii="Arial" w:cs="Arial" w:eastAsia="Arial" w:hAnsi="Arial"/>
          <w:sz w:val="22"/>
          <w:szCs w:val="22"/>
          <w:color w:val="auto"/>
        </w:rPr>
        <w:t>This Agreement shall be construed and enforced in accordance with, and the rights of the parties shall be governed by, the law of the State of New York excluding choice of law principles of the law of such State that would permit the application of the laws of a jurisdiction other than such State.</w:t>
      </w:r>
    </w:p>
    <w:p>
      <w:pPr>
        <w:spacing w:after="0" w:line="15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b w:val="1"/>
          <w:bCs w:val="1"/>
          <w:color w:val="auto"/>
        </w:rPr>
        <w:t>Section g.</w:t>
      </w:r>
      <w:r>
        <w:rPr>
          <w:sz w:val="20"/>
          <w:szCs w:val="20"/>
          <w:color w:val="auto"/>
        </w:rPr>
        <w:tab/>
      </w:r>
      <w:r>
        <w:rPr>
          <w:rFonts w:ascii="Arial" w:cs="Arial" w:eastAsia="Arial" w:hAnsi="Arial"/>
          <w:sz w:val="19"/>
          <w:szCs w:val="19"/>
          <w:b w:val="1"/>
          <w:bCs w:val="1"/>
          <w:color w:val="auto"/>
        </w:rPr>
        <w:t>Jurisdiction and Process; Waiver of Jury Trial</w:t>
      </w:r>
    </w:p>
    <w:p>
      <w:pPr>
        <w:spacing w:after="0" w:line="239" w:lineRule="exact"/>
        <w:rPr>
          <w:sz w:val="20"/>
          <w:szCs w:val="20"/>
          <w:color w:val="auto"/>
        </w:rPr>
      </w:pPr>
    </w:p>
    <w:p>
      <w:pPr>
        <w:jc w:val="both"/>
        <w:ind w:firstLine="8"/>
        <w:spacing w:after="0" w:line="279" w:lineRule="auto"/>
        <w:tabs>
          <w:tab w:leader="none" w:pos="121" w:val="left"/>
        </w:tabs>
        <w:numPr>
          <w:ilvl w:val="0"/>
          <w:numId w:val="112"/>
        </w:numPr>
        <w:rPr>
          <w:rFonts w:ascii="Arial" w:cs="Arial" w:eastAsia="Arial" w:hAnsi="Arial"/>
          <w:sz w:val="19"/>
          <w:szCs w:val="19"/>
          <w:i w:val="1"/>
          <w:iCs w:val="1"/>
          <w:color w:val="auto"/>
        </w:rPr>
      </w:pPr>
      <w:r>
        <w:rPr>
          <w:rFonts w:ascii="Arial" w:cs="Arial" w:eastAsia="Arial" w:hAnsi="Arial"/>
          <w:sz w:val="19"/>
          <w:szCs w:val="19"/>
          <w:color w:val="auto"/>
        </w:rPr>
        <w:t>(a) The Company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90" w:lineRule="exact"/>
        <w:rPr>
          <w:rFonts w:ascii="Arial" w:cs="Arial" w:eastAsia="Arial" w:hAnsi="Arial"/>
          <w:sz w:val="19"/>
          <w:szCs w:val="19"/>
          <w:i w:val="1"/>
          <w:iCs w:val="1"/>
          <w:color w:val="auto"/>
        </w:rPr>
      </w:pPr>
    </w:p>
    <w:p>
      <w:pPr>
        <w:jc w:val="both"/>
        <w:ind w:firstLine="338"/>
        <w:spacing w:after="0" w:line="302" w:lineRule="auto"/>
        <w:tabs>
          <w:tab w:leader="none" w:pos="908" w:val="left"/>
        </w:tabs>
        <w:numPr>
          <w:ilvl w:val="2"/>
          <w:numId w:val="112"/>
        </w:numPr>
        <w:rPr>
          <w:rFonts w:ascii="Arial" w:cs="Arial" w:eastAsia="Arial" w:hAnsi="Arial"/>
          <w:sz w:val="19"/>
          <w:szCs w:val="19"/>
          <w:color w:val="auto"/>
        </w:rPr>
      </w:pPr>
      <w:r>
        <w:rPr>
          <w:rFonts w:ascii="Arial" w:cs="Arial" w:eastAsia="Arial" w:hAnsi="Arial"/>
          <w:sz w:val="19"/>
          <w:szCs w:val="19"/>
          <w:color w:val="auto"/>
        </w:rPr>
        <w:t>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182" w:lineRule="exact"/>
        <w:rPr>
          <w:rFonts w:ascii="Arial" w:cs="Arial" w:eastAsia="Arial" w:hAnsi="Arial"/>
          <w:sz w:val="19"/>
          <w:szCs w:val="19"/>
          <w:color w:val="auto"/>
        </w:rPr>
      </w:pPr>
    </w:p>
    <w:p>
      <w:pPr>
        <w:jc w:val="both"/>
        <w:ind w:firstLine="226"/>
        <w:spacing w:after="0" w:line="292" w:lineRule="auto"/>
        <w:tabs>
          <w:tab w:leader="none" w:pos="671"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Company consents to process being served by or on behalf of any holder of Notes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4" w:lineRule="exact"/>
        <w:rPr>
          <w:rFonts w:ascii="Arial" w:cs="Arial" w:eastAsia="Arial" w:hAnsi="Arial"/>
          <w:sz w:val="19"/>
          <w:szCs w:val="19"/>
          <w:color w:val="auto"/>
        </w:rPr>
      </w:pPr>
    </w:p>
    <w:p>
      <w:pPr>
        <w:ind w:left="5520" w:hanging="130"/>
        <w:spacing w:after="0"/>
        <w:tabs>
          <w:tab w:leader="none" w:pos="5520" w:val="left"/>
        </w:tabs>
        <w:numPr>
          <w:ilvl w:val="3"/>
          <w:numId w:val="113"/>
        </w:numPr>
        <w:rPr>
          <w:rFonts w:ascii="Arial" w:cs="Arial" w:eastAsia="Arial" w:hAnsi="Arial"/>
          <w:sz w:val="22"/>
          <w:szCs w:val="22"/>
          <w:color w:val="auto"/>
        </w:rPr>
      </w:pPr>
      <w:r>
        <w:rPr>
          <w:rFonts w:ascii="Arial" w:cs="Arial" w:eastAsia="Arial" w:hAnsi="Arial"/>
          <w:sz w:val="22"/>
          <w:szCs w:val="22"/>
          <w:color w:val="auto"/>
        </w:rPr>
        <w:t>42 -</w:t>
      </w:r>
    </w:p>
    <w:p>
      <w:pPr>
        <w:sectPr>
          <w:pgSz w:w="11900" w:h="16838" w:orient="portrait"/>
          <w:cols w:equalWidth="0" w:num="1">
            <w:col w:w="11240"/>
          </w:cols>
          <w:pgMar w:left="320" w:top="1428" w:right="339" w:bottom="1440" w:gutter="0" w:footer="0" w:header="0"/>
        </w:sectPr>
      </w:pPr>
    </w:p>
    <w:bookmarkStart w:id="99" w:name="page100"/>
    <w:bookmarkEnd w:id="99"/>
    <w:p>
      <w:pPr>
        <w:spacing w:after="0" w:line="24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conclusively presumed received as evidenced by a delivery receipt furnished by the United States Postal Service or any reputable commercial delivery service.</w:t>
      </w:r>
    </w:p>
    <w:p>
      <w:pPr>
        <w:spacing w:after="0" w:line="53" w:lineRule="exact"/>
        <w:rPr>
          <w:sz w:val="20"/>
          <w:szCs w:val="20"/>
          <w:color w:val="auto"/>
        </w:rPr>
      </w:pPr>
    </w:p>
    <w:p>
      <w:pPr>
        <w:jc w:val="both"/>
        <w:ind w:firstLine="276"/>
        <w:spacing w:after="0" w:line="297" w:lineRule="auto"/>
        <w:tabs>
          <w:tab w:leader="none" w:pos="788"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spacing w:after="0" w:line="282" w:lineRule="exact"/>
        <w:rPr>
          <w:rFonts w:ascii="Arial" w:cs="Arial" w:eastAsia="Arial" w:hAnsi="Arial"/>
          <w:sz w:val="19"/>
          <w:szCs w:val="19"/>
          <w:color w:val="auto"/>
        </w:rPr>
      </w:pPr>
    </w:p>
    <w:p>
      <w:pPr>
        <w:ind w:right="80" w:firstLine="224"/>
        <w:spacing w:after="0" w:line="263" w:lineRule="auto"/>
        <w:tabs>
          <w:tab w:leader="none" w:pos="66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parties hereto hereby waive trial by jury in any action brought on or with respect to this Agreement, the Notes or any other document executed in connection herewith or therewith.</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524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3" w:lineRule="exact"/>
        <w:rPr>
          <w:rFonts w:ascii="Arial" w:cs="Arial" w:eastAsia="Arial" w:hAnsi="Arial"/>
          <w:sz w:val="22"/>
          <w:szCs w:val="22"/>
          <w:color w:val="auto"/>
        </w:rPr>
      </w:pPr>
    </w:p>
    <w:p>
      <w:pPr>
        <w:ind w:left="5520" w:hanging="130"/>
        <w:spacing w:after="0"/>
        <w:tabs>
          <w:tab w:leader="none" w:pos="5520" w:val="left"/>
        </w:tabs>
        <w:numPr>
          <w:ilvl w:val="3"/>
          <w:numId w:val="115"/>
        </w:numPr>
        <w:rPr>
          <w:rFonts w:ascii="Arial" w:cs="Arial" w:eastAsia="Arial" w:hAnsi="Arial"/>
          <w:sz w:val="22"/>
          <w:szCs w:val="22"/>
          <w:color w:val="auto"/>
        </w:rPr>
      </w:pPr>
      <w:r>
        <w:rPr>
          <w:rFonts w:ascii="Arial" w:cs="Arial" w:eastAsia="Arial" w:hAnsi="Arial"/>
          <w:sz w:val="22"/>
          <w:szCs w:val="22"/>
          <w:color w:val="auto"/>
        </w:rPr>
        <w:t>43 -</w:t>
      </w:r>
    </w:p>
    <w:p>
      <w:pPr>
        <w:sectPr>
          <w:pgSz w:w="11900" w:h="16838" w:orient="portrait"/>
          <w:cols w:equalWidth="0" w:num="1">
            <w:col w:w="11240"/>
          </w:cols>
          <w:pgMar w:left="320" w:top="1440" w:right="339" w:bottom="1440" w:gutter="0" w:footer="0" w:header="0"/>
        </w:sectPr>
      </w:pPr>
    </w:p>
    <w:bookmarkStart w:id="100" w:name="page101"/>
    <w:bookmarkEnd w:id="100"/>
    <w:p>
      <w:pPr>
        <w:ind w:firstLine="648"/>
        <w:spacing w:after="0" w:line="343" w:lineRule="auto"/>
        <w:rPr>
          <w:sz w:val="20"/>
          <w:szCs w:val="20"/>
          <w:color w:val="auto"/>
        </w:rPr>
      </w:pPr>
      <w:r>
        <w:rPr>
          <w:rFonts w:ascii="Arial" w:cs="Arial" w:eastAsia="Arial" w:hAnsi="Arial"/>
          <w:sz w:val="19"/>
          <w:szCs w:val="19"/>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1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allete, inc.</w:t>
      </w:r>
    </w:p>
    <w:p>
      <w:pPr>
        <w:spacing w:after="0" w:line="200" w:lineRule="exact"/>
        <w:rPr>
          <w:sz w:val="20"/>
          <w:szCs w:val="20"/>
          <w:color w:val="auto"/>
        </w:rPr>
      </w:pPr>
    </w:p>
    <w:p>
      <w:pPr>
        <w:spacing w:after="0" w:line="3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-17780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 of the date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01" w:name="page102"/>
    <w:bookmarkEnd w:id="101"/>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ATHENE ANNUITY &amp; LIFE ASSURANCE COMPANY</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By: Apollo Insurance Solutions Group LP, its investment adviser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By: Apollo Capital Management, L.P., its sub adviser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By: Apollo Capital Management GP, LLC, its General Partner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Name: Joseph D. Glatt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MASSACHUSETTS MUTUAL LIFE INSURANCE COMPANY</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By: Apollo Insurance Solutions Group LP, its investment adviser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By: Apollo Capital Management, L.P., its sub adviser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By: Apollo Capital Management GP, LLC, its General Partner</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Name: Joseph D. Glatt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JACKSON NATIONAL LIFE INSURANCE COMPANY</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By: Apollo Insurance Solutions Group LP, its investment adviser</w:t>
      </w:r>
    </w:p>
    <w:p>
      <w:pPr>
        <w:spacing w:after="0" w:line="38"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 Apollo Capital Management, L.P., its sub adviser</w:t>
      </w:r>
    </w:p>
    <w:p>
      <w:pPr>
        <w:spacing w:after="0" w:line="4"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By: Apollo Capital Management GP, LLC, its General Partner</w:t>
      </w:r>
    </w:p>
    <w:p>
      <w:pPr>
        <w:spacing w:after="0" w:line="200" w:lineRule="exact"/>
        <w:rPr>
          <w:sz w:val="20"/>
          <w:szCs w:val="20"/>
          <w:color w:val="auto"/>
        </w:rPr>
      </w:pPr>
    </w:p>
    <w:p>
      <w:pPr>
        <w:spacing w:after="0" w:line="306"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By: _________________________________</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 Joseph D. Glatt</w:t>
      </w:r>
    </w:p>
    <w:p>
      <w:pPr>
        <w:spacing w:after="0" w:line="4"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119"/>
          </w:cols>
          <w:pgMar w:left="340" w:top="1440" w:right="1440"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This Agreement is hereby accepted and agreed to as of the date thereof.</w:t>
      </w: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CoBank, ACB</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w:t>
      </w:r>
    </w:p>
    <w:p>
      <w:pPr>
        <w:ind w:left="4220"/>
        <w:spacing w:after="0"/>
        <w:rPr>
          <w:sz w:val="20"/>
          <w:szCs w:val="20"/>
          <w:color w:val="auto"/>
        </w:rPr>
      </w:pPr>
      <w:r>
        <w:rPr>
          <w:rFonts w:ascii="Arial" w:cs="Arial" w:eastAsia="Arial" w:hAnsi="Arial"/>
          <w:sz w:val="22"/>
          <w:szCs w:val="22"/>
          <w:color w:val="auto"/>
        </w:rPr>
        <w:t>Title:</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PRUDENTIAL RETIREMENT INSURANCE AND ANNUITY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540"/>
          </w:cols>
          <w:pgMar w:left="320" w:top="1428" w:right="1039" w:bottom="1440" w:gutter="0" w:footer="0" w:header="0"/>
        </w:sectPr>
      </w:pPr>
    </w:p>
    <w:bookmarkStart w:id="103" w:name="page104"/>
    <w:bookmarkEnd w:id="103"/>
    <w:p>
      <w:pPr>
        <w:spacing w:after="0" w:line="231"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By: PGIM, Inc., as investment manager</w:t>
      </w:r>
    </w:p>
    <w:p>
      <w:pPr>
        <w:spacing w:after="0" w:line="200" w:lineRule="exact"/>
        <w:rPr>
          <w:sz w:val="20"/>
          <w:szCs w:val="20"/>
          <w:color w:val="auto"/>
        </w:rPr>
      </w:pPr>
    </w:p>
    <w:p>
      <w:pPr>
        <w:spacing w:after="0" w:line="29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739"/>
        <w:spacing w:after="0"/>
        <w:rPr>
          <w:sz w:val="20"/>
          <w:szCs w:val="20"/>
          <w:color w:val="auto"/>
        </w:rPr>
      </w:pPr>
      <w:r>
        <w:rPr>
          <w:rFonts w:ascii="Arial" w:cs="Arial" w:eastAsia="Arial" w:hAnsi="Arial"/>
          <w:sz w:val="22"/>
          <w:szCs w:val="22"/>
          <w:b w:val="1"/>
          <w:bCs w:val="1"/>
          <w:color w:val="auto"/>
        </w:rPr>
        <w:t>THE PRUDENTIAL INSURANCE COMPANY OF AMERICA</w:t>
      </w:r>
    </w:p>
    <w:p>
      <w:pPr>
        <w:spacing w:after="0" w:line="200" w:lineRule="exact"/>
        <w:rPr>
          <w:sz w:val="20"/>
          <w:szCs w:val="20"/>
          <w:color w:val="auto"/>
        </w:rPr>
      </w:pPr>
    </w:p>
    <w:p>
      <w:pPr>
        <w:spacing w:after="0" w:line="29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Second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139"/>
          </w:cols>
          <w:pgMar w:left="320" w:top="1440" w:right="1440"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 of the date thereof.</w:t>
      </w:r>
    </w:p>
    <w:p>
      <w:pPr>
        <w:spacing w:after="0" w:line="355"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PRINCIPAL LIFE INSURANCE COMPANY</w:t>
      </w:r>
    </w:p>
    <w:p>
      <w:pPr>
        <w:spacing w:after="0" w:line="28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Principal Global Investors, LLC</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its authorized signatory</w:t>
      </w:r>
    </w:p>
    <w:p>
      <w:pPr>
        <w:spacing w:after="0" w:line="200" w:lineRule="exact"/>
        <w:rPr>
          <w:sz w:val="20"/>
          <w:szCs w:val="20"/>
          <w:color w:val="auto"/>
        </w:rPr>
      </w:pPr>
    </w:p>
    <w:p>
      <w:pPr>
        <w:spacing w:after="0" w:line="272"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By: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By: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139"/>
          </w:cols>
          <w:pgMar w:left="320" w:top="1440" w:right="1440"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This Agreement is hereby accepted and agreed to as of the date thereof.</w:t>
      </w: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United Life Insurance Company</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w:t>
      </w: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State Life Insurance Company</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American United Life Insurance Company</w:t>
      </w:r>
    </w:p>
    <w:p>
      <w:pPr>
        <w:spacing w:after="0" w:line="4" w:lineRule="exact"/>
        <w:rPr>
          <w:sz w:val="20"/>
          <w:szCs w:val="20"/>
          <w:color w:val="auto"/>
        </w:rPr>
      </w:pPr>
    </w:p>
    <w:p>
      <w:pPr>
        <w:ind w:left="3900"/>
        <w:spacing w:after="0"/>
        <w:tabs>
          <w:tab w:leader="none" w:pos="4420" w:val="left"/>
        </w:tabs>
        <w:rPr>
          <w:sz w:val="20"/>
          <w:szCs w:val="20"/>
          <w:color w:val="auto"/>
        </w:rPr>
      </w:pPr>
      <w:r>
        <w:rPr>
          <w:rFonts w:ascii="Arial" w:cs="Arial" w:eastAsia="Arial" w:hAnsi="Arial"/>
          <w:sz w:val="22"/>
          <w:szCs w:val="22"/>
          <w:color w:val="auto"/>
        </w:rPr>
        <w:t>Its:</w:t>
        <w:tab/>
        <w:t>Agent</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w:t>
      </w: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139"/>
          </w:cols>
          <w:pgMar w:left="320" w:top="1428" w:right="1440" w:bottom="1440" w:gutter="0" w:footer="0" w:header="0"/>
        </w:sectPr>
      </w:pPr>
    </w:p>
    <w:bookmarkStart w:id="106" w:name="page107"/>
    <w:bookmarkEnd w:id="106"/>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hereby accepted and agreed to as of the date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Ensign Peak Advisors,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By____________________________________</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Matthew D. Dall</w:t>
      </w:r>
    </w:p>
    <w:p>
      <w:pPr>
        <w:ind w:left="4500"/>
        <w:spacing w:after="0"/>
        <w:tabs>
          <w:tab w:leader="none" w:pos="5200" w:val="left"/>
        </w:tabs>
        <w:rPr>
          <w:sz w:val="20"/>
          <w:szCs w:val="20"/>
          <w:color w:val="auto"/>
        </w:rPr>
      </w:pPr>
      <w:r>
        <w:rPr>
          <w:rFonts w:ascii="Arial" w:cs="Arial" w:eastAsia="Arial" w:hAnsi="Arial"/>
          <w:sz w:val="22"/>
          <w:szCs w:val="22"/>
          <w:color w:val="auto"/>
        </w:rPr>
        <w:t>Title:</w:t>
        <w:tab/>
        <w:t>Head of Credit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Clifton Park Capital Management, LLC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By____________________________________</w:t>
      </w:r>
    </w:p>
    <w:p>
      <w:pPr>
        <w:spacing w:after="0" w:line="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Matthew D. Dall</w:t>
      </w:r>
    </w:p>
    <w:p>
      <w:pPr>
        <w:ind w:left="4500"/>
        <w:spacing w:after="0"/>
        <w:tabs>
          <w:tab w:leader="none" w:pos="5200" w:val="left"/>
        </w:tabs>
        <w:rPr>
          <w:sz w:val="20"/>
          <w:szCs w:val="20"/>
          <w:color w:val="auto"/>
        </w:rPr>
      </w:pPr>
      <w:r>
        <w:rPr>
          <w:rFonts w:ascii="Arial" w:cs="Arial" w:eastAsia="Arial" w:hAnsi="Arial"/>
          <w:sz w:val="22"/>
          <w:szCs w:val="22"/>
          <w:color w:val="auto"/>
        </w:rPr>
        <w:t>Title:</w:t>
        <w:tab/>
        <w:t>Head of Credit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139"/>
          </w:cols>
          <w:pgMar w:left="320" w:top="1440" w:right="1440" w:bottom="1440" w:gutter="0" w:footer="0" w:header="0"/>
        </w:sectPr>
      </w:pPr>
    </w:p>
    <w:bookmarkStart w:id="107" w:name="page108"/>
    <w:bookmarkEnd w:id="107"/>
    <w:p>
      <w:pPr>
        <w:spacing w:after="0"/>
        <w:rPr>
          <w:sz w:val="20"/>
          <w:szCs w:val="20"/>
          <w:color w:val="auto"/>
        </w:rPr>
      </w:pPr>
      <w:r>
        <w:rPr>
          <w:rFonts w:ascii="Arial" w:cs="Arial" w:eastAsia="Arial" w:hAnsi="Arial"/>
          <w:sz w:val="21"/>
          <w:szCs w:val="21"/>
          <w:color w:val="auto"/>
        </w:rPr>
        <w:t>This Agreement is hereby accepted and agreed to as of the date thereof.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159"/>
        <w:spacing w:after="0"/>
        <w:rPr>
          <w:sz w:val="20"/>
          <w:szCs w:val="20"/>
          <w:color w:val="auto"/>
        </w:rPr>
      </w:pPr>
      <w:r>
        <w:rPr>
          <w:rFonts w:ascii="Arial" w:cs="Arial" w:eastAsia="Arial" w:hAnsi="Arial"/>
          <w:sz w:val="22"/>
          <w:szCs w:val="22"/>
          <w:color w:val="auto"/>
        </w:rPr>
        <w:t>Protective Life Insurance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w:t>
      </w: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139"/>
          </w:cols>
          <w:pgMar w:left="320" w:top="1428" w:right="1440"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This Agreement is hereby accepted and agreed to as of the date thereof.</w:t>
      </w:r>
    </w:p>
    <w:p>
      <w:pPr>
        <w:spacing w:after="0" w:line="200" w:lineRule="exact"/>
        <w:rPr>
          <w:sz w:val="20"/>
          <w:szCs w:val="20"/>
          <w:color w:val="auto"/>
        </w:rPr>
      </w:pPr>
    </w:p>
    <w:p>
      <w:pPr>
        <w:spacing w:after="0" w:line="39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Standard Insurance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 Chris Beaulieu</w:t>
      </w:r>
    </w:p>
    <w:p>
      <w:pPr>
        <w:ind w:left="4220"/>
        <w:spacing w:after="0"/>
        <w:rPr>
          <w:sz w:val="20"/>
          <w:szCs w:val="20"/>
          <w:color w:val="auto"/>
        </w:rPr>
      </w:pPr>
      <w:r>
        <w:rPr>
          <w:rFonts w:ascii="Arial" w:cs="Arial" w:eastAsia="Arial" w:hAnsi="Arial"/>
          <w:sz w:val="19"/>
          <w:szCs w:val="19"/>
          <w:color w:val="auto"/>
        </w:rPr>
        <w:t>Title: VP, Individual Annuities &amp;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139"/>
          </w:cols>
          <w:pgMar w:left="320" w:top="1428" w:right="1440"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This Agreement is hereby accepted and agreed to as of the date thereof.</w:t>
      </w:r>
    </w:p>
    <w:p>
      <w:pPr>
        <w:spacing w:after="0" w:line="200" w:lineRule="exact"/>
        <w:rPr>
          <w:sz w:val="20"/>
          <w:szCs w:val="20"/>
          <w:color w:val="auto"/>
        </w:rPr>
      </w:pPr>
    </w:p>
    <w:p>
      <w:pPr>
        <w:spacing w:after="0" w:line="398" w:lineRule="exact"/>
        <w:rPr>
          <w:sz w:val="20"/>
          <w:szCs w:val="20"/>
          <w:color w:val="auto"/>
        </w:rPr>
      </w:pPr>
    </w:p>
    <w:p>
      <w:pPr>
        <w:jc w:val="right"/>
        <w:ind w:right="2079"/>
        <w:spacing w:after="0"/>
        <w:rPr>
          <w:sz w:val="20"/>
          <w:szCs w:val="20"/>
          <w:color w:val="auto"/>
        </w:rPr>
      </w:pPr>
      <w:r>
        <w:rPr>
          <w:rFonts w:ascii="Arial" w:cs="Arial" w:eastAsia="Arial" w:hAnsi="Arial"/>
          <w:sz w:val="22"/>
          <w:szCs w:val="22"/>
          <w:color w:val="auto"/>
        </w:rPr>
        <w:t>Southern Farm Bureau Life Insurance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4220"/>
        <w:spacing w:after="0" w:line="238" w:lineRule="auto"/>
        <w:rPr>
          <w:sz w:val="20"/>
          <w:szCs w:val="20"/>
          <w:color w:val="auto"/>
        </w:rPr>
      </w:pPr>
      <w:r>
        <w:rPr>
          <w:rFonts w:ascii="Arial" w:cs="Arial" w:eastAsia="Arial" w:hAnsi="Arial"/>
          <w:sz w:val="22"/>
          <w:szCs w:val="22"/>
          <w:color w:val="auto"/>
        </w:rPr>
        <w:t>Name:</w:t>
      </w: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0139"/>
          </w:cols>
          <w:pgMar w:left="320" w:top="1428"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Defined Terms</w:t>
      </w:r>
    </w:p>
    <w:p>
      <w:pPr>
        <w:spacing w:after="0" w:line="3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used herein, the following terms have the respective meanings set forth below or set forth in the Section hereof following such term:</w:t>
      </w:r>
    </w:p>
    <w:p>
      <w:pPr>
        <w:spacing w:after="0" w:line="16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“Affiliate” </w:t>
      </w:r>
      <w:r>
        <w:rPr>
          <w:rFonts w:ascii="Arial" w:cs="Arial" w:eastAsia="Arial" w:hAnsi="Arial"/>
          <w:sz w:val="19"/>
          <w:szCs w:val="19"/>
          <w:color w:val="auto"/>
        </w:rPr>
        <w:t>means, at any time, and with respect to any Person, any other Person that at such time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Person of which the Company and its Subsidiaries beneficially own or hold, in the aggregate, directly or indirectly, 10% or more of any class of voting or equity interests. Unless the context otherwise clearly requires, any reference to an “Affiliate” is a reference to an Affiliate of the Company.</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“Agreement” </w:t>
      </w:r>
      <w:r>
        <w:rPr>
          <w:rFonts w:ascii="Arial" w:cs="Arial" w:eastAsia="Arial" w:hAnsi="Arial"/>
          <w:sz w:val="19"/>
          <w:szCs w:val="19"/>
          <w:color w:val="auto"/>
        </w:rPr>
        <w:t>means this Note Purchase Agreement, including all Schedules and Exhibits attached to this Agreement.</w:t>
      </w:r>
    </w:p>
    <w:p>
      <w:pPr>
        <w:spacing w:after="0" w:line="2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“Anti-Corruption Laws” </w:t>
      </w:r>
      <w:r>
        <w:rPr>
          <w:rFonts w:ascii="Arial" w:cs="Arial" w:eastAsia="Arial" w:hAnsi="Arial"/>
          <w:sz w:val="22"/>
          <w:szCs w:val="22"/>
          <w:color w:val="auto"/>
        </w:rPr>
        <w:t>means any law or regulation in a U.S. or any non-U.S. jurisdiction regarding bribery or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corrupt activity, including the U.S. Foreign Corrupt Practices Act and the U.K. Bribery Act 2010.</w:t>
      </w:r>
    </w:p>
    <w:p>
      <w:pPr>
        <w:spacing w:after="0" w:line="20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“Anti-Money Laundering Laws” </w:t>
      </w:r>
      <w:r>
        <w:rPr>
          <w:rFonts w:ascii="Arial" w:cs="Arial" w:eastAsia="Arial" w:hAnsi="Arial"/>
          <w:sz w:val="19"/>
          <w:szCs w:val="19"/>
          <w:color w:val="auto"/>
        </w:rPr>
        <w:t>means any law or regulation in a U.S. or any non-U.S. jurisdiction regarding money</w:t>
      </w:r>
      <w:r>
        <w:rPr>
          <w:rFonts w:ascii="Arial" w:cs="Arial" w:eastAsia="Arial" w:hAnsi="Arial"/>
          <w:sz w:val="19"/>
          <w:szCs w:val="19"/>
          <w:b w:val="1"/>
          <w:bCs w:val="1"/>
          <w:color w:val="auto"/>
        </w:rPr>
        <w:t xml:space="preserve"> </w:t>
      </w:r>
      <w:r>
        <w:rPr>
          <w:rFonts w:ascii="Arial" w:cs="Arial" w:eastAsia="Arial" w:hAnsi="Arial"/>
          <w:sz w:val="19"/>
          <w:szCs w:val="19"/>
          <w:color w:val="auto"/>
        </w:rPr>
        <w:t>laundering, drug trafficking, terrorist-related activities or other money laundering predicate crimes, including the Currency and Foreign Transactions Reporting Act of 1970 (otherwise known as the Bank Secrecy Act) and the USA PATRIOT Act.</w:t>
      </w:r>
    </w:p>
    <w:p>
      <w:pPr>
        <w:spacing w:after="0" w:line="15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Blocked Person</w:t>
      </w:r>
      <w:r>
        <w:rPr>
          <w:rFonts w:ascii="Arial" w:cs="Arial" w:eastAsia="Arial" w:hAnsi="Arial"/>
          <w:sz w:val="22"/>
          <w:szCs w:val="22"/>
          <w:color w:val="auto"/>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(a) for the purposes of Section 8.7 only, any day other than a Saturday, a Sunday or a day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commercial banks in New York City are required or authorized to be closed, and (b) for the purposes of any other provision of this Agreement, any day other than a Saturday, a Sunday or a day on which commercial banks in New York, New York or Duluth, Minnesota are required or authorized to be closed.</w:t>
      </w:r>
    </w:p>
    <w:p>
      <w:pPr>
        <w:spacing w:after="0" w:line="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Lease Obligations</w:t>
      </w:r>
      <w:r>
        <w:rPr>
          <w:rFonts w:ascii="Arial" w:cs="Arial" w:eastAsia="Arial" w:hAnsi="Arial"/>
          <w:sz w:val="21"/>
          <w:szCs w:val="21"/>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no power purchase agreement shall constitute a Capital Lease Obligation.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is defined in Section 8.3(f).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“Closing” </w:t>
      </w:r>
      <w:r>
        <w:rPr>
          <w:rFonts w:ascii="Arial" w:cs="Arial" w:eastAsia="Arial" w:hAnsi="Arial"/>
          <w:sz w:val="22"/>
          <w:szCs w:val="22"/>
          <w:color w:val="auto"/>
        </w:rPr>
        <w:t>is defined in Section 3.</w:t>
      </w:r>
    </w:p>
    <w:p>
      <w:pPr>
        <w:sectPr>
          <w:pgSz w:w="11900" w:h="16838" w:orient="portrait"/>
          <w:cols w:equalWidth="0" w:num="1">
            <w:col w:w="11240"/>
          </w:cols>
          <w:pgMar w:left="320" w:top="625" w:right="339" w:bottom="1440" w:gutter="0" w:footer="0" w:header="0"/>
        </w:sectPr>
      </w:pPr>
    </w:p>
    <w:bookmarkStart w:id="111" w:name="page112"/>
    <w:bookmarkEnd w:id="111"/>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“CoBank Equities” </w:t>
      </w:r>
      <w:r>
        <w:rPr>
          <w:rFonts w:ascii="Arial" w:cs="Arial" w:eastAsia="Arial" w:hAnsi="Arial"/>
          <w:sz w:val="22"/>
          <w:szCs w:val="22"/>
          <w:color w:val="auto"/>
        </w:rPr>
        <w:t>means the Company’s cash patronage, stock and other equities in CoBank ACB acquired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its patronage loan from CoBank ACB, it affiliates or its participants.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and the rules and regulations promulgated thereunder from time to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is defined in the first paragraph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is defined in Section 20.</w:t>
      </w:r>
    </w:p>
    <w:p>
      <w:pPr>
        <w:spacing w:after="0" w:line="220"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 xml:space="preserve">“Consolidated Assets” </w:t>
      </w:r>
      <w:r>
        <w:rPr>
          <w:rFonts w:ascii="Arial" w:cs="Arial" w:eastAsia="Arial" w:hAnsi="Arial"/>
          <w:sz w:val="19"/>
          <w:szCs w:val="19"/>
          <w:color w:val="auto"/>
        </w:rPr>
        <w:t>means the total amount of assets shown on the consolidated balance sheet of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determined in accordance with GAAP and prepared as of the end of the fiscal quarter then most recently ended.</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22"/>
          <w:szCs w:val="22"/>
          <w:b w:val="1"/>
          <w:bCs w:val="1"/>
          <w:color w:val="auto"/>
        </w:rPr>
        <w:t>Controlled</w:t>
      </w:r>
      <w:r>
        <w:rPr>
          <w:rFonts w:ascii="Arial" w:cs="Arial" w:eastAsia="Arial" w:hAnsi="Arial"/>
          <w:sz w:val="22"/>
          <w:szCs w:val="22"/>
          <w:color w:val="auto"/>
        </w:rPr>
        <w:t>” and “</w:t>
      </w:r>
      <w:r>
        <w:rPr>
          <w:rFonts w:ascii="Arial" w:cs="Arial" w:eastAsia="Arial" w:hAnsi="Arial"/>
          <w:sz w:val="22"/>
          <w:szCs w:val="22"/>
          <w:b w:val="1"/>
          <w:bCs w:val="1"/>
          <w:color w:val="auto"/>
        </w:rPr>
        <w:t>Controlling</w:t>
      </w:r>
      <w:r>
        <w:rPr>
          <w:rFonts w:ascii="Arial" w:cs="Arial" w:eastAsia="Arial" w:hAnsi="Arial"/>
          <w:sz w:val="22"/>
          <w:szCs w:val="22"/>
          <w:color w:val="auto"/>
        </w:rPr>
        <w:t>” shall have meanings correlative to the foregoing.</w:t>
      </w:r>
    </w:p>
    <w:p>
      <w:pPr>
        <w:spacing w:after="0" w:line="176"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“Controlled Entity” </w:t>
      </w:r>
      <w:r>
        <w:rPr>
          <w:rFonts w:ascii="Arial" w:cs="Arial" w:eastAsia="Arial" w:hAnsi="Arial"/>
          <w:sz w:val="19"/>
          <w:szCs w:val="19"/>
          <w:color w:val="auto"/>
        </w:rPr>
        <w:t>means (a) any of the Subsidiaries of the Company and any of their or the Company’s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Controlled Affiliates and (b) if the Company has a parent company, such parent company and its Controlled Affiliates.</w:t>
      </w:r>
    </w:p>
    <w:p>
      <w:pPr>
        <w:spacing w:after="0" w:line="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“Default” </w:t>
      </w:r>
      <w:r>
        <w:rPr>
          <w:rFonts w:ascii="Arial" w:cs="Arial" w:eastAsia="Arial" w:hAnsi="Arial"/>
          <w:sz w:val="22"/>
          <w:szCs w:val="22"/>
          <w:color w:val="auto"/>
        </w:rPr>
        <w:t>means an event or condition the occurrence or existence of which would, with the lapse of time or the giving of</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or both, become an Event of Default.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“Default Rate” </w:t>
      </w:r>
      <w:r>
        <w:rPr>
          <w:rFonts w:ascii="Arial" w:cs="Arial" w:eastAsia="Arial" w:hAnsi="Arial"/>
          <w:sz w:val="22"/>
          <w:szCs w:val="22"/>
          <w:color w:val="auto"/>
        </w:rPr>
        <w:t>means that rate of interest per annum that is the greater of (a) 2.00% above the rate of interest stated in</w:t>
      </w:r>
      <w:r>
        <w:rPr>
          <w:rFonts w:ascii="Arial" w:cs="Arial" w:eastAsia="Arial" w:hAnsi="Arial"/>
          <w:sz w:val="22"/>
          <w:szCs w:val="22"/>
          <w:b w:val="1"/>
          <w:bCs w:val="1"/>
          <w:color w:val="auto"/>
        </w:rPr>
        <w:t xml:space="preserve"> </w:t>
      </w:r>
      <w:r>
        <w:rPr>
          <w:rFonts w:ascii="Arial" w:cs="Arial" w:eastAsia="Arial" w:hAnsi="Arial"/>
          <w:sz w:val="22"/>
          <w:szCs w:val="22"/>
          <w:color w:val="auto"/>
        </w:rPr>
        <w:t>clause (a) of the first paragraph of the Notes or (b) 2.00% over the rate of interest publicly announced by U.S. Bank in New York, New York as its “base” or “prime” rate.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“Disclosure Documents” </w:t>
      </w:r>
      <w:r>
        <w:rPr>
          <w:rFonts w:ascii="Arial" w:cs="Arial" w:eastAsia="Arial" w:hAnsi="Arial"/>
          <w:sz w:val="22"/>
          <w:szCs w:val="22"/>
          <w:color w:val="auto"/>
        </w:rPr>
        <w:t>is defined in Section 5.3.</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Disqualified Stock</w:t>
      </w:r>
      <w:r>
        <w:rPr>
          <w:rFonts w:ascii="Arial" w:cs="Arial" w:eastAsia="Arial" w:hAnsi="Arial"/>
          <w:sz w:val="22"/>
          <w:szCs w:val="22"/>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“EDGAR” </w:t>
      </w:r>
      <w:r>
        <w:rPr>
          <w:rFonts w:ascii="Arial" w:cs="Arial" w:eastAsia="Arial" w:hAnsi="Arial"/>
          <w:sz w:val="22"/>
          <w:szCs w:val="22"/>
          <w:color w:val="auto"/>
        </w:rPr>
        <w:t>means the SEC’s Electronic Data Gathering, Analysis and Retrieval System or any successor SEC electronic</w:t>
      </w:r>
      <w:r>
        <w:rPr>
          <w:rFonts w:ascii="Arial" w:cs="Arial" w:eastAsia="Arial" w:hAnsi="Arial"/>
          <w:sz w:val="22"/>
          <w:szCs w:val="22"/>
          <w:b w:val="1"/>
          <w:bCs w:val="1"/>
          <w:color w:val="auto"/>
        </w:rPr>
        <w:t xml:space="preserve"> </w:t>
      </w:r>
      <w:r>
        <w:rPr>
          <w:rFonts w:ascii="Arial" w:cs="Arial" w:eastAsia="Arial" w:hAnsi="Arial"/>
          <w:sz w:val="22"/>
          <w:szCs w:val="22"/>
          <w:color w:val="auto"/>
        </w:rPr>
        <w:t>filing system for such purposes.</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“Environmental Laws” </w:t>
      </w:r>
      <w:r>
        <w:rPr>
          <w:rFonts w:ascii="Arial" w:cs="Arial" w:eastAsia="Arial" w:hAnsi="Arial"/>
          <w:sz w:val="22"/>
          <w:szCs w:val="22"/>
          <w:color w:val="auto"/>
        </w:rPr>
        <w:t>means any and all federal, state, local, and foreign statutes, laws, regulations, ordinances, rules,</w:t>
      </w:r>
      <w:r>
        <w:rPr>
          <w:rFonts w:ascii="Arial" w:cs="Arial" w:eastAsia="Arial" w:hAnsi="Arial"/>
          <w:sz w:val="22"/>
          <w:szCs w:val="22"/>
          <w:b w:val="1"/>
          <w:bCs w:val="1"/>
          <w:color w:val="auto"/>
        </w:rPr>
        <w:t xml:space="preserve"> </w:t>
      </w:r>
      <w:r>
        <w:rPr>
          <w:rFonts w:ascii="Arial" w:cs="Arial" w:eastAsia="Arial" w:hAnsi="Arial"/>
          <w:sz w:val="22"/>
          <w:szCs w:val="22"/>
          <w:color w:val="auto"/>
        </w:rPr>
        <w:t>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Interest</w:t>
      </w:r>
      <w:r>
        <w:rPr>
          <w:rFonts w:ascii="Arial" w:cs="Arial" w:eastAsia="Arial" w:hAnsi="Arial"/>
          <w:sz w:val="22"/>
          <w:szCs w:val="22"/>
          <w:color w:val="auto"/>
        </w:rPr>
        <w:t>” means (a) shares of corporate stock, partnership interests, limited liability company membership interests, and any other interest that confers on a Person the right to receive a share of the profits and losses of, or distribution of assets of, the issuing Person, and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- 2 -</w:t>
            </w:r>
          </w:p>
        </w:tc>
      </w:tr>
    </w:tbl>
    <w:p>
      <w:pPr>
        <w:sectPr>
          <w:pgSz w:w="11900" w:h="16838" w:orient="portrait"/>
          <w:cols w:equalWidth="0" w:num="1">
            <w:col w:w="11240"/>
          </w:cols>
          <w:pgMar w:left="320" w:top="612"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(b) all warrants, options or other rights to acquire any Equity Interest set forth in the foregoing clause (a).</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means the Employee Retirement Income Security Act of 1974, and the rules and regulations promulgated</w:t>
      </w:r>
      <w:r>
        <w:rPr>
          <w:rFonts w:ascii="Arial" w:cs="Arial" w:eastAsia="Arial" w:hAnsi="Arial"/>
          <w:sz w:val="22"/>
          <w:szCs w:val="22"/>
          <w:b w:val="1"/>
          <w:bCs w:val="1"/>
          <w:color w:val="auto"/>
        </w:rPr>
        <w:t xml:space="preserve"> </w:t>
      </w:r>
      <w:r>
        <w:rPr>
          <w:rFonts w:ascii="Arial" w:cs="Arial" w:eastAsia="Arial" w:hAnsi="Arial"/>
          <w:sz w:val="22"/>
          <w:szCs w:val="22"/>
          <w:color w:val="auto"/>
        </w:rPr>
        <w:t>thereunder from time to time in effect.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“ERISA Affiliate” </w:t>
      </w:r>
      <w:r>
        <w:rPr>
          <w:rFonts w:ascii="Arial" w:cs="Arial" w:eastAsia="Arial" w:hAnsi="Arial"/>
          <w:sz w:val="22"/>
          <w:szCs w:val="22"/>
          <w:color w:val="auto"/>
        </w:rPr>
        <w:t>means any trade or business (whether or not incorporated) that is treated as a single employer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under section 414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is defined in Section 11.</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from time to time, and the rules and regulations promulgated thereunder from time to time in effect.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“Fitch” </w:t>
      </w:r>
      <w:r>
        <w:rPr>
          <w:rFonts w:ascii="Arial" w:cs="Arial" w:eastAsia="Arial" w:hAnsi="Arial"/>
          <w:sz w:val="22"/>
          <w:szCs w:val="22"/>
          <w:color w:val="auto"/>
        </w:rPr>
        <w:t>means Fitch Ratings Inc., or any successor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“Form 10 K” </w:t>
      </w:r>
      <w:r>
        <w:rPr>
          <w:rFonts w:ascii="Arial" w:cs="Arial" w:eastAsia="Arial" w:hAnsi="Arial"/>
          <w:sz w:val="22"/>
          <w:szCs w:val="22"/>
          <w:color w:val="auto"/>
        </w:rPr>
        <w:t>is defined in Section 7.1(b).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“Form 10 Q” </w:t>
      </w:r>
      <w:r>
        <w:rPr>
          <w:rFonts w:ascii="Arial" w:cs="Arial" w:eastAsia="Arial" w:hAnsi="Arial"/>
          <w:sz w:val="22"/>
          <w:szCs w:val="22"/>
          <w:color w:val="auto"/>
        </w:rPr>
        <w:t>is defined in Section 7.1(a).</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“GAAP” </w:t>
      </w:r>
      <w:r>
        <w:rPr>
          <w:rFonts w:ascii="Arial" w:cs="Arial" w:eastAsia="Arial" w:hAnsi="Arial"/>
          <w:sz w:val="22"/>
          <w:szCs w:val="22"/>
          <w:color w:val="auto"/>
        </w:rPr>
        <w:t>means (a) generally accepted accounting principles as in effect from time to time in the United States of</w:t>
      </w:r>
      <w:r>
        <w:rPr>
          <w:rFonts w:ascii="Arial" w:cs="Arial" w:eastAsia="Arial" w:hAnsi="Arial"/>
          <w:sz w:val="22"/>
          <w:szCs w:val="22"/>
          <w:b w:val="1"/>
          <w:bCs w:val="1"/>
          <w:color w:val="auto"/>
        </w:rPr>
        <w:t xml:space="preserve"> </w:t>
      </w:r>
      <w:r>
        <w:rPr>
          <w:rFonts w:ascii="Arial" w:cs="Arial" w:eastAsia="Arial" w:hAnsi="Arial"/>
          <w:sz w:val="22"/>
          <w:szCs w:val="22"/>
          <w:color w:val="auto"/>
        </w:rPr>
        <w:t>America and (b) for purposes of Section 9.6, with respect to any Subsidiary, generally accepted accounting principles (including International Financial Reporting Standards, as applicable) as in effect from time to time in the jurisdiction of organization of such Subsidiary.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“Governmental Authority” </w:t>
      </w:r>
      <w:r>
        <w:rPr>
          <w:rFonts w:ascii="Arial" w:cs="Arial" w:eastAsia="Arial" w:hAnsi="Arial"/>
          <w:sz w:val="22"/>
          <w:szCs w:val="22"/>
          <w:color w:val="auto"/>
        </w:rPr>
        <w:t>means</w:t>
      </w:r>
    </w:p>
    <w:p>
      <w:pPr>
        <w:spacing w:after="0" w:line="226" w:lineRule="exact"/>
        <w:rPr>
          <w:sz w:val="20"/>
          <w:szCs w:val="20"/>
          <w:color w:val="auto"/>
        </w:rPr>
      </w:pPr>
    </w:p>
    <w:p>
      <w:pPr>
        <w:ind w:left="1760" w:hanging="456"/>
        <w:spacing w:after="0"/>
        <w:tabs>
          <w:tab w:leader="none" w:pos="17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United States of America or any state or other political subdivision thereof, or</w:t>
      </w:r>
    </w:p>
    <w:p>
      <w:pPr>
        <w:spacing w:after="0" w:line="219" w:lineRule="exact"/>
        <w:rPr>
          <w:rFonts w:ascii="Arial" w:cs="Arial" w:eastAsia="Arial" w:hAnsi="Arial"/>
          <w:sz w:val="22"/>
          <w:szCs w:val="22"/>
          <w:color w:val="auto"/>
        </w:rPr>
      </w:pPr>
    </w:p>
    <w:p>
      <w:pPr>
        <w:ind w:left="1300" w:right="20" w:firstLine="652"/>
        <w:spacing w:after="0" w:line="263" w:lineRule="auto"/>
        <w:tabs>
          <w:tab w:leader="none" w:pos="2584" w:val="left"/>
        </w:tabs>
        <w:numPr>
          <w:ilvl w:val="1"/>
          <w:numId w:val="116"/>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174" w:lineRule="exact"/>
        <w:rPr>
          <w:rFonts w:ascii="Arial" w:cs="Arial" w:eastAsia="Arial" w:hAnsi="Arial"/>
          <w:sz w:val="22"/>
          <w:szCs w:val="22"/>
          <w:color w:val="auto"/>
        </w:rPr>
      </w:pPr>
    </w:p>
    <w:p>
      <w:pPr>
        <w:ind w:left="660" w:firstLine="644"/>
        <w:spacing w:after="0" w:line="263" w:lineRule="auto"/>
        <w:tabs>
          <w:tab w:leader="none" w:pos="182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“Governmental Official” </w:t>
      </w:r>
      <w:r>
        <w:rPr>
          <w:rFonts w:ascii="Arial" w:cs="Arial" w:eastAsia="Arial" w:hAnsi="Arial"/>
          <w:sz w:val="22"/>
          <w:szCs w:val="22"/>
          <w:color w:val="auto"/>
        </w:rPr>
        <w:t>means any governmental official or employee, employee of any government-owned or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government-controlled entity, political party, any official of a political party, candidate for political office, official of any public international organization or anyone else acting in an official capacity.</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w:t>
      </w:r>
      <w:r>
        <w:rPr>
          <w:rFonts w:ascii="Arial" w:cs="Arial" w:eastAsia="Arial" w:hAnsi="Arial"/>
          <w:sz w:val="22"/>
          <w:szCs w:val="22"/>
          <w:color w:val="auto"/>
        </w:rPr>
        <w:t>” of or by any Person (the “</w:t>
      </w:r>
      <w:r>
        <w:rPr>
          <w:rFonts w:ascii="Arial" w:cs="Arial" w:eastAsia="Arial" w:hAnsi="Arial"/>
          <w:sz w:val="22"/>
          <w:szCs w:val="22"/>
          <w:u w:val="single" w:color="auto"/>
          <w:color w:val="auto"/>
        </w:rPr>
        <w:t>guarantor</w:t>
      </w:r>
      <w:r>
        <w:rPr>
          <w:rFonts w:ascii="Arial" w:cs="Arial" w:eastAsia="Arial" w:hAnsi="Arial"/>
          <w:sz w:val="22"/>
          <w:szCs w:val="22"/>
          <w:color w:val="auto"/>
        </w:rPr>
        <w:t>”) means any obligation, contingent or otherwise, of the guarantor guaranteeing or having the economic effect of guaranteeing 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- 3 -</w:t>
            </w:r>
          </w:p>
        </w:tc>
      </w:tr>
    </w:tbl>
    <w:p>
      <w:pPr>
        <w:sectPr>
          <w:pgSz w:w="11900" w:h="16838" w:orient="portrait"/>
          <w:cols w:equalWidth="0" w:num="1">
            <w:col w:w="11240"/>
          </w:cols>
          <w:pgMar w:left="320" w:top="618" w:right="339" w:bottom="1440" w:gutter="0" w:footer="0" w:header="0"/>
        </w:sectPr>
      </w:pPr>
    </w:p>
    <w:bookmarkStart w:id="113" w:name="page114"/>
    <w:bookmarkEnd w:id="113"/>
    <w:p>
      <w:pPr>
        <w:jc w:val="both"/>
        <w:spacing w:after="0" w:line="285" w:lineRule="auto"/>
        <w:rPr>
          <w:sz w:val="20"/>
          <w:szCs w:val="20"/>
          <w:color w:val="auto"/>
        </w:rPr>
      </w:pPr>
      <w:r>
        <w:rPr>
          <w:rFonts w:ascii="Arial" w:cs="Arial" w:eastAsia="Arial" w:hAnsi="Arial"/>
          <w:sz w:val="19"/>
          <w:szCs w:val="19"/>
          <w:color w:val="auto"/>
        </w:rPr>
        <w:t>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The term “Guaranteed”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“Hazardous Materials” </w:t>
      </w:r>
      <w:r>
        <w:rPr>
          <w:rFonts w:ascii="Arial" w:cs="Arial" w:eastAsia="Arial" w:hAnsi="Arial"/>
          <w:sz w:val="22"/>
          <w:szCs w:val="22"/>
          <w:color w:val="auto"/>
        </w:rPr>
        <w:t>means any and all pollutants, toxic or hazardous wastes or other substances that might pose a</w:t>
      </w:r>
      <w:r>
        <w:rPr>
          <w:rFonts w:ascii="Arial" w:cs="Arial" w:eastAsia="Arial" w:hAnsi="Arial"/>
          <w:sz w:val="22"/>
          <w:szCs w:val="22"/>
          <w:b w:val="1"/>
          <w:bCs w:val="1"/>
          <w:color w:val="auto"/>
        </w:rPr>
        <w:t xml:space="preserve"> </w:t>
      </w:r>
      <w:r>
        <w:rPr>
          <w:rFonts w:ascii="Arial" w:cs="Arial" w:eastAsia="Arial" w:hAnsi="Arial"/>
          <w:sz w:val="22"/>
          <w:szCs w:val="22"/>
          <w:color w:val="auto"/>
        </w:rPr>
        <w:t>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Hedge Agreement</w:t>
      </w:r>
      <w:r>
        <w:rPr>
          <w:rFonts w:ascii="Arial" w:cs="Arial" w:eastAsia="Arial" w:hAnsi="Arial"/>
          <w:sz w:val="19"/>
          <w:szCs w:val="19"/>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pacing w:after="0" w:line="12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“holder” </w:t>
      </w:r>
      <w:r>
        <w:rPr>
          <w:rFonts w:ascii="Arial" w:cs="Arial" w:eastAsia="Arial" w:hAnsi="Arial"/>
          <w:sz w:val="22"/>
          <w:szCs w:val="22"/>
          <w:color w:val="auto"/>
        </w:rPr>
        <w:t>means, with respect to any Note, the Person in whose name such Notes is registered in the register maintained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by U.S. Bank on behalf of the Company pursuant to Section 13.1, except as otherwise defined in Section 8.3(b) for purposes of Section 8.3 only, and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if such Person is a nominee, then for the purposes of Sections 7, 12, 17.2 and 18 and any related definitions in this Schedule B, “holder” shall mean the beneficial owner of such Note whose name and address appears in such register</w:t>
      </w:r>
      <w:r>
        <w:rPr>
          <w:rFonts w:ascii="Arial" w:cs="Arial" w:eastAsia="Arial" w:hAnsi="Arial"/>
          <w:sz w:val="17"/>
          <w:szCs w:val="17"/>
          <w:color w:val="auto"/>
        </w:rPr>
        <w:t>.</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“Indebtedness” </w:t>
      </w:r>
      <w:r>
        <w:rPr>
          <w:rFonts w:ascii="Arial" w:cs="Arial" w:eastAsia="Arial" w:hAnsi="Arial"/>
          <w:sz w:val="22"/>
          <w:szCs w:val="22"/>
          <w:color w:val="auto"/>
        </w:rPr>
        <w:t>means as to any Person, at a particular time, all items which constitute, without duplication, (a)</w:t>
      </w:r>
      <w:r>
        <w:rPr>
          <w:rFonts w:ascii="Arial" w:cs="Arial" w:eastAsia="Arial" w:hAnsi="Arial"/>
          <w:sz w:val="22"/>
          <w:szCs w:val="22"/>
          <w:b w:val="1"/>
          <w:bCs w:val="1"/>
          <w:color w:val="auto"/>
        </w:rPr>
        <w:t xml:space="preserve"> </w:t>
      </w:r>
      <w:r>
        <w:rPr>
          <w:rFonts w:ascii="Arial" w:cs="Arial" w:eastAsia="Arial" w:hAnsi="Arial"/>
          <w:sz w:val="22"/>
          <w:szCs w:val="22"/>
          <w:color w:val="auto"/>
        </w:rPr>
        <w:t>indebtedness for borrowed money or the deferred purchase price of property (excluding trade payables incurred in the ordinary course of business and excluding any such obligations payable solely through the Company’s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- 4 -</w:t>
            </w:r>
          </w:p>
        </w:tc>
      </w:tr>
    </w:tbl>
    <w:p>
      <w:pPr>
        <w:sectPr>
          <w:pgSz w:w="11900" w:h="16838" w:orient="portrait"/>
          <w:cols w:equalWidth="0" w:num="1">
            <w:col w:w="11240"/>
          </w:cols>
          <w:pgMar w:left="320" w:top="618" w:right="339" w:bottom="1440" w:gutter="0" w:footer="0" w:header="0"/>
        </w:sectPr>
      </w:pPr>
    </w:p>
    <w:bookmarkStart w:id="114" w:name="page115"/>
    <w:bookmarkEnd w:id="114"/>
    <w:p>
      <w:pPr>
        <w:jc w:val="both"/>
        <w:spacing w:after="0" w:line="287" w:lineRule="auto"/>
        <w:rPr>
          <w:sz w:val="20"/>
          <w:szCs w:val="20"/>
          <w:color w:val="auto"/>
        </w:rPr>
      </w:pPr>
      <w:r>
        <w:rPr>
          <w:rFonts w:ascii="Arial" w:cs="Arial" w:eastAsia="Arial" w:hAnsi="Arial"/>
          <w:sz w:val="19"/>
          <w:szCs w:val="19"/>
          <w:color w:val="auto"/>
        </w:rPr>
        <w:t xml:space="preserve">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Guarantees of such Person in respect of Indebtedness of others, and (j) to the extent not otherwise included, all net obligations of such Person under Permitted Hedge Agreements.</w:t>
      </w:r>
    </w:p>
    <w:p>
      <w:pPr>
        <w:spacing w:after="0" w:line="1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the avoidance of doubt, Indebtedness shall include all Indebtedness secured by any Liens permitted under Section 10.4 of this Agreement.</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“INHAM Exemption” </w:t>
      </w:r>
      <w:r>
        <w:rPr>
          <w:rFonts w:ascii="Arial" w:cs="Arial" w:eastAsia="Arial" w:hAnsi="Arial"/>
          <w:sz w:val="22"/>
          <w:szCs w:val="22"/>
          <w:color w:val="auto"/>
        </w:rPr>
        <w:t>is defined in Section 6.2(e).</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“Institutional Investor” </w:t>
      </w:r>
      <w:r>
        <w:rPr>
          <w:rFonts w:ascii="Arial" w:cs="Arial" w:eastAsia="Arial" w:hAnsi="Arial"/>
          <w:sz w:val="22"/>
          <w:szCs w:val="22"/>
          <w:color w:val="auto"/>
        </w:rPr>
        <w:t>means (a) any Purchaser of a Note, (b) any holder of a Note holding (together with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“Investment Grade Rating” </w:t>
      </w:r>
      <w:r>
        <w:rPr>
          <w:rFonts w:ascii="Arial" w:cs="Arial" w:eastAsia="Arial" w:hAnsi="Arial"/>
          <w:sz w:val="22"/>
          <w:szCs w:val="22"/>
          <w:color w:val="auto"/>
        </w:rPr>
        <w:t>means a Senior Debt Rating from at least two Rating Agencies equal to (a)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 where the surviving entity has a Senior Debt Rating, a rating for such surviving entity of BBB- or higher from S&amp;P or Fitch or Baa3 or higher from Moody’s and (b)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pacing w:after="0" w:line="18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“Lien” </w:t>
      </w:r>
      <w:r>
        <w:rPr>
          <w:rFonts w:ascii="Arial" w:cs="Arial" w:eastAsia="Arial" w:hAnsi="Arial"/>
          <w:sz w:val="19"/>
          <w:szCs w:val="19"/>
          <w:color w:val="auto"/>
        </w:rPr>
        <w:t>means, with respect to any Person, any mortgage, lien, pledge, charge, security interest or other encumbrance, or</w:t>
      </w:r>
      <w:r>
        <w:rPr>
          <w:rFonts w:ascii="Arial" w:cs="Arial" w:eastAsia="Arial" w:hAnsi="Arial"/>
          <w:sz w:val="19"/>
          <w:szCs w:val="19"/>
          <w:b w:val="1"/>
          <w:bCs w:val="1"/>
          <w:color w:val="auto"/>
        </w:rPr>
        <w:t xml:space="preserve"> </w:t>
      </w:r>
      <w:r>
        <w:rPr>
          <w:rFonts w:ascii="Arial" w:cs="Arial" w:eastAsia="Arial" w:hAnsi="Arial"/>
          <w:sz w:val="19"/>
          <w:szCs w:val="19"/>
          <w:color w:val="auto"/>
        </w:rPr>
        <w:t>any interest or title of any vendor, lessor, lender or other secured party to or of such Person under any conditional sale or other title retention agreement or Capital Lease Obligations, upon or with respect to any property or asset of such Person (including in the case of stock, stockholder agreements, voting trust agreements and all similar arrangements).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“Make-Whole Amount” </w:t>
      </w:r>
      <w:r>
        <w:rPr>
          <w:rFonts w:ascii="Arial" w:cs="Arial" w:eastAsia="Arial" w:hAnsi="Arial"/>
          <w:sz w:val="22"/>
          <w:szCs w:val="22"/>
          <w:color w:val="auto"/>
        </w:rPr>
        <w:t>is defined in Section 8.7.</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“Material” </w:t>
      </w:r>
      <w:r>
        <w:rPr>
          <w:rFonts w:ascii="Arial" w:cs="Arial" w:eastAsia="Arial" w:hAnsi="Arial"/>
          <w:sz w:val="22"/>
          <w:szCs w:val="22"/>
          <w:color w:val="auto"/>
        </w:rPr>
        <w:t>means material in relation to the business, operations, affairs, financial condition, assets or properties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its Subsidiaries taken as a whole.</w:t>
      </w:r>
    </w:p>
    <w:p>
      <w:pPr>
        <w:spacing w:after="0" w:line="16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“Material Adverse Effect” </w:t>
      </w:r>
      <w:r>
        <w:rPr>
          <w:rFonts w:ascii="Arial" w:cs="Arial" w:eastAsia="Arial" w:hAnsi="Arial"/>
          <w:sz w:val="19"/>
          <w:szCs w:val="19"/>
          <w:color w:val="auto"/>
        </w:rPr>
        <w:t>means a material adverse effect on (a) the business, operations, affairs, financial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assets or properties of the Company and its Subsidiaries taken as a whole, (b) the ability of the Company to perform its obligations under this Agreement and the Notes, (c) the ability of any Subsidiary Guarantor to perform its obligations under its Subsidiary Guaranty, or (d) the validity or enforceability of this Agreement, the Notes or any Subsidiary Guaranty.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- 5 -</w:t>
            </w:r>
          </w:p>
        </w:tc>
      </w:tr>
    </w:tbl>
    <w:p>
      <w:pPr>
        <w:sectPr>
          <w:pgSz w:w="11900" w:h="16838" w:orient="portrait"/>
          <w:cols w:equalWidth="0" w:num="1">
            <w:col w:w="11240"/>
          </w:cols>
          <w:pgMar w:left="320" w:top="618"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2"/>
          <w:szCs w:val="22"/>
          <w:b w:val="1"/>
          <w:bCs w:val="1"/>
          <w:color w:val="auto"/>
        </w:rPr>
        <w:t xml:space="preserve">“Material Credit Facility” </w:t>
      </w:r>
      <w:r>
        <w:rPr>
          <w:rFonts w:ascii="Arial" w:cs="Arial" w:eastAsia="Arial" w:hAnsi="Arial"/>
          <w:sz w:val="22"/>
          <w:szCs w:val="22"/>
          <w:color w:val="auto"/>
        </w:rPr>
        <w:t>means, as to the Company,</w:t>
      </w:r>
    </w:p>
    <w:p>
      <w:pPr>
        <w:spacing w:after="0" w:line="91" w:lineRule="exact"/>
        <w:rPr>
          <w:sz w:val="20"/>
          <w:szCs w:val="20"/>
          <w:color w:val="auto"/>
        </w:rPr>
      </w:pPr>
    </w:p>
    <w:p>
      <w:pPr>
        <w:jc w:val="both"/>
        <w:ind w:left="660" w:firstLine="644"/>
        <w:spacing w:after="0" w:line="249" w:lineRule="auto"/>
        <w:tabs>
          <w:tab w:leader="none" w:pos="195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(1) the Amended and Restated Credit Agreement, dated as of January 10, 2019, among the Company, the lenders party thereto and JPMorgan Chase Bank, N.A., as administrative agent, (2) the Term Loan Agreement, dated as of January 10, 2020, between the Company and Bank of America, N.A., (3) the Term Loan Agreement, dated as of April 8, 2020, among the Company, the lenders party thereto and U.S. Bank National Association, as administrative agent; and (4) the Note Purchase Agreement, dated December 8, 2016, among the Company and the purchasers thereunder, in each case including any renewals, extensions, amendments, supplements, restatements, replacements or refinancing thereof; and</w:t>
      </w:r>
    </w:p>
    <w:p>
      <w:pPr>
        <w:spacing w:after="0" w:line="151" w:lineRule="exact"/>
        <w:rPr>
          <w:rFonts w:ascii="Arial" w:cs="Arial" w:eastAsia="Arial" w:hAnsi="Arial"/>
          <w:sz w:val="19"/>
          <w:szCs w:val="19"/>
          <w:color w:val="auto"/>
        </w:rPr>
      </w:pPr>
    </w:p>
    <w:p>
      <w:pPr>
        <w:jc w:val="both"/>
        <w:ind w:left="660" w:firstLine="644"/>
        <w:spacing w:after="0" w:line="214" w:lineRule="auto"/>
        <w:tabs>
          <w:tab w:leader="none" w:pos="195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any other credit agreement(s), loan agreement(s) or similar agreement(s) with one or more lenders creating or evidencing indebtedness for borrowed money entered into on or after the date of Closing by the Company, or in respect of which the Company is an obligor or otherwise provides a guarantee or other credit support (</w:t>
      </w:r>
      <w:r>
        <w:rPr>
          <w:rFonts w:ascii="Arial" w:cs="Arial" w:eastAsia="Arial" w:hAnsi="Arial"/>
          <w:sz w:val="22"/>
          <w:szCs w:val="22"/>
          <w:b w:val="1"/>
          <w:bCs w:val="1"/>
          <w:color w:val="auto"/>
        </w:rPr>
        <w:t>“Credit Facility”</w:t>
      </w:r>
      <w:r>
        <w:rPr>
          <w:rFonts w:ascii="Arial" w:cs="Arial" w:eastAsia="Arial" w:hAnsi="Arial"/>
          <w:sz w:val="22"/>
          <w:szCs w:val="22"/>
          <w:color w:val="auto"/>
        </w:rPr>
        <w:t>), in a principal amount outstanding or available for borrowing equal to or greater than $115,000,000 (or the equivalent of such amount in the relevant currency of payment, determined as of the date of the closing of such facility based on the exchange rate of such other currency).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“Maturity Date” </w:t>
      </w:r>
      <w:r>
        <w:rPr>
          <w:rFonts w:ascii="Arial" w:cs="Arial" w:eastAsia="Arial" w:hAnsi="Arial"/>
          <w:sz w:val="22"/>
          <w:szCs w:val="22"/>
          <w:color w:val="auto"/>
        </w:rPr>
        <w:t>is defined in the first paragraph of each Note.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“Moody’s” </w:t>
      </w:r>
      <w:r>
        <w:rPr>
          <w:rFonts w:ascii="Arial" w:cs="Arial" w:eastAsia="Arial" w:hAnsi="Arial"/>
          <w:sz w:val="22"/>
          <w:szCs w:val="22"/>
          <w:color w:val="auto"/>
        </w:rPr>
        <w:t>means Moody’s Investors Service, Inc., or any successor thereto.</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“Multiemployer Plan” </w:t>
      </w:r>
      <w:r>
        <w:rPr>
          <w:rFonts w:ascii="Arial" w:cs="Arial" w:eastAsia="Arial" w:hAnsi="Arial"/>
          <w:sz w:val="22"/>
          <w:szCs w:val="22"/>
          <w:color w:val="auto"/>
        </w:rPr>
        <w:t>means any Plan that is a “multiemployer plan” (as such term is defined in section 4001(a)(3) of</w:t>
      </w:r>
      <w:r>
        <w:rPr>
          <w:rFonts w:ascii="Arial" w:cs="Arial" w:eastAsia="Arial" w:hAnsi="Arial"/>
          <w:sz w:val="22"/>
          <w:szCs w:val="22"/>
          <w:b w:val="1"/>
          <w:bCs w:val="1"/>
          <w:color w:val="auto"/>
        </w:rPr>
        <w:t xml:space="preserve"> </w:t>
      </w:r>
      <w:r>
        <w:rPr>
          <w:rFonts w:ascii="Arial" w:cs="Arial" w:eastAsia="Arial" w:hAnsi="Arial"/>
          <w:sz w:val="22"/>
          <w:szCs w:val="22"/>
          <w:color w:val="auto"/>
        </w:rPr>
        <w:t>ERISA).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“NAIC” </w:t>
      </w:r>
      <w:r>
        <w:rPr>
          <w:rFonts w:ascii="Arial" w:cs="Arial" w:eastAsia="Arial" w:hAnsi="Arial"/>
          <w:sz w:val="22"/>
          <w:szCs w:val="22"/>
          <w:color w:val="auto"/>
        </w:rPr>
        <w:t>means the National Association of Insurance Commissioners.</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Non-U.S. Plan</w:t>
      </w:r>
      <w:r>
        <w:rPr>
          <w:rFonts w:ascii="Arial" w:cs="Arial" w:eastAsia="Arial" w:hAnsi="Arial"/>
          <w:sz w:val="22"/>
          <w:szCs w:val="22"/>
          <w:color w:val="auto"/>
        </w:rPr>
        <w:t>”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“Notes” </w:t>
      </w:r>
      <w:r>
        <w:rPr>
          <w:rFonts w:ascii="Arial" w:cs="Arial" w:eastAsia="Arial" w:hAnsi="Arial"/>
          <w:sz w:val="22"/>
          <w:szCs w:val="22"/>
          <w:color w:val="auto"/>
        </w:rPr>
        <w:t>is defined in Section 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“OFAC” </w:t>
      </w:r>
      <w:r>
        <w:rPr>
          <w:rFonts w:ascii="Arial" w:cs="Arial" w:eastAsia="Arial" w:hAnsi="Arial"/>
          <w:sz w:val="22"/>
          <w:szCs w:val="22"/>
          <w:color w:val="auto"/>
        </w:rPr>
        <w:t>means the Office of Foreign Assets Control of the United States Department of the Treasury.</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“OFAC Sanctions Program” </w:t>
      </w:r>
      <w:r>
        <w:rPr>
          <w:rFonts w:ascii="Arial" w:cs="Arial" w:eastAsia="Arial" w:hAnsi="Arial"/>
          <w:sz w:val="22"/>
          <w:szCs w:val="22"/>
          <w:color w:val="auto"/>
        </w:rPr>
        <w:t>means any economic or trade sanction that OFAC is responsible for administering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enforcing. A list of OFAC Sanctions Programs may be found at </w:t>
      </w:r>
      <w:r>
        <w:rPr>
          <w:rFonts w:ascii="Arial" w:cs="Arial" w:eastAsia="Arial" w:hAnsi="Arial"/>
          <w:sz w:val="22"/>
          <w:szCs w:val="22"/>
          <w:u w:val="single" w:color="auto"/>
          <w:color w:val="0000FF"/>
        </w:rPr>
        <w:t>http://www.treasury.gov/resource-center/sanctions/Programs/Pages/Programs.aspx</w:t>
      </w:r>
      <w:r>
        <w:rPr>
          <w:rFonts w:ascii="Arial" w:cs="Arial" w:eastAsia="Arial" w:hAnsi="Arial"/>
          <w:sz w:val="22"/>
          <w:szCs w:val="22"/>
          <w:color w:val="000000"/>
        </w:rPr>
        <w:t>.</w:t>
      </w:r>
    </w:p>
    <w:p>
      <w:pPr>
        <w:spacing w:after="0" w:line="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“Officer’s Certificate” </w:t>
      </w:r>
      <w:r>
        <w:rPr>
          <w:rFonts w:ascii="Arial" w:cs="Arial" w:eastAsia="Arial" w:hAnsi="Arial"/>
          <w:sz w:val="22"/>
          <w:szCs w:val="22"/>
          <w:color w:val="auto"/>
        </w:rPr>
        <w:t>means a certificate of a Senior Financial Officer or of any other officer of the Company whose</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responsibilities extend to the subject matter of such certificate.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“PBGC” </w:t>
      </w:r>
      <w:r>
        <w:rPr>
          <w:rFonts w:ascii="Arial" w:cs="Arial" w:eastAsia="Arial" w:hAnsi="Arial"/>
          <w:sz w:val="22"/>
          <w:szCs w:val="22"/>
          <w:color w:val="auto"/>
        </w:rPr>
        <w:t>means the Pension Benefit Guaranty Corporation referred to and defined in ERISA.</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Hedge Agreement</w:t>
      </w:r>
      <w:r>
        <w:rPr>
          <w:rFonts w:ascii="Arial" w:cs="Arial" w:eastAsia="Arial" w:hAnsi="Arial"/>
          <w:sz w:val="19"/>
          <w:szCs w:val="19"/>
          <w:color w:val="auto"/>
        </w:rPr>
        <w:t>” 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- 6 -</w:t>
            </w:r>
          </w:p>
        </w:tc>
      </w:tr>
    </w:tbl>
    <w:p>
      <w:pPr>
        <w:sectPr>
          <w:pgSz w:w="11900" w:h="16838" w:orient="portrait"/>
          <w:cols w:equalWidth="0" w:num="1">
            <w:col w:w="11240"/>
          </w:cols>
          <w:pgMar w:left="320" w:top="612" w:right="339" w:bottom="1440" w:gutter="0" w:footer="0" w:header="0"/>
        </w:sectPr>
      </w:pPr>
    </w:p>
    <w:bookmarkStart w:id="116" w:name="page117"/>
    <w:bookmarkEnd w:id="116"/>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means an individual, partnership, corporation, limited liability company, association, trust, unincorporated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organization, business entity or Governmental Authority.</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means an “employee benefit plan” (as defined in section 3(3) of ERISA) subject to Title I of ERISA that is or,</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“Project Finance Indebtedness” </w:t>
      </w:r>
      <w:r>
        <w:rPr>
          <w:rFonts w:ascii="Arial" w:cs="Arial" w:eastAsia="Arial" w:hAnsi="Arial"/>
          <w:sz w:val="21"/>
          <w:szCs w:val="21"/>
          <w:color w:val="auto"/>
        </w:rPr>
        <w:t>means any indebtedness or lease obligations incurred by a special purpose 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with no material assets or operations other than the project being financed (i) which are related to the construction or acquisition of property not previously owned by the Company or its Subsidiaries or (ii) which are related to the financing of a project involving the development or expansion of property of the Company or any of its Subsidiaries and (iii), in either case, the obligee in respect of which has no recourse to the Company or its Subsidiaries or any property of the Company or its Subsidiaries other than the property constructed or acquired with the proceeds of such transaction or the project financed with the proceeds of such transaction (or the proceeds thereof).</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“property” </w:t>
      </w:r>
      <w:r>
        <w:rPr>
          <w:rFonts w:ascii="Arial" w:cs="Arial" w:eastAsia="Arial" w:hAnsi="Arial"/>
          <w:sz w:val="22"/>
          <w:szCs w:val="22"/>
          <w:color w:val="auto"/>
        </w:rPr>
        <w:t>or</w:t>
      </w:r>
      <w:r>
        <w:rPr>
          <w:rFonts w:ascii="Arial" w:cs="Arial" w:eastAsia="Arial" w:hAnsi="Arial"/>
          <w:sz w:val="22"/>
          <w:szCs w:val="22"/>
          <w:b w:val="1"/>
          <w:bCs w:val="1"/>
          <w:color w:val="auto"/>
        </w:rPr>
        <w:t xml:space="preserve"> “properties” </w:t>
      </w:r>
      <w:r>
        <w:rPr>
          <w:rFonts w:ascii="Arial" w:cs="Arial" w:eastAsia="Arial" w:hAnsi="Arial"/>
          <w:sz w:val="22"/>
          <w:szCs w:val="22"/>
          <w:color w:val="auto"/>
        </w:rPr>
        <w:t>means, unless otherwise specifically limited, real or personal property of any kind, tangible</w:t>
      </w:r>
      <w:r>
        <w:rPr>
          <w:rFonts w:ascii="Arial" w:cs="Arial" w:eastAsia="Arial" w:hAnsi="Arial"/>
          <w:sz w:val="22"/>
          <w:szCs w:val="22"/>
          <w:b w:val="1"/>
          <w:bCs w:val="1"/>
          <w:color w:val="auto"/>
        </w:rPr>
        <w:t xml:space="preserve"> </w:t>
      </w:r>
      <w:r>
        <w:rPr>
          <w:rFonts w:ascii="Arial" w:cs="Arial" w:eastAsia="Arial" w:hAnsi="Arial"/>
          <w:sz w:val="22"/>
          <w:szCs w:val="22"/>
          <w:color w:val="auto"/>
        </w:rPr>
        <w:t>or intangible, choate or inchoate.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Proposed Prepayment Date</w:t>
      </w:r>
      <w:r>
        <w:rPr>
          <w:rFonts w:ascii="Arial" w:cs="Arial" w:eastAsia="Arial" w:hAnsi="Arial"/>
          <w:sz w:val="22"/>
          <w:szCs w:val="22"/>
          <w:color w:val="auto"/>
        </w:rPr>
        <w:t>” is defined in Section 8.3(b).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“PTE” </w:t>
      </w:r>
      <w:r>
        <w:rPr>
          <w:rFonts w:ascii="Arial" w:cs="Arial" w:eastAsia="Arial" w:hAnsi="Arial"/>
          <w:sz w:val="22"/>
          <w:szCs w:val="22"/>
          <w:color w:val="auto"/>
        </w:rPr>
        <w:t>is defined in Section 6.2(a).</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“Purchaser” </w:t>
      </w:r>
      <w:r>
        <w:rPr>
          <w:rFonts w:ascii="Arial" w:cs="Arial" w:eastAsia="Arial" w:hAnsi="Arial"/>
          <w:sz w:val="21"/>
          <w:szCs w:val="21"/>
          <w:color w:val="auto"/>
        </w:rPr>
        <w:t>or</w:t>
      </w:r>
      <w:r>
        <w:rPr>
          <w:rFonts w:ascii="Arial" w:cs="Arial" w:eastAsia="Arial" w:hAnsi="Arial"/>
          <w:sz w:val="21"/>
          <w:szCs w:val="21"/>
          <w:b w:val="1"/>
          <w:bCs w:val="1"/>
          <w:color w:val="auto"/>
        </w:rPr>
        <w:t xml:space="preserve"> “Purchasers” </w:t>
      </w:r>
      <w:r>
        <w:rPr>
          <w:rFonts w:ascii="Arial" w:cs="Arial" w:eastAsia="Arial" w:hAnsi="Arial"/>
          <w:sz w:val="21"/>
          <w:szCs w:val="21"/>
          <w:color w:val="auto"/>
        </w:rPr>
        <w:t>means each of the purchasers that has executed and delivered this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and such Purchaser’s successors and assigns (so long as any such assignment complies with Section 13.2),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however, </w:t>
      </w:r>
      <w:r>
        <w:rPr>
          <w:rFonts w:ascii="Arial" w:cs="Arial" w:eastAsia="Arial" w:hAnsi="Arial"/>
          <w:sz w:val="21"/>
          <w:szCs w:val="21"/>
          <w:color w:val="auto"/>
        </w:rPr>
        <w:t>that any Purchaser of a Note that ceases to be the registered holder or a beneficial owner (through a nominee) of such</w:t>
      </w:r>
      <w:r>
        <w:rPr>
          <w:rFonts w:ascii="Arial" w:cs="Arial" w:eastAsia="Arial" w:hAnsi="Arial"/>
          <w:sz w:val="21"/>
          <w:szCs w:val="21"/>
          <w:i w:val="1"/>
          <w:iCs w:val="1"/>
          <w:color w:val="auto"/>
        </w:rPr>
        <w:t xml:space="preserve"> </w:t>
      </w:r>
      <w:r>
        <w:rPr>
          <w:rFonts w:ascii="Arial" w:cs="Arial" w:eastAsia="Arial" w:hAnsi="Arial"/>
          <w:sz w:val="21"/>
          <w:szCs w:val="21"/>
          <w:color w:val="auto"/>
        </w:rPr>
        <w:t>Note as the result of a transfer thereof pursuant to Section 13.2 shall cease to be included within the meaning of “Purchaser” of such Note for the purposes of this Agreement upon such transfer .</w:t>
      </w:r>
    </w:p>
    <w:p>
      <w:pPr>
        <w:spacing w:after="0" w:line="17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“Qualified Institutional Buyer” </w:t>
      </w:r>
      <w:r>
        <w:rPr>
          <w:rFonts w:ascii="Arial" w:cs="Arial" w:eastAsia="Arial" w:hAnsi="Arial"/>
          <w:sz w:val="22"/>
          <w:szCs w:val="22"/>
          <w:color w:val="auto"/>
        </w:rPr>
        <w:t>means any Person who is a “qualified institutional buyer” within the meaning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term as set forth in Rule 144A(a)(1) under the Securities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“QPAM Exemption” </w:t>
      </w:r>
      <w:r>
        <w:rPr>
          <w:rFonts w:ascii="Arial" w:cs="Arial" w:eastAsia="Arial" w:hAnsi="Arial"/>
          <w:sz w:val="22"/>
          <w:szCs w:val="22"/>
          <w:color w:val="auto"/>
        </w:rPr>
        <w:t>is defined in Section 6.2(d).</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“Rating Agencies” </w:t>
      </w:r>
      <w:r>
        <w:rPr>
          <w:rFonts w:ascii="Arial" w:cs="Arial" w:eastAsia="Arial" w:hAnsi="Arial"/>
          <w:sz w:val="22"/>
          <w:szCs w:val="22"/>
          <w:color w:val="auto"/>
        </w:rPr>
        <w:t>means Fitch, Moody’s and S&amp;P (or, if any of the foregoing ceases to provide Senior Debt Ratings as</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hereby, such other nationally recognized rating agency as shall be agreed upon by the Company and the Required Holders).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“Related Fund” </w:t>
      </w:r>
      <w:r>
        <w:rPr>
          <w:rFonts w:ascii="Arial" w:cs="Arial" w:eastAsia="Arial" w:hAnsi="Arial"/>
          <w:sz w:val="22"/>
          <w:szCs w:val="22"/>
          <w:color w:val="auto"/>
        </w:rPr>
        <w:t>means, with respect to any holder of any Note, any fund or entity that (i) invests in Securities or bank</w:t>
      </w:r>
      <w:r>
        <w:rPr>
          <w:rFonts w:ascii="Arial" w:cs="Arial" w:eastAsia="Arial" w:hAnsi="Arial"/>
          <w:sz w:val="22"/>
          <w:szCs w:val="22"/>
          <w:b w:val="1"/>
          <w:bCs w:val="1"/>
          <w:color w:val="auto"/>
        </w:rPr>
        <w:t xml:space="preserve"> </w:t>
      </w:r>
      <w:r>
        <w:rPr>
          <w:rFonts w:ascii="Arial" w:cs="Arial" w:eastAsia="Arial" w:hAnsi="Arial"/>
          <w:sz w:val="22"/>
          <w:szCs w:val="22"/>
          <w:color w:val="auto"/>
        </w:rPr>
        <w:t>loans, and (ii) is advised or managed by such holder, the same investment advisor as such holder or by an affiliate of such holder or such investment advisor.</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“Required Holders” </w:t>
      </w:r>
      <w:r>
        <w:rPr>
          <w:rFonts w:ascii="Arial" w:cs="Arial" w:eastAsia="Arial" w:hAnsi="Arial"/>
          <w:sz w:val="22"/>
          <w:szCs w:val="22"/>
          <w:color w:val="auto"/>
        </w:rPr>
        <w:t>means at any time, the holders of at least 51% in principal amount of the Notes at the time</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(exclusive of Notes then owned by the Company or any of its Affiliates).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“Responsible Officer” </w:t>
      </w:r>
      <w:r>
        <w:rPr>
          <w:rFonts w:ascii="Arial" w:cs="Arial" w:eastAsia="Arial" w:hAnsi="Arial"/>
          <w:sz w:val="22"/>
          <w:szCs w:val="22"/>
          <w:color w:val="auto"/>
        </w:rPr>
        <w:t>means any Senior Financial Officer and any other officer of the Company with responsibility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administration of the relevant portion of this Agreement.</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“S&amp;P” </w:t>
      </w:r>
      <w:r>
        <w:rPr>
          <w:rFonts w:ascii="Arial" w:cs="Arial" w:eastAsia="Arial" w:hAnsi="Arial"/>
          <w:sz w:val="22"/>
          <w:szCs w:val="22"/>
          <w:color w:val="auto"/>
        </w:rPr>
        <w:t>means Standard &amp; Poor’s Rating Services, a Standard &amp; Poor’s Financial Services LLC business,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thereto.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- 7 -</w:t>
            </w:r>
          </w:p>
        </w:tc>
      </w:tr>
    </w:tbl>
    <w:p>
      <w:pPr>
        <w:sectPr>
          <w:pgSz w:w="11900" w:h="16838" w:orient="portrait"/>
          <w:cols w:equalWidth="0" w:num="1">
            <w:col w:w="11240"/>
          </w:cols>
          <w:pgMar w:left="320" w:top="612"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22"/>
          <w:szCs w:val="22"/>
          <w:b w:val="1"/>
          <w:bCs w:val="1"/>
          <w:color w:val="auto"/>
        </w:rPr>
        <w:t xml:space="preserve">“SEC” </w:t>
      </w:r>
      <w:r>
        <w:rPr>
          <w:rFonts w:ascii="Arial" w:cs="Arial" w:eastAsia="Arial" w:hAnsi="Arial"/>
          <w:sz w:val="22"/>
          <w:szCs w:val="22"/>
          <w:color w:val="auto"/>
        </w:rPr>
        <w:t>means the Securities and Exchange Commission of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“Securities” </w:t>
      </w:r>
      <w:r>
        <w:rPr>
          <w:rFonts w:ascii="Arial" w:cs="Arial" w:eastAsia="Arial" w:hAnsi="Arial"/>
          <w:sz w:val="22"/>
          <w:szCs w:val="22"/>
          <w:color w:val="auto"/>
        </w:rPr>
        <w:t>or</w:t>
      </w:r>
      <w:r>
        <w:rPr>
          <w:rFonts w:ascii="Arial" w:cs="Arial" w:eastAsia="Arial" w:hAnsi="Arial"/>
          <w:sz w:val="22"/>
          <w:szCs w:val="22"/>
          <w:b w:val="1"/>
          <w:bCs w:val="1"/>
          <w:color w:val="auto"/>
        </w:rPr>
        <w:t xml:space="preserve"> “Security” </w:t>
      </w:r>
      <w:r>
        <w:rPr>
          <w:rFonts w:ascii="Arial" w:cs="Arial" w:eastAsia="Arial" w:hAnsi="Arial"/>
          <w:sz w:val="22"/>
          <w:szCs w:val="22"/>
          <w:color w:val="auto"/>
        </w:rPr>
        <w:t>shall have the meaning specified in section 2(1) of the Securities Act.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means the Securities Act of 1933 and the rules and regulations promulgated thereunder from time to</w:t>
      </w:r>
      <w:r>
        <w:rPr>
          <w:rFonts w:ascii="Arial" w:cs="Arial" w:eastAsia="Arial" w:hAnsi="Arial"/>
          <w:sz w:val="22"/>
          <w:szCs w:val="22"/>
          <w:b w:val="1"/>
          <w:bCs w:val="1"/>
          <w:color w:val="auto"/>
        </w:rPr>
        <w:t xml:space="preserve"> </w:t>
      </w:r>
      <w:r>
        <w:rPr>
          <w:rFonts w:ascii="Arial" w:cs="Arial" w:eastAsia="Arial" w:hAnsi="Arial"/>
          <w:sz w:val="22"/>
          <w:szCs w:val="22"/>
          <w:color w:val="auto"/>
        </w:rPr>
        <w:t>time in effect.</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“Senior Debt Rating” </w:t>
      </w:r>
      <w:r>
        <w:rPr>
          <w:rFonts w:ascii="Arial" w:cs="Arial" w:eastAsia="Arial" w:hAnsi="Arial"/>
          <w:sz w:val="21"/>
          <w:szCs w:val="21"/>
          <w:color w:val="auto"/>
        </w:rPr>
        <w:t>means, at any date, the credit rating identified by a Rating Agency as the credit rating that (i) it has</w:t>
      </w:r>
      <w:r>
        <w:rPr>
          <w:rFonts w:ascii="Arial" w:cs="Arial" w:eastAsia="Arial" w:hAnsi="Arial"/>
          <w:sz w:val="21"/>
          <w:szCs w:val="21"/>
          <w:b w:val="1"/>
          <w:bCs w:val="1"/>
          <w:color w:val="auto"/>
        </w:rPr>
        <w:t xml:space="preserve"> </w:t>
      </w:r>
      <w:r>
        <w:rPr>
          <w:rFonts w:ascii="Arial" w:cs="Arial" w:eastAsia="Arial" w:hAnsi="Arial"/>
          <w:sz w:val="21"/>
          <w:szCs w:val="21"/>
          <w:color w:val="auto"/>
        </w:rPr>
        <w:t>assigned to long term unsecured senior debt of such Person or (ii) would assign to long term unsecured senior debt of such Person were such Person to issue or have outstanding any long term unsecured senior debt on such date.</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“Senior Financial Officer” </w:t>
      </w:r>
      <w:r>
        <w:rPr>
          <w:rFonts w:ascii="Arial" w:cs="Arial" w:eastAsia="Arial" w:hAnsi="Arial"/>
          <w:sz w:val="22"/>
          <w:szCs w:val="22"/>
          <w:color w:val="auto"/>
        </w:rPr>
        <w:t>means the chief financial officer, principal accounting officer, treasurer or comptroller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“Significant Subsidiary” </w:t>
      </w:r>
      <w:r>
        <w:rPr>
          <w:rFonts w:ascii="Arial" w:cs="Arial" w:eastAsia="Arial" w:hAnsi="Arial"/>
          <w:sz w:val="21"/>
          <w:szCs w:val="21"/>
          <w:color w:val="auto"/>
        </w:rPr>
        <w:t>has the meaning set forth in Item 1.02(w) of Regulation S-X under the Securities Act.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“Source” </w:t>
      </w:r>
      <w:r>
        <w:rPr>
          <w:rFonts w:ascii="Arial" w:cs="Arial" w:eastAsia="Arial" w:hAnsi="Arial"/>
          <w:sz w:val="22"/>
          <w:szCs w:val="22"/>
          <w:color w:val="auto"/>
        </w:rPr>
        <w:t>is defined in Section 6.2.</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 Sanctions List</w:t>
      </w:r>
      <w:r>
        <w:rPr>
          <w:rFonts w:ascii="Arial" w:cs="Arial" w:eastAsia="Arial" w:hAnsi="Arial"/>
          <w:sz w:val="22"/>
          <w:szCs w:val="22"/>
          <w:color w:val="auto"/>
        </w:rPr>
        <w: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“Subsidiary” </w:t>
      </w:r>
      <w:r>
        <w:rPr>
          <w:rFonts w:ascii="Arial" w:cs="Arial" w:eastAsia="Arial" w:hAnsi="Arial"/>
          <w:sz w:val="21"/>
          <w:szCs w:val="21"/>
          <w:color w:val="auto"/>
        </w:rPr>
        <w:t>means, as to any Person, any other Person in which such first Person or one or more of its Subsidiaries or</w:t>
      </w:r>
      <w:r>
        <w:rPr>
          <w:rFonts w:ascii="Arial" w:cs="Arial" w:eastAsia="Arial" w:hAnsi="Arial"/>
          <w:sz w:val="21"/>
          <w:szCs w:val="21"/>
          <w:b w:val="1"/>
          <w:bCs w:val="1"/>
          <w:color w:val="auto"/>
        </w:rPr>
        <w:t xml:space="preserve"> </w:t>
      </w:r>
      <w:r>
        <w:rPr>
          <w:rFonts w:ascii="Arial" w:cs="Arial" w:eastAsia="Arial" w:hAnsi="Arial"/>
          <w:sz w:val="21"/>
          <w:szCs w:val="21"/>
          <w:color w:val="auto"/>
        </w:rPr>
        <w:t>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“Subsidiary Guarantor” </w:t>
      </w:r>
      <w:r>
        <w:rPr>
          <w:rFonts w:ascii="Arial" w:cs="Arial" w:eastAsia="Arial" w:hAnsi="Arial"/>
          <w:sz w:val="22"/>
          <w:szCs w:val="22"/>
          <w:color w:val="auto"/>
        </w:rPr>
        <w:t>means each Subsidiary that has executed and delivered a Subsidiary Guaranty.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“Subsidiary Guaranty” </w:t>
      </w:r>
      <w:r>
        <w:rPr>
          <w:rFonts w:ascii="Arial" w:cs="Arial" w:eastAsia="Arial" w:hAnsi="Arial"/>
          <w:sz w:val="22"/>
          <w:szCs w:val="22"/>
          <w:color w:val="auto"/>
        </w:rPr>
        <w:t>is defined in Section 9.7(a).</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“Substitute Purchaser” </w:t>
      </w:r>
      <w:r>
        <w:rPr>
          <w:rFonts w:ascii="Arial" w:cs="Arial" w:eastAsia="Arial" w:hAnsi="Arial"/>
          <w:sz w:val="22"/>
          <w:szCs w:val="22"/>
          <w:color w:val="auto"/>
        </w:rPr>
        <w:t>is defined in Section 21.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“SVO” </w:t>
      </w:r>
      <w:r>
        <w:rPr>
          <w:rFonts w:ascii="Arial" w:cs="Arial" w:eastAsia="Arial" w:hAnsi="Arial"/>
          <w:sz w:val="22"/>
          <w:szCs w:val="22"/>
          <w:color w:val="auto"/>
        </w:rPr>
        <w:t>means the Securities Valuation Office of the NAIC.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“SWL&amp;P” </w:t>
      </w:r>
      <w:r>
        <w:rPr>
          <w:rFonts w:ascii="Arial" w:cs="Arial" w:eastAsia="Arial" w:hAnsi="Arial"/>
          <w:sz w:val="22"/>
          <w:szCs w:val="22"/>
          <w:color w:val="auto"/>
        </w:rPr>
        <w:t>is defined in Section 5.4(d).</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Capitalization</w:t>
      </w:r>
      <w:r>
        <w:rPr>
          <w:rFonts w:ascii="Arial" w:cs="Arial" w:eastAsia="Arial" w:hAnsi="Arial"/>
          <w:sz w:val="22"/>
          <w:szCs w:val="22"/>
          <w:color w:val="auto"/>
        </w:rPr>
        <w:t xml:space="preserve">” means, at any time, the difference between (a) the sum of each of the following at such time with respect to the Company and the Subsidiaries, determined on a consolidated basis in accordance with GAAP: (i) preferred Equity Interests,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common Equity Interests and any premium on Equity Interests thereon (as such term is used in the Disclosure Documents), excluding accumulated other comprehensive income or loss,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retained earnings,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(iv) Total Indebtedness, and (b) stock of the Company acquired by the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- 8 -</w:t>
            </w:r>
          </w:p>
        </w:tc>
      </w:tr>
    </w:tbl>
    <w:p>
      <w:pPr>
        <w:sectPr>
          <w:pgSz w:w="11900" w:h="16838" w:orient="portrait"/>
          <w:cols w:equalWidth="0" w:num="1">
            <w:col w:w="11240"/>
          </w:cols>
          <w:pgMar w:left="320" w:top="612" w:right="339" w:bottom="1440" w:gutter="0" w:footer="0" w:header="0"/>
        </w:sectPr>
      </w:pPr>
    </w:p>
    <w:bookmarkStart w:id="118" w:name="page119"/>
    <w:bookmarkEnd w:id="118"/>
    <w:p>
      <w:pPr>
        <w:jc w:val="both"/>
        <w:ind w:right="20"/>
        <w:spacing w:after="0" w:line="263" w:lineRule="auto"/>
        <w:rPr>
          <w:sz w:val="20"/>
          <w:szCs w:val="20"/>
          <w:color w:val="auto"/>
        </w:rPr>
      </w:pPr>
      <w:r>
        <w:rPr>
          <w:rFonts w:ascii="Arial" w:cs="Arial" w:eastAsia="Arial" w:hAnsi="Arial"/>
          <w:sz w:val="22"/>
          <w:szCs w:val="22"/>
          <w:color w:val="auto"/>
        </w:rPr>
        <w:t>Company and (ii) stock of a Subsidiary acquired by such Subsidiary, in each case at such time, as applicable, determined on a consolidated basis in accordance with GAAP.</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Indebtedness</w:t>
      </w:r>
      <w:r>
        <w:rPr>
          <w:rFonts w:ascii="Arial" w:cs="Arial" w:eastAsia="Arial" w:hAnsi="Arial"/>
          <w:sz w:val="22"/>
          <w:szCs w:val="22"/>
          <w:color w:val="auto"/>
        </w:rPr>
        <w:t>” means at any time, all Indebtedness (net of unamortized premium and discount (as such term is used in the Disclosure Documents)) at such time of the Company and the Subsidiaries, determined on a consolidated basis in accordance with GAAP.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 Person</w:t>
      </w:r>
      <w:r>
        <w:rPr>
          <w:rFonts w:ascii="Arial" w:cs="Arial" w:eastAsia="Arial" w:hAnsi="Arial"/>
          <w:sz w:val="22"/>
          <w:szCs w:val="22"/>
          <w:color w:val="auto"/>
        </w:rPr>
        <w:t>” has the meaning set forth in Section 7701(a)(30) of the Code.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“USA Patriot Act” </w:t>
      </w:r>
      <w:r>
        <w:rPr>
          <w:rFonts w:ascii="Arial" w:cs="Arial" w:eastAsia="Arial" w:hAnsi="Arial"/>
          <w:sz w:val="22"/>
          <w:szCs w:val="22"/>
          <w:color w:val="auto"/>
        </w:rPr>
        <w:t>means United States Public Law 107-56, Uniting and Strengthening America by Providing</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Tools Required to Intercept and Obstruct Terrorism (USA PATRIOT ACT) Act of 2001 and the rules and regulations promulgated thereunder from time to time in effect.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Bank</w:t>
      </w:r>
      <w:r>
        <w:rPr>
          <w:rFonts w:ascii="Arial" w:cs="Arial" w:eastAsia="Arial" w:hAnsi="Arial"/>
          <w:sz w:val="22"/>
          <w:szCs w:val="22"/>
          <w:color w:val="auto"/>
        </w:rPr>
        <w:t>” means U.S. Bank National Association, a national banking association organized and existing under the laws of the United States of America.</w:t>
      </w:r>
    </w:p>
    <w:p>
      <w:pPr>
        <w:spacing w:after="0" w:line="16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Economic Sanctions Laws</w:t>
      </w:r>
      <w:r>
        <w:rPr>
          <w:rFonts w:ascii="Arial" w:cs="Arial" w:eastAsia="Arial" w:hAnsi="Arial"/>
          <w:sz w:val="19"/>
          <w:szCs w:val="19"/>
          <w:color w:val="auto"/>
        </w:rPr>
        <w:t>”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“Utility Property” </w:t>
      </w:r>
      <w:r>
        <w:rPr>
          <w:rFonts w:ascii="Arial" w:cs="Arial" w:eastAsia="Arial" w:hAnsi="Arial"/>
          <w:sz w:val="22"/>
          <w:szCs w:val="22"/>
          <w:color w:val="auto"/>
        </w:rPr>
        <w:t>means all property and assets of the Company and its Subsidiaries used principally in the electric,</w:t>
      </w:r>
      <w:r>
        <w:rPr>
          <w:rFonts w:ascii="Arial" w:cs="Arial" w:eastAsia="Arial" w:hAnsi="Arial"/>
          <w:sz w:val="22"/>
          <w:szCs w:val="22"/>
          <w:b w:val="1"/>
          <w:bCs w:val="1"/>
          <w:color w:val="auto"/>
        </w:rPr>
        <w:t xml:space="preserve"> </w:t>
      </w:r>
      <w:r>
        <w:rPr>
          <w:rFonts w:ascii="Arial" w:cs="Arial" w:eastAsia="Arial" w:hAnsi="Arial"/>
          <w:sz w:val="22"/>
          <w:szCs w:val="22"/>
          <w:color w:val="auto"/>
        </w:rPr>
        <w:t>natural gas and water operations that are regulated by applicable Governmental Authorities.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Security</w:t>
      </w:r>
      <w:r>
        <w:rPr>
          <w:rFonts w:ascii="Arial" w:cs="Arial" w:eastAsia="Arial" w:hAnsi="Arial"/>
          <w:sz w:val="22"/>
          <w:szCs w:val="22"/>
          <w:color w:val="auto"/>
        </w:rPr>
        <w:t>” means a security which ordinarily has voting power for the election of the board of directors (or other governing body), whether at all times or only so long as no senior class of Equity Interests has such voting power by reason of any contingency.</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“Wholly-Owned Subsidiary” </w:t>
      </w:r>
      <w:r>
        <w:rPr>
          <w:rFonts w:ascii="Arial" w:cs="Arial" w:eastAsia="Arial" w:hAnsi="Arial"/>
          <w:sz w:val="22"/>
          <w:szCs w:val="22"/>
          <w:color w:val="auto"/>
        </w:rPr>
        <w:t>means, at any time, any Subsidiary all of the equity interests (except directors’ qualifying</w:t>
      </w:r>
      <w:r>
        <w:rPr>
          <w:rFonts w:ascii="Arial" w:cs="Arial" w:eastAsia="Arial" w:hAnsi="Arial"/>
          <w:sz w:val="22"/>
          <w:szCs w:val="22"/>
          <w:b w:val="1"/>
          <w:bCs w:val="1"/>
          <w:color w:val="auto"/>
        </w:rPr>
        <w:t xml:space="preserve"> </w:t>
      </w:r>
      <w:r>
        <w:rPr>
          <w:rFonts w:ascii="Arial" w:cs="Arial" w:eastAsia="Arial" w:hAnsi="Arial"/>
          <w:sz w:val="22"/>
          <w:szCs w:val="22"/>
          <w:color w:val="auto"/>
        </w:rPr>
        <w:t>shares) and voting interests of which are owned by any one or more of the Company and the Company’s other Wholly-Owned Subsidiaries at such time.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720" w:type="dxa"/>
            <w:vAlign w:val="bottom"/>
          </w:tcPr>
          <w:p>
            <w:pPr>
              <w:jc w:val="right"/>
              <w:spacing w:after="0"/>
              <w:rPr>
                <w:sz w:val="20"/>
                <w:szCs w:val="20"/>
                <w:color w:val="auto"/>
              </w:rPr>
            </w:pPr>
            <w:r>
              <w:rPr>
                <w:rFonts w:ascii="Arial" w:cs="Arial" w:eastAsia="Arial" w:hAnsi="Arial"/>
                <w:sz w:val="22"/>
                <w:szCs w:val="22"/>
                <w:color w:val="auto"/>
              </w:rPr>
              <w:t>- 9 -</w:t>
            </w:r>
          </w:p>
        </w:tc>
      </w:tr>
    </w:tbl>
    <w:p>
      <w:pPr>
        <w:sectPr>
          <w:pgSz w:w="11900" w:h="16838" w:orient="portrait"/>
          <w:cols w:equalWidth="0" w:num="1">
            <w:col w:w="11240"/>
          </w:cols>
          <w:pgMar w:left="320" w:top="61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SCHEDULE 5.4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the Company and Ownership of Subsidiary Stock</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5.4(a)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3180" w:type="dxa"/>
            <w:vAlign w:val="bottom"/>
            <w:gridSpan w:val="6"/>
          </w:tcPr>
          <w:p>
            <w:pPr>
              <w:spacing w:after="0"/>
              <w:rPr>
                <w:sz w:val="20"/>
                <w:szCs w:val="20"/>
                <w:color w:val="auto"/>
              </w:rPr>
            </w:pPr>
            <w:r>
              <w:rPr>
                <w:rFonts w:ascii="Arial" w:cs="Arial" w:eastAsia="Arial" w:hAnsi="Arial"/>
                <w:sz w:val="20"/>
                <w:szCs w:val="20"/>
                <w:b w:val="1"/>
                <w:bCs w:val="1"/>
                <w:color w:val="auto"/>
                <w:w w:val="99"/>
              </w:rPr>
              <w:t>SUBSIDIARIES OF ALLETE, INC.</w:t>
            </w:r>
            <w:r>
              <w:rPr>
                <w:rFonts w:ascii="Arial" w:cs="Arial" w:eastAsia="Arial" w:hAnsi="Arial"/>
                <w:sz w:val="23"/>
                <w:szCs w:val="23"/>
                <w:b w:val="1"/>
                <w:bCs w:val="1"/>
                <w:color w:val="auto"/>
                <w:w w:val="99"/>
                <w:vertAlign w:val="superscript"/>
              </w:rPr>
              <w:t>1</w:t>
            </w:r>
          </w:p>
        </w:tc>
        <w:tc>
          <w:tcPr>
            <w:tcW w:w="3360" w:type="dxa"/>
            <w:vAlign w:val="bottom"/>
          </w:tcPr>
          <w:p>
            <w:pPr>
              <w:ind w:left="960"/>
              <w:spacing w:after="0"/>
              <w:rPr>
                <w:sz w:val="20"/>
                <w:szCs w:val="20"/>
                <w:color w:val="auto"/>
              </w:rPr>
            </w:pPr>
            <w:r>
              <w:rPr>
                <w:rFonts w:ascii="Arial" w:cs="Arial" w:eastAsia="Arial" w:hAnsi="Arial"/>
                <w:sz w:val="20"/>
                <w:szCs w:val="20"/>
                <w:b w:val="1"/>
                <w:bCs w:val="1"/>
                <w:color w:val="auto"/>
                <w:w w:val="89"/>
              </w:rPr>
              <w:t>Jurisdiction of Organization</w:t>
            </w:r>
          </w:p>
        </w:tc>
      </w:tr>
      <w:tr>
        <w:trPr>
          <w:trHeight w:val="403"/>
        </w:trPr>
        <w:tc>
          <w:tcPr>
            <w:tcW w:w="1800" w:type="dxa"/>
            <w:vAlign w:val="bottom"/>
            <w:gridSpan w:val="2"/>
          </w:tcPr>
          <w:p>
            <w:pPr>
              <w:spacing w:after="0"/>
              <w:rPr>
                <w:sz w:val="20"/>
                <w:szCs w:val="20"/>
                <w:color w:val="auto"/>
              </w:rPr>
            </w:pPr>
            <w:r>
              <w:rPr>
                <w:rFonts w:ascii="Arial" w:cs="Arial" w:eastAsia="Arial" w:hAnsi="Arial"/>
                <w:sz w:val="20"/>
                <w:szCs w:val="20"/>
                <w:color w:val="auto"/>
                <w:w w:val="93"/>
              </w:rPr>
              <w:t>ACE DS Class B LLC</w:t>
            </w:r>
          </w:p>
        </w:tc>
        <w:tc>
          <w:tcPr>
            <w:tcW w:w="1380" w:type="dxa"/>
            <w:vAlign w:val="bottom"/>
            <w:gridSpan w:val="4"/>
          </w:tcPr>
          <w:p>
            <w:pPr>
              <w:jc w:val="right"/>
              <w:ind w:right="341"/>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4"/>
                <w:szCs w:val="24"/>
                <w:color w:val="auto"/>
              </w:rPr>
            </w:pPr>
          </w:p>
        </w:tc>
      </w:tr>
      <w:tr>
        <w:trPr>
          <w:trHeight w:val="256"/>
        </w:trPr>
        <w:tc>
          <w:tcPr>
            <w:tcW w:w="2300" w:type="dxa"/>
            <w:vAlign w:val="bottom"/>
            <w:gridSpan w:val="4"/>
          </w:tcPr>
          <w:p>
            <w:pPr>
              <w:spacing w:after="0"/>
              <w:rPr>
                <w:sz w:val="20"/>
                <w:szCs w:val="20"/>
                <w:color w:val="auto"/>
              </w:rPr>
            </w:pPr>
            <w:r>
              <w:rPr>
                <w:rFonts w:ascii="Arial" w:cs="Arial" w:eastAsia="Arial" w:hAnsi="Arial"/>
                <w:sz w:val="20"/>
                <w:szCs w:val="20"/>
                <w:color w:val="auto"/>
                <w:w w:val="99"/>
              </w:rPr>
              <w:t>ACE GAWW Class B LLC</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Delaware</w:t>
            </w:r>
          </w:p>
        </w:tc>
        <w:tc>
          <w:tcPr>
            <w:tcW w:w="3360" w:type="dxa"/>
            <w:vAlign w:val="bottom"/>
          </w:tcPr>
          <w:p>
            <w:pPr>
              <w:spacing w:after="0"/>
              <w:rPr>
                <w:sz w:val="22"/>
                <w:szCs w:val="22"/>
                <w:color w:val="auto"/>
              </w:rPr>
            </w:pPr>
          </w:p>
        </w:tc>
      </w:tr>
      <w:tr>
        <w:trPr>
          <w:trHeight w:val="257"/>
        </w:trPr>
        <w:tc>
          <w:tcPr>
            <w:tcW w:w="2300" w:type="dxa"/>
            <w:vAlign w:val="bottom"/>
            <w:gridSpan w:val="4"/>
          </w:tcPr>
          <w:p>
            <w:pPr>
              <w:spacing w:after="0"/>
              <w:rPr>
                <w:sz w:val="20"/>
                <w:szCs w:val="20"/>
                <w:color w:val="auto"/>
              </w:rPr>
            </w:pPr>
            <w:r>
              <w:rPr>
                <w:rFonts w:ascii="Arial" w:cs="Arial" w:eastAsia="Arial" w:hAnsi="Arial"/>
                <w:sz w:val="20"/>
                <w:szCs w:val="20"/>
                <w:color w:val="auto"/>
                <w:w w:val="93"/>
              </w:rPr>
              <w:t>ACE Gopher Holdings, LLC</w:t>
            </w:r>
          </w:p>
        </w:tc>
        <w:tc>
          <w:tcPr>
            <w:tcW w:w="4240" w:type="dxa"/>
            <w:vAlign w:val="bottom"/>
            <w:gridSpan w:val="3"/>
          </w:tcPr>
          <w:p>
            <w:pPr>
              <w:ind w:left="200"/>
              <w:spacing w:after="0"/>
              <w:rPr>
                <w:sz w:val="20"/>
                <w:szCs w:val="20"/>
                <w:color w:val="auto"/>
              </w:rPr>
            </w:pPr>
            <w:r>
              <w:rPr>
                <w:rFonts w:ascii="Arial" w:cs="Arial" w:eastAsia="Arial" w:hAnsi="Arial"/>
                <w:sz w:val="20"/>
                <w:szCs w:val="20"/>
                <w:color w:val="auto"/>
              </w:rPr>
              <w:t>Delaware</w:t>
            </w:r>
          </w:p>
        </w:tc>
      </w:tr>
      <w:tr>
        <w:trPr>
          <w:trHeight w:val="257"/>
        </w:trPr>
        <w:tc>
          <w:tcPr>
            <w:tcW w:w="3180" w:type="dxa"/>
            <w:vAlign w:val="bottom"/>
            <w:gridSpan w:val="6"/>
          </w:tcPr>
          <w:p>
            <w:pPr>
              <w:spacing w:after="0"/>
              <w:rPr>
                <w:sz w:val="20"/>
                <w:szCs w:val="20"/>
                <w:color w:val="auto"/>
              </w:rPr>
            </w:pPr>
            <w:r>
              <w:rPr>
                <w:rFonts w:ascii="Arial" w:cs="Arial" w:eastAsia="Arial" w:hAnsi="Arial"/>
                <w:sz w:val="20"/>
                <w:szCs w:val="20"/>
                <w:color w:val="auto"/>
              </w:rPr>
              <w:t>ACE Lincoln Heights Holdings, LLC</w:t>
            </w:r>
          </w:p>
        </w:tc>
        <w:tc>
          <w:tcPr>
            <w:tcW w:w="3360" w:type="dxa"/>
            <w:vAlign w:val="bottom"/>
          </w:tcPr>
          <w:p>
            <w:pPr>
              <w:spacing w:after="0"/>
              <w:rPr>
                <w:sz w:val="20"/>
                <w:szCs w:val="20"/>
                <w:color w:val="auto"/>
              </w:rPr>
            </w:pPr>
            <w:r>
              <w:rPr>
                <w:rFonts w:ascii="Arial" w:cs="Arial" w:eastAsia="Arial" w:hAnsi="Arial"/>
                <w:sz w:val="20"/>
                <w:szCs w:val="20"/>
                <w:color w:val="auto"/>
              </w:rPr>
              <w:t>Delaware</w:t>
            </w:r>
          </w:p>
        </w:tc>
      </w:tr>
      <w:tr>
        <w:trPr>
          <w:trHeight w:val="257"/>
        </w:trPr>
        <w:tc>
          <w:tcPr>
            <w:tcW w:w="2660" w:type="dxa"/>
            <w:vAlign w:val="bottom"/>
            <w:gridSpan w:val="5"/>
          </w:tcPr>
          <w:p>
            <w:pPr>
              <w:spacing w:after="0"/>
              <w:rPr>
                <w:sz w:val="20"/>
                <w:szCs w:val="20"/>
                <w:color w:val="auto"/>
              </w:rPr>
            </w:pPr>
            <w:r>
              <w:rPr>
                <w:rFonts w:ascii="Arial" w:cs="Arial" w:eastAsia="Arial" w:hAnsi="Arial"/>
                <w:sz w:val="20"/>
                <w:szCs w:val="20"/>
                <w:color w:val="auto"/>
              </w:rPr>
              <w:t>ACE Mid-West Holdings, LLC</w:t>
            </w:r>
          </w:p>
        </w:tc>
        <w:tc>
          <w:tcPr>
            <w:tcW w:w="3880" w:type="dxa"/>
            <w:vAlign w:val="bottom"/>
            <w:gridSpan w:val="2"/>
          </w:tcPr>
          <w:p>
            <w:pPr>
              <w:ind w:left="20"/>
              <w:spacing w:after="0"/>
              <w:rPr>
                <w:sz w:val="20"/>
                <w:szCs w:val="20"/>
                <w:color w:val="auto"/>
              </w:rPr>
            </w:pPr>
            <w:r>
              <w:rPr>
                <w:rFonts w:ascii="Arial" w:cs="Arial" w:eastAsia="Arial" w:hAnsi="Arial"/>
                <w:sz w:val="20"/>
                <w:szCs w:val="20"/>
                <w:color w:val="auto"/>
              </w:rPr>
              <w:t>Delaware</w:t>
            </w:r>
          </w:p>
        </w:tc>
      </w:tr>
      <w:tr>
        <w:trPr>
          <w:trHeight w:val="257"/>
        </w:trPr>
        <w:tc>
          <w:tcPr>
            <w:tcW w:w="1480" w:type="dxa"/>
            <w:vAlign w:val="bottom"/>
          </w:tcPr>
          <w:p>
            <w:pPr>
              <w:spacing w:after="0"/>
              <w:rPr>
                <w:sz w:val="20"/>
                <w:szCs w:val="20"/>
                <w:color w:val="auto"/>
              </w:rPr>
            </w:pPr>
            <w:r>
              <w:rPr>
                <w:rFonts w:ascii="Arial" w:cs="Arial" w:eastAsia="Arial" w:hAnsi="Arial"/>
                <w:sz w:val="20"/>
                <w:szCs w:val="20"/>
                <w:color w:val="auto"/>
              </w:rPr>
              <w:t>ACE O&amp;M, LLC</w:t>
            </w:r>
          </w:p>
        </w:tc>
        <w:tc>
          <w:tcPr>
            <w:tcW w:w="1180" w:type="dxa"/>
            <w:vAlign w:val="bottom"/>
            <w:gridSpan w:val="4"/>
          </w:tcPr>
          <w:p>
            <w:pPr>
              <w:jc w:val="right"/>
              <w:ind w:right="161"/>
              <w:spacing w:after="0"/>
              <w:rPr>
                <w:sz w:val="20"/>
                <w:szCs w:val="20"/>
                <w:color w:val="auto"/>
              </w:rPr>
            </w:pPr>
            <w:r>
              <w:rPr>
                <w:rFonts w:ascii="Arial" w:cs="Arial" w:eastAsia="Arial" w:hAnsi="Arial"/>
                <w:sz w:val="20"/>
                <w:szCs w:val="20"/>
                <w:color w:val="auto"/>
              </w:rPr>
              <w:t>Delaware</w:t>
            </w:r>
          </w:p>
        </w:tc>
        <w:tc>
          <w:tcPr>
            <w:tcW w:w="52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56"/>
        </w:trPr>
        <w:tc>
          <w:tcPr>
            <w:tcW w:w="1480" w:type="dxa"/>
            <w:vAlign w:val="bottom"/>
          </w:tcPr>
          <w:p>
            <w:pPr>
              <w:spacing w:after="0"/>
              <w:rPr>
                <w:sz w:val="20"/>
                <w:szCs w:val="20"/>
                <w:color w:val="auto"/>
              </w:rPr>
            </w:pPr>
            <w:r>
              <w:rPr>
                <w:rFonts w:ascii="Arial" w:cs="Arial" w:eastAsia="Arial" w:hAnsi="Arial"/>
                <w:sz w:val="20"/>
                <w:szCs w:val="20"/>
                <w:color w:val="auto"/>
              </w:rPr>
              <w:t>ACE Solar LLC</w:t>
            </w:r>
          </w:p>
        </w:tc>
        <w:tc>
          <w:tcPr>
            <w:tcW w:w="820" w:type="dxa"/>
            <w:vAlign w:val="bottom"/>
            <w:gridSpan w:val="3"/>
          </w:tcPr>
          <w:p>
            <w:pPr>
              <w:ind w:left="20"/>
              <w:spacing w:after="0"/>
              <w:rPr>
                <w:sz w:val="20"/>
                <w:szCs w:val="20"/>
                <w:color w:val="auto"/>
              </w:rPr>
            </w:pPr>
            <w:r>
              <w:rPr>
                <w:rFonts w:ascii="Arial" w:cs="Arial" w:eastAsia="Arial" w:hAnsi="Arial"/>
                <w:sz w:val="20"/>
                <w:szCs w:val="20"/>
                <w:color w:val="auto"/>
                <w:w w:val="92"/>
              </w:rPr>
              <w:t>Delaware</w:t>
            </w: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57"/>
        </w:trPr>
        <w:tc>
          <w:tcPr>
            <w:tcW w:w="2300" w:type="dxa"/>
            <w:vAlign w:val="bottom"/>
            <w:gridSpan w:val="4"/>
          </w:tcPr>
          <w:p>
            <w:pPr>
              <w:spacing w:after="0"/>
              <w:rPr>
                <w:sz w:val="20"/>
                <w:szCs w:val="20"/>
                <w:color w:val="auto"/>
              </w:rPr>
            </w:pPr>
            <w:r>
              <w:rPr>
                <w:rFonts w:ascii="Arial" w:cs="Arial" w:eastAsia="Arial" w:hAnsi="Arial"/>
                <w:sz w:val="20"/>
                <w:szCs w:val="20"/>
                <w:color w:val="auto"/>
                <w:w w:val="99"/>
              </w:rPr>
              <w:t>ACE South Holdings, LLC</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Delaware</w:t>
            </w:r>
          </w:p>
        </w:tc>
        <w:tc>
          <w:tcPr>
            <w:tcW w:w="3360" w:type="dxa"/>
            <w:vAlign w:val="bottom"/>
          </w:tcPr>
          <w:p>
            <w:pPr>
              <w:spacing w:after="0"/>
              <w:rPr>
                <w:sz w:val="22"/>
                <w:szCs w:val="22"/>
                <w:color w:val="auto"/>
              </w:rPr>
            </w:pPr>
          </w:p>
        </w:tc>
      </w:tr>
      <w:tr>
        <w:trPr>
          <w:trHeight w:val="257"/>
        </w:trPr>
        <w:tc>
          <w:tcPr>
            <w:tcW w:w="2300" w:type="dxa"/>
            <w:vAlign w:val="bottom"/>
            <w:gridSpan w:val="4"/>
          </w:tcPr>
          <w:p>
            <w:pPr>
              <w:spacing w:after="0"/>
              <w:rPr>
                <w:sz w:val="20"/>
                <w:szCs w:val="20"/>
                <w:color w:val="auto"/>
              </w:rPr>
            </w:pPr>
            <w:r>
              <w:rPr>
                <w:rFonts w:ascii="Arial" w:cs="Arial" w:eastAsia="Arial" w:hAnsi="Arial"/>
                <w:sz w:val="20"/>
                <w:szCs w:val="20"/>
                <w:color w:val="auto"/>
              </w:rPr>
              <w:t>ACE West Holdings, LLC</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w w:val="92"/>
              </w:rPr>
              <w:t>Delaware</w:t>
            </w:r>
          </w:p>
        </w:tc>
        <w:tc>
          <w:tcPr>
            <w:tcW w:w="336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20"/>
                <w:szCs w:val="20"/>
                <w:color w:val="auto"/>
              </w:rPr>
              <w:t>ACE Wind LLC</w:t>
            </w:r>
          </w:p>
        </w:tc>
        <w:tc>
          <w:tcPr>
            <w:tcW w:w="1180" w:type="dxa"/>
            <w:vAlign w:val="bottom"/>
            <w:gridSpan w:val="4"/>
          </w:tcPr>
          <w:p>
            <w:pPr>
              <w:jc w:val="right"/>
              <w:ind w:right="241"/>
              <w:spacing w:after="0"/>
              <w:rPr>
                <w:sz w:val="20"/>
                <w:szCs w:val="20"/>
                <w:color w:val="auto"/>
              </w:rPr>
            </w:pPr>
            <w:r>
              <w:rPr>
                <w:rFonts w:ascii="Arial" w:cs="Arial" w:eastAsia="Arial" w:hAnsi="Arial"/>
                <w:sz w:val="20"/>
                <w:szCs w:val="20"/>
                <w:color w:val="auto"/>
                <w:w w:val="97"/>
              </w:rPr>
              <w:t>Delaware</w:t>
            </w:r>
          </w:p>
        </w:tc>
        <w:tc>
          <w:tcPr>
            <w:tcW w:w="52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56"/>
        </w:trPr>
        <w:tc>
          <w:tcPr>
            <w:tcW w:w="3180" w:type="dxa"/>
            <w:vAlign w:val="bottom"/>
            <w:gridSpan w:val="6"/>
          </w:tcPr>
          <w:p>
            <w:pPr>
              <w:spacing w:after="0"/>
              <w:rPr>
                <w:sz w:val="20"/>
                <w:szCs w:val="20"/>
                <w:color w:val="auto"/>
              </w:rPr>
            </w:pPr>
            <w:r>
              <w:rPr>
                <w:rFonts w:ascii="Arial" w:cs="Arial" w:eastAsia="Arial" w:hAnsi="Arial"/>
                <w:sz w:val="20"/>
                <w:szCs w:val="20"/>
                <w:color w:val="auto"/>
              </w:rPr>
              <w:t>ALLETE Automotive Services, LLC</w:t>
            </w:r>
          </w:p>
        </w:tc>
        <w:tc>
          <w:tcPr>
            <w:tcW w:w="3360" w:type="dxa"/>
            <w:vAlign w:val="bottom"/>
          </w:tcPr>
          <w:p>
            <w:pPr>
              <w:spacing w:after="0"/>
              <w:rPr>
                <w:sz w:val="20"/>
                <w:szCs w:val="20"/>
                <w:color w:val="auto"/>
              </w:rPr>
            </w:pPr>
            <w:r>
              <w:rPr>
                <w:rFonts w:ascii="Arial" w:cs="Arial" w:eastAsia="Arial" w:hAnsi="Arial"/>
                <w:sz w:val="20"/>
                <w:szCs w:val="20"/>
                <w:color w:val="auto"/>
              </w:rPr>
              <w:t>Minnesota</w:t>
            </w:r>
          </w:p>
        </w:tc>
      </w:tr>
      <w:tr>
        <w:trPr>
          <w:trHeight w:val="257"/>
        </w:trPr>
        <w:tc>
          <w:tcPr>
            <w:tcW w:w="2300" w:type="dxa"/>
            <w:vAlign w:val="bottom"/>
            <w:gridSpan w:val="4"/>
          </w:tcPr>
          <w:p>
            <w:pPr>
              <w:spacing w:after="0"/>
              <w:rPr>
                <w:sz w:val="20"/>
                <w:szCs w:val="20"/>
                <w:color w:val="auto"/>
              </w:rPr>
            </w:pPr>
            <w:r>
              <w:rPr>
                <w:rFonts w:ascii="Arial" w:cs="Arial" w:eastAsia="Arial" w:hAnsi="Arial"/>
                <w:sz w:val="20"/>
                <w:szCs w:val="20"/>
                <w:color w:val="auto"/>
                <w:w w:val="93"/>
              </w:rPr>
              <w:t>ALLETE Clean Energy, Inc.</w:t>
            </w:r>
          </w:p>
        </w:tc>
        <w:tc>
          <w:tcPr>
            <w:tcW w:w="4240" w:type="dxa"/>
            <w:vAlign w:val="bottom"/>
            <w:gridSpan w:val="3"/>
          </w:tcPr>
          <w:p>
            <w:pPr>
              <w:ind w:left="220"/>
              <w:spacing w:after="0"/>
              <w:rPr>
                <w:sz w:val="20"/>
                <w:szCs w:val="20"/>
                <w:color w:val="auto"/>
              </w:rPr>
            </w:pPr>
            <w:r>
              <w:rPr>
                <w:rFonts w:ascii="Arial" w:cs="Arial" w:eastAsia="Arial" w:hAnsi="Arial"/>
                <w:sz w:val="20"/>
                <w:szCs w:val="20"/>
                <w:color w:val="auto"/>
              </w:rPr>
              <w:t>Minnesota</w:t>
            </w:r>
          </w:p>
        </w:tc>
      </w:tr>
      <w:tr>
        <w:trPr>
          <w:trHeight w:val="257"/>
        </w:trPr>
        <w:tc>
          <w:tcPr>
            <w:tcW w:w="2300" w:type="dxa"/>
            <w:vAlign w:val="bottom"/>
            <w:gridSpan w:val="4"/>
          </w:tcPr>
          <w:p>
            <w:pPr>
              <w:spacing w:after="0"/>
              <w:rPr>
                <w:sz w:val="20"/>
                <w:szCs w:val="20"/>
                <w:color w:val="auto"/>
              </w:rPr>
            </w:pPr>
            <w:r>
              <w:rPr>
                <w:rFonts w:ascii="Arial" w:cs="Arial" w:eastAsia="Arial" w:hAnsi="Arial"/>
                <w:sz w:val="20"/>
                <w:szCs w:val="20"/>
                <w:color w:val="auto"/>
                <w:w w:val="97"/>
              </w:rPr>
              <w:t>ALLETE Commercial, LLC</w:t>
            </w:r>
          </w:p>
        </w:tc>
        <w:tc>
          <w:tcPr>
            <w:tcW w:w="880" w:type="dxa"/>
            <w:vAlign w:val="bottom"/>
            <w:gridSpan w:val="2"/>
          </w:tcPr>
          <w:p>
            <w:pPr>
              <w:ind w:left="200"/>
              <w:spacing w:after="0"/>
              <w:rPr>
                <w:sz w:val="20"/>
                <w:szCs w:val="20"/>
                <w:color w:val="auto"/>
              </w:rPr>
            </w:pPr>
            <w:r>
              <w:rPr>
                <w:rFonts w:ascii="Arial" w:cs="Arial" w:eastAsia="Arial" w:hAnsi="Arial"/>
                <w:sz w:val="20"/>
                <w:szCs w:val="20"/>
                <w:color w:val="auto"/>
              </w:rPr>
              <w:t>Florida</w:t>
            </w:r>
          </w:p>
        </w:tc>
        <w:tc>
          <w:tcPr>
            <w:tcW w:w="3360" w:type="dxa"/>
            <w:vAlign w:val="bottom"/>
          </w:tcPr>
          <w:p>
            <w:pPr>
              <w:spacing w:after="0"/>
              <w:rPr>
                <w:sz w:val="22"/>
                <w:szCs w:val="22"/>
                <w:color w:val="auto"/>
              </w:rPr>
            </w:pPr>
          </w:p>
        </w:tc>
      </w:tr>
      <w:tr>
        <w:trPr>
          <w:trHeight w:val="257"/>
        </w:trPr>
        <w:tc>
          <w:tcPr>
            <w:tcW w:w="2300" w:type="dxa"/>
            <w:vAlign w:val="bottom"/>
            <w:gridSpan w:val="4"/>
          </w:tcPr>
          <w:p>
            <w:pPr>
              <w:spacing w:after="0"/>
              <w:rPr>
                <w:sz w:val="20"/>
                <w:szCs w:val="20"/>
                <w:color w:val="auto"/>
              </w:rPr>
            </w:pPr>
            <w:r>
              <w:rPr>
                <w:rFonts w:ascii="Arial" w:cs="Arial" w:eastAsia="Arial" w:hAnsi="Arial"/>
                <w:sz w:val="20"/>
                <w:szCs w:val="20"/>
                <w:color w:val="auto"/>
              </w:rPr>
              <w:t>ALLETE Enterprises, Inc.</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90"/>
              </w:rPr>
              <w:t>Minnesota</w:t>
            </w:r>
          </w:p>
        </w:tc>
        <w:tc>
          <w:tcPr>
            <w:tcW w:w="3360" w:type="dxa"/>
            <w:vAlign w:val="bottom"/>
          </w:tcPr>
          <w:p>
            <w:pPr>
              <w:spacing w:after="0"/>
              <w:rPr>
                <w:sz w:val="22"/>
                <w:szCs w:val="22"/>
                <w:color w:val="auto"/>
              </w:rPr>
            </w:pPr>
          </w:p>
        </w:tc>
      </w:tr>
      <w:tr>
        <w:trPr>
          <w:trHeight w:val="257"/>
        </w:trPr>
        <w:tc>
          <w:tcPr>
            <w:tcW w:w="2660" w:type="dxa"/>
            <w:vAlign w:val="bottom"/>
            <w:gridSpan w:val="5"/>
          </w:tcPr>
          <w:p>
            <w:pPr>
              <w:spacing w:after="0"/>
              <w:rPr>
                <w:sz w:val="20"/>
                <w:szCs w:val="20"/>
                <w:color w:val="auto"/>
              </w:rPr>
            </w:pPr>
            <w:r>
              <w:rPr>
                <w:rFonts w:ascii="Arial" w:cs="Arial" w:eastAsia="Arial" w:hAnsi="Arial"/>
                <w:sz w:val="20"/>
                <w:szCs w:val="20"/>
                <w:color w:val="auto"/>
                <w:w w:val="94"/>
              </w:rPr>
              <w:t>ALLETE Enterprises QOF, LLC</w:t>
            </w:r>
          </w:p>
        </w:tc>
        <w:tc>
          <w:tcPr>
            <w:tcW w:w="3880" w:type="dxa"/>
            <w:vAlign w:val="bottom"/>
            <w:gridSpan w:val="2"/>
          </w:tcPr>
          <w:p>
            <w:pPr>
              <w:ind w:left="140"/>
              <w:spacing w:after="0"/>
              <w:rPr>
                <w:sz w:val="20"/>
                <w:szCs w:val="20"/>
                <w:color w:val="auto"/>
              </w:rPr>
            </w:pPr>
            <w:r>
              <w:rPr>
                <w:rFonts w:ascii="Arial" w:cs="Arial" w:eastAsia="Arial" w:hAnsi="Arial"/>
                <w:sz w:val="20"/>
                <w:szCs w:val="20"/>
                <w:color w:val="auto"/>
              </w:rPr>
              <w:t>Delaware</w:t>
            </w:r>
          </w:p>
        </w:tc>
      </w:tr>
      <w:tr>
        <w:trPr>
          <w:trHeight w:val="256"/>
        </w:trPr>
        <w:tc>
          <w:tcPr>
            <w:tcW w:w="6540" w:type="dxa"/>
            <w:vAlign w:val="bottom"/>
            <w:gridSpan w:val="7"/>
          </w:tcPr>
          <w:p>
            <w:pPr>
              <w:spacing w:after="0"/>
              <w:rPr>
                <w:sz w:val="20"/>
                <w:szCs w:val="20"/>
                <w:color w:val="auto"/>
              </w:rPr>
            </w:pPr>
            <w:r>
              <w:rPr>
                <w:rFonts w:ascii="Arial" w:cs="Arial" w:eastAsia="Arial" w:hAnsi="Arial"/>
                <w:sz w:val="20"/>
                <w:szCs w:val="20"/>
                <w:color w:val="auto"/>
              </w:rPr>
              <w:t>ALLETE Power Systems, Inc.  Minnesota</w:t>
            </w:r>
          </w:p>
        </w:tc>
      </w:tr>
      <w:tr>
        <w:trPr>
          <w:trHeight w:val="257"/>
        </w:trPr>
        <w:tc>
          <w:tcPr>
            <w:tcW w:w="2300" w:type="dxa"/>
            <w:vAlign w:val="bottom"/>
            <w:gridSpan w:val="4"/>
          </w:tcPr>
          <w:p>
            <w:pPr>
              <w:spacing w:after="0"/>
              <w:rPr>
                <w:sz w:val="20"/>
                <w:szCs w:val="20"/>
                <w:color w:val="auto"/>
              </w:rPr>
            </w:pPr>
            <w:r>
              <w:rPr>
                <w:rFonts w:ascii="Arial" w:cs="Arial" w:eastAsia="Arial" w:hAnsi="Arial"/>
                <w:sz w:val="20"/>
                <w:szCs w:val="20"/>
                <w:color w:val="auto"/>
              </w:rPr>
              <w:t>ALLETE Properties, LLC</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90"/>
              </w:rPr>
              <w:t>Minnesota</w:t>
            </w:r>
          </w:p>
        </w:tc>
        <w:tc>
          <w:tcPr>
            <w:tcW w:w="3360" w:type="dxa"/>
            <w:vAlign w:val="bottom"/>
          </w:tcPr>
          <w:p>
            <w:pPr>
              <w:spacing w:after="0"/>
              <w:rPr>
                <w:sz w:val="22"/>
                <w:szCs w:val="22"/>
                <w:color w:val="auto"/>
              </w:rPr>
            </w:pPr>
          </w:p>
        </w:tc>
      </w:tr>
      <w:tr>
        <w:trPr>
          <w:trHeight w:val="256"/>
        </w:trPr>
        <w:tc>
          <w:tcPr>
            <w:tcW w:w="3180" w:type="dxa"/>
            <w:vAlign w:val="bottom"/>
            <w:gridSpan w:val="6"/>
          </w:tcPr>
          <w:p>
            <w:pPr>
              <w:spacing w:after="0"/>
              <w:rPr>
                <w:sz w:val="20"/>
                <w:szCs w:val="20"/>
                <w:color w:val="auto"/>
              </w:rPr>
            </w:pPr>
            <w:r>
              <w:rPr>
                <w:rFonts w:ascii="Arial" w:cs="Arial" w:eastAsia="Arial" w:hAnsi="Arial"/>
                <w:sz w:val="20"/>
                <w:szCs w:val="20"/>
                <w:color w:val="auto"/>
                <w:w w:val="97"/>
              </w:rPr>
              <w:t>ALLETE Renewable Resources, Inc.</w:t>
            </w:r>
          </w:p>
        </w:tc>
        <w:tc>
          <w:tcPr>
            <w:tcW w:w="3360" w:type="dxa"/>
            <w:vAlign w:val="bottom"/>
          </w:tcPr>
          <w:p>
            <w:pPr>
              <w:ind w:left="20"/>
              <w:spacing w:after="0"/>
              <w:rPr>
                <w:sz w:val="20"/>
                <w:szCs w:val="20"/>
                <w:color w:val="auto"/>
              </w:rPr>
            </w:pPr>
            <w:r>
              <w:rPr>
                <w:rFonts w:ascii="Arial" w:cs="Arial" w:eastAsia="Arial" w:hAnsi="Arial"/>
                <w:sz w:val="20"/>
                <w:szCs w:val="20"/>
                <w:color w:val="auto"/>
              </w:rPr>
              <w:t>North Dakota</w:t>
            </w:r>
          </w:p>
        </w:tc>
      </w:tr>
      <w:tr>
        <w:trPr>
          <w:trHeight w:val="256"/>
        </w:trPr>
        <w:tc>
          <w:tcPr>
            <w:tcW w:w="2300" w:type="dxa"/>
            <w:vAlign w:val="bottom"/>
            <w:gridSpan w:val="4"/>
          </w:tcPr>
          <w:p>
            <w:pPr>
              <w:spacing w:after="0"/>
              <w:rPr>
                <w:sz w:val="20"/>
                <w:szCs w:val="20"/>
                <w:color w:val="auto"/>
              </w:rPr>
            </w:pPr>
            <w:r>
              <w:rPr>
                <w:rFonts w:ascii="Arial" w:cs="Arial" w:eastAsia="Arial" w:hAnsi="Arial"/>
                <w:sz w:val="20"/>
                <w:szCs w:val="20"/>
                <w:color w:val="auto"/>
                <w:w w:val="98"/>
              </w:rPr>
              <w:t>ALLETE South Wind, LLC</w:t>
            </w:r>
          </w:p>
        </w:tc>
        <w:tc>
          <w:tcPr>
            <w:tcW w:w="880" w:type="dxa"/>
            <w:vAlign w:val="bottom"/>
            <w:gridSpan w:val="2"/>
          </w:tcPr>
          <w:p>
            <w:pPr>
              <w:jc w:val="right"/>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2"/>
                <w:szCs w:val="22"/>
                <w:color w:val="auto"/>
              </w:rPr>
            </w:pPr>
          </w:p>
        </w:tc>
      </w:tr>
      <w:tr>
        <w:trPr>
          <w:trHeight w:val="257"/>
        </w:trPr>
        <w:tc>
          <w:tcPr>
            <w:tcW w:w="3180" w:type="dxa"/>
            <w:vAlign w:val="bottom"/>
            <w:gridSpan w:val="6"/>
          </w:tcPr>
          <w:p>
            <w:pPr>
              <w:spacing w:after="0"/>
              <w:rPr>
                <w:sz w:val="20"/>
                <w:szCs w:val="20"/>
                <w:color w:val="auto"/>
              </w:rPr>
            </w:pPr>
            <w:r>
              <w:rPr>
                <w:rFonts w:ascii="Arial" w:cs="Arial" w:eastAsia="Arial" w:hAnsi="Arial"/>
                <w:sz w:val="20"/>
                <w:szCs w:val="20"/>
                <w:color w:val="auto"/>
                <w:w w:val="97"/>
              </w:rPr>
              <w:t>ALLETE Transmission Holdings, Inc.</w:t>
            </w:r>
          </w:p>
        </w:tc>
        <w:tc>
          <w:tcPr>
            <w:tcW w:w="3360" w:type="dxa"/>
            <w:vAlign w:val="bottom"/>
          </w:tcPr>
          <w:p>
            <w:pPr>
              <w:ind w:left="100"/>
              <w:spacing w:after="0"/>
              <w:rPr>
                <w:sz w:val="20"/>
                <w:szCs w:val="20"/>
                <w:color w:val="auto"/>
              </w:rPr>
            </w:pPr>
            <w:r>
              <w:rPr>
                <w:rFonts w:ascii="Arial" w:cs="Arial" w:eastAsia="Arial" w:hAnsi="Arial"/>
                <w:sz w:val="20"/>
                <w:szCs w:val="20"/>
                <w:color w:val="auto"/>
              </w:rPr>
              <w:t>Wisconsin</w:t>
            </w:r>
          </w:p>
        </w:tc>
      </w:tr>
      <w:tr>
        <w:trPr>
          <w:trHeight w:val="256"/>
        </w:trPr>
        <w:tc>
          <w:tcPr>
            <w:tcW w:w="6540" w:type="dxa"/>
            <w:vAlign w:val="bottom"/>
            <w:gridSpan w:val="7"/>
          </w:tcPr>
          <w:p>
            <w:pPr>
              <w:spacing w:after="0"/>
              <w:rPr>
                <w:sz w:val="20"/>
                <w:szCs w:val="20"/>
                <w:color w:val="auto"/>
              </w:rPr>
            </w:pPr>
            <w:r>
              <w:rPr>
                <w:rFonts w:ascii="Arial" w:cs="Arial" w:eastAsia="Arial" w:hAnsi="Arial"/>
                <w:sz w:val="20"/>
                <w:szCs w:val="20"/>
                <w:color w:val="auto"/>
              </w:rPr>
              <w:t>ALLETE Water Services, Inc.   Minnesota</w:t>
            </w:r>
          </w:p>
        </w:tc>
      </w:tr>
      <w:tr>
        <w:trPr>
          <w:trHeight w:val="257"/>
        </w:trPr>
        <w:tc>
          <w:tcPr>
            <w:tcW w:w="1800" w:type="dxa"/>
            <w:vAlign w:val="bottom"/>
            <w:gridSpan w:val="2"/>
          </w:tcPr>
          <w:p>
            <w:pPr>
              <w:spacing w:after="0"/>
              <w:rPr>
                <w:sz w:val="20"/>
                <w:szCs w:val="20"/>
                <w:color w:val="auto"/>
              </w:rPr>
            </w:pPr>
            <w:r>
              <w:rPr>
                <w:rFonts w:ascii="Arial" w:cs="Arial" w:eastAsia="Arial" w:hAnsi="Arial"/>
                <w:sz w:val="20"/>
                <w:szCs w:val="20"/>
                <w:color w:val="auto"/>
                <w:w w:val="98"/>
              </w:rPr>
              <w:t>AMW I Holding, LLC</w:t>
            </w:r>
          </w:p>
        </w:tc>
        <w:tc>
          <w:tcPr>
            <w:tcW w:w="240" w:type="dxa"/>
            <w:vAlign w:val="bottom"/>
          </w:tcPr>
          <w:p>
            <w:pPr>
              <w:spacing w:after="0"/>
              <w:rPr>
                <w:sz w:val="22"/>
                <w:szCs w:val="22"/>
                <w:color w:val="auto"/>
              </w:rPr>
            </w:pPr>
          </w:p>
        </w:tc>
        <w:tc>
          <w:tcPr>
            <w:tcW w:w="1140" w:type="dxa"/>
            <w:vAlign w:val="bottom"/>
            <w:gridSpan w:val="3"/>
          </w:tcPr>
          <w:p>
            <w:pPr>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2"/>
                <w:szCs w:val="22"/>
                <w:color w:val="auto"/>
              </w:rPr>
            </w:pPr>
          </w:p>
        </w:tc>
      </w:tr>
      <w:tr>
        <w:trPr>
          <w:trHeight w:val="256"/>
        </w:trPr>
        <w:tc>
          <w:tcPr>
            <w:tcW w:w="2040" w:type="dxa"/>
            <w:vAlign w:val="bottom"/>
            <w:gridSpan w:val="3"/>
          </w:tcPr>
          <w:p>
            <w:pPr>
              <w:spacing w:after="0"/>
              <w:rPr>
                <w:sz w:val="20"/>
                <w:szCs w:val="20"/>
                <w:color w:val="auto"/>
              </w:rPr>
            </w:pPr>
            <w:r>
              <w:rPr>
                <w:rFonts w:ascii="Arial" w:cs="Arial" w:eastAsia="Arial" w:hAnsi="Arial"/>
                <w:sz w:val="20"/>
                <w:szCs w:val="20"/>
                <w:color w:val="auto"/>
                <w:w w:val="98"/>
              </w:rPr>
              <w:t>Armenia Holdings, LLC</w:t>
            </w:r>
          </w:p>
        </w:tc>
        <w:tc>
          <w:tcPr>
            <w:tcW w:w="1140" w:type="dxa"/>
            <w:vAlign w:val="bottom"/>
            <w:gridSpan w:val="3"/>
          </w:tcPr>
          <w:p>
            <w:pPr>
              <w:jc w:val="right"/>
              <w:ind w:right="121"/>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2"/>
                <w:szCs w:val="22"/>
                <w:color w:val="auto"/>
              </w:rPr>
            </w:pPr>
          </w:p>
        </w:tc>
      </w:tr>
      <w:tr>
        <w:trPr>
          <w:trHeight w:val="257"/>
        </w:trPr>
        <w:tc>
          <w:tcPr>
            <w:tcW w:w="2660" w:type="dxa"/>
            <w:vAlign w:val="bottom"/>
            <w:gridSpan w:val="5"/>
          </w:tcPr>
          <w:p>
            <w:pPr>
              <w:spacing w:after="0"/>
              <w:rPr>
                <w:sz w:val="20"/>
                <w:szCs w:val="20"/>
                <w:color w:val="auto"/>
              </w:rPr>
            </w:pPr>
            <w:r>
              <w:rPr>
                <w:rFonts w:ascii="Arial" w:cs="Arial" w:eastAsia="Arial" w:hAnsi="Arial"/>
                <w:sz w:val="20"/>
                <w:szCs w:val="20"/>
                <w:color w:val="auto"/>
              </w:rPr>
              <w:t>Armenia Mountain Wind, LLC</w:t>
            </w:r>
          </w:p>
        </w:tc>
        <w:tc>
          <w:tcPr>
            <w:tcW w:w="3880" w:type="dxa"/>
            <w:vAlign w:val="bottom"/>
            <w:gridSpan w:val="2"/>
          </w:tcPr>
          <w:p>
            <w:pPr>
              <w:ind w:left="20"/>
              <w:spacing w:after="0"/>
              <w:rPr>
                <w:sz w:val="20"/>
                <w:szCs w:val="20"/>
                <w:color w:val="auto"/>
              </w:rPr>
            </w:pPr>
            <w:r>
              <w:rPr>
                <w:rFonts w:ascii="Arial" w:cs="Arial" w:eastAsia="Arial" w:hAnsi="Arial"/>
                <w:sz w:val="20"/>
                <w:szCs w:val="20"/>
                <w:color w:val="auto"/>
              </w:rPr>
              <w:t>Delaware</w:t>
            </w:r>
          </w:p>
        </w:tc>
      </w:tr>
      <w:tr>
        <w:trPr>
          <w:trHeight w:val="257"/>
        </w:trPr>
        <w:tc>
          <w:tcPr>
            <w:tcW w:w="2660" w:type="dxa"/>
            <w:vAlign w:val="bottom"/>
            <w:gridSpan w:val="5"/>
          </w:tcPr>
          <w:p>
            <w:pPr>
              <w:spacing w:after="0"/>
              <w:rPr>
                <w:sz w:val="20"/>
                <w:szCs w:val="20"/>
                <w:color w:val="auto"/>
              </w:rPr>
            </w:pPr>
            <w:r>
              <w:rPr>
                <w:rFonts w:ascii="Arial" w:cs="Arial" w:eastAsia="Arial" w:hAnsi="Arial"/>
                <w:sz w:val="20"/>
                <w:szCs w:val="20"/>
                <w:color w:val="auto"/>
                <w:w w:val="94"/>
              </w:rPr>
              <w:t>Armenia Mountain Wind II, LLC</w:t>
            </w:r>
          </w:p>
        </w:tc>
        <w:tc>
          <w:tcPr>
            <w:tcW w:w="3880" w:type="dxa"/>
            <w:vAlign w:val="bottom"/>
            <w:gridSpan w:val="2"/>
          </w:tcPr>
          <w:p>
            <w:pPr>
              <w:ind w:left="200"/>
              <w:spacing w:after="0"/>
              <w:rPr>
                <w:sz w:val="20"/>
                <w:szCs w:val="20"/>
                <w:color w:val="auto"/>
              </w:rPr>
            </w:pPr>
            <w:r>
              <w:rPr>
                <w:rFonts w:ascii="Arial" w:cs="Arial" w:eastAsia="Arial" w:hAnsi="Arial"/>
                <w:sz w:val="20"/>
                <w:szCs w:val="20"/>
                <w:color w:val="auto"/>
              </w:rPr>
              <w:t>Delaware</w:t>
            </w:r>
          </w:p>
        </w:tc>
      </w:tr>
      <w:tr>
        <w:trPr>
          <w:trHeight w:val="256"/>
        </w:trPr>
        <w:tc>
          <w:tcPr>
            <w:tcW w:w="1800" w:type="dxa"/>
            <w:vAlign w:val="bottom"/>
            <w:gridSpan w:val="2"/>
          </w:tcPr>
          <w:p>
            <w:pPr>
              <w:spacing w:after="0"/>
              <w:rPr>
                <w:sz w:val="20"/>
                <w:szCs w:val="20"/>
                <w:color w:val="auto"/>
              </w:rPr>
            </w:pPr>
            <w:r>
              <w:rPr>
                <w:rFonts w:ascii="Arial" w:cs="Arial" w:eastAsia="Arial" w:hAnsi="Arial"/>
                <w:sz w:val="20"/>
                <w:szCs w:val="20"/>
                <w:color w:val="auto"/>
              </w:rPr>
              <w:t>ASW Partners, LLC</w:t>
            </w:r>
          </w:p>
        </w:tc>
        <w:tc>
          <w:tcPr>
            <w:tcW w:w="860" w:type="dxa"/>
            <w:vAlign w:val="bottom"/>
            <w:gridSpan w:val="3"/>
          </w:tcPr>
          <w:p>
            <w:pPr>
              <w:jc w:val="right"/>
              <w:spacing w:after="0"/>
              <w:rPr>
                <w:sz w:val="20"/>
                <w:szCs w:val="20"/>
                <w:color w:val="auto"/>
              </w:rPr>
            </w:pPr>
            <w:r>
              <w:rPr>
                <w:rFonts w:ascii="Arial" w:cs="Arial" w:eastAsia="Arial" w:hAnsi="Arial"/>
                <w:sz w:val="20"/>
                <w:szCs w:val="20"/>
                <w:color w:val="auto"/>
                <w:w w:val="89"/>
              </w:rPr>
              <w:t>Delaware</w:t>
            </w:r>
          </w:p>
        </w:tc>
        <w:tc>
          <w:tcPr>
            <w:tcW w:w="52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57"/>
        </w:trPr>
        <w:tc>
          <w:tcPr>
            <w:tcW w:w="2660" w:type="dxa"/>
            <w:vAlign w:val="bottom"/>
            <w:gridSpan w:val="5"/>
          </w:tcPr>
          <w:p>
            <w:pPr>
              <w:spacing w:after="0"/>
              <w:rPr>
                <w:sz w:val="20"/>
                <w:szCs w:val="20"/>
                <w:color w:val="auto"/>
              </w:rPr>
            </w:pPr>
            <w:r>
              <w:rPr>
                <w:rFonts w:ascii="Arial" w:cs="Arial" w:eastAsia="Arial" w:hAnsi="Arial"/>
                <w:sz w:val="20"/>
                <w:szCs w:val="20"/>
                <w:color w:val="auto"/>
              </w:rPr>
              <w:t>BNI Coal, Ltd   North Dakota</w:t>
            </w:r>
          </w:p>
        </w:tc>
        <w:tc>
          <w:tcPr>
            <w:tcW w:w="52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56"/>
        </w:trPr>
        <w:tc>
          <w:tcPr>
            <w:tcW w:w="1480" w:type="dxa"/>
            <w:vAlign w:val="bottom"/>
          </w:tcPr>
          <w:p>
            <w:pPr>
              <w:spacing w:after="0"/>
              <w:rPr>
                <w:sz w:val="20"/>
                <w:szCs w:val="20"/>
                <w:color w:val="auto"/>
              </w:rPr>
            </w:pPr>
            <w:r>
              <w:rPr>
                <w:rFonts w:ascii="Arial" w:cs="Arial" w:eastAsia="Arial" w:hAnsi="Arial"/>
                <w:sz w:val="20"/>
                <w:szCs w:val="20"/>
                <w:color w:val="auto"/>
              </w:rPr>
              <w:t>BNI Energy, Inc.</w:t>
            </w:r>
          </w:p>
        </w:tc>
        <w:tc>
          <w:tcPr>
            <w:tcW w:w="1700" w:type="dxa"/>
            <w:vAlign w:val="bottom"/>
            <w:gridSpan w:val="5"/>
          </w:tcPr>
          <w:p>
            <w:pPr>
              <w:jc w:val="right"/>
              <w:ind w:right="401"/>
              <w:spacing w:after="0"/>
              <w:rPr>
                <w:sz w:val="20"/>
                <w:szCs w:val="20"/>
                <w:color w:val="auto"/>
              </w:rPr>
            </w:pPr>
            <w:r>
              <w:rPr>
                <w:rFonts w:ascii="Arial" w:cs="Arial" w:eastAsia="Arial" w:hAnsi="Arial"/>
                <w:sz w:val="20"/>
                <w:szCs w:val="20"/>
                <w:color w:val="auto"/>
              </w:rPr>
              <w:t>North Dakota</w:t>
            </w:r>
          </w:p>
        </w:tc>
        <w:tc>
          <w:tcPr>
            <w:tcW w:w="3360" w:type="dxa"/>
            <w:vAlign w:val="bottom"/>
          </w:tcPr>
          <w:p>
            <w:pPr>
              <w:spacing w:after="0"/>
              <w:rPr>
                <w:sz w:val="22"/>
                <w:szCs w:val="22"/>
                <w:color w:val="auto"/>
              </w:rPr>
            </w:pPr>
          </w:p>
        </w:tc>
      </w:tr>
      <w:tr>
        <w:trPr>
          <w:trHeight w:val="257"/>
        </w:trPr>
        <w:tc>
          <w:tcPr>
            <w:tcW w:w="2040" w:type="dxa"/>
            <w:vAlign w:val="bottom"/>
            <w:gridSpan w:val="3"/>
          </w:tcPr>
          <w:p>
            <w:pPr>
              <w:spacing w:after="0"/>
              <w:rPr>
                <w:sz w:val="20"/>
                <w:szCs w:val="20"/>
                <w:color w:val="auto"/>
              </w:rPr>
            </w:pPr>
            <w:r>
              <w:rPr>
                <w:rFonts w:ascii="Arial" w:cs="Arial" w:eastAsia="Arial" w:hAnsi="Arial"/>
                <w:sz w:val="20"/>
                <w:szCs w:val="20"/>
                <w:color w:val="auto"/>
              </w:rPr>
              <w:t>Breezy Bucks – I, LLC</w:t>
            </w:r>
          </w:p>
        </w:tc>
        <w:tc>
          <w:tcPr>
            <w:tcW w:w="1140" w:type="dxa"/>
            <w:vAlign w:val="bottom"/>
            <w:gridSpan w:val="3"/>
          </w:tcPr>
          <w:p>
            <w:pPr>
              <w:spacing w:after="0"/>
              <w:rPr>
                <w:sz w:val="20"/>
                <w:szCs w:val="20"/>
                <w:color w:val="auto"/>
              </w:rPr>
            </w:pPr>
            <w:r>
              <w:rPr>
                <w:rFonts w:ascii="Arial" w:cs="Arial" w:eastAsia="Arial" w:hAnsi="Arial"/>
                <w:sz w:val="20"/>
                <w:szCs w:val="20"/>
                <w:color w:val="auto"/>
              </w:rPr>
              <w:t>Minnesota</w:t>
            </w:r>
          </w:p>
        </w:tc>
        <w:tc>
          <w:tcPr>
            <w:tcW w:w="3360" w:type="dxa"/>
            <w:vAlign w:val="bottom"/>
          </w:tcPr>
          <w:p>
            <w:pPr>
              <w:spacing w:after="0"/>
              <w:rPr>
                <w:sz w:val="22"/>
                <w:szCs w:val="22"/>
                <w:color w:val="auto"/>
              </w:rPr>
            </w:pPr>
          </w:p>
        </w:tc>
      </w:tr>
      <w:tr>
        <w:trPr>
          <w:trHeight w:val="256"/>
        </w:trPr>
        <w:tc>
          <w:tcPr>
            <w:tcW w:w="2040" w:type="dxa"/>
            <w:vAlign w:val="bottom"/>
            <w:gridSpan w:val="3"/>
          </w:tcPr>
          <w:p>
            <w:pPr>
              <w:spacing w:after="0"/>
              <w:rPr>
                <w:sz w:val="20"/>
                <w:szCs w:val="20"/>
                <w:color w:val="auto"/>
              </w:rPr>
            </w:pPr>
            <w:r>
              <w:rPr>
                <w:rFonts w:ascii="Arial" w:cs="Arial" w:eastAsia="Arial" w:hAnsi="Arial"/>
                <w:sz w:val="20"/>
                <w:szCs w:val="20"/>
                <w:color w:val="auto"/>
                <w:w w:val="99"/>
              </w:rPr>
              <w:t>Breezy Bucks – II, LLC</w:t>
            </w:r>
          </w:p>
        </w:tc>
        <w:tc>
          <w:tcPr>
            <w:tcW w:w="1140" w:type="dxa"/>
            <w:vAlign w:val="bottom"/>
            <w:gridSpan w:val="3"/>
          </w:tcPr>
          <w:p>
            <w:pPr>
              <w:jc w:val="right"/>
              <w:ind w:right="141"/>
              <w:spacing w:after="0"/>
              <w:rPr>
                <w:sz w:val="20"/>
                <w:szCs w:val="20"/>
                <w:color w:val="auto"/>
              </w:rPr>
            </w:pPr>
            <w:r>
              <w:rPr>
                <w:rFonts w:ascii="Arial" w:cs="Arial" w:eastAsia="Arial" w:hAnsi="Arial"/>
                <w:sz w:val="20"/>
                <w:szCs w:val="20"/>
                <w:color w:val="auto"/>
                <w:w w:val="95"/>
              </w:rPr>
              <w:t>Minnesota</w:t>
            </w:r>
          </w:p>
        </w:tc>
        <w:tc>
          <w:tcPr>
            <w:tcW w:w="3360" w:type="dxa"/>
            <w:vAlign w:val="bottom"/>
          </w:tcPr>
          <w:p>
            <w:pPr>
              <w:spacing w:after="0"/>
              <w:rPr>
                <w:sz w:val="22"/>
                <w:szCs w:val="22"/>
                <w:color w:val="auto"/>
              </w:rPr>
            </w:pPr>
          </w:p>
        </w:tc>
      </w:tr>
      <w:tr>
        <w:trPr>
          <w:trHeight w:val="257"/>
        </w:trPr>
        <w:tc>
          <w:tcPr>
            <w:tcW w:w="2660" w:type="dxa"/>
            <w:vAlign w:val="bottom"/>
            <w:gridSpan w:val="5"/>
          </w:tcPr>
          <w:p>
            <w:pPr>
              <w:spacing w:after="0"/>
              <w:rPr>
                <w:sz w:val="20"/>
                <w:szCs w:val="20"/>
                <w:color w:val="auto"/>
              </w:rPr>
            </w:pPr>
            <w:r>
              <w:rPr>
                <w:rFonts w:ascii="Arial" w:cs="Arial" w:eastAsia="Arial" w:hAnsi="Arial"/>
                <w:sz w:val="20"/>
                <w:szCs w:val="20"/>
                <w:color w:val="auto"/>
                <w:w w:val="97"/>
              </w:rPr>
              <w:t>Buffalo Ridge Wind Farm, LLC</w:t>
            </w:r>
          </w:p>
        </w:tc>
        <w:tc>
          <w:tcPr>
            <w:tcW w:w="3880" w:type="dxa"/>
            <w:vAlign w:val="bottom"/>
            <w:gridSpan w:val="2"/>
          </w:tcPr>
          <w:p>
            <w:pPr>
              <w:ind w:left="140"/>
              <w:spacing w:after="0"/>
              <w:rPr>
                <w:sz w:val="20"/>
                <w:szCs w:val="20"/>
                <w:color w:val="auto"/>
              </w:rPr>
            </w:pPr>
            <w:r>
              <w:rPr>
                <w:rFonts w:ascii="Arial" w:cs="Arial" w:eastAsia="Arial" w:hAnsi="Arial"/>
                <w:sz w:val="20"/>
                <w:szCs w:val="20"/>
                <w:color w:val="auto"/>
              </w:rPr>
              <w:t>Minnesota</w:t>
            </w:r>
          </w:p>
        </w:tc>
      </w:tr>
      <w:tr>
        <w:trPr>
          <w:trHeight w:val="256"/>
        </w:trPr>
        <w:tc>
          <w:tcPr>
            <w:tcW w:w="2040" w:type="dxa"/>
            <w:vAlign w:val="bottom"/>
            <w:gridSpan w:val="3"/>
          </w:tcPr>
          <w:p>
            <w:pPr>
              <w:spacing w:after="0"/>
              <w:rPr>
                <w:sz w:val="20"/>
                <w:szCs w:val="20"/>
                <w:color w:val="auto"/>
              </w:rPr>
            </w:pPr>
            <w:r>
              <w:rPr>
                <w:rFonts w:ascii="Arial" w:cs="Arial" w:eastAsia="Arial" w:hAnsi="Arial"/>
                <w:sz w:val="20"/>
                <w:szCs w:val="20"/>
                <w:color w:val="auto"/>
                <w:w w:val="90"/>
              </w:rPr>
              <w:t>Caddo Renewables, LLC</w:t>
            </w:r>
          </w:p>
        </w:tc>
        <w:tc>
          <w:tcPr>
            <w:tcW w:w="1140" w:type="dxa"/>
            <w:vAlign w:val="bottom"/>
            <w:gridSpan w:val="3"/>
          </w:tcPr>
          <w:p>
            <w:pPr>
              <w:jc w:val="right"/>
              <w:ind w:right="121"/>
              <w:spacing w:after="0"/>
              <w:rPr>
                <w:sz w:val="20"/>
                <w:szCs w:val="20"/>
                <w:color w:val="auto"/>
              </w:rPr>
            </w:pPr>
            <w:r>
              <w:rPr>
                <w:rFonts w:ascii="Arial" w:cs="Arial" w:eastAsia="Arial" w:hAnsi="Arial"/>
                <w:sz w:val="20"/>
                <w:szCs w:val="20"/>
                <w:color w:val="auto"/>
              </w:rPr>
              <w:t>Delaware</w:t>
            </w:r>
          </w:p>
        </w:tc>
        <w:tc>
          <w:tcPr>
            <w:tcW w:w="3360" w:type="dxa"/>
            <w:vAlign w:val="bottom"/>
          </w:tcPr>
          <w:p>
            <w:pPr>
              <w:spacing w:after="0"/>
              <w:rPr>
                <w:sz w:val="22"/>
                <w:szCs w:val="22"/>
                <w:color w:val="auto"/>
              </w:rPr>
            </w:pPr>
          </w:p>
        </w:tc>
      </w:tr>
      <w:tr>
        <w:trPr>
          <w:trHeight w:val="257"/>
        </w:trPr>
        <w:tc>
          <w:tcPr>
            <w:tcW w:w="2300" w:type="dxa"/>
            <w:vAlign w:val="bottom"/>
            <w:gridSpan w:val="4"/>
          </w:tcPr>
          <w:p>
            <w:pPr>
              <w:spacing w:after="0"/>
              <w:rPr>
                <w:sz w:val="20"/>
                <w:szCs w:val="20"/>
                <w:color w:val="auto"/>
              </w:rPr>
            </w:pPr>
            <w:r>
              <w:rPr>
                <w:rFonts w:ascii="Arial" w:cs="Arial" w:eastAsia="Arial" w:hAnsi="Arial"/>
                <w:sz w:val="20"/>
                <w:szCs w:val="20"/>
                <w:color w:val="auto"/>
                <w:w w:val="98"/>
              </w:rPr>
              <w:t>Caddo Transmission, LLC</w:t>
            </w:r>
          </w:p>
        </w:tc>
        <w:tc>
          <w:tcPr>
            <w:tcW w:w="880" w:type="dxa"/>
            <w:vAlign w:val="bottom"/>
            <w:gridSpan w:val="2"/>
          </w:tcPr>
          <w:p>
            <w:pPr>
              <w:jc w:val="right"/>
              <w:ind w:right="21"/>
              <w:spacing w:after="0"/>
              <w:rPr>
                <w:sz w:val="20"/>
                <w:szCs w:val="20"/>
                <w:color w:val="auto"/>
              </w:rPr>
            </w:pPr>
            <w:r>
              <w:rPr>
                <w:rFonts w:ascii="Arial" w:cs="Arial" w:eastAsia="Arial" w:hAnsi="Arial"/>
                <w:sz w:val="20"/>
                <w:szCs w:val="20"/>
                <w:color w:val="auto"/>
                <w:w w:val="87"/>
              </w:rPr>
              <w:t>Delaware</w:t>
            </w:r>
          </w:p>
        </w:tc>
        <w:tc>
          <w:tcPr>
            <w:tcW w:w="3360" w:type="dxa"/>
            <w:vAlign w:val="bottom"/>
          </w:tcPr>
          <w:p>
            <w:pPr>
              <w:spacing w:after="0"/>
              <w:rPr>
                <w:sz w:val="22"/>
                <w:szCs w:val="22"/>
                <w:color w:val="auto"/>
              </w:rPr>
            </w:pPr>
          </w:p>
        </w:tc>
      </w:tr>
      <w:tr>
        <w:trPr>
          <w:trHeight w:val="257"/>
        </w:trPr>
        <w:tc>
          <w:tcPr>
            <w:tcW w:w="1480" w:type="dxa"/>
            <w:vAlign w:val="bottom"/>
          </w:tcPr>
          <w:p>
            <w:pPr>
              <w:spacing w:after="0"/>
              <w:rPr>
                <w:sz w:val="20"/>
                <w:szCs w:val="20"/>
                <w:color w:val="auto"/>
              </w:rPr>
            </w:pPr>
            <w:r>
              <w:rPr>
                <w:rFonts w:ascii="Arial" w:cs="Arial" w:eastAsia="Arial" w:hAnsi="Arial"/>
                <w:sz w:val="20"/>
                <w:szCs w:val="20"/>
                <w:color w:val="auto"/>
                <w:w w:val="92"/>
              </w:rPr>
              <w:t>Caddo Wind, LLC</w:t>
            </w:r>
          </w:p>
        </w:tc>
        <w:tc>
          <w:tcPr>
            <w:tcW w:w="1180" w:type="dxa"/>
            <w:vAlign w:val="bottom"/>
            <w:gridSpan w:val="4"/>
          </w:tcPr>
          <w:p>
            <w:pPr>
              <w:jc w:val="right"/>
              <w:ind w:right="121"/>
              <w:spacing w:after="0"/>
              <w:rPr>
                <w:sz w:val="20"/>
                <w:szCs w:val="20"/>
                <w:color w:val="auto"/>
              </w:rPr>
            </w:pPr>
            <w:r>
              <w:rPr>
                <w:rFonts w:ascii="Arial" w:cs="Arial" w:eastAsia="Arial" w:hAnsi="Arial"/>
                <w:sz w:val="20"/>
                <w:szCs w:val="20"/>
                <w:color w:val="auto"/>
              </w:rPr>
              <w:t>Delaware</w:t>
            </w:r>
          </w:p>
        </w:tc>
        <w:tc>
          <w:tcPr>
            <w:tcW w:w="52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56"/>
        </w:trPr>
        <w:tc>
          <w:tcPr>
            <w:tcW w:w="6540" w:type="dxa"/>
            <w:vAlign w:val="bottom"/>
            <w:gridSpan w:val="7"/>
          </w:tcPr>
          <w:p>
            <w:pPr>
              <w:spacing w:after="0"/>
              <w:rPr>
                <w:sz w:val="20"/>
                <w:szCs w:val="20"/>
                <w:color w:val="auto"/>
              </w:rPr>
            </w:pPr>
            <w:r>
              <w:rPr>
                <w:rFonts w:ascii="Arial" w:cs="Arial" w:eastAsia="Arial" w:hAnsi="Arial"/>
                <w:sz w:val="20"/>
                <w:szCs w:val="20"/>
                <w:color w:val="auto"/>
              </w:rPr>
              <w:t>Chanarambie Power Partners, LLC   Delaware</w:t>
            </w:r>
          </w:p>
        </w:tc>
      </w:tr>
      <w:tr>
        <w:trPr>
          <w:trHeight w:val="257"/>
        </w:trPr>
        <w:tc>
          <w:tcPr>
            <w:tcW w:w="2660" w:type="dxa"/>
            <w:vAlign w:val="bottom"/>
            <w:gridSpan w:val="5"/>
          </w:tcPr>
          <w:p>
            <w:pPr>
              <w:spacing w:after="0"/>
              <w:rPr>
                <w:sz w:val="20"/>
                <w:szCs w:val="20"/>
                <w:color w:val="auto"/>
              </w:rPr>
            </w:pPr>
            <w:r>
              <w:rPr>
                <w:rFonts w:ascii="Arial" w:cs="Arial" w:eastAsia="Arial" w:hAnsi="Arial"/>
                <w:sz w:val="20"/>
                <w:szCs w:val="20"/>
                <w:color w:val="auto"/>
                <w:w w:val="99"/>
              </w:rPr>
              <w:t>Christoffer Wind Energy I LLC</w:t>
            </w:r>
          </w:p>
        </w:tc>
        <w:tc>
          <w:tcPr>
            <w:tcW w:w="3880" w:type="dxa"/>
            <w:vAlign w:val="bottom"/>
            <w:gridSpan w:val="2"/>
          </w:tcPr>
          <w:p>
            <w:pPr>
              <w:ind w:left="40"/>
              <w:spacing w:after="0"/>
              <w:rPr>
                <w:sz w:val="20"/>
                <w:szCs w:val="20"/>
                <w:color w:val="auto"/>
              </w:rPr>
            </w:pPr>
            <w:r>
              <w:rPr>
                <w:rFonts w:ascii="Arial" w:cs="Arial" w:eastAsia="Arial" w:hAnsi="Arial"/>
                <w:sz w:val="20"/>
                <w:szCs w:val="20"/>
                <w:color w:val="auto"/>
              </w:rPr>
              <w:t>Minnesota</w:t>
            </w:r>
          </w:p>
        </w:tc>
      </w:tr>
      <w:tr>
        <w:trPr>
          <w:trHeight w:val="256"/>
        </w:trPr>
        <w:tc>
          <w:tcPr>
            <w:tcW w:w="2660" w:type="dxa"/>
            <w:vAlign w:val="bottom"/>
            <w:gridSpan w:val="5"/>
          </w:tcPr>
          <w:p>
            <w:pPr>
              <w:spacing w:after="0"/>
              <w:rPr>
                <w:sz w:val="20"/>
                <w:szCs w:val="20"/>
                <w:color w:val="auto"/>
              </w:rPr>
            </w:pPr>
            <w:r>
              <w:rPr>
                <w:rFonts w:ascii="Arial" w:cs="Arial" w:eastAsia="Arial" w:hAnsi="Arial"/>
                <w:sz w:val="20"/>
                <w:szCs w:val="20"/>
                <w:color w:val="auto"/>
                <w:w w:val="97"/>
              </w:rPr>
              <w:t>Christoffer Wind Energy II LLC</w:t>
            </w:r>
          </w:p>
        </w:tc>
        <w:tc>
          <w:tcPr>
            <w:tcW w:w="3880" w:type="dxa"/>
            <w:vAlign w:val="bottom"/>
            <w:gridSpan w:val="2"/>
          </w:tcPr>
          <w:p>
            <w:pPr>
              <w:ind w:left="120"/>
              <w:spacing w:after="0"/>
              <w:rPr>
                <w:sz w:val="20"/>
                <w:szCs w:val="20"/>
                <w:color w:val="auto"/>
              </w:rPr>
            </w:pPr>
            <w:r>
              <w:rPr>
                <w:rFonts w:ascii="Arial" w:cs="Arial" w:eastAsia="Arial" w:hAnsi="Arial"/>
                <w:sz w:val="20"/>
                <w:szCs w:val="20"/>
                <w:color w:val="auto"/>
              </w:rPr>
              <w:t>Minnesota</w:t>
            </w:r>
          </w:p>
        </w:tc>
      </w:tr>
      <w:tr>
        <w:trPr>
          <w:trHeight w:val="257"/>
        </w:trPr>
        <w:tc>
          <w:tcPr>
            <w:tcW w:w="2660" w:type="dxa"/>
            <w:vAlign w:val="bottom"/>
            <w:gridSpan w:val="5"/>
          </w:tcPr>
          <w:p>
            <w:pPr>
              <w:spacing w:after="0"/>
              <w:rPr>
                <w:sz w:val="20"/>
                <w:szCs w:val="20"/>
                <w:color w:val="auto"/>
              </w:rPr>
            </w:pPr>
            <w:r>
              <w:rPr>
                <w:rFonts w:ascii="Arial" w:cs="Arial" w:eastAsia="Arial" w:hAnsi="Arial"/>
                <w:sz w:val="20"/>
                <w:szCs w:val="20"/>
                <w:color w:val="auto"/>
                <w:w w:val="95"/>
              </w:rPr>
              <w:t>Christoffer Wind Energy III LLC</w:t>
            </w:r>
          </w:p>
        </w:tc>
        <w:tc>
          <w:tcPr>
            <w:tcW w:w="3880" w:type="dxa"/>
            <w:vAlign w:val="bottom"/>
            <w:gridSpan w:val="2"/>
          </w:tcPr>
          <w:p>
            <w:pPr>
              <w:ind w:left="180"/>
              <w:spacing w:after="0"/>
              <w:rPr>
                <w:sz w:val="20"/>
                <w:szCs w:val="20"/>
                <w:color w:val="auto"/>
              </w:rPr>
            </w:pPr>
            <w:r>
              <w:rPr>
                <w:rFonts w:ascii="Arial" w:cs="Arial" w:eastAsia="Arial" w:hAnsi="Arial"/>
                <w:sz w:val="20"/>
                <w:szCs w:val="20"/>
                <w:color w:val="auto"/>
              </w:rPr>
              <w:t>Minnesota</w:t>
            </w:r>
          </w:p>
        </w:tc>
      </w:tr>
      <w:tr>
        <w:trPr>
          <w:trHeight w:val="256"/>
        </w:trPr>
        <w:tc>
          <w:tcPr>
            <w:tcW w:w="2660" w:type="dxa"/>
            <w:vAlign w:val="bottom"/>
            <w:gridSpan w:val="5"/>
          </w:tcPr>
          <w:p>
            <w:pPr>
              <w:spacing w:after="0"/>
              <w:rPr>
                <w:sz w:val="20"/>
                <w:szCs w:val="20"/>
                <w:color w:val="auto"/>
              </w:rPr>
            </w:pPr>
            <w:r>
              <w:rPr>
                <w:rFonts w:ascii="Arial" w:cs="Arial" w:eastAsia="Arial" w:hAnsi="Arial"/>
                <w:sz w:val="20"/>
                <w:szCs w:val="20"/>
                <w:color w:val="auto"/>
                <w:w w:val="94"/>
              </w:rPr>
              <w:t>Christoffer Wind Energy IV LLC</w:t>
            </w:r>
          </w:p>
        </w:tc>
        <w:tc>
          <w:tcPr>
            <w:tcW w:w="3880" w:type="dxa"/>
            <w:vAlign w:val="bottom"/>
            <w:gridSpan w:val="2"/>
          </w:tcPr>
          <w:p>
            <w:pPr>
              <w:ind w:left="200"/>
              <w:spacing w:after="0"/>
              <w:rPr>
                <w:sz w:val="20"/>
                <w:szCs w:val="20"/>
                <w:color w:val="auto"/>
              </w:rPr>
            </w:pPr>
            <w:r>
              <w:rPr>
                <w:rFonts w:ascii="Arial" w:cs="Arial" w:eastAsia="Arial" w:hAnsi="Arial"/>
                <w:sz w:val="20"/>
                <w:szCs w:val="20"/>
                <w:color w:val="auto"/>
              </w:rPr>
              <w:t>Minnesota</w:t>
            </w:r>
          </w:p>
        </w:tc>
      </w:tr>
      <w:tr>
        <w:trPr>
          <w:trHeight w:val="256"/>
        </w:trPr>
        <w:tc>
          <w:tcPr>
            <w:tcW w:w="1800" w:type="dxa"/>
            <w:vAlign w:val="bottom"/>
            <w:gridSpan w:val="2"/>
          </w:tcPr>
          <w:p>
            <w:pPr>
              <w:spacing w:after="0"/>
              <w:rPr>
                <w:sz w:val="20"/>
                <w:szCs w:val="20"/>
                <w:color w:val="auto"/>
              </w:rPr>
            </w:pPr>
            <w:r>
              <w:rPr>
                <w:rFonts w:ascii="Arial" w:cs="Arial" w:eastAsia="Arial" w:hAnsi="Arial"/>
                <w:sz w:val="20"/>
                <w:szCs w:val="20"/>
                <w:color w:val="auto"/>
                <w:w w:val="98"/>
              </w:rPr>
              <w:t>Cisco Holdings, LLC</w:t>
            </w:r>
          </w:p>
        </w:tc>
        <w:tc>
          <w:tcPr>
            <w:tcW w:w="860" w:type="dxa"/>
            <w:vAlign w:val="bottom"/>
            <w:gridSpan w:val="3"/>
          </w:tcPr>
          <w:p>
            <w:pPr>
              <w:jc w:val="right"/>
              <w:spacing w:after="0"/>
              <w:rPr>
                <w:sz w:val="20"/>
                <w:szCs w:val="20"/>
                <w:color w:val="auto"/>
              </w:rPr>
            </w:pPr>
            <w:r>
              <w:rPr>
                <w:rFonts w:ascii="Arial" w:cs="Arial" w:eastAsia="Arial" w:hAnsi="Arial"/>
                <w:sz w:val="20"/>
                <w:szCs w:val="20"/>
                <w:color w:val="auto"/>
                <w:w w:val="99"/>
              </w:rPr>
              <w:t>Delaware</w:t>
            </w:r>
          </w:p>
        </w:tc>
        <w:tc>
          <w:tcPr>
            <w:tcW w:w="52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256"/>
        </w:trPr>
        <w:tc>
          <w:tcPr>
            <w:tcW w:w="2040" w:type="dxa"/>
            <w:vAlign w:val="bottom"/>
            <w:gridSpan w:val="3"/>
          </w:tcPr>
          <w:p>
            <w:pPr>
              <w:spacing w:after="0"/>
              <w:rPr>
                <w:sz w:val="20"/>
                <w:szCs w:val="20"/>
                <w:color w:val="auto"/>
              </w:rPr>
            </w:pPr>
            <w:r>
              <w:rPr>
                <w:rFonts w:ascii="Arial" w:cs="Arial" w:eastAsia="Arial" w:hAnsi="Arial"/>
                <w:sz w:val="20"/>
                <w:szCs w:val="20"/>
                <w:color w:val="auto"/>
                <w:w w:val="92"/>
              </w:rPr>
              <w:t>Cisco Wind Energy, LLC</w:t>
            </w:r>
          </w:p>
        </w:tc>
        <w:tc>
          <w:tcPr>
            <w:tcW w:w="1140" w:type="dxa"/>
            <w:vAlign w:val="bottom"/>
            <w:gridSpan w:val="3"/>
          </w:tcPr>
          <w:p>
            <w:pPr>
              <w:jc w:val="right"/>
              <w:ind w:right="21"/>
              <w:spacing w:after="0"/>
              <w:rPr>
                <w:sz w:val="20"/>
                <w:szCs w:val="20"/>
                <w:color w:val="auto"/>
              </w:rPr>
            </w:pPr>
            <w:r>
              <w:rPr>
                <w:rFonts w:ascii="Arial" w:cs="Arial" w:eastAsia="Arial" w:hAnsi="Arial"/>
                <w:sz w:val="20"/>
                <w:szCs w:val="20"/>
                <w:color w:val="auto"/>
              </w:rPr>
              <w:t>Minnesota</w:t>
            </w:r>
          </w:p>
        </w:tc>
        <w:tc>
          <w:tcPr>
            <w:tcW w:w="3360" w:type="dxa"/>
            <w:vAlign w:val="bottom"/>
          </w:tcPr>
          <w:p>
            <w:pPr>
              <w:spacing w:after="0"/>
              <w:rPr>
                <w:sz w:val="22"/>
                <w:szCs w:val="22"/>
                <w:color w:val="auto"/>
              </w:rPr>
            </w:pPr>
          </w:p>
        </w:tc>
      </w:tr>
      <w:tr>
        <w:trPr>
          <w:trHeight w:val="256"/>
        </w:trPr>
        <w:tc>
          <w:tcPr>
            <w:tcW w:w="2300" w:type="dxa"/>
            <w:vAlign w:val="bottom"/>
            <w:gridSpan w:val="4"/>
          </w:tcPr>
          <w:p>
            <w:pPr>
              <w:spacing w:after="0"/>
              <w:rPr>
                <w:sz w:val="20"/>
                <w:szCs w:val="20"/>
                <w:color w:val="auto"/>
              </w:rPr>
            </w:pPr>
            <w:r>
              <w:rPr>
                <w:rFonts w:ascii="Arial" w:cs="Arial" w:eastAsia="Arial" w:hAnsi="Arial"/>
                <w:sz w:val="20"/>
                <w:szCs w:val="20"/>
                <w:color w:val="auto"/>
                <w:w w:val="98"/>
              </w:rPr>
              <w:t>Condon Wind Power, LLC</w:t>
            </w:r>
          </w:p>
        </w:tc>
        <w:tc>
          <w:tcPr>
            <w:tcW w:w="880" w:type="dxa"/>
            <w:vAlign w:val="bottom"/>
            <w:gridSpan w:val="2"/>
          </w:tcPr>
          <w:p>
            <w:pPr>
              <w:jc w:val="center"/>
              <w:spacing w:after="0"/>
              <w:rPr>
                <w:sz w:val="20"/>
                <w:szCs w:val="20"/>
                <w:color w:val="auto"/>
              </w:rPr>
            </w:pPr>
            <w:r>
              <w:rPr>
                <w:rFonts w:ascii="Arial" w:cs="Arial" w:eastAsia="Arial" w:hAnsi="Arial"/>
                <w:sz w:val="20"/>
                <w:szCs w:val="20"/>
                <w:color w:val="auto"/>
                <w:w w:val="89"/>
              </w:rPr>
              <w:t>Delaware</w:t>
            </w:r>
          </w:p>
        </w:tc>
        <w:tc>
          <w:tcPr>
            <w:tcW w:w="3360" w:type="dxa"/>
            <w:vAlign w:val="bottom"/>
          </w:tcPr>
          <w:p>
            <w:pPr>
              <w:spacing w:after="0"/>
              <w:rPr>
                <w:sz w:val="22"/>
                <w:szCs w:val="22"/>
                <w:color w:val="auto"/>
              </w:rPr>
            </w:pPr>
          </w:p>
        </w:tc>
      </w:tr>
      <w:tr>
        <w:trPr>
          <w:trHeight w:val="256"/>
        </w:trPr>
        <w:tc>
          <w:tcPr>
            <w:tcW w:w="2300" w:type="dxa"/>
            <w:vAlign w:val="bottom"/>
            <w:gridSpan w:val="4"/>
          </w:tcPr>
          <w:p>
            <w:pPr>
              <w:spacing w:after="0"/>
              <w:rPr>
                <w:sz w:val="20"/>
                <w:szCs w:val="20"/>
                <w:color w:val="auto"/>
              </w:rPr>
            </w:pPr>
            <w:r>
              <w:rPr>
                <w:rFonts w:ascii="Arial" w:cs="Arial" w:eastAsia="Arial" w:hAnsi="Arial"/>
                <w:sz w:val="20"/>
                <w:szCs w:val="20"/>
                <w:color w:val="auto"/>
                <w:w w:val="94"/>
              </w:rPr>
              <w:t>DAJAW Transmission, LLC</w:t>
            </w:r>
          </w:p>
        </w:tc>
        <w:tc>
          <w:tcPr>
            <w:tcW w:w="4240" w:type="dxa"/>
            <w:vAlign w:val="bottom"/>
            <w:gridSpan w:val="3"/>
          </w:tcPr>
          <w:p>
            <w:pPr>
              <w:ind w:left="160"/>
              <w:spacing w:after="0"/>
              <w:rPr>
                <w:sz w:val="20"/>
                <w:szCs w:val="20"/>
                <w:color w:val="auto"/>
              </w:rPr>
            </w:pPr>
            <w:r>
              <w:rPr>
                <w:rFonts w:ascii="Arial" w:cs="Arial" w:eastAsia="Arial" w:hAnsi="Arial"/>
                <w:sz w:val="20"/>
                <w:szCs w:val="20"/>
                <w:color w:val="auto"/>
              </w:rPr>
              <w:t>Minnesota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9" w:lineRule="exact"/>
        <w:rPr>
          <w:sz w:val="20"/>
          <w:szCs w:val="20"/>
          <w:color w:val="auto"/>
        </w:rPr>
      </w:pPr>
    </w:p>
    <w:p>
      <w:pPr>
        <w:ind w:left="660" w:hanging="652"/>
        <w:spacing w:after="0" w:line="227" w:lineRule="auto"/>
        <w:tabs>
          <w:tab w:leader="none" w:pos="340" w:val="left"/>
        </w:tabs>
        <w:numPr>
          <w:ilvl w:val="0"/>
          <w:numId w:val="118"/>
        </w:numPr>
        <w:rPr>
          <w:rFonts w:ascii="Arial" w:cs="Arial" w:eastAsia="Arial" w:hAnsi="Arial"/>
          <w:sz w:val="23"/>
          <w:szCs w:val="23"/>
          <w:color w:val="auto"/>
          <w:vertAlign w:val="superscript"/>
        </w:rPr>
      </w:pPr>
      <w:r>
        <w:rPr>
          <w:rFonts w:ascii="Arial" w:cs="Arial" w:eastAsia="Arial" w:hAnsi="Arial"/>
          <w:sz w:val="18"/>
          <w:szCs w:val="18"/>
          <w:color w:val="auto"/>
        </w:rPr>
        <w:t>Unless otherwise specified, the capital stock or similar equity interests in each Subsidiary are owned 100%, directly or indirectly through another Subsidiary, by ALLETE, Inc.</w:t>
      </w:r>
    </w:p>
    <w:p>
      <w:pPr>
        <w:sectPr>
          <w:pgSz w:w="11900" w:h="16838" w:orient="portrait"/>
          <w:cols w:equalWidth="0" w:num="1">
            <w:col w:w="11240"/>
          </w:cols>
          <w:pgMar w:left="320" w:top="612" w:right="339" w:bottom="1440" w:gutter="0" w:footer="0" w:header="0"/>
        </w:sectPr>
      </w:pPr>
    </w:p>
    <w:p>
      <w:pPr>
        <w:spacing w:after="0" w:line="276"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{00423270.DOC; 10}</w:t>
      </w:r>
      <w:r>
        <w:rPr>
          <w:sz w:val="20"/>
          <w:szCs w:val="20"/>
          <w:color w:val="auto"/>
        </w:rPr>
        <w:tab/>
      </w:r>
      <w:r>
        <w:rPr>
          <w:rFonts w:ascii="Arial" w:cs="Arial" w:eastAsia="Arial" w:hAnsi="Arial"/>
          <w:sz w:val="19"/>
          <w:szCs w:val="19"/>
          <w:color w:val="auto"/>
        </w:rPr>
        <w:t>- 10 -</w:t>
      </w:r>
    </w:p>
    <w:p>
      <w:pPr>
        <w:sectPr>
          <w:pgSz w:w="11900" w:h="16838" w:orient="portrait"/>
          <w:cols w:equalWidth="0" w:num="1">
            <w:col w:w="11240"/>
          </w:cols>
          <w:pgMar w:left="320" w:top="612" w:right="339" w:bottom="1440" w:gutter="0" w:footer="0" w:header="0"/>
          <w:type w:val="continuous"/>
        </w:sectPr>
      </w:pPr>
    </w:p>
    <w:bookmarkStart w:id="120" w:name="page121"/>
    <w:bookmarkEnd w:id="120"/>
    <w:tbl>
      <w:tblPr>
        <w:tblLayout w:type="fixed"/>
        <w:tblInd w:w="0" w:type="dxa"/>
        <w:tblCellMar>
          <w:top w:w="0" w:type="dxa"/>
          <w:left w:w="0" w:type="dxa"/>
          <w:bottom w:w="0" w:type="dxa"/>
          <w:right w:w="0" w:type="dxa"/>
        </w:tblCellMar>
      </w:tblPr>
      <w:tr>
        <w:trPr>
          <w:trHeight w:val="250"/>
        </w:trPr>
        <w:tc>
          <w:tcPr>
            <w:tcW w:w="1800" w:type="dxa"/>
            <w:vAlign w:val="bottom"/>
          </w:tcPr>
          <w:p>
            <w:pPr>
              <w:spacing w:after="0"/>
              <w:rPr>
                <w:sz w:val="20"/>
                <w:szCs w:val="20"/>
                <w:color w:val="auto"/>
              </w:rPr>
            </w:pPr>
            <w:r>
              <w:rPr>
                <w:rFonts w:ascii="Arial" w:cs="Arial" w:eastAsia="Arial" w:hAnsi="Arial"/>
                <w:sz w:val="20"/>
                <w:szCs w:val="20"/>
                <w:color w:val="auto"/>
                <w:w w:val="93"/>
              </w:rPr>
              <w:t>Diamond Spring, LLC</w:t>
            </w:r>
          </w:p>
        </w:tc>
        <w:tc>
          <w:tcPr>
            <w:tcW w:w="1040" w:type="dxa"/>
            <w:vAlign w:val="bottom"/>
            <w:gridSpan w:val="4"/>
          </w:tcPr>
          <w:p>
            <w:pPr>
              <w:jc w:val="right"/>
              <w:spacing w:after="0"/>
              <w:rPr>
                <w:sz w:val="20"/>
                <w:szCs w:val="20"/>
                <w:color w:val="auto"/>
              </w:rPr>
            </w:pPr>
            <w:r>
              <w:rPr>
                <w:rFonts w:ascii="Arial" w:cs="Arial" w:eastAsia="Arial" w:hAnsi="Arial"/>
                <w:sz w:val="20"/>
                <w:szCs w:val="20"/>
                <w:color w:val="auto"/>
              </w:rPr>
              <w:t>Delaware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7"/>
        </w:trPr>
        <w:tc>
          <w:tcPr>
            <w:tcW w:w="2840" w:type="dxa"/>
            <w:vAlign w:val="bottom"/>
            <w:gridSpan w:val="5"/>
          </w:tcPr>
          <w:p>
            <w:pPr>
              <w:spacing w:after="0"/>
              <w:rPr>
                <w:sz w:val="20"/>
                <w:szCs w:val="20"/>
                <w:color w:val="auto"/>
              </w:rPr>
            </w:pPr>
            <w:r>
              <w:rPr>
                <w:rFonts w:ascii="Arial" w:cs="Arial" w:eastAsia="Arial" w:hAnsi="Arial"/>
                <w:sz w:val="20"/>
                <w:szCs w:val="20"/>
                <w:color w:val="auto"/>
                <w:w w:val="91"/>
              </w:rPr>
              <w:t>Diamond Spring Renewables, LLC</w:t>
            </w:r>
          </w:p>
        </w:tc>
        <w:tc>
          <w:tcPr>
            <w:tcW w:w="80" w:type="dxa"/>
            <w:vAlign w:val="bottom"/>
          </w:tcPr>
          <w:p>
            <w:pPr>
              <w:spacing w:after="0"/>
              <w:rPr>
                <w:sz w:val="22"/>
                <w:szCs w:val="22"/>
                <w:color w:val="auto"/>
              </w:rPr>
            </w:pPr>
          </w:p>
        </w:tc>
        <w:tc>
          <w:tcPr>
            <w:tcW w:w="1980" w:type="dxa"/>
            <w:vAlign w:val="bottom"/>
            <w:gridSpan w:val="3"/>
          </w:tcPr>
          <w:p>
            <w:pPr>
              <w:ind w:left="80"/>
              <w:spacing w:after="0"/>
              <w:rPr>
                <w:sz w:val="20"/>
                <w:szCs w:val="20"/>
                <w:color w:val="auto"/>
              </w:rPr>
            </w:pPr>
            <w:r>
              <w:rPr>
                <w:rFonts w:ascii="Arial" w:cs="Arial" w:eastAsia="Arial" w:hAnsi="Arial"/>
                <w:sz w:val="20"/>
                <w:szCs w:val="20"/>
                <w:color w:val="auto"/>
              </w:rPr>
              <w:t>Delaware</w:t>
            </w:r>
          </w:p>
        </w:tc>
      </w:tr>
      <w:tr>
        <w:trPr>
          <w:trHeight w:val="256"/>
        </w:trPr>
        <w:tc>
          <w:tcPr>
            <w:tcW w:w="2520" w:type="dxa"/>
            <w:vAlign w:val="bottom"/>
            <w:gridSpan w:val="4"/>
          </w:tcPr>
          <w:p>
            <w:pPr>
              <w:spacing w:after="0"/>
              <w:rPr>
                <w:sz w:val="20"/>
                <w:szCs w:val="20"/>
                <w:color w:val="auto"/>
              </w:rPr>
            </w:pPr>
            <w:r>
              <w:rPr>
                <w:rFonts w:ascii="Arial" w:cs="Arial" w:eastAsia="Arial" w:hAnsi="Arial"/>
                <w:sz w:val="20"/>
                <w:szCs w:val="20"/>
                <w:color w:val="auto"/>
                <w:w w:val="98"/>
              </w:rPr>
              <w:t>Diamond Spring QOZB, LLC</w:t>
            </w:r>
          </w:p>
        </w:tc>
        <w:tc>
          <w:tcPr>
            <w:tcW w:w="1160" w:type="dxa"/>
            <w:vAlign w:val="bottom"/>
            <w:gridSpan w:val="4"/>
          </w:tcPr>
          <w:p>
            <w:pPr>
              <w:ind w:left="60"/>
              <w:spacing w:after="0"/>
              <w:rPr>
                <w:sz w:val="20"/>
                <w:szCs w:val="20"/>
                <w:color w:val="auto"/>
              </w:rPr>
            </w:pPr>
            <w:r>
              <w:rPr>
                <w:rFonts w:ascii="Arial" w:cs="Arial" w:eastAsia="Arial" w:hAnsi="Arial"/>
                <w:sz w:val="20"/>
                <w:szCs w:val="20"/>
                <w:color w:val="auto"/>
              </w:rPr>
              <w:t>Delaware</w:t>
            </w:r>
          </w:p>
        </w:tc>
        <w:tc>
          <w:tcPr>
            <w:tcW w:w="1220" w:type="dxa"/>
            <w:vAlign w:val="bottom"/>
          </w:tcPr>
          <w:p>
            <w:pPr>
              <w:spacing w:after="0"/>
              <w:rPr>
                <w:sz w:val="22"/>
                <w:szCs w:val="22"/>
                <w:color w:val="auto"/>
              </w:rPr>
            </w:pPr>
          </w:p>
        </w:tc>
      </w:tr>
      <w:tr>
        <w:trPr>
          <w:trHeight w:val="257"/>
        </w:trPr>
        <w:tc>
          <w:tcPr>
            <w:tcW w:w="2340" w:type="dxa"/>
            <w:vAlign w:val="bottom"/>
            <w:gridSpan w:val="3"/>
          </w:tcPr>
          <w:p>
            <w:pPr>
              <w:spacing w:after="0"/>
              <w:rPr>
                <w:sz w:val="20"/>
                <w:szCs w:val="20"/>
                <w:color w:val="auto"/>
              </w:rPr>
            </w:pPr>
            <w:r>
              <w:rPr>
                <w:rFonts w:ascii="Arial" w:cs="Arial" w:eastAsia="Arial" w:hAnsi="Arial"/>
                <w:sz w:val="20"/>
                <w:szCs w:val="20"/>
                <w:color w:val="auto"/>
                <w:w w:val="97"/>
              </w:rPr>
              <w:t>Energy Land, Incorporated</w:t>
            </w:r>
          </w:p>
        </w:tc>
        <w:tc>
          <w:tcPr>
            <w:tcW w:w="1340" w:type="dxa"/>
            <w:vAlign w:val="bottom"/>
            <w:gridSpan w:val="5"/>
          </w:tcPr>
          <w:p>
            <w:pPr>
              <w:ind w:left="40"/>
              <w:spacing w:after="0"/>
              <w:rPr>
                <w:sz w:val="20"/>
                <w:szCs w:val="20"/>
                <w:color w:val="auto"/>
              </w:rPr>
            </w:pPr>
            <w:r>
              <w:rPr>
                <w:rFonts w:ascii="Arial" w:cs="Arial" w:eastAsia="Arial" w:hAnsi="Arial"/>
                <w:sz w:val="20"/>
                <w:szCs w:val="20"/>
                <w:color w:val="auto"/>
              </w:rPr>
              <w:t>Wisconsin</w:t>
            </w:r>
          </w:p>
        </w:tc>
        <w:tc>
          <w:tcPr>
            <w:tcW w:w="1220" w:type="dxa"/>
            <w:vAlign w:val="bottom"/>
          </w:tcPr>
          <w:p>
            <w:pPr>
              <w:spacing w:after="0"/>
              <w:rPr>
                <w:sz w:val="22"/>
                <w:szCs w:val="22"/>
                <w:color w:val="auto"/>
              </w:rPr>
            </w:pPr>
          </w:p>
        </w:tc>
      </w:tr>
      <w:tr>
        <w:trPr>
          <w:trHeight w:val="257"/>
        </w:trPr>
        <w:tc>
          <w:tcPr>
            <w:tcW w:w="2920" w:type="dxa"/>
            <w:vAlign w:val="bottom"/>
            <w:gridSpan w:val="6"/>
          </w:tcPr>
          <w:p>
            <w:pPr>
              <w:spacing w:after="0"/>
              <w:rPr>
                <w:sz w:val="20"/>
                <w:szCs w:val="20"/>
                <w:color w:val="auto"/>
              </w:rPr>
            </w:pPr>
            <w:r>
              <w:rPr>
                <w:rFonts w:ascii="Arial" w:cs="Arial" w:eastAsia="Arial" w:hAnsi="Arial"/>
                <w:sz w:val="20"/>
                <w:szCs w:val="20"/>
                <w:color w:val="auto"/>
                <w:w w:val="91"/>
              </w:rPr>
              <w:t>Energy Replacement Property, LLC</w:t>
            </w:r>
          </w:p>
        </w:tc>
        <w:tc>
          <w:tcPr>
            <w:tcW w:w="12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20"/>
                <w:szCs w:val="20"/>
                <w:color w:val="auto"/>
              </w:rPr>
              <w:t>Minnesota</w:t>
            </w:r>
          </w:p>
        </w:tc>
      </w:tr>
      <w:tr>
        <w:trPr>
          <w:trHeight w:val="257"/>
        </w:trPr>
        <w:tc>
          <w:tcPr>
            <w:tcW w:w="3040" w:type="dxa"/>
            <w:vAlign w:val="bottom"/>
            <w:gridSpan w:val="7"/>
          </w:tcPr>
          <w:p>
            <w:pPr>
              <w:spacing w:after="0"/>
              <w:rPr>
                <w:sz w:val="20"/>
                <w:szCs w:val="20"/>
                <w:color w:val="auto"/>
              </w:rPr>
            </w:pPr>
            <w:r>
              <w:rPr>
                <w:rFonts w:ascii="Arial" w:cs="Arial" w:eastAsia="Arial" w:hAnsi="Arial"/>
                <w:sz w:val="20"/>
                <w:szCs w:val="20"/>
                <w:color w:val="auto"/>
                <w:w w:val="92"/>
              </w:rPr>
              <w:t>Florida Landmark Communities, LLC</w:t>
            </w:r>
          </w:p>
        </w:tc>
        <w:tc>
          <w:tcPr>
            <w:tcW w:w="1860" w:type="dxa"/>
            <w:vAlign w:val="bottom"/>
            <w:gridSpan w:val="2"/>
          </w:tcPr>
          <w:p>
            <w:pPr>
              <w:ind w:left="240"/>
              <w:spacing w:after="0"/>
              <w:rPr>
                <w:sz w:val="20"/>
                <w:szCs w:val="20"/>
                <w:color w:val="auto"/>
              </w:rPr>
            </w:pPr>
            <w:r>
              <w:rPr>
                <w:rFonts w:ascii="Arial" w:cs="Arial" w:eastAsia="Arial" w:hAnsi="Arial"/>
                <w:sz w:val="20"/>
                <w:szCs w:val="20"/>
                <w:color w:val="auto"/>
              </w:rPr>
              <w:t>Florida</w:t>
            </w:r>
          </w:p>
        </w:tc>
      </w:tr>
      <w:tr>
        <w:trPr>
          <w:trHeight w:val="257"/>
        </w:trPr>
        <w:tc>
          <w:tcPr>
            <w:tcW w:w="2840" w:type="dxa"/>
            <w:vAlign w:val="bottom"/>
            <w:gridSpan w:val="5"/>
          </w:tcPr>
          <w:p>
            <w:pPr>
              <w:spacing w:after="0"/>
              <w:rPr>
                <w:sz w:val="20"/>
                <w:szCs w:val="20"/>
                <w:color w:val="auto"/>
              </w:rPr>
            </w:pPr>
            <w:r>
              <w:rPr>
                <w:rFonts w:ascii="Arial" w:cs="Arial" w:eastAsia="Arial" w:hAnsi="Arial"/>
                <w:sz w:val="20"/>
                <w:szCs w:val="20"/>
                <w:color w:val="auto"/>
                <w:w w:val="90"/>
              </w:rPr>
              <w:t>Florida Water Services Corporation</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20"/>
                <w:szCs w:val="20"/>
                <w:color w:val="auto"/>
                <w:w w:val="98"/>
              </w:rPr>
              <w:t>Florida</w:t>
            </w:r>
          </w:p>
        </w:tc>
        <w:tc>
          <w:tcPr>
            <w:tcW w:w="1220" w:type="dxa"/>
            <w:vAlign w:val="bottom"/>
          </w:tcPr>
          <w:p>
            <w:pPr>
              <w:spacing w:after="0"/>
              <w:rPr>
                <w:sz w:val="22"/>
                <w:szCs w:val="22"/>
                <w:color w:val="auto"/>
              </w:rPr>
            </w:pPr>
          </w:p>
        </w:tc>
      </w:tr>
      <w:tr>
        <w:trPr>
          <w:trHeight w:val="256"/>
        </w:trPr>
        <w:tc>
          <w:tcPr>
            <w:tcW w:w="2520" w:type="dxa"/>
            <w:vAlign w:val="bottom"/>
            <w:gridSpan w:val="4"/>
          </w:tcPr>
          <w:p>
            <w:pPr>
              <w:spacing w:after="0"/>
              <w:rPr>
                <w:sz w:val="20"/>
                <w:szCs w:val="20"/>
                <w:color w:val="auto"/>
              </w:rPr>
            </w:pPr>
            <w:r>
              <w:rPr>
                <w:rFonts w:ascii="Arial" w:cs="Arial" w:eastAsia="Arial" w:hAnsi="Arial"/>
                <w:sz w:val="20"/>
                <w:szCs w:val="20"/>
                <w:color w:val="auto"/>
                <w:w w:val="92"/>
              </w:rPr>
              <w:t>Glen Ullin Energy Center, LLC</w:t>
            </w:r>
          </w:p>
        </w:tc>
        <w:tc>
          <w:tcPr>
            <w:tcW w:w="1160" w:type="dxa"/>
            <w:vAlign w:val="bottom"/>
            <w:gridSpan w:val="4"/>
          </w:tcPr>
          <w:p>
            <w:pPr>
              <w:ind w:left="180"/>
              <w:spacing w:after="0"/>
              <w:rPr>
                <w:sz w:val="20"/>
                <w:szCs w:val="20"/>
                <w:color w:val="auto"/>
              </w:rPr>
            </w:pPr>
            <w:r>
              <w:rPr>
                <w:rFonts w:ascii="Arial" w:cs="Arial" w:eastAsia="Arial" w:hAnsi="Arial"/>
                <w:sz w:val="20"/>
                <w:szCs w:val="20"/>
                <w:color w:val="auto"/>
              </w:rPr>
              <w:t>Delaware</w:t>
            </w:r>
          </w:p>
        </w:tc>
        <w:tc>
          <w:tcPr>
            <w:tcW w:w="1220" w:type="dxa"/>
            <w:vAlign w:val="bottom"/>
          </w:tcPr>
          <w:p>
            <w:pPr>
              <w:spacing w:after="0"/>
              <w:rPr>
                <w:sz w:val="22"/>
                <w:szCs w:val="22"/>
                <w:color w:val="auto"/>
              </w:rPr>
            </w:pPr>
          </w:p>
        </w:tc>
      </w:tr>
      <w:tr>
        <w:trPr>
          <w:trHeight w:val="263"/>
        </w:trPr>
        <w:tc>
          <w:tcPr>
            <w:tcW w:w="2840" w:type="dxa"/>
            <w:vAlign w:val="bottom"/>
            <w:gridSpan w:val="5"/>
          </w:tcPr>
          <w:p>
            <w:pPr>
              <w:spacing w:after="0" w:line="263" w:lineRule="exact"/>
              <w:rPr>
                <w:sz w:val="20"/>
                <w:szCs w:val="20"/>
                <w:color w:val="auto"/>
              </w:rPr>
            </w:pPr>
            <w:r>
              <w:rPr>
                <w:rFonts w:ascii="Arial" w:cs="Arial" w:eastAsia="Arial" w:hAnsi="Arial"/>
                <w:sz w:val="20"/>
                <w:szCs w:val="20"/>
                <w:color w:val="auto"/>
                <w:w w:val="94"/>
              </w:rPr>
              <w:t>Great American West Wind, LLC</w:t>
            </w:r>
            <w:r>
              <w:rPr>
                <w:rFonts w:ascii="Arial" w:cs="Arial" w:eastAsia="Arial" w:hAnsi="Arial"/>
                <w:sz w:val="23"/>
                <w:szCs w:val="23"/>
                <w:color w:val="auto"/>
                <w:w w:val="94"/>
                <w:vertAlign w:val="superscript"/>
              </w:rPr>
              <w:t>2</w:t>
            </w:r>
          </w:p>
        </w:tc>
        <w:tc>
          <w:tcPr>
            <w:tcW w:w="80" w:type="dxa"/>
            <w:vAlign w:val="bottom"/>
          </w:tcPr>
          <w:p>
            <w:pPr>
              <w:spacing w:after="0"/>
              <w:rPr>
                <w:sz w:val="22"/>
                <w:szCs w:val="22"/>
                <w:color w:val="auto"/>
              </w:rPr>
            </w:pPr>
          </w:p>
        </w:tc>
        <w:tc>
          <w:tcPr>
            <w:tcW w:w="1980" w:type="dxa"/>
            <w:vAlign w:val="bottom"/>
            <w:gridSpan w:val="3"/>
          </w:tcPr>
          <w:p>
            <w:pPr>
              <w:jc w:val="center"/>
              <w:ind w:right="1121"/>
              <w:spacing w:after="0"/>
              <w:rPr>
                <w:sz w:val="20"/>
                <w:szCs w:val="20"/>
                <w:color w:val="auto"/>
              </w:rPr>
            </w:pPr>
            <w:r>
              <w:rPr>
                <w:rFonts w:ascii="Arial" w:cs="Arial" w:eastAsia="Arial" w:hAnsi="Arial"/>
                <w:sz w:val="20"/>
                <w:szCs w:val="20"/>
                <w:color w:val="auto"/>
                <w:w w:val="89"/>
              </w:rPr>
              <w:t>Delaware</w:t>
            </w:r>
          </w:p>
        </w:tc>
      </w:tr>
      <w:tr>
        <w:trPr>
          <w:trHeight w:val="250"/>
        </w:trPr>
        <w:tc>
          <w:tcPr>
            <w:tcW w:w="2520" w:type="dxa"/>
            <w:vAlign w:val="bottom"/>
            <w:gridSpan w:val="4"/>
          </w:tcPr>
          <w:p>
            <w:pPr>
              <w:spacing w:after="0"/>
              <w:rPr>
                <w:sz w:val="20"/>
                <w:szCs w:val="20"/>
                <w:color w:val="auto"/>
              </w:rPr>
            </w:pPr>
            <w:r>
              <w:rPr>
                <w:rFonts w:ascii="Arial" w:cs="Arial" w:eastAsia="Arial" w:hAnsi="Arial"/>
                <w:sz w:val="20"/>
                <w:szCs w:val="20"/>
                <w:color w:val="auto"/>
                <w:w w:val="89"/>
              </w:rPr>
              <w:t>Interlachen Lakes Estates, LLC</w:t>
            </w:r>
          </w:p>
        </w:tc>
        <w:tc>
          <w:tcPr>
            <w:tcW w:w="1160" w:type="dxa"/>
            <w:vAlign w:val="bottom"/>
            <w:gridSpan w:val="4"/>
          </w:tcPr>
          <w:p>
            <w:pPr>
              <w:ind w:left="220"/>
              <w:spacing w:after="0"/>
              <w:rPr>
                <w:sz w:val="20"/>
                <w:szCs w:val="20"/>
                <w:color w:val="auto"/>
              </w:rPr>
            </w:pPr>
            <w:r>
              <w:rPr>
                <w:rFonts w:ascii="Arial" w:cs="Arial" w:eastAsia="Arial" w:hAnsi="Arial"/>
                <w:sz w:val="20"/>
                <w:szCs w:val="20"/>
                <w:color w:val="auto"/>
              </w:rPr>
              <w:t>Florida</w:t>
            </w:r>
          </w:p>
        </w:tc>
        <w:tc>
          <w:tcPr>
            <w:tcW w:w="1220" w:type="dxa"/>
            <w:vAlign w:val="bottom"/>
          </w:tcPr>
          <w:p>
            <w:pPr>
              <w:spacing w:after="0"/>
              <w:rPr>
                <w:sz w:val="21"/>
                <w:szCs w:val="21"/>
                <w:color w:val="auto"/>
              </w:rPr>
            </w:pPr>
          </w:p>
        </w:tc>
      </w:tr>
      <w:tr>
        <w:trPr>
          <w:trHeight w:val="257"/>
        </w:trPr>
        <w:tc>
          <w:tcPr>
            <w:tcW w:w="2340" w:type="dxa"/>
            <w:vAlign w:val="bottom"/>
            <w:gridSpan w:val="3"/>
          </w:tcPr>
          <w:p>
            <w:pPr>
              <w:spacing w:after="0"/>
              <w:rPr>
                <w:sz w:val="20"/>
                <w:szCs w:val="20"/>
                <w:color w:val="auto"/>
              </w:rPr>
            </w:pPr>
            <w:r>
              <w:rPr>
                <w:rFonts w:ascii="Arial" w:cs="Arial" w:eastAsia="Arial" w:hAnsi="Arial"/>
                <w:sz w:val="20"/>
                <w:szCs w:val="20"/>
                <w:color w:val="auto"/>
                <w:w w:val="97"/>
              </w:rPr>
              <w:t>Lake Benton Holdings LLC</w:t>
            </w:r>
          </w:p>
        </w:tc>
        <w:tc>
          <w:tcPr>
            <w:tcW w:w="1340" w:type="dxa"/>
            <w:vAlign w:val="bottom"/>
            <w:gridSpan w:val="5"/>
          </w:tcPr>
          <w:p>
            <w:pPr>
              <w:ind w:left="140"/>
              <w:spacing w:after="0"/>
              <w:rPr>
                <w:sz w:val="20"/>
                <w:szCs w:val="20"/>
                <w:color w:val="auto"/>
              </w:rPr>
            </w:pPr>
            <w:r>
              <w:rPr>
                <w:rFonts w:ascii="Arial" w:cs="Arial" w:eastAsia="Arial" w:hAnsi="Arial"/>
                <w:sz w:val="20"/>
                <w:szCs w:val="20"/>
                <w:color w:val="auto"/>
              </w:rPr>
              <w:t>Delaware</w:t>
            </w:r>
          </w:p>
        </w:tc>
        <w:tc>
          <w:tcPr>
            <w:tcW w:w="1220" w:type="dxa"/>
            <w:vAlign w:val="bottom"/>
          </w:tcPr>
          <w:p>
            <w:pPr>
              <w:spacing w:after="0"/>
              <w:rPr>
                <w:sz w:val="22"/>
                <w:szCs w:val="22"/>
                <w:color w:val="auto"/>
              </w:rPr>
            </w:pPr>
          </w:p>
        </w:tc>
      </w:tr>
      <w:tr>
        <w:trPr>
          <w:trHeight w:val="256"/>
        </w:trPr>
        <w:tc>
          <w:tcPr>
            <w:tcW w:w="2920" w:type="dxa"/>
            <w:vAlign w:val="bottom"/>
            <w:gridSpan w:val="6"/>
          </w:tcPr>
          <w:p>
            <w:pPr>
              <w:spacing w:after="0"/>
              <w:rPr>
                <w:sz w:val="20"/>
                <w:szCs w:val="20"/>
                <w:color w:val="auto"/>
              </w:rPr>
            </w:pPr>
            <w:r>
              <w:rPr>
                <w:rFonts w:ascii="Arial" w:cs="Arial" w:eastAsia="Arial" w:hAnsi="Arial"/>
                <w:sz w:val="20"/>
                <w:szCs w:val="20"/>
                <w:color w:val="auto"/>
                <w:w w:val="90"/>
              </w:rPr>
              <w:t>Lake Benton Power Associates LLC</w:t>
            </w:r>
          </w:p>
        </w:tc>
        <w:tc>
          <w:tcPr>
            <w:tcW w:w="120" w:type="dxa"/>
            <w:vAlign w:val="bottom"/>
          </w:tcPr>
          <w:p>
            <w:pPr>
              <w:spacing w:after="0"/>
              <w:rPr>
                <w:sz w:val="22"/>
                <w:szCs w:val="22"/>
                <w:color w:val="auto"/>
              </w:rPr>
            </w:pPr>
          </w:p>
        </w:tc>
        <w:tc>
          <w:tcPr>
            <w:tcW w:w="1860" w:type="dxa"/>
            <w:vAlign w:val="bottom"/>
            <w:gridSpan w:val="2"/>
          </w:tcPr>
          <w:p>
            <w:pPr>
              <w:ind w:left="100"/>
              <w:spacing w:after="0"/>
              <w:rPr>
                <w:sz w:val="20"/>
                <w:szCs w:val="20"/>
                <w:color w:val="auto"/>
              </w:rPr>
            </w:pPr>
            <w:r>
              <w:rPr>
                <w:rFonts w:ascii="Arial" w:cs="Arial" w:eastAsia="Arial" w:hAnsi="Arial"/>
                <w:sz w:val="20"/>
                <w:szCs w:val="20"/>
                <w:color w:val="auto"/>
              </w:rPr>
              <w:t>Delaware</w:t>
            </w:r>
          </w:p>
        </w:tc>
      </w:tr>
      <w:tr>
        <w:trPr>
          <w:trHeight w:val="257"/>
        </w:trPr>
        <w:tc>
          <w:tcPr>
            <w:tcW w:w="2920" w:type="dxa"/>
            <w:vAlign w:val="bottom"/>
            <w:gridSpan w:val="6"/>
          </w:tcPr>
          <w:p>
            <w:pPr>
              <w:spacing w:after="0"/>
              <w:rPr>
                <w:sz w:val="20"/>
                <w:szCs w:val="20"/>
                <w:color w:val="auto"/>
              </w:rPr>
            </w:pPr>
            <w:r>
              <w:rPr>
                <w:rFonts w:ascii="Arial" w:cs="Arial" w:eastAsia="Arial" w:hAnsi="Arial"/>
                <w:sz w:val="20"/>
                <w:szCs w:val="20"/>
                <w:color w:val="auto"/>
                <w:w w:val="92"/>
              </w:rPr>
              <w:t>Lake Benton Power Partners L.L.C.</w:t>
            </w:r>
          </w:p>
        </w:tc>
        <w:tc>
          <w:tcPr>
            <w:tcW w:w="12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20"/>
                <w:szCs w:val="20"/>
                <w:color w:val="auto"/>
              </w:rPr>
              <w:t>Delaware</w:t>
            </w:r>
          </w:p>
        </w:tc>
      </w:tr>
      <w:tr>
        <w:trPr>
          <w:trHeight w:val="257"/>
        </w:trPr>
        <w:tc>
          <w:tcPr>
            <w:tcW w:w="2040" w:type="dxa"/>
            <w:vAlign w:val="bottom"/>
            <w:gridSpan w:val="2"/>
          </w:tcPr>
          <w:p>
            <w:pPr>
              <w:spacing w:after="0"/>
              <w:rPr>
                <w:sz w:val="20"/>
                <w:szCs w:val="20"/>
                <w:color w:val="auto"/>
              </w:rPr>
            </w:pPr>
            <w:r>
              <w:rPr>
                <w:rFonts w:ascii="Arial" w:cs="Arial" w:eastAsia="Arial" w:hAnsi="Arial"/>
                <w:sz w:val="20"/>
                <w:szCs w:val="20"/>
                <w:color w:val="auto"/>
                <w:w w:val="96"/>
              </w:rPr>
              <w:t>Lehigh Acquisition, LLC</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Florida</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1800" w:type="dxa"/>
            <w:vAlign w:val="bottom"/>
          </w:tcPr>
          <w:p>
            <w:pPr>
              <w:spacing w:after="0"/>
              <w:rPr>
                <w:sz w:val="20"/>
                <w:szCs w:val="20"/>
                <w:color w:val="auto"/>
              </w:rPr>
            </w:pPr>
            <w:r>
              <w:rPr>
                <w:rFonts w:ascii="Arial" w:cs="Arial" w:eastAsia="Arial" w:hAnsi="Arial"/>
                <w:sz w:val="20"/>
                <w:szCs w:val="20"/>
                <w:color w:val="auto"/>
              </w:rPr>
              <w:t>Lehigh Corporation</w:t>
            </w:r>
          </w:p>
        </w:tc>
        <w:tc>
          <w:tcPr>
            <w:tcW w:w="720" w:type="dxa"/>
            <w:vAlign w:val="bottom"/>
            <w:gridSpan w:val="3"/>
          </w:tcPr>
          <w:p>
            <w:pPr>
              <w:ind w:left="20"/>
              <w:spacing w:after="0"/>
              <w:rPr>
                <w:sz w:val="20"/>
                <w:szCs w:val="20"/>
                <w:color w:val="auto"/>
              </w:rPr>
            </w:pPr>
            <w:r>
              <w:rPr>
                <w:rFonts w:ascii="Arial" w:cs="Arial" w:eastAsia="Arial" w:hAnsi="Arial"/>
                <w:sz w:val="20"/>
                <w:szCs w:val="20"/>
                <w:color w:val="auto"/>
              </w:rPr>
              <w:t>Florida</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2040" w:type="dxa"/>
            <w:vAlign w:val="bottom"/>
            <w:gridSpan w:val="2"/>
          </w:tcPr>
          <w:p>
            <w:pPr>
              <w:spacing w:after="0"/>
              <w:rPr>
                <w:sz w:val="20"/>
                <w:szCs w:val="20"/>
                <w:color w:val="auto"/>
              </w:rPr>
            </w:pPr>
            <w:r>
              <w:rPr>
                <w:rFonts w:ascii="Arial" w:cs="Arial" w:eastAsia="Arial" w:hAnsi="Arial"/>
                <w:sz w:val="20"/>
                <w:szCs w:val="20"/>
                <w:color w:val="auto"/>
              </w:rPr>
              <w:t>Mardem, LLC   Florida</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2520" w:type="dxa"/>
            <w:vAlign w:val="bottom"/>
            <w:gridSpan w:val="4"/>
          </w:tcPr>
          <w:p>
            <w:pPr>
              <w:spacing w:after="0"/>
              <w:rPr>
                <w:sz w:val="20"/>
                <w:szCs w:val="20"/>
                <w:color w:val="auto"/>
              </w:rPr>
            </w:pPr>
            <w:r>
              <w:rPr>
                <w:rFonts w:ascii="Arial" w:cs="Arial" w:eastAsia="Arial" w:hAnsi="Arial"/>
                <w:sz w:val="20"/>
                <w:szCs w:val="20"/>
                <w:color w:val="auto"/>
              </w:rPr>
              <w:t>MINNIGAN HOLDCO, LLC</w:t>
            </w:r>
          </w:p>
        </w:tc>
        <w:tc>
          <w:tcPr>
            <w:tcW w:w="1160" w:type="dxa"/>
            <w:vAlign w:val="bottom"/>
            <w:gridSpan w:val="4"/>
          </w:tcPr>
          <w:p>
            <w:pPr>
              <w:ind w:left="60"/>
              <w:spacing w:after="0"/>
              <w:rPr>
                <w:sz w:val="20"/>
                <w:szCs w:val="20"/>
                <w:color w:val="auto"/>
              </w:rPr>
            </w:pPr>
            <w:r>
              <w:rPr>
                <w:rFonts w:ascii="Arial" w:cs="Arial" w:eastAsia="Arial" w:hAnsi="Arial"/>
                <w:sz w:val="20"/>
                <w:szCs w:val="20"/>
                <w:color w:val="auto"/>
              </w:rPr>
              <w:t>Delaware</w:t>
            </w:r>
          </w:p>
        </w:tc>
        <w:tc>
          <w:tcPr>
            <w:tcW w:w="1220" w:type="dxa"/>
            <w:vAlign w:val="bottom"/>
          </w:tcPr>
          <w:p>
            <w:pPr>
              <w:spacing w:after="0"/>
              <w:rPr>
                <w:sz w:val="22"/>
                <w:szCs w:val="22"/>
                <w:color w:val="auto"/>
              </w:rPr>
            </w:pPr>
          </w:p>
        </w:tc>
      </w:tr>
      <w:tr>
        <w:trPr>
          <w:trHeight w:val="257"/>
        </w:trPr>
        <w:tc>
          <w:tcPr>
            <w:tcW w:w="3680" w:type="dxa"/>
            <w:vAlign w:val="bottom"/>
            <w:gridSpan w:val="8"/>
          </w:tcPr>
          <w:p>
            <w:pPr>
              <w:spacing w:after="0"/>
              <w:rPr>
                <w:sz w:val="20"/>
                <w:szCs w:val="20"/>
                <w:color w:val="auto"/>
              </w:rPr>
            </w:pPr>
            <w:r>
              <w:rPr>
                <w:rFonts w:ascii="Arial" w:cs="Arial" w:eastAsia="Arial" w:hAnsi="Arial"/>
                <w:sz w:val="20"/>
                <w:szCs w:val="20"/>
                <w:color w:val="auto"/>
                <w:w w:val="97"/>
              </w:rPr>
              <w:t>Moulton Heights Wind Power Project, LLC</w:t>
            </w:r>
          </w:p>
        </w:tc>
        <w:tc>
          <w:tcPr>
            <w:tcW w:w="1220" w:type="dxa"/>
            <w:vAlign w:val="bottom"/>
          </w:tcPr>
          <w:p>
            <w:pPr>
              <w:ind w:left="40"/>
              <w:spacing w:after="0"/>
              <w:rPr>
                <w:sz w:val="20"/>
                <w:szCs w:val="20"/>
                <w:color w:val="auto"/>
              </w:rPr>
            </w:pPr>
            <w:r>
              <w:rPr>
                <w:rFonts w:ascii="Arial" w:cs="Arial" w:eastAsia="Arial" w:hAnsi="Arial"/>
                <w:sz w:val="20"/>
                <w:szCs w:val="20"/>
                <w:color w:val="auto"/>
              </w:rPr>
              <w:t>Minnesota</w:t>
            </w:r>
          </w:p>
        </w:tc>
      </w:tr>
      <w:tr>
        <w:trPr>
          <w:trHeight w:val="257"/>
        </w:trPr>
        <w:tc>
          <w:tcPr>
            <w:tcW w:w="3680" w:type="dxa"/>
            <w:vAlign w:val="bottom"/>
            <w:gridSpan w:val="8"/>
          </w:tcPr>
          <w:p>
            <w:pPr>
              <w:spacing w:after="0"/>
              <w:rPr>
                <w:sz w:val="20"/>
                <w:szCs w:val="20"/>
                <w:color w:val="auto"/>
              </w:rPr>
            </w:pPr>
            <w:r>
              <w:rPr>
                <w:rFonts w:ascii="Arial" w:cs="Arial" w:eastAsia="Arial" w:hAnsi="Arial"/>
                <w:sz w:val="20"/>
                <w:szCs w:val="20"/>
                <w:color w:val="auto"/>
              </w:rPr>
              <w:t>MP Affiliate Resources, Inc.  Minnesota</w:t>
            </w:r>
          </w:p>
        </w:tc>
        <w:tc>
          <w:tcPr>
            <w:tcW w:w="1220" w:type="dxa"/>
            <w:vAlign w:val="bottom"/>
          </w:tcPr>
          <w:p>
            <w:pPr>
              <w:spacing w:after="0"/>
              <w:rPr>
                <w:sz w:val="22"/>
                <w:szCs w:val="22"/>
                <w:color w:val="auto"/>
              </w:rPr>
            </w:pPr>
          </w:p>
        </w:tc>
      </w:tr>
      <w:tr>
        <w:trPr>
          <w:trHeight w:val="257"/>
        </w:trPr>
        <w:tc>
          <w:tcPr>
            <w:tcW w:w="1800" w:type="dxa"/>
            <w:vAlign w:val="bottom"/>
          </w:tcPr>
          <w:p>
            <w:pPr>
              <w:spacing w:after="0"/>
              <w:rPr>
                <w:sz w:val="20"/>
                <w:szCs w:val="20"/>
                <w:color w:val="auto"/>
              </w:rPr>
            </w:pPr>
            <w:r>
              <w:rPr>
                <w:rFonts w:ascii="Arial" w:cs="Arial" w:eastAsia="Arial" w:hAnsi="Arial"/>
                <w:sz w:val="20"/>
                <w:szCs w:val="20"/>
                <w:color w:val="auto"/>
                <w:w w:val="95"/>
              </w:rPr>
              <w:t>MP Investments, Inc.</w:t>
            </w:r>
          </w:p>
        </w:tc>
        <w:tc>
          <w:tcPr>
            <w:tcW w:w="1040" w:type="dxa"/>
            <w:vAlign w:val="bottom"/>
            <w:gridSpan w:val="4"/>
          </w:tcPr>
          <w:p>
            <w:pPr>
              <w:jc w:val="right"/>
              <w:ind w:right="81"/>
              <w:spacing w:after="0"/>
              <w:rPr>
                <w:sz w:val="20"/>
                <w:szCs w:val="20"/>
                <w:color w:val="auto"/>
              </w:rPr>
            </w:pPr>
            <w:r>
              <w:rPr>
                <w:rFonts w:ascii="Arial" w:cs="Arial" w:eastAsia="Arial" w:hAnsi="Arial"/>
                <w:sz w:val="20"/>
                <w:szCs w:val="20"/>
                <w:color w:val="auto"/>
                <w:w w:val="99"/>
              </w:rPr>
              <w:t>Delaware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2340" w:type="dxa"/>
            <w:vAlign w:val="bottom"/>
            <w:gridSpan w:val="3"/>
          </w:tcPr>
          <w:p>
            <w:pPr>
              <w:spacing w:after="0"/>
              <w:rPr>
                <w:sz w:val="20"/>
                <w:szCs w:val="20"/>
                <w:color w:val="auto"/>
              </w:rPr>
            </w:pPr>
            <w:r>
              <w:rPr>
                <w:rFonts w:ascii="Arial" w:cs="Arial" w:eastAsia="Arial" w:hAnsi="Arial"/>
                <w:sz w:val="20"/>
                <w:szCs w:val="20"/>
                <w:color w:val="auto"/>
                <w:w w:val="90"/>
              </w:rPr>
              <w:t>Muncie Power Partners, LLC</w:t>
            </w:r>
          </w:p>
        </w:tc>
        <w:tc>
          <w:tcPr>
            <w:tcW w:w="180" w:type="dxa"/>
            <w:vAlign w:val="bottom"/>
          </w:tcPr>
          <w:p>
            <w:pPr>
              <w:spacing w:after="0"/>
              <w:rPr>
                <w:sz w:val="22"/>
                <w:szCs w:val="22"/>
                <w:color w:val="auto"/>
              </w:rPr>
            </w:pPr>
          </w:p>
        </w:tc>
        <w:tc>
          <w:tcPr>
            <w:tcW w:w="1160" w:type="dxa"/>
            <w:vAlign w:val="bottom"/>
            <w:gridSpan w:val="4"/>
          </w:tcPr>
          <w:p>
            <w:pPr>
              <w:ind w:left="60"/>
              <w:spacing w:after="0"/>
              <w:rPr>
                <w:sz w:val="20"/>
                <w:szCs w:val="20"/>
                <w:color w:val="auto"/>
              </w:rPr>
            </w:pPr>
            <w:r>
              <w:rPr>
                <w:rFonts w:ascii="Arial" w:cs="Arial" w:eastAsia="Arial" w:hAnsi="Arial"/>
                <w:sz w:val="20"/>
                <w:szCs w:val="20"/>
                <w:color w:val="auto"/>
              </w:rPr>
              <w:t>Minnesota</w:t>
            </w:r>
          </w:p>
        </w:tc>
        <w:tc>
          <w:tcPr>
            <w:tcW w:w="1220" w:type="dxa"/>
            <w:vAlign w:val="bottom"/>
          </w:tcPr>
          <w:p>
            <w:pPr>
              <w:spacing w:after="0"/>
              <w:rPr>
                <w:sz w:val="22"/>
                <w:szCs w:val="22"/>
                <w:color w:val="auto"/>
              </w:rPr>
            </w:pPr>
          </w:p>
        </w:tc>
      </w:tr>
      <w:tr>
        <w:trPr>
          <w:trHeight w:val="257"/>
        </w:trPr>
        <w:tc>
          <w:tcPr>
            <w:tcW w:w="1800" w:type="dxa"/>
            <w:vAlign w:val="bottom"/>
          </w:tcPr>
          <w:p>
            <w:pPr>
              <w:spacing w:after="0"/>
              <w:rPr>
                <w:sz w:val="20"/>
                <w:szCs w:val="20"/>
                <w:color w:val="auto"/>
              </w:rPr>
            </w:pPr>
            <w:r>
              <w:rPr>
                <w:rFonts w:ascii="Arial" w:cs="Arial" w:eastAsia="Arial" w:hAnsi="Arial"/>
                <w:sz w:val="20"/>
                <w:szCs w:val="20"/>
                <w:color w:val="auto"/>
                <w:w w:val="95"/>
              </w:rPr>
              <w:t>MWW Holdings, LLC</w:t>
            </w:r>
          </w:p>
        </w:tc>
        <w:tc>
          <w:tcPr>
            <w:tcW w:w="24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Arial" w:cs="Arial" w:eastAsia="Arial" w:hAnsi="Arial"/>
                <w:sz w:val="20"/>
                <w:szCs w:val="20"/>
                <w:color w:val="auto"/>
                <w:w w:val="89"/>
              </w:rPr>
              <w:t>Delaware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2520" w:type="dxa"/>
            <w:vAlign w:val="bottom"/>
            <w:gridSpan w:val="4"/>
          </w:tcPr>
          <w:p>
            <w:pPr>
              <w:spacing w:after="0"/>
              <w:rPr>
                <w:sz w:val="20"/>
                <w:szCs w:val="20"/>
                <w:color w:val="auto"/>
              </w:rPr>
            </w:pPr>
            <w:r>
              <w:rPr>
                <w:rFonts w:ascii="Arial" w:cs="Arial" w:eastAsia="Arial" w:hAnsi="Arial"/>
                <w:sz w:val="20"/>
                <w:szCs w:val="20"/>
                <w:color w:val="auto"/>
                <w:w w:val="96"/>
              </w:rPr>
              <w:t>North Ridge Wind Farm, LLC</w:t>
            </w:r>
          </w:p>
        </w:tc>
        <w:tc>
          <w:tcPr>
            <w:tcW w:w="1160" w:type="dxa"/>
            <w:vAlign w:val="bottom"/>
            <w:gridSpan w:val="4"/>
          </w:tcPr>
          <w:p>
            <w:pPr>
              <w:ind w:left="140"/>
              <w:spacing w:after="0"/>
              <w:rPr>
                <w:sz w:val="20"/>
                <w:szCs w:val="20"/>
                <w:color w:val="auto"/>
              </w:rPr>
            </w:pPr>
            <w:r>
              <w:rPr>
                <w:rFonts w:ascii="Arial" w:cs="Arial" w:eastAsia="Arial" w:hAnsi="Arial"/>
                <w:sz w:val="20"/>
                <w:szCs w:val="20"/>
                <w:color w:val="auto"/>
              </w:rPr>
              <w:t>Minnesota</w:t>
            </w:r>
          </w:p>
        </w:tc>
        <w:tc>
          <w:tcPr>
            <w:tcW w:w="1220" w:type="dxa"/>
            <w:vAlign w:val="bottom"/>
          </w:tcPr>
          <w:p>
            <w:pPr>
              <w:spacing w:after="0"/>
              <w:rPr>
                <w:sz w:val="22"/>
                <w:szCs w:val="22"/>
                <w:color w:val="auto"/>
              </w:rPr>
            </w:pPr>
          </w:p>
        </w:tc>
      </w:tr>
      <w:tr>
        <w:trPr>
          <w:trHeight w:val="256"/>
        </w:trPr>
        <w:tc>
          <w:tcPr>
            <w:tcW w:w="2340" w:type="dxa"/>
            <w:vAlign w:val="bottom"/>
            <w:gridSpan w:val="3"/>
          </w:tcPr>
          <w:p>
            <w:pPr>
              <w:spacing w:after="0"/>
              <w:rPr>
                <w:sz w:val="20"/>
                <w:szCs w:val="20"/>
                <w:color w:val="auto"/>
              </w:rPr>
            </w:pPr>
            <w:r>
              <w:rPr>
                <w:rFonts w:ascii="Arial" w:cs="Arial" w:eastAsia="Arial" w:hAnsi="Arial"/>
                <w:sz w:val="20"/>
                <w:szCs w:val="20"/>
                <w:color w:val="auto"/>
                <w:w w:val="94"/>
              </w:rPr>
              <w:t>Northern Wind Energy, LLC</w:t>
            </w:r>
          </w:p>
        </w:tc>
        <w:tc>
          <w:tcPr>
            <w:tcW w:w="180" w:type="dxa"/>
            <w:vAlign w:val="bottom"/>
          </w:tcPr>
          <w:p>
            <w:pPr>
              <w:spacing w:after="0"/>
              <w:rPr>
                <w:sz w:val="22"/>
                <w:szCs w:val="22"/>
                <w:color w:val="auto"/>
              </w:rPr>
            </w:pPr>
          </w:p>
        </w:tc>
        <w:tc>
          <w:tcPr>
            <w:tcW w:w="1160" w:type="dxa"/>
            <w:vAlign w:val="bottom"/>
            <w:gridSpan w:val="4"/>
          </w:tcPr>
          <w:p>
            <w:pPr>
              <w:spacing w:after="0"/>
              <w:rPr>
                <w:sz w:val="20"/>
                <w:szCs w:val="20"/>
                <w:color w:val="auto"/>
              </w:rPr>
            </w:pPr>
            <w:r>
              <w:rPr>
                <w:rFonts w:ascii="Arial" w:cs="Arial" w:eastAsia="Arial" w:hAnsi="Arial"/>
                <w:sz w:val="20"/>
                <w:szCs w:val="20"/>
                <w:color w:val="auto"/>
              </w:rPr>
              <w:t>Delaware</w:t>
            </w:r>
          </w:p>
        </w:tc>
        <w:tc>
          <w:tcPr>
            <w:tcW w:w="1220" w:type="dxa"/>
            <w:vAlign w:val="bottom"/>
          </w:tcPr>
          <w:p>
            <w:pPr>
              <w:spacing w:after="0"/>
              <w:rPr>
                <w:sz w:val="22"/>
                <w:szCs w:val="22"/>
                <w:color w:val="auto"/>
              </w:rPr>
            </w:pPr>
          </w:p>
        </w:tc>
      </w:tr>
      <w:tr>
        <w:trPr>
          <w:trHeight w:val="257"/>
        </w:trPr>
        <w:tc>
          <w:tcPr>
            <w:tcW w:w="2340" w:type="dxa"/>
            <w:vAlign w:val="bottom"/>
            <w:gridSpan w:val="3"/>
          </w:tcPr>
          <w:p>
            <w:pPr>
              <w:spacing w:after="0"/>
              <w:rPr>
                <w:sz w:val="20"/>
                <w:szCs w:val="20"/>
                <w:color w:val="auto"/>
              </w:rPr>
            </w:pPr>
            <w:r>
              <w:rPr>
                <w:rFonts w:ascii="Arial" w:cs="Arial" w:eastAsia="Arial" w:hAnsi="Arial"/>
                <w:sz w:val="20"/>
                <w:szCs w:val="20"/>
                <w:color w:val="auto"/>
              </w:rPr>
              <w:t>Palm Coast Holdings, Inc.</w:t>
            </w:r>
          </w:p>
        </w:tc>
        <w:tc>
          <w:tcPr>
            <w:tcW w:w="580" w:type="dxa"/>
            <w:vAlign w:val="bottom"/>
            <w:gridSpan w:val="3"/>
          </w:tcPr>
          <w:p>
            <w:pPr>
              <w:spacing w:after="0"/>
              <w:rPr>
                <w:sz w:val="20"/>
                <w:szCs w:val="20"/>
                <w:color w:val="auto"/>
              </w:rPr>
            </w:pPr>
            <w:r>
              <w:rPr>
                <w:rFonts w:ascii="Arial" w:cs="Arial" w:eastAsia="Arial" w:hAnsi="Arial"/>
                <w:sz w:val="20"/>
                <w:szCs w:val="20"/>
                <w:color w:val="auto"/>
                <w:w w:val="91"/>
              </w:rPr>
              <w:t>Florida</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2040" w:type="dxa"/>
            <w:vAlign w:val="bottom"/>
            <w:gridSpan w:val="2"/>
          </w:tcPr>
          <w:p>
            <w:pPr>
              <w:spacing w:after="0"/>
              <w:rPr>
                <w:sz w:val="20"/>
                <w:szCs w:val="20"/>
                <w:color w:val="auto"/>
              </w:rPr>
            </w:pPr>
            <w:r>
              <w:rPr>
                <w:rFonts w:ascii="Arial" w:cs="Arial" w:eastAsia="Arial" w:hAnsi="Arial"/>
                <w:sz w:val="20"/>
                <w:szCs w:val="20"/>
                <w:color w:val="auto"/>
              </w:rPr>
              <w:t>Palm Coast Land, LLC</w:t>
            </w:r>
          </w:p>
        </w:tc>
        <w:tc>
          <w:tcPr>
            <w:tcW w:w="800" w:type="dxa"/>
            <w:vAlign w:val="bottom"/>
            <w:gridSpan w:val="3"/>
          </w:tcPr>
          <w:p>
            <w:pPr>
              <w:jc w:val="right"/>
              <w:ind w:right="81"/>
              <w:spacing w:after="0"/>
              <w:rPr>
                <w:sz w:val="20"/>
                <w:szCs w:val="20"/>
                <w:color w:val="auto"/>
              </w:rPr>
            </w:pPr>
            <w:r>
              <w:rPr>
                <w:rFonts w:ascii="Arial" w:cs="Arial" w:eastAsia="Arial" w:hAnsi="Arial"/>
                <w:sz w:val="20"/>
                <w:szCs w:val="20"/>
                <w:color w:val="auto"/>
                <w:w w:val="98"/>
              </w:rPr>
              <w:t>Florida</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2340" w:type="dxa"/>
            <w:vAlign w:val="bottom"/>
            <w:gridSpan w:val="3"/>
          </w:tcPr>
          <w:p>
            <w:pPr>
              <w:spacing w:after="0"/>
              <w:rPr>
                <w:sz w:val="20"/>
                <w:szCs w:val="20"/>
                <w:color w:val="auto"/>
              </w:rPr>
            </w:pPr>
            <w:r>
              <w:rPr>
                <w:rFonts w:ascii="Arial" w:cs="Arial" w:eastAsia="Arial" w:hAnsi="Arial"/>
                <w:sz w:val="20"/>
                <w:szCs w:val="20"/>
                <w:color w:val="auto"/>
                <w:w w:val="96"/>
              </w:rPr>
              <w:t>Port Orange Holdings, LLC</w:t>
            </w:r>
          </w:p>
        </w:tc>
        <w:tc>
          <w:tcPr>
            <w:tcW w:w="700" w:type="dxa"/>
            <w:vAlign w:val="bottom"/>
            <w:gridSpan w:val="4"/>
          </w:tcPr>
          <w:p>
            <w:pPr>
              <w:ind w:left="120"/>
              <w:spacing w:after="0"/>
              <w:rPr>
                <w:sz w:val="20"/>
                <w:szCs w:val="20"/>
                <w:color w:val="auto"/>
              </w:rPr>
            </w:pPr>
            <w:r>
              <w:rPr>
                <w:rFonts w:ascii="Arial" w:cs="Arial" w:eastAsia="Arial" w:hAnsi="Arial"/>
                <w:sz w:val="20"/>
                <w:szCs w:val="20"/>
                <w:color w:val="auto"/>
                <w:w w:val="91"/>
              </w:rPr>
              <w:t>Florida</w:t>
            </w: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2840" w:type="dxa"/>
            <w:vAlign w:val="bottom"/>
            <w:gridSpan w:val="5"/>
          </w:tcPr>
          <w:p>
            <w:pPr>
              <w:spacing w:after="0"/>
              <w:rPr>
                <w:sz w:val="20"/>
                <w:szCs w:val="20"/>
                <w:color w:val="auto"/>
              </w:rPr>
            </w:pPr>
            <w:r>
              <w:rPr>
                <w:rFonts w:ascii="Arial" w:cs="Arial" w:eastAsia="Arial" w:hAnsi="Arial"/>
                <w:sz w:val="20"/>
                <w:szCs w:val="20"/>
                <w:color w:val="auto"/>
                <w:w w:val="99"/>
              </w:rPr>
              <w:t>Rainy River Energy Corporation</w:t>
            </w:r>
          </w:p>
        </w:tc>
        <w:tc>
          <w:tcPr>
            <w:tcW w:w="840" w:type="dxa"/>
            <w:vAlign w:val="bottom"/>
            <w:gridSpan w:val="3"/>
          </w:tcPr>
          <w:p>
            <w:pPr>
              <w:spacing w:after="0"/>
              <w:rPr>
                <w:sz w:val="20"/>
                <w:szCs w:val="20"/>
                <w:color w:val="auto"/>
              </w:rPr>
            </w:pPr>
            <w:r>
              <w:rPr>
                <w:rFonts w:ascii="Arial" w:cs="Arial" w:eastAsia="Arial" w:hAnsi="Arial"/>
                <w:sz w:val="20"/>
                <w:szCs w:val="20"/>
                <w:color w:val="auto"/>
                <w:w w:val="88"/>
              </w:rPr>
              <w:t>Minnesota</w:t>
            </w:r>
          </w:p>
        </w:tc>
        <w:tc>
          <w:tcPr>
            <w:tcW w:w="1220" w:type="dxa"/>
            <w:vAlign w:val="bottom"/>
          </w:tcPr>
          <w:p>
            <w:pPr>
              <w:spacing w:after="0"/>
              <w:rPr>
                <w:sz w:val="22"/>
                <w:szCs w:val="22"/>
                <w:color w:val="auto"/>
              </w:rPr>
            </w:pPr>
          </w:p>
        </w:tc>
      </w:tr>
      <w:tr>
        <w:trPr>
          <w:trHeight w:val="256"/>
        </w:trPr>
        <w:tc>
          <w:tcPr>
            <w:tcW w:w="1800" w:type="dxa"/>
            <w:vAlign w:val="bottom"/>
          </w:tcPr>
          <w:p>
            <w:pPr>
              <w:spacing w:after="0"/>
              <w:rPr>
                <w:sz w:val="20"/>
                <w:szCs w:val="20"/>
                <w:color w:val="auto"/>
              </w:rPr>
            </w:pPr>
            <w:r>
              <w:rPr>
                <w:rFonts w:ascii="Arial" w:cs="Arial" w:eastAsia="Arial" w:hAnsi="Arial"/>
                <w:sz w:val="20"/>
                <w:szCs w:val="20"/>
                <w:color w:val="auto"/>
                <w:w w:val="95"/>
              </w:rPr>
              <w:t>Red Lake Solar, LLC</w:t>
            </w:r>
          </w:p>
        </w:tc>
        <w:tc>
          <w:tcPr>
            <w:tcW w:w="1040" w:type="dxa"/>
            <w:vAlign w:val="bottom"/>
            <w:gridSpan w:val="4"/>
          </w:tcPr>
          <w:p>
            <w:pPr>
              <w:jc w:val="right"/>
              <w:ind w:right="81"/>
              <w:spacing w:after="0"/>
              <w:rPr>
                <w:sz w:val="20"/>
                <w:szCs w:val="20"/>
                <w:color w:val="auto"/>
              </w:rPr>
            </w:pPr>
            <w:r>
              <w:rPr>
                <w:rFonts w:ascii="Arial" w:cs="Arial" w:eastAsia="Arial" w:hAnsi="Arial"/>
                <w:sz w:val="20"/>
                <w:szCs w:val="20"/>
                <w:color w:val="auto"/>
                <w:w w:val="99"/>
              </w:rPr>
              <w:t>Delaware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2520" w:type="dxa"/>
            <w:vAlign w:val="bottom"/>
            <w:gridSpan w:val="4"/>
          </w:tcPr>
          <w:p>
            <w:pPr>
              <w:spacing w:after="0"/>
              <w:rPr>
                <w:sz w:val="20"/>
                <w:szCs w:val="20"/>
                <w:color w:val="auto"/>
              </w:rPr>
            </w:pPr>
            <w:r>
              <w:rPr>
                <w:rFonts w:ascii="Arial" w:cs="Arial" w:eastAsia="Arial" w:hAnsi="Arial"/>
                <w:sz w:val="20"/>
                <w:szCs w:val="20"/>
                <w:color w:val="auto"/>
                <w:w w:val="90"/>
              </w:rPr>
              <w:t>RendField Land Company, Inc.</w:t>
            </w:r>
          </w:p>
        </w:tc>
        <w:tc>
          <w:tcPr>
            <w:tcW w:w="1160" w:type="dxa"/>
            <w:vAlign w:val="bottom"/>
            <w:gridSpan w:val="4"/>
          </w:tcPr>
          <w:p>
            <w:pPr>
              <w:ind w:left="220"/>
              <w:spacing w:after="0"/>
              <w:rPr>
                <w:sz w:val="20"/>
                <w:szCs w:val="20"/>
                <w:color w:val="auto"/>
              </w:rPr>
            </w:pPr>
            <w:r>
              <w:rPr>
                <w:rFonts w:ascii="Arial" w:cs="Arial" w:eastAsia="Arial" w:hAnsi="Arial"/>
                <w:sz w:val="20"/>
                <w:szCs w:val="20"/>
                <w:color w:val="auto"/>
                <w:w w:val="99"/>
              </w:rPr>
              <w:t>Minnesota</w:t>
            </w:r>
          </w:p>
        </w:tc>
        <w:tc>
          <w:tcPr>
            <w:tcW w:w="1220" w:type="dxa"/>
            <w:vAlign w:val="bottom"/>
          </w:tcPr>
          <w:p>
            <w:pPr>
              <w:spacing w:after="0"/>
              <w:rPr>
                <w:sz w:val="22"/>
                <w:szCs w:val="22"/>
                <w:color w:val="auto"/>
              </w:rPr>
            </w:pPr>
          </w:p>
        </w:tc>
      </w:tr>
      <w:tr>
        <w:trPr>
          <w:trHeight w:val="256"/>
        </w:trPr>
        <w:tc>
          <w:tcPr>
            <w:tcW w:w="1800" w:type="dxa"/>
            <w:vAlign w:val="bottom"/>
          </w:tcPr>
          <w:p>
            <w:pPr>
              <w:spacing w:after="0"/>
              <w:rPr>
                <w:sz w:val="20"/>
                <w:szCs w:val="20"/>
                <w:color w:val="auto"/>
              </w:rPr>
            </w:pPr>
            <w:r>
              <w:rPr>
                <w:rFonts w:ascii="Arial" w:cs="Arial" w:eastAsia="Arial" w:hAnsi="Arial"/>
                <w:sz w:val="20"/>
                <w:szCs w:val="20"/>
                <w:color w:val="auto"/>
                <w:w w:val="98"/>
              </w:rPr>
              <w:t>Roadrunner – I, LLC</w:t>
            </w:r>
          </w:p>
        </w:tc>
        <w:tc>
          <w:tcPr>
            <w:tcW w:w="1040" w:type="dxa"/>
            <w:vAlign w:val="bottom"/>
            <w:gridSpan w:val="4"/>
          </w:tcPr>
          <w:p>
            <w:pPr>
              <w:jc w:val="right"/>
              <w:ind w:right="21"/>
              <w:spacing w:after="0"/>
              <w:rPr>
                <w:sz w:val="20"/>
                <w:szCs w:val="20"/>
                <w:color w:val="auto"/>
              </w:rPr>
            </w:pPr>
            <w:r>
              <w:rPr>
                <w:rFonts w:ascii="Arial" w:cs="Arial" w:eastAsia="Arial" w:hAnsi="Arial"/>
                <w:sz w:val="20"/>
                <w:szCs w:val="20"/>
                <w:color w:val="auto"/>
                <w:w w:val="97"/>
              </w:rPr>
              <w:t>Minnesota</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2840" w:type="dxa"/>
            <w:vAlign w:val="bottom"/>
            <w:gridSpan w:val="5"/>
          </w:tcPr>
          <w:p>
            <w:pPr>
              <w:spacing w:after="0"/>
              <w:rPr>
                <w:sz w:val="20"/>
                <w:szCs w:val="20"/>
                <w:color w:val="auto"/>
              </w:rPr>
            </w:pPr>
            <w:r>
              <w:rPr>
                <w:rFonts w:ascii="Arial" w:cs="Arial" w:eastAsia="Arial" w:hAnsi="Arial"/>
                <w:sz w:val="20"/>
                <w:szCs w:val="20"/>
                <w:color w:val="auto"/>
              </w:rPr>
              <w:t>Salty Dog – I, LLC  Minnesota</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1800" w:type="dxa"/>
            <w:vAlign w:val="bottom"/>
          </w:tcPr>
          <w:p>
            <w:pPr>
              <w:spacing w:after="0"/>
              <w:rPr>
                <w:sz w:val="20"/>
                <w:szCs w:val="20"/>
                <w:color w:val="auto"/>
              </w:rPr>
            </w:pPr>
            <w:r>
              <w:rPr>
                <w:rFonts w:ascii="Arial" w:cs="Arial" w:eastAsia="Arial" w:hAnsi="Arial"/>
                <w:sz w:val="20"/>
                <w:szCs w:val="20"/>
                <w:color w:val="auto"/>
              </w:rPr>
              <w:t>Salty Dog – II, LLC</w:t>
            </w:r>
          </w:p>
        </w:tc>
        <w:tc>
          <w:tcPr>
            <w:tcW w:w="1040" w:type="dxa"/>
            <w:vAlign w:val="bottom"/>
            <w:gridSpan w:val="4"/>
          </w:tcPr>
          <w:p>
            <w:pPr>
              <w:jc w:val="right"/>
              <w:ind w:right="101"/>
              <w:spacing w:after="0"/>
              <w:rPr>
                <w:sz w:val="20"/>
                <w:szCs w:val="20"/>
                <w:color w:val="auto"/>
              </w:rPr>
            </w:pPr>
            <w:r>
              <w:rPr>
                <w:rFonts w:ascii="Arial" w:cs="Arial" w:eastAsia="Arial" w:hAnsi="Arial"/>
                <w:sz w:val="20"/>
                <w:szCs w:val="20"/>
                <w:color w:val="auto"/>
                <w:w w:val="88"/>
              </w:rPr>
              <w:t>Minnesota</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2040" w:type="dxa"/>
            <w:vAlign w:val="bottom"/>
            <w:gridSpan w:val="2"/>
          </w:tcPr>
          <w:p>
            <w:pPr>
              <w:spacing w:after="0"/>
              <w:rPr>
                <w:sz w:val="20"/>
                <w:szCs w:val="20"/>
                <w:color w:val="auto"/>
              </w:rPr>
            </w:pPr>
            <w:r>
              <w:rPr>
                <w:rFonts w:ascii="Arial" w:cs="Arial" w:eastAsia="Arial" w:hAnsi="Arial"/>
                <w:sz w:val="20"/>
                <w:szCs w:val="20"/>
                <w:color w:val="auto"/>
                <w:w w:val="99"/>
              </w:rPr>
              <w:t>South Peak Wind, LLC</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w w:val="89"/>
              </w:rPr>
              <w:t>Delaware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3680" w:type="dxa"/>
            <w:vAlign w:val="bottom"/>
            <w:gridSpan w:val="8"/>
          </w:tcPr>
          <w:p>
            <w:pPr>
              <w:spacing w:after="0"/>
              <w:rPr>
                <w:sz w:val="20"/>
                <w:szCs w:val="20"/>
                <w:color w:val="auto"/>
              </w:rPr>
            </w:pPr>
            <w:r>
              <w:rPr>
                <w:rFonts w:ascii="Arial" w:cs="Arial" w:eastAsia="Arial" w:hAnsi="Arial"/>
                <w:sz w:val="20"/>
                <w:szCs w:val="20"/>
                <w:color w:val="auto"/>
              </w:rPr>
              <w:t>South Shore Energy, LLC   Wisconsin</w:t>
            </w:r>
          </w:p>
        </w:tc>
        <w:tc>
          <w:tcPr>
            <w:tcW w:w="1220" w:type="dxa"/>
            <w:vAlign w:val="bottom"/>
          </w:tcPr>
          <w:p>
            <w:pPr>
              <w:spacing w:after="0"/>
              <w:rPr>
                <w:sz w:val="22"/>
                <w:szCs w:val="22"/>
                <w:color w:val="auto"/>
              </w:rPr>
            </w:pPr>
          </w:p>
        </w:tc>
      </w:tr>
      <w:tr>
        <w:trPr>
          <w:trHeight w:val="257"/>
        </w:trPr>
        <w:tc>
          <w:tcPr>
            <w:tcW w:w="2840" w:type="dxa"/>
            <w:vAlign w:val="bottom"/>
            <w:gridSpan w:val="5"/>
          </w:tcPr>
          <w:p>
            <w:pPr>
              <w:spacing w:after="0"/>
              <w:rPr>
                <w:sz w:val="20"/>
                <w:szCs w:val="20"/>
                <w:color w:val="auto"/>
              </w:rPr>
            </w:pPr>
            <w:r>
              <w:rPr>
                <w:rFonts w:ascii="Arial" w:cs="Arial" w:eastAsia="Arial" w:hAnsi="Arial"/>
                <w:sz w:val="20"/>
                <w:szCs w:val="20"/>
                <w:color w:val="auto"/>
                <w:w w:val="94"/>
              </w:rPr>
              <w:t>Storm Lake Power Partners I LLC</w:t>
            </w:r>
          </w:p>
        </w:tc>
        <w:tc>
          <w:tcPr>
            <w:tcW w:w="80" w:type="dxa"/>
            <w:vAlign w:val="bottom"/>
          </w:tcPr>
          <w:p>
            <w:pPr>
              <w:spacing w:after="0"/>
              <w:rPr>
                <w:sz w:val="22"/>
                <w:szCs w:val="22"/>
                <w:color w:val="auto"/>
              </w:rPr>
            </w:pPr>
          </w:p>
        </w:tc>
        <w:tc>
          <w:tcPr>
            <w:tcW w:w="1980" w:type="dxa"/>
            <w:vAlign w:val="bottom"/>
            <w:gridSpan w:val="3"/>
          </w:tcPr>
          <w:p>
            <w:pPr>
              <w:ind w:left="60"/>
              <w:spacing w:after="0"/>
              <w:rPr>
                <w:sz w:val="20"/>
                <w:szCs w:val="20"/>
                <w:color w:val="auto"/>
              </w:rPr>
            </w:pPr>
            <w:r>
              <w:rPr>
                <w:rFonts w:ascii="Arial" w:cs="Arial" w:eastAsia="Arial" w:hAnsi="Arial"/>
                <w:sz w:val="20"/>
                <w:szCs w:val="20"/>
                <w:color w:val="auto"/>
              </w:rPr>
              <w:t>Delaware</w:t>
            </w:r>
          </w:p>
        </w:tc>
      </w:tr>
      <w:tr>
        <w:trPr>
          <w:trHeight w:val="257"/>
        </w:trPr>
        <w:tc>
          <w:tcPr>
            <w:tcW w:w="3040" w:type="dxa"/>
            <w:vAlign w:val="bottom"/>
            <w:gridSpan w:val="7"/>
          </w:tcPr>
          <w:p>
            <w:pPr>
              <w:spacing w:after="0"/>
              <w:rPr>
                <w:sz w:val="20"/>
                <w:szCs w:val="20"/>
                <w:color w:val="auto"/>
              </w:rPr>
            </w:pPr>
            <w:r>
              <w:rPr>
                <w:rFonts w:ascii="Arial" w:cs="Arial" w:eastAsia="Arial" w:hAnsi="Arial"/>
                <w:sz w:val="20"/>
                <w:szCs w:val="20"/>
                <w:color w:val="auto"/>
                <w:w w:val="92"/>
              </w:rPr>
              <w:t>Storm Lake II Power Associates LLC</w:t>
            </w:r>
          </w:p>
        </w:tc>
        <w:tc>
          <w:tcPr>
            <w:tcW w:w="1860" w:type="dxa"/>
            <w:vAlign w:val="bottom"/>
            <w:gridSpan w:val="2"/>
          </w:tcPr>
          <w:p>
            <w:pPr>
              <w:ind w:left="200"/>
              <w:spacing w:after="0"/>
              <w:rPr>
                <w:sz w:val="20"/>
                <w:szCs w:val="20"/>
                <w:color w:val="auto"/>
              </w:rPr>
            </w:pPr>
            <w:r>
              <w:rPr>
                <w:rFonts w:ascii="Arial" w:cs="Arial" w:eastAsia="Arial" w:hAnsi="Arial"/>
                <w:sz w:val="20"/>
                <w:szCs w:val="20"/>
                <w:color w:val="auto"/>
              </w:rPr>
              <w:t>Delaware</w:t>
            </w:r>
          </w:p>
        </w:tc>
      </w:tr>
      <w:tr>
        <w:trPr>
          <w:trHeight w:val="256"/>
        </w:trPr>
        <w:tc>
          <w:tcPr>
            <w:tcW w:w="2340" w:type="dxa"/>
            <w:vAlign w:val="bottom"/>
            <w:gridSpan w:val="3"/>
          </w:tcPr>
          <w:p>
            <w:pPr>
              <w:spacing w:after="0"/>
              <w:rPr>
                <w:sz w:val="20"/>
                <w:szCs w:val="20"/>
                <w:color w:val="auto"/>
              </w:rPr>
            </w:pPr>
            <w:r>
              <w:rPr>
                <w:rFonts w:ascii="Arial" w:cs="Arial" w:eastAsia="Arial" w:hAnsi="Arial"/>
                <w:sz w:val="20"/>
                <w:szCs w:val="20"/>
                <w:color w:val="auto"/>
                <w:w w:val="94"/>
              </w:rPr>
              <w:t>Storm Lake II Holdings LLC</w:t>
            </w:r>
          </w:p>
        </w:tc>
        <w:tc>
          <w:tcPr>
            <w:tcW w:w="180" w:type="dxa"/>
            <w:vAlign w:val="bottom"/>
          </w:tcPr>
          <w:p>
            <w:pPr>
              <w:spacing w:after="0"/>
              <w:rPr>
                <w:sz w:val="22"/>
                <w:szCs w:val="22"/>
                <w:color w:val="auto"/>
              </w:rPr>
            </w:pPr>
          </w:p>
        </w:tc>
        <w:tc>
          <w:tcPr>
            <w:tcW w:w="1160" w:type="dxa"/>
            <w:vAlign w:val="bottom"/>
            <w:gridSpan w:val="4"/>
          </w:tcPr>
          <w:p>
            <w:pPr>
              <w:ind w:left="40"/>
              <w:spacing w:after="0"/>
              <w:rPr>
                <w:sz w:val="20"/>
                <w:szCs w:val="20"/>
                <w:color w:val="auto"/>
              </w:rPr>
            </w:pPr>
            <w:r>
              <w:rPr>
                <w:rFonts w:ascii="Arial" w:cs="Arial" w:eastAsia="Arial" w:hAnsi="Arial"/>
                <w:sz w:val="20"/>
                <w:szCs w:val="20"/>
                <w:color w:val="auto"/>
              </w:rPr>
              <w:t>Delaware</w:t>
            </w:r>
          </w:p>
        </w:tc>
        <w:tc>
          <w:tcPr>
            <w:tcW w:w="1220" w:type="dxa"/>
            <w:vAlign w:val="bottom"/>
          </w:tcPr>
          <w:p>
            <w:pPr>
              <w:spacing w:after="0"/>
              <w:rPr>
                <w:sz w:val="22"/>
                <w:szCs w:val="22"/>
                <w:color w:val="auto"/>
              </w:rPr>
            </w:pPr>
          </w:p>
        </w:tc>
      </w:tr>
      <w:tr>
        <w:trPr>
          <w:trHeight w:val="257"/>
        </w:trPr>
        <w:tc>
          <w:tcPr>
            <w:tcW w:w="2840" w:type="dxa"/>
            <w:vAlign w:val="bottom"/>
            <w:gridSpan w:val="5"/>
          </w:tcPr>
          <w:p>
            <w:pPr>
              <w:spacing w:after="0"/>
              <w:rPr>
                <w:sz w:val="20"/>
                <w:szCs w:val="20"/>
                <w:color w:val="auto"/>
              </w:rPr>
            </w:pPr>
            <w:r>
              <w:rPr>
                <w:rFonts w:ascii="Arial" w:cs="Arial" w:eastAsia="Arial" w:hAnsi="Arial"/>
                <w:sz w:val="20"/>
                <w:szCs w:val="20"/>
                <w:color w:val="auto"/>
                <w:w w:val="92"/>
              </w:rPr>
              <w:t>Storm Lake Power Partners II LLC</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gridSpan w:val="2"/>
          </w:tcPr>
          <w:p>
            <w:pPr>
              <w:spacing w:after="0"/>
              <w:rPr>
                <w:sz w:val="20"/>
                <w:szCs w:val="20"/>
                <w:color w:val="auto"/>
              </w:rPr>
            </w:pPr>
            <w:r>
              <w:rPr>
                <w:rFonts w:ascii="Arial" w:cs="Arial" w:eastAsia="Arial" w:hAnsi="Arial"/>
                <w:sz w:val="20"/>
                <w:szCs w:val="20"/>
                <w:color w:val="auto"/>
              </w:rPr>
              <w:t>Delaware</w:t>
            </w:r>
          </w:p>
        </w:tc>
      </w:tr>
      <w:tr>
        <w:trPr>
          <w:trHeight w:val="256"/>
        </w:trPr>
        <w:tc>
          <w:tcPr>
            <w:tcW w:w="3680" w:type="dxa"/>
            <w:vAlign w:val="bottom"/>
            <w:gridSpan w:val="8"/>
          </w:tcPr>
          <w:p>
            <w:pPr>
              <w:spacing w:after="0"/>
              <w:rPr>
                <w:sz w:val="20"/>
                <w:szCs w:val="20"/>
                <w:color w:val="auto"/>
              </w:rPr>
            </w:pPr>
            <w:r>
              <w:rPr>
                <w:rFonts w:ascii="Arial" w:cs="Arial" w:eastAsia="Arial" w:hAnsi="Arial"/>
                <w:sz w:val="20"/>
                <w:szCs w:val="20"/>
                <w:color w:val="auto"/>
                <w:w w:val="95"/>
              </w:rPr>
              <w:t>Superior Water, Light and Power Company</w:t>
            </w:r>
          </w:p>
        </w:tc>
        <w:tc>
          <w:tcPr>
            <w:tcW w:w="1220" w:type="dxa"/>
            <w:vAlign w:val="bottom"/>
          </w:tcPr>
          <w:p>
            <w:pPr>
              <w:spacing w:after="0"/>
              <w:rPr>
                <w:sz w:val="20"/>
                <w:szCs w:val="20"/>
                <w:color w:val="auto"/>
              </w:rPr>
            </w:pPr>
            <w:r>
              <w:rPr>
                <w:rFonts w:ascii="Arial" w:cs="Arial" w:eastAsia="Arial" w:hAnsi="Arial"/>
                <w:sz w:val="20"/>
                <w:szCs w:val="20"/>
                <w:color w:val="auto"/>
              </w:rPr>
              <w:t>Wisconsin</w:t>
            </w:r>
          </w:p>
        </w:tc>
      </w:tr>
      <w:tr>
        <w:trPr>
          <w:trHeight w:val="257"/>
        </w:trPr>
        <w:tc>
          <w:tcPr>
            <w:tcW w:w="2340" w:type="dxa"/>
            <w:vAlign w:val="bottom"/>
            <w:gridSpan w:val="3"/>
          </w:tcPr>
          <w:p>
            <w:pPr>
              <w:spacing w:after="0"/>
              <w:rPr>
                <w:sz w:val="20"/>
                <w:szCs w:val="20"/>
                <w:color w:val="auto"/>
              </w:rPr>
            </w:pPr>
            <w:r>
              <w:rPr>
                <w:rFonts w:ascii="Arial" w:cs="Arial" w:eastAsia="Arial" w:hAnsi="Arial"/>
                <w:sz w:val="20"/>
                <w:szCs w:val="20"/>
                <w:color w:val="auto"/>
              </w:rPr>
              <w:t>Thunder Spirit Wind, LLC</w:t>
            </w:r>
          </w:p>
        </w:tc>
        <w:tc>
          <w:tcPr>
            <w:tcW w:w="1340" w:type="dxa"/>
            <w:vAlign w:val="bottom"/>
            <w:gridSpan w:val="5"/>
          </w:tcPr>
          <w:p>
            <w:pPr>
              <w:ind w:left="20"/>
              <w:spacing w:after="0"/>
              <w:rPr>
                <w:sz w:val="20"/>
                <w:szCs w:val="20"/>
                <w:color w:val="auto"/>
              </w:rPr>
            </w:pPr>
            <w:r>
              <w:rPr>
                <w:rFonts w:ascii="Arial" w:cs="Arial" w:eastAsia="Arial" w:hAnsi="Arial"/>
                <w:sz w:val="20"/>
                <w:szCs w:val="20"/>
                <w:color w:val="auto"/>
              </w:rPr>
              <w:t>Delaware</w:t>
            </w:r>
          </w:p>
        </w:tc>
        <w:tc>
          <w:tcPr>
            <w:tcW w:w="1220" w:type="dxa"/>
            <w:vAlign w:val="bottom"/>
          </w:tcPr>
          <w:p>
            <w:pPr>
              <w:spacing w:after="0"/>
              <w:rPr>
                <w:sz w:val="22"/>
                <w:szCs w:val="22"/>
                <w:color w:val="auto"/>
              </w:rPr>
            </w:pPr>
          </w:p>
        </w:tc>
      </w:tr>
      <w:tr>
        <w:trPr>
          <w:trHeight w:val="256"/>
        </w:trPr>
        <w:tc>
          <w:tcPr>
            <w:tcW w:w="2840" w:type="dxa"/>
            <w:vAlign w:val="bottom"/>
            <w:gridSpan w:val="5"/>
          </w:tcPr>
          <w:p>
            <w:pPr>
              <w:spacing w:after="0"/>
              <w:rPr>
                <w:sz w:val="20"/>
                <w:szCs w:val="20"/>
                <w:color w:val="auto"/>
              </w:rPr>
            </w:pPr>
            <w:r>
              <w:rPr>
                <w:rFonts w:ascii="Arial" w:cs="Arial" w:eastAsia="Arial" w:hAnsi="Arial"/>
                <w:sz w:val="20"/>
                <w:szCs w:val="20"/>
                <w:color w:val="auto"/>
                <w:w w:val="96"/>
              </w:rPr>
              <w:t>Upper Minnesota Properties, Inc.</w:t>
            </w:r>
          </w:p>
        </w:tc>
        <w:tc>
          <w:tcPr>
            <w:tcW w:w="2060" w:type="dxa"/>
            <w:vAlign w:val="bottom"/>
            <w:gridSpan w:val="4"/>
          </w:tcPr>
          <w:p>
            <w:pPr>
              <w:jc w:val="center"/>
              <w:ind w:right="1041"/>
              <w:spacing w:after="0"/>
              <w:rPr>
                <w:sz w:val="20"/>
                <w:szCs w:val="20"/>
                <w:color w:val="auto"/>
              </w:rPr>
            </w:pPr>
            <w:r>
              <w:rPr>
                <w:rFonts w:ascii="Arial" w:cs="Arial" w:eastAsia="Arial" w:hAnsi="Arial"/>
                <w:sz w:val="20"/>
                <w:szCs w:val="20"/>
                <w:color w:val="auto"/>
                <w:w w:val="90"/>
              </w:rPr>
              <w:t>Minnesota</w:t>
            </w:r>
          </w:p>
        </w:tc>
      </w:tr>
      <w:tr>
        <w:trPr>
          <w:trHeight w:val="257"/>
        </w:trPr>
        <w:tc>
          <w:tcPr>
            <w:tcW w:w="4900" w:type="dxa"/>
            <w:vAlign w:val="bottom"/>
            <w:gridSpan w:val="9"/>
          </w:tcPr>
          <w:p>
            <w:pPr>
              <w:spacing w:after="0"/>
              <w:rPr>
                <w:sz w:val="20"/>
                <w:szCs w:val="20"/>
                <w:color w:val="auto"/>
              </w:rPr>
            </w:pPr>
            <w:r>
              <w:rPr>
                <w:rFonts w:ascii="Arial" w:cs="Arial" w:eastAsia="Arial" w:hAnsi="Arial"/>
                <w:sz w:val="20"/>
                <w:szCs w:val="20"/>
                <w:color w:val="auto"/>
                <w:w w:val="91"/>
              </w:rPr>
              <w:t>Upper Minnesota Properties - Development, Inc   Minnesota</w:t>
            </w:r>
          </w:p>
        </w:tc>
      </w:tr>
      <w:tr>
        <w:trPr>
          <w:trHeight w:val="256"/>
        </w:trPr>
        <w:tc>
          <w:tcPr>
            <w:tcW w:w="2340" w:type="dxa"/>
            <w:vAlign w:val="bottom"/>
            <w:gridSpan w:val="3"/>
          </w:tcPr>
          <w:p>
            <w:pPr>
              <w:spacing w:after="0"/>
              <w:rPr>
                <w:sz w:val="20"/>
                <w:szCs w:val="20"/>
                <w:color w:val="auto"/>
              </w:rPr>
            </w:pPr>
            <w:r>
              <w:rPr>
                <w:rFonts w:ascii="Arial" w:cs="Arial" w:eastAsia="Arial" w:hAnsi="Arial"/>
                <w:sz w:val="20"/>
                <w:szCs w:val="20"/>
                <w:color w:val="auto"/>
              </w:rPr>
              <w:t>Vandy South Project, LLC</w:t>
            </w:r>
          </w:p>
        </w:tc>
        <w:tc>
          <w:tcPr>
            <w:tcW w:w="1340" w:type="dxa"/>
            <w:vAlign w:val="bottom"/>
            <w:gridSpan w:val="5"/>
          </w:tcPr>
          <w:p>
            <w:pPr>
              <w:ind w:left="20"/>
              <w:spacing w:after="0"/>
              <w:rPr>
                <w:sz w:val="20"/>
                <w:szCs w:val="20"/>
                <w:color w:val="auto"/>
              </w:rPr>
            </w:pPr>
            <w:r>
              <w:rPr>
                <w:rFonts w:ascii="Arial" w:cs="Arial" w:eastAsia="Arial" w:hAnsi="Arial"/>
                <w:sz w:val="20"/>
                <w:szCs w:val="20"/>
                <w:color w:val="auto"/>
              </w:rPr>
              <w:t>Minnesota</w:t>
            </w:r>
          </w:p>
        </w:tc>
        <w:tc>
          <w:tcPr>
            <w:tcW w:w="1220" w:type="dxa"/>
            <w:vAlign w:val="bottom"/>
          </w:tcPr>
          <w:p>
            <w:pPr>
              <w:spacing w:after="0"/>
              <w:rPr>
                <w:sz w:val="22"/>
                <w:szCs w:val="22"/>
                <w:color w:val="auto"/>
              </w:rPr>
            </w:pPr>
          </w:p>
        </w:tc>
      </w:tr>
      <w:tr>
        <w:trPr>
          <w:trHeight w:val="256"/>
        </w:trPr>
        <w:tc>
          <w:tcPr>
            <w:tcW w:w="2340" w:type="dxa"/>
            <w:vAlign w:val="bottom"/>
            <w:gridSpan w:val="3"/>
          </w:tcPr>
          <w:p>
            <w:pPr>
              <w:spacing w:after="0"/>
              <w:rPr>
                <w:sz w:val="20"/>
                <w:szCs w:val="20"/>
                <w:color w:val="auto"/>
              </w:rPr>
            </w:pPr>
            <w:r>
              <w:rPr>
                <w:rFonts w:ascii="Arial" w:cs="Arial" w:eastAsia="Arial" w:hAnsi="Arial"/>
                <w:sz w:val="20"/>
                <w:szCs w:val="20"/>
                <w:color w:val="auto"/>
                <w:w w:val="96"/>
              </w:rPr>
              <w:t>Vindy Power Partners, LLC</w:t>
            </w:r>
          </w:p>
        </w:tc>
        <w:tc>
          <w:tcPr>
            <w:tcW w:w="1340" w:type="dxa"/>
            <w:vAlign w:val="bottom"/>
            <w:gridSpan w:val="5"/>
          </w:tcPr>
          <w:p>
            <w:pPr>
              <w:ind w:left="120"/>
              <w:spacing w:after="0"/>
              <w:rPr>
                <w:sz w:val="20"/>
                <w:szCs w:val="20"/>
                <w:color w:val="auto"/>
              </w:rPr>
            </w:pPr>
            <w:r>
              <w:rPr>
                <w:rFonts w:ascii="Arial" w:cs="Arial" w:eastAsia="Arial" w:hAnsi="Arial"/>
                <w:sz w:val="20"/>
                <w:szCs w:val="20"/>
                <w:color w:val="auto"/>
              </w:rPr>
              <w:t>Minnesota</w:t>
            </w:r>
          </w:p>
        </w:tc>
        <w:tc>
          <w:tcPr>
            <w:tcW w:w="1220" w:type="dxa"/>
            <w:vAlign w:val="bottom"/>
          </w:tcPr>
          <w:p>
            <w:pPr>
              <w:spacing w:after="0"/>
              <w:rPr>
                <w:sz w:val="22"/>
                <w:szCs w:val="22"/>
                <w:color w:val="auto"/>
              </w:rPr>
            </w:pPr>
          </w:p>
        </w:tc>
      </w:tr>
      <w:tr>
        <w:trPr>
          <w:trHeight w:val="256"/>
        </w:trPr>
        <w:tc>
          <w:tcPr>
            <w:tcW w:w="2340" w:type="dxa"/>
            <w:vAlign w:val="bottom"/>
            <w:gridSpan w:val="3"/>
          </w:tcPr>
          <w:p>
            <w:pPr>
              <w:spacing w:after="0"/>
              <w:rPr>
                <w:sz w:val="20"/>
                <w:szCs w:val="20"/>
                <w:color w:val="auto"/>
              </w:rPr>
            </w:pPr>
            <w:r>
              <w:rPr>
                <w:rFonts w:ascii="Arial" w:cs="Arial" w:eastAsia="Arial" w:hAnsi="Arial"/>
                <w:sz w:val="20"/>
                <w:szCs w:val="20"/>
                <w:color w:val="auto"/>
                <w:w w:val="97"/>
              </w:rPr>
              <w:t>Viking Wind Holdings, LLC</w:t>
            </w:r>
          </w:p>
        </w:tc>
        <w:tc>
          <w:tcPr>
            <w:tcW w:w="180" w:type="dxa"/>
            <w:vAlign w:val="bottom"/>
          </w:tcPr>
          <w:p>
            <w:pPr>
              <w:spacing w:after="0"/>
              <w:rPr>
                <w:sz w:val="22"/>
                <w:szCs w:val="22"/>
                <w:color w:val="auto"/>
              </w:rPr>
            </w:pPr>
          </w:p>
        </w:tc>
        <w:tc>
          <w:tcPr>
            <w:tcW w:w="1160" w:type="dxa"/>
            <w:vAlign w:val="bottom"/>
            <w:gridSpan w:val="4"/>
          </w:tcPr>
          <w:p>
            <w:pPr>
              <w:spacing w:after="0"/>
              <w:rPr>
                <w:sz w:val="20"/>
                <w:szCs w:val="20"/>
                <w:color w:val="auto"/>
              </w:rPr>
            </w:pPr>
            <w:r>
              <w:rPr>
                <w:rFonts w:ascii="Arial" w:cs="Arial" w:eastAsia="Arial" w:hAnsi="Arial"/>
                <w:sz w:val="20"/>
                <w:szCs w:val="20"/>
                <w:color w:val="auto"/>
              </w:rPr>
              <w:t>Delaware</w:t>
            </w:r>
          </w:p>
        </w:tc>
        <w:tc>
          <w:tcPr>
            <w:tcW w:w="1220" w:type="dxa"/>
            <w:vAlign w:val="bottom"/>
          </w:tcPr>
          <w:p>
            <w:pPr>
              <w:spacing w:after="0"/>
              <w:rPr>
                <w:sz w:val="22"/>
                <w:szCs w:val="22"/>
                <w:color w:val="auto"/>
              </w:rPr>
            </w:pPr>
          </w:p>
        </w:tc>
      </w:tr>
      <w:tr>
        <w:trPr>
          <w:trHeight w:val="256"/>
        </w:trPr>
        <w:tc>
          <w:tcPr>
            <w:tcW w:w="2340" w:type="dxa"/>
            <w:vAlign w:val="bottom"/>
            <w:gridSpan w:val="3"/>
          </w:tcPr>
          <w:p>
            <w:pPr>
              <w:spacing w:after="0"/>
              <w:rPr>
                <w:sz w:val="20"/>
                <w:szCs w:val="20"/>
                <w:color w:val="auto"/>
              </w:rPr>
            </w:pPr>
            <w:r>
              <w:rPr>
                <w:rFonts w:ascii="Arial" w:cs="Arial" w:eastAsia="Arial" w:hAnsi="Arial"/>
                <w:sz w:val="20"/>
                <w:szCs w:val="20"/>
                <w:color w:val="auto"/>
                <w:w w:val="98"/>
              </w:rPr>
              <w:t>Viking Wind Partners, LLC</w:t>
            </w:r>
          </w:p>
        </w:tc>
        <w:tc>
          <w:tcPr>
            <w:tcW w:w="1340" w:type="dxa"/>
            <w:vAlign w:val="bottom"/>
            <w:gridSpan w:val="5"/>
          </w:tcPr>
          <w:p>
            <w:pPr>
              <w:ind w:left="100"/>
              <w:spacing w:after="0"/>
              <w:rPr>
                <w:sz w:val="20"/>
                <w:szCs w:val="20"/>
                <w:color w:val="auto"/>
              </w:rPr>
            </w:pPr>
            <w:r>
              <w:rPr>
                <w:rFonts w:ascii="Arial" w:cs="Arial" w:eastAsia="Arial" w:hAnsi="Arial"/>
                <w:sz w:val="20"/>
                <w:szCs w:val="20"/>
                <w:color w:val="auto"/>
              </w:rPr>
              <w:t>Minnesota</w:t>
            </w:r>
          </w:p>
        </w:tc>
        <w:tc>
          <w:tcPr>
            <w:tcW w:w="12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9" w:lineRule="exact"/>
        <w:rPr>
          <w:sz w:val="20"/>
          <w:szCs w:val="20"/>
          <w:color w:val="auto"/>
        </w:rPr>
      </w:pPr>
    </w:p>
    <w:p>
      <w:pPr>
        <w:jc w:val="both"/>
        <w:ind w:firstLine="8"/>
        <w:spacing w:after="0" w:line="234" w:lineRule="auto"/>
        <w:tabs>
          <w:tab w:leader="none" w:pos="306" w:val="left"/>
        </w:tabs>
        <w:numPr>
          <w:ilvl w:val="0"/>
          <w:numId w:val="119"/>
        </w:numPr>
        <w:rPr>
          <w:rFonts w:ascii="Arial" w:cs="Arial" w:eastAsia="Arial" w:hAnsi="Arial"/>
          <w:sz w:val="23"/>
          <w:szCs w:val="23"/>
          <w:color w:val="auto"/>
          <w:vertAlign w:val="superscript"/>
        </w:rPr>
      </w:pPr>
      <w:r>
        <w:rPr>
          <w:rFonts w:ascii="Arial" w:cs="Arial" w:eastAsia="Arial" w:hAnsi="Arial"/>
          <w:sz w:val="18"/>
          <w:szCs w:val="18"/>
          <w:color w:val="auto"/>
        </w:rPr>
        <w:t>An ALLETE Clean Energy, Inc. subsidiary, ACE GAWW Class B LLC, owns the Class B membership interests in Great American West Wind, LLC; the Class A membership interests are owned by a third party tax equity investor, JPM Capital Corporation. Great American West Wind, LLC is the parent entity of South Peak Wind, LLC and Glen Ullin Energy Center, LLC.</w:t>
      </w:r>
    </w:p>
    <w:p>
      <w:pPr>
        <w:sectPr>
          <w:pgSz w:w="11900" w:h="16838" w:orient="portrait"/>
          <w:cols w:equalWidth="0" w:num="1">
            <w:col w:w="11240"/>
          </w:cols>
          <w:pgMar w:left="320" w:top="622" w:right="339" w:bottom="1440" w:gutter="0" w:footer="0" w:header="0"/>
        </w:sectPr>
      </w:pPr>
    </w:p>
    <w:p>
      <w:pPr>
        <w:spacing w:after="0" w:line="276"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{00423270.DOC; 10}</w:t>
      </w:r>
      <w:r>
        <w:rPr>
          <w:sz w:val="20"/>
          <w:szCs w:val="20"/>
          <w:color w:val="auto"/>
        </w:rPr>
        <w:tab/>
      </w:r>
      <w:r>
        <w:rPr>
          <w:rFonts w:ascii="Arial" w:cs="Arial" w:eastAsia="Arial" w:hAnsi="Arial"/>
          <w:sz w:val="19"/>
          <w:szCs w:val="19"/>
          <w:color w:val="auto"/>
        </w:rPr>
        <w:t>- 11 -</w:t>
      </w:r>
    </w:p>
    <w:p>
      <w:pPr>
        <w:sectPr>
          <w:pgSz w:w="11900" w:h="16838" w:orient="portrait"/>
          <w:cols w:equalWidth="0" w:num="1">
            <w:col w:w="11240"/>
          </w:cols>
          <w:pgMar w:left="320" w:top="622" w:right="339" w:bottom="1440" w:gutter="0" w:footer="0" w:header="0"/>
          <w:type w:val="continuous"/>
        </w:sectPr>
      </w:pPr>
    </w:p>
    <w:bookmarkStart w:id="121" w:name="page122"/>
    <w:bookmarkEnd w:id="121"/>
    <w:p>
      <w:pPr>
        <w:spacing w:after="0"/>
        <w:tabs>
          <w:tab w:leader="none" w:pos="2200" w:val="left"/>
        </w:tabs>
        <w:rPr>
          <w:sz w:val="20"/>
          <w:szCs w:val="20"/>
          <w:color w:val="auto"/>
        </w:rPr>
      </w:pPr>
      <w:r>
        <w:rPr>
          <w:rFonts w:ascii="Arial" w:cs="Arial" w:eastAsia="Arial" w:hAnsi="Arial"/>
          <w:sz w:val="20"/>
          <w:szCs w:val="20"/>
          <w:color w:val="auto"/>
        </w:rPr>
        <w:t>Viking Wind Farm, LLC</w:t>
      </w:r>
      <w:r>
        <w:rPr>
          <w:sz w:val="20"/>
          <w:szCs w:val="20"/>
          <w:color w:val="auto"/>
        </w:rPr>
        <w:tab/>
      </w:r>
      <w:r>
        <w:rPr>
          <w:rFonts w:ascii="Arial" w:cs="Arial" w:eastAsia="Arial" w:hAnsi="Arial"/>
          <w:sz w:val="16"/>
          <w:szCs w:val="16"/>
          <w:color w:val="auto"/>
        </w:rPr>
        <w:t>Minnesota</w:t>
      </w:r>
    </w:p>
    <w:p>
      <w:pPr>
        <w:spacing w:after="0" w:line="27" w:lineRule="exact"/>
        <w:rPr>
          <w:sz w:val="20"/>
          <w:szCs w:val="20"/>
          <w:color w:val="auto"/>
        </w:rPr>
      </w:pPr>
    </w:p>
    <w:p>
      <w:pPr>
        <w:spacing w:after="0"/>
        <w:tabs>
          <w:tab w:leader="none" w:pos="2200" w:val="left"/>
        </w:tabs>
        <w:rPr>
          <w:sz w:val="20"/>
          <w:szCs w:val="20"/>
          <w:color w:val="auto"/>
        </w:rPr>
      </w:pPr>
      <w:r>
        <w:rPr>
          <w:rFonts w:ascii="Arial" w:cs="Arial" w:eastAsia="Arial" w:hAnsi="Arial"/>
          <w:sz w:val="20"/>
          <w:szCs w:val="20"/>
          <w:color w:val="auto"/>
        </w:rPr>
        <w:t>Wally’s Wind Farm, LLC</w:t>
      </w:r>
      <w:r>
        <w:rPr>
          <w:sz w:val="20"/>
          <w:szCs w:val="20"/>
          <w:color w:val="auto"/>
        </w:rPr>
        <w:tab/>
      </w:r>
      <w:r>
        <w:rPr>
          <w:rFonts w:ascii="Arial" w:cs="Arial" w:eastAsia="Arial" w:hAnsi="Arial"/>
          <w:sz w:val="18"/>
          <w:szCs w:val="18"/>
          <w:color w:val="auto"/>
        </w:rPr>
        <w:t>Minnesota</w:t>
      </w:r>
    </w:p>
    <w:p>
      <w:pPr>
        <w:spacing w:after="0" w:line="27" w:lineRule="exact"/>
        <w:rPr>
          <w:sz w:val="20"/>
          <w:szCs w:val="20"/>
          <w:color w:val="auto"/>
        </w:rPr>
      </w:pPr>
    </w:p>
    <w:p>
      <w:pPr>
        <w:spacing w:after="0"/>
        <w:tabs>
          <w:tab w:leader="none" w:pos="2680" w:val="left"/>
        </w:tabs>
        <w:rPr>
          <w:sz w:val="20"/>
          <w:szCs w:val="20"/>
          <w:color w:val="auto"/>
        </w:rPr>
      </w:pPr>
      <w:r>
        <w:rPr>
          <w:rFonts w:ascii="Arial" w:cs="Arial" w:eastAsia="Arial" w:hAnsi="Arial"/>
          <w:sz w:val="20"/>
          <w:szCs w:val="20"/>
          <w:color w:val="auto"/>
        </w:rPr>
        <w:t>Wilson-West Wind Farm, LLC</w:t>
      </w:r>
      <w:r>
        <w:rPr>
          <w:sz w:val="20"/>
          <w:szCs w:val="20"/>
          <w:color w:val="auto"/>
        </w:rPr>
        <w:tab/>
      </w:r>
      <w:r>
        <w:rPr>
          <w:rFonts w:ascii="Arial" w:cs="Arial" w:eastAsia="Arial" w:hAnsi="Arial"/>
          <w:sz w:val="18"/>
          <w:szCs w:val="18"/>
          <w:color w:val="auto"/>
        </w:rPr>
        <w:t>Minnesota</w:t>
      </w:r>
    </w:p>
    <w:p>
      <w:pPr>
        <w:spacing w:after="0" w:line="27" w:lineRule="exact"/>
        <w:rPr>
          <w:sz w:val="20"/>
          <w:szCs w:val="20"/>
          <w:color w:val="auto"/>
        </w:rPr>
      </w:pPr>
    </w:p>
    <w:p>
      <w:pPr>
        <w:spacing w:after="0"/>
        <w:tabs>
          <w:tab w:leader="none" w:pos="1840" w:val="left"/>
        </w:tabs>
        <w:rPr>
          <w:sz w:val="20"/>
          <w:szCs w:val="20"/>
          <w:color w:val="auto"/>
        </w:rPr>
      </w:pPr>
      <w:r>
        <w:rPr>
          <w:rFonts w:ascii="Arial" w:cs="Arial" w:eastAsia="Arial" w:hAnsi="Arial"/>
          <w:sz w:val="20"/>
          <w:szCs w:val="20"/>
          <w:color w:val="auto"/>
        </w:rPr>
        <w:t>Windy Dog – I, LLC</w:t>
      </w:r>
      <w:r>
        <w:rPr>
          <w:sz w:val="20"/>
          <w:szCs w:val="20"/>
          <w:color w:val="auto"/>
        </w:rPr>
        <w:tab/>
      </w:r>
      <w:r>
        <w:rPr>
          <w:rFonts w:ascii="Arial" w:cs="Arial" w:eastAsia="Arial" w:hAnsi="Arial"/>
          <w:sz w:val="18"/>
          <w:szCs w:val="18"/>
          <w:color w:val="auto"/>
        </w:rPr>
        <w:t>Minnesota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5.4(d)</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-12-</w:t>
            </w:r>
          </w:p>
        </w:tc>
      </w:tr>
    </w:tbl>
    <w:p>
      <w:pPr>
        <w:sectPr>
          <w:pgSz w:w="11900" w:h="16838" w:orient="portrait"/>
          <w:cols w:equalWidth="0" w:num="1">
            <w:col w:w="10139"/>
          </w:cols>
          <w:pgMar w:left="320" w:top="622" w:right="1440" w:bottom="1440" w:gutter="0" w:footer="0" w:header="0"/>
        </w:sectPr>
      </w:pPr>
    </w:p>
    <w:bookmarkStart w:id="122" w:name="page123"/>
    <w:bookmarkEnd w:id="122"/>
    <w:p>
      <w:pPr>
        <w:jc w:val="center"/>
        <w:ind w:right="-1100"/>
        <w:spacing w:after="0"/>
        <w:rPr>
          <w:sz w:val="20"/>
          <w:szCs w:val="20"/>
          <w:color w:val="auto"/>
        </w:rPr>
      </w:pPr>
      <w:r>
        <w:rPr>
          <w:rFonts w:ascii="Arial" w:cs="Arial" w:eastAsia="Arial" w:hAnsi="Arial"/>
          <w:sz w:val="22"/>
          <w:szCs w:val="22"/>
          <w:b w:val="1"/>
          <w:bCs w:val="1"/>
          <w:color w:val="auto"/>
        </w:rPr>
        <w:t>SCHEDULE 5.15</w:t>
      </w:r>
    </w:p>
    <w:p>
      <w:pPr>
        <w:jc w:val="center"/>
        <w:ind w:right="-1100"/>
        <w:spacing w:after="0"/>
        <w:rPr>
          <w:sz w:val="20"/>
          <w:szCs w:val="20"/>
          <w:color w:val="auto"/>
        </w:rPr>
      </w:pPr>
      <w:r>
        <w:rPr>
          <w:rFonts w:ascii="Arial" w:cs="Arial" w:eastAsia="Arial" w:hAnsi="Arial"/>
          <w:sz w:val="22"/>
          <w:szCs w:val="22"/>
          <w:b w:val="1"/>
          <w:bCs w:val="1"/>
          <w:color w:val="auto"/>
        </w:rPr>
        <w:t>Existing Indebtedness</w:t>
      </w:r>
    </w:p>
    <w:p>
      <w:pPr>
        <w:spacing w:after="0" w:line="187" w:lineRule="exact"/>
        <w:rPr>
          <w:sz w:val="20"/>
          <w:szCs w:val="20"/>
          <w:color w:val="auto"/>
        </w:rPr>
      </w:pPr>
    </w:p>
    <w:p>
      <w:pPr>
        <w:ind w:left="5260"/>
        <w:spacing w:after="0"/>
        <w:rPr>
          <w:sz w:val="20"/>
          <w:szCs w:val="20"/>
          <w:color w:val="auto"/>
        </w:rPr>
      </w:pPr>
      <w:r>
        <w:rPr>
          <w:rFonts w:ascii="Arial" w:cs="Arial" w:eastAsia="Arial" w:hAnsi="Arial"/>
          <w:sz w:val="25"/>
          <w:szCs w:val="25"/>
          <w:b w:val="1"/>
          <w:bCs w:val="1"/>
          <w:u w:val="single" w:color="auto"/>
          <w:color w:val="auto"/>
        </w:rPr>
        <w:t>5.15(a)</w:t>
      </w:r>
    </w:p>
    <w:p>
      <w:pPr>
        <w:spacing w:after="0" w:line="41" w:lineRule="exact"/>
        <w:rPr>
          <w:sz w:val="20"/>
          <w:szCs w:val="20"/>
          <w:color w:val="auto"/>
        </w:rPr>
      </w:pPr>
    </w:p>
    <w:p>
      <w:pPr>
        <w:ind w:left="1660"/>
        <w:spacing w:after="0"/>
        <w:rPr>
          <w:sz w:val="20"/>
          <w:szCs w:val="20"/>
          <w:color w:val="auto"/>
        </w:rPr>
      </w:pPr>
      <w:r>
        <w:rPr>
          <w:rFonts w:ascii="Arial" w:cs="Arial" w:eastAsia="Arial" w:hAnsi="Arial"/>
          <w:sz w:val="25"/>
          <w:szCs w:val="25"/>
          <w:b w:val="1"/>
          <w:bCs w:val="1"/>
          <w:color w:val="auto"/>
        </w:rPr>
        <w:t>ALLETE, Inc.</w:t>
      </w:r>
    </w:p>
    <w:p>
      <w:pPr>
        <w:spacing w:after="0" w:line="35"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Long Term Debt</w:t>
      </w:r>
    </w:p>
    <w:p>
      <w:pPr>
        <w:spacing w:after="0" w:line="17" w:lineRule="exact"/>
        <w:rPr>
          <w:sz w:val="20"/>
          <w:szCs w:val="20"/>
          <w:color w:val="auto"/>
        </w:rPr>
      </w:pPr>
    </w:p>
    <w:tbl>
      <w:tblPr>
        <w:tblLayout w:type="fixed"/>
        <w:tblInd w:w="1660" w:type="dxa"/>
        <w:tblCellMar>
          <w:top w:w="0" w:type="dxa"/>
          <w:left w:w="0" w:type="dxa"/>
          <w:bottom w:w="0" w:type="dxa"/>
          <w:right w:w="0" w:type="dxa"/>
        </w:tblCellMar>
      </w:tblPr>
      <w:tr>
        <w:trPr>
          <w:trHeight w:val="261"/>
        </w:trPr>
        <w:tc>
          <w:tcPr>
            <w:tcW w:w="68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6/30/2020</w:t>
            </w:r>
          </w:p>
        </w:tc>
      </w:tr>
      <w:tr>
        <w:trPr>
          <w:trHeight w:val="219"/>
        </w:trPr>
        <w:tc>
          <w:tcPr>
            <w:tcW w:w="680" w:type="dxa"/>
            <w:vAlign w:val="bottom"/>
          </w:tcPr>
          <w:p>
            <w:pPr>
              <w:spacing w:after="0"/>
              <w:rPr>
                <w:sz w:val="20"/>
                <w:szCs w:val="20"/>
                <w:color w:val="auto"/>
              </w:rPr>
            </w:pPr>
            <w:r>
              <w:rPr>
                <w:rFonts w:ascii="Arial" w:cs="Arial" w:eastAsia="Arial" w:hAnsi="Arial"/>
                <w:sz w:val="18"/>
                <w:szCs w:val="18"/>
                <w:b w:val="1"/>
                <w:bCs w:val="1"/>
                <w:color w:val="auto"/>
                <w:w w:val="98"/>
              </w:rPr>
              <w:t>Millions</w:t>
            </w:r>
          </w:p>
        </w:tc>
        <w:tc>
          <w:tcPr>
            <w:tcW w:w="488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85"/>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First Mortgage Bonds</w:t>
            </w:r>
          </w:p>
        </w:tc>
        <w:tc>
          <w:tcPr>
            <w:tcW w:w="2380" w:type="dxa"/>
            <w:vAlign w:val="bottom"/>
          </w:tcPr>
          <w:p>
            <w:pPr>
              <w:spacing w:after="0"/>
              <w:rPr>
                <w:sz w:val="24"/>
                <w:szCs w:val="24"/>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5.28 % Series due 2020</w:t>
            </w:r>
          </w:p>
        </w:tc>
        <w:tc>
          <w:tcPr>
            <w:tcW w:w="2380" w:type="dxa"/>
            <w:vAlign w:val="bottom"/>
          </w:tcPr>
          <w:p>
            <w:pPr>
              <w:jc w:val="right"/>
              <w:spacing w:after="0"/>
              <w:rPr>
                <w:sz w:val="20"/>
                <w:szCs w:val="20"/>
                <w:color w:val="auto"/>
              </w:rPr>
            </w:pPr>
            <w:r>
              <w:rPr>
                <w:rFonts w:ascii="Arial" w:cs="Arial" w:eastAsia="Arial" w:hAnsi="Arial"/>
                <w:sz w:val="22"/>
                <w:szCs w:val="22"/>
                <w:color w:val="auto"/>
              </w:rPr>
              <w:t>35.0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2.80 % Series due 2020</w:t>
            </w:r>
          </w:p>
        </w:tc>
        <w:tc>
          <w:tcPr>
            <w:tcW w:w="2380" w:type="dxa"/>
            <w:vAlign w:val="bottom"/>
          </w:tcPr>
          <w:p>
            <w:pPr>
              <w:jc w:val="right"/>
              <w:spacing w:after="0"/>
              <w:rPr>
                <w:sz w:val="20"/>
                <w:szCs w:val="20"/>
                <w:color w:val="auto"/>
              </w:rPr>
            </w:pPr>
            <w:r>
              <w:rPr>
                <w:rFonts w:ascii="Arial" w:cs="Arial" w:eastAsia="Arial" w:hAnsi="Arial"/>
                <w:sz w:val="22"/>
                <w:szCs w:val="22"/>
                <w:color w:val="auto"/>
              </w:rPr>
              <w:t>40.0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4.85 % Series due 2021</w:t>
            </w:r>
          </w:p>
        </w:tc>
        <w:tc>
          <w:tcPr>
            <w:tcW w:w="238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3.02 % Series due 2021</w:t>
            </w:r>
          </w:p>
        </w:tc>
        <w:tc>
          <w:tcPr>
            <w:tcW w:w="2380" w:type="dxa"/>
            <w:vAlign w:val="bottom"/>
          </w:tcPr>
          <w:p>
            <w:pPr>
              <w:jc w:val="right"/>
              <w:spacing w:after="0"/>
              <w:rPr>
                <w:sz w:val="20"/>
                <w:szCs w:val="20"/>
                <w:color w:val="auto"/>
              </w:rPr>
            </w:pPr>
            <w:r>
              <w:rPr>
                <w:rFonts w:ascii="Arial" w:cs="Arial" w:eastAsia="Arial" w:hAnsi="Arial"/>
                <w:sz w:val="22"/>
                <w:szCs w:val="22"/>
                <w:color w:val="auto"/>
              </w:rPr>
              <w:t>60.0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3.40 % Series due 2022</w:t>
            </w:r>
          </w:p>
        </w:tc>
        <w:tc>
          <w:tcPr>
            <w:tcW w:w="2380" w:type="dxa"/>
            <w:vAlign w:val="bottom"/>
          </w:tcPr>
          <w:p>
            <w:pPr>
              <w:jc w:val="right"/>
              <w:spacing w:after="0"/>
              <w:rPr>
                <w:sz w:val="20"/>
                <w:szCs w:val="20"/>
                <w:color w:val="auto"/>
              </w:rPr>
            </w:pPr>
            <w:r>
              <w:rPr>
                <w:rFonts w:ascii="Arial" w:cs="Arial" w:eastAsia="Arial" w:hAnsi="Arial"/>
                <w:sz w:val="22"/>
                <w:szCs w:val="22"/>
                <w:color w:val="auto"/>
              </w:rPr>
              <w:t>75.0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6.02 % Series due 2023</w:t>
            </w:r>
          </w:p>
        </w:tc>
        <w:tc>
          <w:tcPr>
            <w:tcW w:w="2380" w:type="dxa"/>
            <w:vAlign w:val="bottom"/>
          </w:tcPr>
          <w:p>
            <w:pPr>
              <w:jc w:val="right"/>
              <w:spacing w:after="0"/>
              <w:rPr>
                <w:sz w:val="20"/>
                <w:szCs w:val="20"/>
                <w:color w:val="auto"/>
              </w:rPr>
            </w:pPr>
            <w:r>
              <w:rPr>
                <w:rFonts w:ascii="Arial" w:cs="Arial" w:eastAsia="Arial" w:hAnsi="Arial"/>
                <w:sz w:val="22"/>
                <w:szCs w:val="22"/>
                <w:color w:val="auto"/>
              </w:rPr>
              <w:t>75.0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3.69 % Series due 2024</w:t>
            </w:r>
          </w:p>
        </w:tc>
        <w:tc>
          <w:tcPr>
            <w:tcW w:w="2380" w:type="dxa"/>
            <w:vAlign w:val="bottom"/>
          </w:tcPr>
          <w:p>
            <w:pPr>
              <w:jc w:val="right"/>
              <w:spacing w:after="0"/>
              <w:rPr>
                <w:sz w:val="20"/>
                <w:szCs w:val="20"/>
                <w:color w:val="auto"/>
              </w:rPr>
            </w:pPr>
            <w:r>
              <w:rPr>
                <w:rFonts w:ascii="Arial" w:cs="Arial" w:eastAsia="Arial" w:hAnsi="Arial"/>
                <w:sz w:val="22"/>
                <w:szCs w:val="22"/>
                <w:color w:val="auto"/>
              </w:rPr>
              <w:t>60.0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5.10 % Series due 2025</w:t>
            </w:r>
          </w:p>
        </w:tc>
        <w:tc>
          <w:tcPr>
            <w:tcW w:w="2380" w:type="dxa"/>
            <w:vAlign w:val="bottom"/>
          </w:tcPr>
          <w:p>
            <w:pPr>
              <w:jc w:val="right"/>
              <w:spacing w:after="0"/>
              <w:rPr>
                <w:sz w:val="20"/>
                <w:szCs w:val="20"/>
                <w:color w:val="auto"/>
              </w:rPr>
            </w:pPr>
            <w:r>
              <w:rPr>
                <w:rFonts w:ascii="Arial" w:cs="Arial" w:eastAsia="Arial" w:hAnsi="Arial"/>
                <w:sz w:val="22"/>
                <w:szCs w:val="22"/>
                <w:color w:val="auto"/>
              </w:rPr>
              <w:t>30.0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4.90 % Series due 2025</w:t>
            </w:r>
          </w:p>
        </w:tc>
        <w:tc>
          <w:tcPr>
            <w:tcW w:w="2380" w:type="dxa"/>
            <w:vAlign w:val="bottom"/>
          </w:tcPr>
          <w:p>
            <w:pPr>
              <w:jc w:val="right"/>
              <w:spacing w:after="0"/>
              <w:rPr>
                <w:sz w:val="20"/>
                <w:szCs w:val="20"/>
                <w:color w:val="auto"/>
              </w:rPr>
            </w:pPr>
            <w:r>
              <w:rPr>
                <w:rFonts w:ascii="Arial" w:cs="Arial" w:eastAsia="Arial" w:hAnsi="Arial"/>
                <w:sz w:val="22"/>
                <w:szCs w:val="22"/>
                <w:color w:val="auto"/>
              </w:rPr>
              <w:t>30.0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3.20%</w:t>
            </w:r>
          </w:p>
        </w:tc>
        <w:tc>
          <w:tcPr>
            <w:tcW w:w="4880" w:type="dxa"/>
            <w:vAlign w:val="bottom"/>
          </w:tcPr>
          <w:p>
            <w:pPr>
              <w:spacing w:after="0"/>
              <w:rPr>
                <w:sz w:val="20"/>
                <w:szCs w:val="20"/>
                <w:color w:val="auto"/>
              </w:rPr>
            </w:pPr>
            <w:r>
              <w:rPr>
                <w:rFonts w:ascii="Arial" w:cs="Arial" w:eastAsia="Arial" w:hAnsi="Arial"/>
                <w:sz w:val="22"/>
                <w:szCs w:val="22"/>
                <w:color w:val="auto"/>
              </w:rPr>
              <w:t>Series due 2026</w:t>
            </w:r>
          </w:p>
        </w:tc>
        <w:tc>
          <w:tcPr>
            <w:tcW w:w="2380" w:type="dxa"/>
            <w:vAlign w:val="bottom"/>
          </w:tcPr>
          <w:p>
            <w:pPr>
              <w:jc w:val="right"/>
              <w:spacing w:after="0"/>
              <w:rPr>
                <w:sz w:val="20"/>
                <w:szCs w:val="20"/>
                <w:color w:val="auto"/>
              </w:rPr>
            </w:pPr>
            <w:r>
              <w:rPr>
                <w:rFonts w:ascii="Arial" w:cs="Arial" w:eastAsia="Arial" w:hAnsi="Arial"/>
                <w:sz w:val="22"/>
                <w:szCs w:val="22"/>
                <w:color w:val="auto"/>
              </w:rPr>
              <w:t>75.0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5.99%</w:t>
            </w:r>
          </w:p>
        </w:tc>
        <w:tc>
          <w:tcPr>
            <w:tcW w:w="4880" w:type="dxa"/>
            <w:vAlign w:val="bottom"/>
          </w:tcPr>
          <w:p>
            <w:pPr>
              <w:spacing w:after="0"/>
              <w:rPr>
                <w:sz w:val="20"/>
                <w:szCs w:val="20"/>
                <w:color w:val="auto"/>
              </w:rPr>
            </w:pPr>
            <w:r>
              <w:rPr>
                <w:rFonts w:ascii="Arial" w:cs="Arial" w:eastAsia="Arial" w:hAnsi="Arial"/>
                <w:sz w:val="22"/>
                <w:szCs w:val="22"/>
                <w:color w:val="auto"/>
              </w:rPr>
              <w:t>Series due 2027</w:t>
            </w:r>
          </w:p>
        </w:tc>
        <w:tc>
          <w:tcPr>
            <w:tcW w:w="2380" w:type="dxa"/>
            <w:vAlign w:val="bottom"/>
          </w:tcPr>
          <w:p>
            <w:pPr>
              <w:jc w:val="right"/>
              <w:spacing w:after="0"/>
              <w:rPr>
                <w:sz w:val="20"/>
                <w:szCs w:val="20"/>
                <w:color w:val="auto"/>
              </w:rPr>
            </w:pPr>
            <w:r>
              <w:rPr>
                <w:rFonts w:ascii="Arial" w:cs="Arial" w:eastAsia="Arial" w:hAnsi="Arial"/>
                <w:sz w:val="22"/>
                <w:szCs w:val="22"/>
                <w:color w:val="auto"/>
              </w:rPr>
              <w:t>60.0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3.30%</w:t>
            </w:r>
          </w:p>
        </w:tc>
        <w:tc>
          <w:tcPr>
            <w:tcW w:w="4880" w:type="dxa"/>
            <w:vAlign w:val="bottom"/>
          </w:tcPr>
          <w:p>
            <w:pPr>
              <w:spacing w:after="0"/>
              <w:rPr>
                <w:sz w:val="20"/>
                <w:szCs w:val="20"/>
                <w:color w:val="auto"/>
              </w:rPr>
            </w:pPr>
            <w:r>
              <w:rPr>
                <w:rFonts w:ascii="Arial" w:cs="Arial" w:eastAsia="Arial" w:hAnsi="Arial"/>
                <w:sz w:val="22"/>
                <w:szCs w:val="22"/>
                <w:color w:val="auto"/>
              </w:rPr>
              <w:t>Series due 2028</w:t>
            </w:r>
          </w:p>
        </w:tc>
        <w:tc>
          <w:tcPr>
            <w:tcW w:w="2380" w:type="dxa"/>
            <w:vAlign w:val="bottom"/>
          </w:tcPr>
          <w:p>
            <w:pPr>
              <w:jc w:val="right"/>
              <w:spacing w:after="0"/>
              <w:rPr>
                <w:sz w:val="20"/>
                <w:szCs w:val="20"/>
                <w:color w:val="auto"/>
              </w:rPr>
            </w:pPr>
            <w:r>
              <w:rPr>
                <w:rFonts w:ascii="Arial" w:cs="Arial" w:eastAsia="Arial" w:hAnsi="Arial"/>
                <w:sz w:val="22"/>
                <w:szCs w:val="22"/>
                <w:color w:val="auto"/>
              </w:rPr>
              <w:t>40.0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4.08%</w:t>
            </w:r>
          </w:p>
        </w:tc>
        <w:tc>
          <w:tcPr>
            <w:tcW w:w="4880" w:type="dxa"/>
            <w:vAlign w:val="bottom"/>
          </w:tcPr>
          <w:p>
            <w:pPr>
              <w:spacing w:after="0"/>
              <w:rPr>
                <w:sz w:val="20"/>
                <w:szCs w:val="20"/>
                <w:color w:val="auto"/>
              </w:rPr>
            </w:pPr>
            <w:r>
              <w:rPr>
                <w:rFonts w:ascii="Arial" w:cs="Arial" w:eastAsia="Arial" w:hAnsi="Arial"/>
                <w:sz w:val="22"/>
                <w:szCs w:val="22"/>
                <w:color w:val="auto"/>
              </w:rPr>
              <w:t>Series due 2029</w:t>
            </w:r>
          </w:p>
        </w:tc>
        <w:tc>
          <w:tcPr>
            <w:tcW w:w="2380" w:type="dxa"/>
            <w:vAlign w:val="bottom"/>
          </w:tcPr>
          <w:p>
            <w:pPr>
              <w:jc w:val="right"/>
              <w:spacing w:after="0"/>
              <w:rPr>
                <w:sz w:val="20"/>
                <w:szCs w:val="20"/>
                <w:color w:val="auto"/>
              </w:rPr>
            </w:pPr>
            <w:r>
              <w:rPr>
                <w:rFonts w:ascii="Arial" w:cs="Arial" w:eastAsia="Arial" w:hAnsi="Arial"/>
                <w:sz w:val="22"/>
                <w:szCs w:val="22"/>
                <w:color w:val="auto"/>
              </w:rPr>
              <w:t>70.0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3.74%</w:t>
            </w:r>
          </w:p>
        </w:tc>
        <w:tc>
          <w:tcPr>
            <w:tcW w:w="4880" w:type="dxa"/>
            <w:vAlign w:val="bottom"/>
          </w:tcPr>
          <w:p>
            <w:pPr>
              <w:spacing w:after="0"/>
              <w:rPr>
                <w:sz w:val="20"/>
                <w:szCs w:val="20"/>
                <w:color w:val="auto"/>
              </w:rPr>
            </w:pPr>
            <w:r>
              <w:rPr>
                <w:rFonts w:ascii="Arial" w:cs="Arial" w:eastAsia="Arial" w:hAnsi="Arial"/>
                <w:sz w:val="22"/>
                <w:szCs w:val="22"/>
                <w:color w:val="auto"/>
              </w:rPr>
              <w:t>Series due 2029</w:t>
            </w:r>
          </w:p>
        </w:tc>
        <w:tc>
          <w:tcPr>
            <w:tcW w:w="2380" w:type="dxa"/>
            <w:vAlign w:val="bottom"/>
          </w:tcPr>
          <w:p>
            <w:pPr>
              <w:jc w:val="right"/>
              <w:spacing w:after="0"/>
              <w:rPr>
                <w:sz w:val="20"/>
                <w:szCs w:val="20"/>
                <w:color w:val="auto"/>
              </w:rPr>
            </w:pPr>
            <w:r>
              <w:rPr>
                <w:rFonts w:ascii="Arial" w:cs="Arial" w:eastAsia="Arial" w:hAnsi="Arial"/>
                <w:sz w:val="22"/>
                <w:szCs w:val="22"/>
                <w:color w:val="auto"/>
              </w:rPr>
              <w:t>50.0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3.86%</w:t>
            </w:r>
          </w:p>
        </w:tc>
        <w:tc>
          <w:tcPr>
            <w:tcW w:w="4880" w:type="dxa"/>
            <w:vAlign w:val="bottom"/>
          </w:tcPr>
          <w:p>
            <w:pPr>
              <w:spacing w:after="0"/>
              <w:rPr>
                <w:sz w:val="20"/>
                <w:szCs w:val="20"/>
                <w:color w:val="auto"/>
              </w:rPr>
            </w:pPr>
            <w:r>
              <w:rPr>
                <w:rFonts w:ascii="Arial" w:cs="Arial" w:eastAsia="Arial" w:hAnsi="Arial"/>
                <w:sz w:val="22"/>
                <w:szCs w:val="22"/>
                <w:color w:val="auto"/>
              </w:rPr>
              <w:t>Series due 2030</w:t>
            </w:r>
          </w:p>
        </w:tc>
        <w:tc>
          <w:tcPr>
            <w:tcW w:w="2380" w:type="dxa"/>
            <w:vAlign w:val="bottom"/>
          </w:tcPr>
          <w:p>
            <w:pPr>
              <w:jc w:val="right"/>
              <w:spacing w:after="0"/>
              <w:rPr>
                <w:sz w:val="20"/>
                <w:szCs w:val="20"/>
                <w:color w:val="auto"/>
              </w:rPr>
            </w:pPr>
            <w:r>
              <w:rPr>
                <w:rFonts w:ascii="Arial" w:cs="Arial" w:eastAsia="Arial" w:hAnsi="Arial"/>
                <w:sz w:val="22"/>
                <w:szCs w:val="22"/>
                <w:color w:val="auto"/>
              </w:rPr>
              <w:t>60.0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5.69%</w:t>
            </w:r>
          </w:p>
        </w:tc>
        <w:tc>
          <w:tcPr>
            <w:tcW w:w="4880" w:type="dxa"/>
            <w:vAlign w:val="bottom"/>
          </w:tcPr>
          <w:p>
            <w:pPr>
              <w:spacing w:after="0"/>
              <w:rPr>
                <w:sz w:val="20"/>
                <w:szCs w:val="20"/>
                <w:color w:val="auto"/>
              </w:rPr>
            </w:pPr>
            <w:r>
              <w:rPr>
                <w:rFonts w:ascii="Arial" w:cs="Arial" w:eastAsia="Arial" w:hAnsi="Arial"/>
                <w:sz w:val="22"/>
                <w:szCs w:val="22"/>
                <w:color w:val="auto"/>
              </w:rPr>
              <w:t>Series due 2036</w:t>
            </w:r>
          </w:p>
        </w:tc>
        <w:tc>
          <w:tcPr>
            <w:tcW w:w="2380" w:type="dxa"/>
            <w:vAlign w:val="bottom"/>
          </w:tcPr>
          <w:p>
            <w:pPr>
              <w:jc w:val="right"/>
              <w:spacing w:after="0"/>
              <w:rPr>
                <w:sz w:val="20"/>
                <w:szCs w:val="20"/>
                <w:color w:val="auto"/>
              </w:rPr>
            </w:pPr>
            <w:r>
              <w:rPr>
                <w:rFonts w:ascii="Arial" w:cs="Arial" w:eastAsia="Arial" w:hAnsi="Arial"/>
                <w:sz w:val="22"/>
                <w:szCs w:val="22"/>
                <w:color w:val="auto"/>
              </w:rPr>
              <w:t>50.0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6.00%</w:t>
            </w:r>
          </w:p>
        </w:tc>
        <w:tc>
          <w:tcPr>
            <w:tcW w:w="4880" w:type="dxa"/>
            <w:vAlign w:val="bottom"/>
          </w:tcPr>
          <w:p>
            <w:pPr>
              <w:spacing w:after="0"/>
              <w:rPr>
                <w:sz w:val="20"/>
                <w:szCs w:val="20"/>
                <w:color w:val="auto"/>
              </w:rPr>
            </w:pPr>
            <w:r>
              <w:rPr>
                <w:rFonts w:ascii="Arial" w:cs="Arial" w:eastAsia="Arial" w:hAnsi="Arial"/>
                <w:sz w:val="22"/>
                <w:szCs w:val="22"/>
                <w:color w:val="auto"/>
              </w:rPr>
              <w:t>Series due 2040</w:t>
            </w:r>
          </w:p>
        </w:tc>
        <w:tc>
          <w:tcPr>
            <w:tcW w:w="2380" w:type="dxa"/>
            <w:vAlign w:val="bottom"/>
          </w:tcPr>
          <w:p>
            <w:pPr>
              <w:jc w:val="right"/>
              <w:spacing w:after="0"/>
              <w:rPr>
                <w:sz w:val="20"/>
                <w:szCs w:val="20"/>
                <w:color w:val="auto"/>
              </w:rPr>
            </w:pPr>
            <w:r>
              <w:rPr>
                <w:rFonts w:ascii="Arial" w:cs="Arial" w:eastAsia="Arial" w:hAnsi="Arial"/>
                <w:sz w:val="22"/>
                <w:szCs w:val="22"/>
                <w:color w:val="auto"/>
              </w:rPr>
              <w:t>35.0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5.82%</w:t>
            </w:r>
          </w:p>
        </w:tc>
        <w:tc>
          <w:tcPr>
            <w:tcW w:w="4880" w:type="dxa"/>
            <w:vAlign w:val="bottom"/>
          </w:tcPr>
          <w:p>
            <w:pPr>
              <w:spacing w:after="0"/>
              <w:rPr>
                <w:sz w:val="20"/>
                <w:szCs w:val="20"/>
                <w:color w:val="auto"/>
              </w:rPr>
            </w:pPr>
            <w:r>
              <w:rPr>
                <w:rFonts w:ascii="Arial" w:cs="Arial" w:eastAsia="Arial" w:hAnsi="Arial"/>
                <w:sz w:val="22"/>
                <w:szCs w:val="22"/>
                <w:color w:val="auto"/>
              </w:rPr>
              <w:t>Series due 2040</w:t>
            </w:r>
          </w:p>
        </w:tc>
        <w:tc>
          <w:tcPr>
            <w:tcW w:w="2380" w:type="dxa"/>
            <w:vAlign w:val="bottom"/>
          </w:tcPr>
          <w:p>
            <w:pPr>
              <w:jc w:val="right"/>
              <w:spacing w:after="0"/>
              <w:rPr>
                <w:sz w:val="20"/>
                <w:szCs w:val="20"/>
                <w:color w:val="auto"/>
              </w:rPr>
            </w:pPr>
            <w:r>
              <w:rPr>
                <w:rFonts w:ascii="Arial" w:cs="Arial" w:eastAsia="Arial" w:hAnsi="Arial"/>
                <w:sz w:val="22"/>
                <w:szCs w:val="22"/>
                <w:color w:val="auto"/>
              </w:rPr>
              <w:t>45.0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4.08%</w:t>
            </w:r>
          </w:p>
        </w:tc>
        <w:tc>
          <w:tcPr>
            <w:tcW w:w="4880" w:type="dxa"/>
            <w:vAlign w:val="bottom"/>
          </w:tcPr>
          <w:p>
            <w:pPr>
              <w:spacing w:after="0"/>
              <w:rPr>
                <w:sz w:val="20"/>
                <w:szCs w:val="20"/>
                <w:color w:val="auto"/>
              </w:rPr>
            </w:pPr>
            <w:r>
              <w:rPr>
                <w:rFonts w:ascii="Arial" w:cs="Arial" w:eastAsia="Arial" w:hAnsi="Arial"/>
                <w:sz w:val="22"/>
                <w:szCs w:val="22"/>
                <w:color w:val="auto"/>
              </w:rPr>
              <w:t>Series due 2042</w:t>
            </w:r>
          </w:p>
        </w:tc>
        <w:tc>
          <w:tcPr>
            <w:tcW w:w="2380" w:type="dxa"/>
            <w:vAlign w:val="bottom"/>
          </w:tcPr>
          <w:p>
            <w:pPr>
              <w:jc w:val="right"/>
              <w:spacing w:after="0"/>
              <w:rPr>
                <w:sz w:val="20"/>
                <w:szCs w:val="20"/>
                <w:color w:val="auto"/>
              </w:rPr>
            </w:pPr>
            <w:r>
              <w:rPr>
                <w:rFonts w:ascii="Arial" w:cs="Arial" w:eastAsia="Arial" w:hAnsi="Arial"/>
                <w:sz w:val="22"/>
                <w:szCs w:val="22"/>
                <w:color w:val="auto"/>
              </w:rPr>
              <w:t>85.0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4.21%</w:t>
            </w:r>
          </w:p>
        </w:tc>
        <w:tc>
          <w:tcPr>
            <w:tcW w:w="4880" w:type="dxa"/>
            <w:vAlign w:val="bottom"/>
          </w:tcPr>
          <w:p>
            <w:pPr>
              <w:spacing w:after="0"/>
              <w:rPr>
                <w:sz w:val="20"/>
                <w:szCs w:val="20"/>
                <w:color w:val="auto"/>
              </w:rPr>
            </w:pPr>
            <w:r>
              <w:rPr>
                <w:rFonts w:ascii="Arial" w:cs="Arial" w:eastAsia="Arial" w:hAnsi="Arial"/>
                <w:sz w:val="22"/>
                <w:szCs w:val="22"/>
                <w:color w:val="auto"/>
              </w:rPr>
              <w:t>Series due 2043</w:t>
            </w:r>
          </w:p>
        </w:tc>
        <w:tc>
          <w:tcPr>
            <w:tcW w:w="2380" w:type="dxa"/>
            <w:vAlign w:val="bottom"/>
          </w:tcPr>
          <w:p>
            <w:pPr>
              <w:jc w:val="right"/>
              <w:spacing w:after="0"/>
              <w:rPr>
                <w:sz w:val="20"/>
                <w:szCs w:val="20"/>
                <w:color w:val="auto"/>
              </w:rPr>
            </w:pPr>
            <w:r>
              <w:rPr>
                <w:rFonts w:ascii="Arial" w:cs="Arial" w:eastAsia="Arial" w:hAnsi="Arial"/>
                <w:sz w:val="22"/>
                <w:szCs w:val="22"/>
                <w:color w:val="auto"/>
              </w:rPr>
              <w:t>60.0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4.95%</w:t>
            </w:r>
          </w:p>
        </w:tc>
        <w:tc>
          <w:tcPr>
            <w:tcW w:w="4880" w:type="dxa"/>
            <w:vAlign w:val="bottom"/>
          </w:tcPr>
          <w:p>
            <w:pPr>
              <w:spacing w:after="0"/>
              <w:rPr>
                <w:sz w:val="20"/>
                <w:szCs w:val="20"/>
                <w:color w:val="auto"/>
              </w:rPr>
            </w:pPr>
            <w:r>
              <w:rPr>
                <w:rFonts w:ascii="Arial" w:cs="Arial" w:eastAsia="Arial" w:hAnsi="Arial"/>
                <w:sz w:val="22"/>
                <w:szCs w:val="22"/>
                <w:color w:val="auto"/>
              </w:rPr>
              <w:t>Series due 2044</w:t>
            </w:r>
          </w:p>
        </w:tc>
        <w:tc>
          <w:tcPr>
            <w:tcW w:w="2380" w:type="dxa"/>
            <w:vAlign w:val="bottom"/>
          </w:tcPr>
          <w:p>
            <w:pPr>
              <w:jc w:val="right"/>
              <w:spacing w:after="0"/>
              <w:rPr>
                <w:sz w:val="20"/>
                <w:szCs w:val="20"/>
                <w:color w:val="auto"/>
              </w:rPr>
            </w:pPr>
            <w:r>
              <w:rPr>
                <w:rFonts w:ascii="Arial" w:cs="Arial" w:eastAsia="Arial" w:hAnsi="Arial"/>
                <w:sz w:val="22"/>
                <w:szCs w:val="22"/>
                <w:color w:val="auto"/>
              </w:rPr>
              <w:t>40.0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5.05%</w:t>
            </w:r>
          </w:p>
        </w:tc>
        <w:tc>
          <w:tcPr>
            <w:tcW w:w="4880" w:type="dxa"/>
            <w:vAlign w:val="bottom"/>
          </w:tcPr>
          <w:p>
            <w:pPr>
              <w:spacing w:after="0"/>
              <w:rPr>
                <w:sz w:val="20"/>
                <w:szCs w:val="20"/>
                <w:color w:val="auto"/>
              </w:rPr>
            </w:pPr>
            <w:r>
              <w:rPr>
                <w:rFonts w:ascii="Arial" w:cs="Arial" w:eastAsia="Arial" w:hAnsi="Arial"/>
                <w:sz w:val="22"/>
                <w:szCs w:val="22"/>
                <w:color w:val="auto"/>
              </w:rPr>
              <w:t>Series due 2044</w:t>
            </w:r>
          </w:p>
        </w:tc>
        <w:tc>
          <w:tcPr>
            <w:tcW w:w="2380" w:type="dxa"/>
            <w:vAlign w:val="bottom"/>
          </w:tcPr>
          <w:p>
            <w:pPr>
              <w:jc w:val="right"/>
              <w:spacing w:after="0"/>
              <w:rPr>
                <w:sz w:val="20"/>
                <w:szCs w:val="20"/>
                <w:color w:val="auto"/>
              </w:rPr>
            </w:pPr>
            <w:r>
              <w:rPr>
                <w:rFonts w:ascii="Arial" w:cs="Arial" w:eastAsia="Arial" w:hAnsi="Arial"/>
                <w:sz w:val="22"/>
                <w:szCs w:val="22"/>
                <w:color w:val="auto"/>
              </w:rPr>
              <w:t>40.0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4.39%</w:t>
            </w:r>
          </w:p>
        </w:tc>
        <w:tc>
          <w:tcPr>
            <w:tcW w:w="4880" w:type="dxa"/>
            <w:vAlign w:val="bottom"/>
          </w:tcPr>
          <w:p>
            <w:pPr>
              <w:spacing w:after="0"/>
              <w:rPr>
                <w:sz w:val="20"/>
                <w:szCs w:val="20"/>
                <w:color w:val="auto"/>
              </w:rPr>
            </w:pPr>
            <w:r>
              <w:rPr>
                <w:rFonts w:ascii="Arial" w:cs="Arial" w:eastAsia="Arial" w:hAnsi="Arial"/>
                <w:sz w:val="22"/>
                <w:szCs w:val="22"/>
                <w:color w:val="auto"/>
              </w:rPr>
              <w:t>Series due 2044</w:t>
            </w:r>
          </w:p>
        </w:tc>
        <w:tc>
          <w:tcPr>
            <w:tcW w:w="2380" w:type="dxa"/>
            <w:vAlign w:val="bottom"/>
          </w:tcPr>
          <w:p>
            <w:pPr>
              <w:jc w:val="right"/>
              <w:spacing w:after="0"/>
              <w:rPr>
                <w:sz w:val="20"/>
                <w:szCs w:val="20"/>
                <w:color w:val="auto"/>
              </w:rPr>
            </w:pPr>
            <w:r>
              <w:rPr>
                <w:rFonts w:ascii="Arial" w:cs="Arial" w:eastAsia="Arial" w:hAnsi="Arial"/>
                <w:sz w:val="22"/>
                <w:szCs w:val="22"/>
                <w:color w:val="auto"/>
              </w:rPr>
              <w:t>50.0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4.07%</w:t>
            </w:r>
          </w:p>
        </w:tc>
        <w:tc>
          <w:tcPr>
            <w:tcW w:w="4880" w:type="dxa"/>
            <w:vAlign w:val="bottom"/>
          </w:tcPr>
          <w:p>
            <w:pPr>
              <w:spacing w:after="0"/>
              <w:rPr>
                <w:sz w:val="20"/>
                <w:szCs w:val="20"/>
                <w:color w:val="auto"/>
              </w:rPr>
            </w:pPr>
            <w:r>
              <w:rPr>
                <w:rFonts w:ascii="Arial" w:cs="Arial" w:eastAsia="Arial" w:hAnsi="Arial"/>
                <w:sz w:val="22"/>
                <w:szCs w:val="22"/>
                <w:color w:val="auto"/>
              </w:rPr>
              <w:t>Series due 2048</w:t>
            </w:r>
          </w:p>
        </w:tc>
        <w:tc>
          <w:tcPr>
            <w:tcW w:w="2380" w:type="dxa"/>
            <w:vAlign w:val="bottom"/>
          </w:tcPr>
          <w:p>
            <w:pPr>
              <w:jc w:val="right"/>
              <w:spacing w:after="0"/>
              <w:rPr>
                <w:sz w:val="20"/>
                <w:szCs w:val="20"/>
                <w:color w:val="auto"/>
              </w:rPr>
            </w:pPr>
            <w:r>
              <w:rPr>
                <w:rFonts w:ascii="Arial" w:cs="Arial" w:eastAsia="Arial" w:hAnsi="Arial"/>
                <w:sz w:val="22"/>
                <w:szCs w:val="22"/>
                <w:color w:val="auto"/>
              </w:rPr>
              <w:t>60.0</w:t>
            </w: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4.47%</w:t>
            </w:r>
          </w:p>
        </w:tc>
        <w:tc>
          <w:tcPr>
            <w:tcW w:w="4880" w:type="dxa"/>
            <w:vAlign w:val="bottom"/>
          </w:tcPr>
          <w:p>
            <w:pPr>
              <w:spacing w:after="0"/>
              <w:rPr>
                <w:sz w:val="20"/>
                <w:szCs w:val="20"/>
                <w:color w:val="auto"/>
              </w:rPr>
            </w:pPr>
            <w:r>
              <w:rPr>
                <w:rFonts w:ascii="Arial" w:cs="Arial" w:eastAsia="Arial" w:hAnsi="Arial"/>
                <w:sz w:val="22"/>
                <w:szCs w:val="22"/>
                <w:color w:val="auto"/>
              </w:rPr>
              <w:t>Series due 2049</w:t>
            </w:r>
          </w:p>
        </w:tc>
        <w:tc>
          <w:tcPr>
            <w:tcW w:w="2380" w:type="dxa"/>
            <w:vAlign w:val="bottom"/>
          </w:tcPr>
          <w:p>
            <w:pPr>
              <w:jc w:val="right"/>
              <w:spacing w:after="0"/>
              <w:rPr>
                <w:sz w:val="20"/>
                <w:szCs w:val="20"/>
                <w:color w:val="auto"/>
              </w:rPr>
            </w:pPr>
            <w:r>
              <w:rPr>
                <w:rFonts w:ascii="Arial" w:cs="Arial" w:eastAsia="Arial" w:hAnsi="Arial"/>
                <w:sz w:val="22"/>
                <w:szCs w:val="22"/>
                <w:color w:val="auto"/>
              </w:rPr>
              <w:t>30.0</w:t>
            </w:r>
          </w:p>
        </w:tc>
      </w:tr>
      <w:tr>
        <w:trPr>
          <w:trHeight w:val="486"/>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Variable Demand Bonds</w:t>
            </w:r>
          </w:p>
        </w:tc>
        <w:tc>
          <w:tcPr>
            <w:tcW w:w="2380" w:type="dxa"/>
            <w:vAlign w:val="bottom"/>
          </w:tcPr>
          <w:p>
            <w:pPr>
              <w:spacing w:after="0"/>
              <w:rPr>
                <w:sz w:val="24"/>
                <w:szCs w:val="24"/>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Collier County Variable Series due 2025</w:t>
            </w:r>
          </w:p>
        </w:tc>
        <w:tc>
          <w:tcPr>
            <w:tcW w:w="2380" w:type="dxa"/>
            <w:vAlign w:val="bottom"/>
          </w:tcPr>
          <w:p>
            <w:pPr>
              <w:jc w:val="right"/>
              <w:spacing w:after="0"/>
              <w:rPr>
                <w:sz w:val="20"/>
                <w:szCs w:val="20"/>
                <w:color w:val="auto"/>
              </w:rPr>
            </w:pPr>
            <w:r>
              <w:rPr>
                <w:rFonts w:ascii="Arial" w:cs="Arial" w:eastAsia="Arial" w:hAnsi="Arial"/>
                <w:sz w:val="22"/>
                <w:szCs w:val="22"/>
                <w:color w:val="auto"/>
              </w:rPr>
              <w:t>27.8</w:t>
            </w:r>
          </w:p>
        </w:tc>
      </w:tr>
      <w:tr>
        <w:trPr>
          <w:trHeight w:val="486"/>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Other MP Long-Term Debt</w:t>
            </w:r>
          </w:p>
        </w:tc>
        <w:tc>
          <w:tcPr>
            <w:tcW w:w="2380" w:type="dxa"/>
            <w:vAlign w:val="bottom"/>
          </w:tcPr>
          <w:p>
            <w:pPr>
              <w:spacing w:after="0"/>
              <w:rPr>
                <w:sz w:val="24"/>
                <w:szCs w:val="24"/>
                <w:color w:val="auto"/>
              </w:rPr>
            </w:pPr>
          </w:p>
        </w:tc>
      </w:tr>
      <w:tr>
        <w:trPr>
          <w:trHeight w:val="270"/>
        </w:trPr>
        <w:tc>
          <w:tcPr>
            <w:tcW w:w="680" w:type="dxa"/>
            <w:vAlign w:val="bottom"/>
          </w:tcPr>
          <w:p>
            <w:pPr>
              <w:spacing w:after="0"/>
              <w:rPr>
                <w:sz w:val="20"/>
                <w:szCs w:val="20"/>
                <w:color w:val="auto"/>
              </w:rPr>
            </w:pPr>
            <w:r>
              <w:rPr>
                <w:rFonts w:ascii="Arial" w:cs="Arial" w:eastAsia="Arial" w:hAnsi="Arial"/>
                <w:sz w:val="22"/>
                <w:szCs w:val="22"/>
                <w:color w:val="auto"/>
              </w:rPr>
              <w:t>3.11%</w:t>
            </w:r>
          </w:p>
        </w:tc>
        <w:tc>
          <w:tcPr>
            <w:tcW w:w="4880" w:type="dxa"/>
            <w:vAlign w:val="bottom"/>
          </w:tcPr>
          <w:p>
            <w:pPr>
              <w:spacing w:after="0"/>
              <w:rPr>
                <w:sz w:val="20"/>
                <w:szCs w:val="20"/>
                <w:color w:val="auto"/>
              </w:rPr>
            </w:pPr>
            <w:r>
              <w:rPr>
                <w:rFonts w:ascii="Arial" w:cs="Arial" w:eastAsia="Arial" w:hAnsi="Arial"/>
                <w:sz w:val="22"/>
                <w:szCs w:val="22"/>
                <w:color w:val="auto"/>
              </w:rPr>
              <w:t>Series due 2027 - Senior Unsecured</w:t>
            </w:r>
          </w:p>
        </w:tc>
        <w:tc>
          <w:tcPr>
            <w:tcW w:w="2380" w:type="dxa"/>
            <w:vAlign w:val="bottom"/>
          </w:tcPr>
          <w:p>
            <w:pPr>
              <w:jc w:val="right"/>
              <w:spacing w:after="0"/>
              <w:rPr>
                <w:sz w:val="20"/>
                <w:szCs w:val="20"/>
                <w:color w:val="auto"/>
              </w:rPr>
            </w:pPr>
            <w:r>
              <w:rPr>
                <w:rFonts w:ascii="Arial" w:cs="Arial" w:eastAsia="Arial" w:hAnsi="Arial"/>
                <w:sz w:val="22"/>
                <w:szCs w:val="22"/>
                <w:color w:val="auto"/>
              </w:rPr>
              <w:t>80.0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Unsecured Notes Term Loan 1 month</w:t>
            </w:r>
          </w:p>
        </w:tc>
        <w:tc>
          <w:tcPr>
            <w:tcW w:w="2380" w:type="dxa"/>
            <w:vAlign w:val="bottom"/>
          </w:tcPr>
          <w:p>
            <w:pPr>
              <w:jc w:val="right"/>
              <w:spacing w:after="0"/>
              <w:rPr>
                <w:sz w:val="20"/>
                <w:szCs w:val="20"/>
                <w:color w:val="auto"/>
              </w:rPr>
            </w:pPr>
            <w:r>
              <w:rPr>
                <w:rFonts w:ascii="Arial" w:cs="Arial" w:eastAsia="Arial" w:hAnsi="Arial"/>
                <w:sz w:val="22"/>
                <w:szCs w:val="22"/>
                <w:color w:val="auto"/>
              </w:rPr>
              <w:t>110.0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LIBOR+1.025% due 2020</w:t>
            </w:r>
          </w:p>
        </w:tc>
        <w:tc>
          <w:tcPr>
            <w:tcW w:w="2380" w:type="dxa"/>
            <w:vAlign w:val="bottom"/>
          </w:tcPr>
          <w:p>
            <w:pPr>
              <w:spacing w:after="0"/>
              <w:rPr>
                <w:sz w:val="23"/>
                <w:szCs w:val="23"/>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Unsecured Notes Term Loan 1 month</w:t>
            </w:r>
          </w:p>
        </w:tc>
        <w:tc>
          <w:tcPr>
            <w:tcW w:w="2380" w:type="dxa"/>
            <w:vAlign w:val="bottom"/>
          </w:tcPr>
          <w:p>
            <w:pPr>
              <w:jc w:val="right"/>
              <w:spacing w:after="0"/>
              <w:rPr>
                <w:sz w:val="20"/>
                <w:szCs w:val="20"/>
                <w:color w:val="auto"/>
              </w:rPr>
            </w:pPr>
            <w:r>
              <w:rPr>
                <w:rFonts w:ascii="Arial" w:cs="Arial" w:eastAsia="Arial" w:hAnsi="Arial"/>
                <w:sz w:val="22"/>
                <w:szCs w:val="22"/>
                <w:color w:val="auto"/>
              </w:rPr>
              <w:t>200.0</w:t>
            </w: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LIBOR+0.55% due 2021</w:t>
            </w:r>
          </w:p>
        </w:tc>
        <w:tc>
          <w:tcPr>
            <w:tcW w:w="2380" w:type="dxa"/>
            <w:vAlign w:val="bottom"/>
          </w:tcPr>
          <w:p>
            <w:pPr>
              <w:spacing w:after="0"/>
              <w:rPr>
                <w:sz w:val="23"/>
                <w:szCs w:val="23"/>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Unsecured Notes Term Loan 1 month</w:t>
            </w:r>
          </w:p>
        </w:tc>
        <w:tc>
          <w:tcPr>
            <w:tcW w:w="2380" w:type="dxa"/>
            <w:vAlign w:val="bottom"/>
          </w:tcPr>
          <w:p>
            <w:pPr>
              <w:jc w:val="right"/>
              <w:spacing w:after="0"/>
              <w:rPr>
                <w:sz w:val="20"/>
                <w:szCs w:val="20"/>
                <w:color w:val="auto"/>
              </w:rPr>
            </w:pPr>
            <w:r>
              <w:rPr>
                <w:rFonts w:ascii="Arial" w:cs="Arial" w:eastAsia="Arial" w:hAnsi="Arial"/>
                <w:sz w:val="22"/>
                <w:szCs w:val="22"/>
                <w:color w:val="auto"/>
              </w:rPr>
              <w:t>95.0</w:t>
            </w:r>
          </w:p>
        </w:tc>
      </w:tr>
      <w:tr>
        <w:trPr>
          <w:trHeight w:val="227"/>
        </w:trPr>
        <w:tc>
          <w:tcPr>
            <w:tcW w:w="5560" w:type="dxa"/>
            <w:vAlign w:val="bottom"/>
            <w:gridSpan w:val="2"/>
          </w:tcPr>
          <w:p>
            <w:pPr>
              <w:spacing w:after="0" w:line="226" w:lineRule="exact"/>
              <w:rPr>
                <w:sz w:val="20"/>
                <w:szCs w:val="20"/>
                <w:color w:val="auto"/>
              </w:rPr>
            </w:pPr>
            <w:r>
              <w:rPr>
                <w:rFonts w:ascii="Arial" w:cs="Arial" w:eastAsia="Arial" w:hAnsi="Arial"/>
                <w:sz w:val="22"/>
                <w:szCs w:val="22"/>
                <w:color w:val="auto"/>
              </w:rPr>
              <w:t>LIBOR+1.70% due 2021</w:t>
            </w:r>
          </w:p>
        </w:tc>
        <w:tc>
          <w:tcPr>
            <w:tcW w:w="2380" w:type="dxa"/>
            <w:vAlign w:val="bottom"/>
          </w:tcPr>
          <w:p>
            <w:pPr>
              <w:spacing w:after="0"/>
              <w:rPr>
                <w:sz w:val="19"/>
                <w:szCs w:val="19"/>
                <w:color w:val="auto"/>
              </w:rPr>
            </w:pPr>
          </w:p>
        </w:tc>
      </w:tr>
      <w:tr>
        <w:trPr>
          <w:trHeight w:val="259"/>
        </w:trPr>
        <w:tc>
          <w:tcPr>
            <w:tcW w:w="5560" w:type="dxa"/>
            <w:vAlign w:val="bottom"/>
            <w:gridSpan w:val="2"/>
          </w:tcPr>
          <w:p>
            <w:pPr>
              <w:spacing w:after="0"/>
              <w:rPr>
                <w:sz w:val="20"/>
                <w:szCs w:val="20"/>
                <w:color w:val="auto"/>
              </w:rPr>
            </w:pPr>
            <w:r>
              <w:rPr>
                <w:rFonts w:ascii="Arial" w:cs="Arial" w:eastAsia="Arial" w:hAnsi="Arial"/>
                <w:sz w:val="22"/>
                <w:szCs w:val="22"/>
                <w:color w:val="auto"/>
              </w:rPr>
              <w:t>LIBOR Floor of 0.75%</w:t>
            </w:r>
          </w:p>
        </w:tc>
        <w:tc>
          <w:tcPr>
            <w:tcW w:w="2380" w:type="dxa"/>
            <w:vAlign w:val="bottom"/>
          </w:tcPr>
          <w:p>
            <w:pPr>
              <w:spacing w:after="0"/>
              <w:rPr>
                <w:sz w:val="22"/>
                <w:szCs w:val="22"/>
                <w:color w:val="auto"/>
              </w:rPr>
            </w:pPr>
          </w:p>
        </w:tc>
      </w:tr>
      <w:tr>
        <w:trPr>
          <w:trHeight w:val="270"/>
        </w:trPr>
        <w:tc>
          <w:tcPr>
            <w:tcW w:w="5560" w:type="dxa"/>
            <w:vAlign w:val="bottom"/>
            <w:gridSpan w:val="2"/>
          </w:tcPr>
          <w:p>
            <w:pPr>
              <w:spacing w:after="0"/>
              <w:rPr>
                <w:sz w:val="20"/>
                <w:szCs w:val="20"/>
                <w:color w:val="auto"/>
              </w:rPr>
            </w:pPr>
            <w:r>
              <w:rPr>
                <w:rFonts w:ascii="Arial" w:cs="Arial" w:eastAsia="Arial" w:hAnsi="Arial"/>
                <w:sz w:val="22"/>
                <w:szCs w:val="22"/>
                <w:color w:val="auto"/>
              </w:rPr>
              <w:t>Capital Lease</w:t>
            </w:r>
          </w:p>
        </w:tc>
        <w:tc>
          <w:tcPr>
            <w:tcW w:w="238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220"/>
        </w:trPr>
        <w:tc>
          <w:tcPr>
            <w:tcW w:w="5560" w:type="dxa"/>
            <w:vAlign w:val="bottom"/>
            <w:tcBorders>
              <w:bottom w:val="single" w:sz="8" w:color="auto"/>
            </w:tcBorders>
            <w:gridSpan w:val="2"/>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r>
      <w:tr>
        <w:trPr>
          <w:trHeight w:val="260"/>
        </w:trPr>
        <w:tc>
          <w:tcPr>
            <w:tcW w:w="5560" w:type="dxa"/>
            <w:vAlign w:val="bottom"/>
            <w:gridSpan w:val="2"/>
          </w:tcPr>
          <w:p>
            <w:pPr>
              <w:spacing w:after="0"/>
              <w:rPr>
                <w:sz w:val="20"/>
                <w:szCs w:val="20"/>
                <w:color w:val="auto"/>
              </w:rPr>
            </w:pPr>
            <w:r>
              <w:rPr>
                <w:rFonts w:ascii="Arial" w:cs="Arial" w:eastAsia="Arial" w:hAnsi="Arial"/>
                <w:sz w:val="22"/>
                <w:szCs w:val="22"/>
                <w:color w:val="auto"/>
              </w:rPr>
              <w:t>Total Long-Term Debt</w:t>
            </w:r>
          </w:p>
        </w:tc>
        <w:tc>
          <w:tcPr>
            <w:tcW w:w="2380" w:type="dxa"/>
            <w:vAlign w:val="bottom"/>
          </w:tcPr>
          <w:p>
            <w:pPr>
              <w:jc w:val="right"/>
              <w:spacing w:after="0"/>
              <w:rPr>
                <w:sz w:val="20"/>
                <w:szCs w:val="20"/>
                <w:color w:val="auto"/>
              </w:rPr>
            </w:pPr>
            <w:r>
              <w:rPr>
                <w:rFonts w:ascii="Arial" w:cs="Arial" w:eastAsia="Arial" w:hAnsi="Arial"/>
                <w:sz w:val="22"/>
                <w:szCs w:val="22"/>
                <w:color w:val="auto"/>
              </w:rPr>
              <w:t>1,794.4</w:t>
            </w:r>
          </w:p>
        </w:tc>
      </w:tr>
      <w:tr>
        <w:trPr>
          <w:trHeight w:val="272"/>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Less due Within One Year</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496.0</w:t>
            </w:r>
          </w:p>
        </w:tc>
      </w:tr>
      <w:tr>
        <w:trPr>
          <w:trHeight w:val="262"/>
        </w:trPr>
        <w:tc>
          <w:tcPr>
            <w:tcW w:w="5560" w:type="dxa"/>
            <w:vAlign w:val="bottom"/>
            <w:gridSpan w:val="2"/>
          </w:tcPr>
          <w:p>
            <w:pPr>
              <w:spacing w:after="0"/>
              <w:rPr>
                <w:sz w:val="20"/>
                <w:szCs w:val="20"/>
                <w:color w:val="auto"/>
              </w:rPr>
            </w:pPr>
            <w:r>
              <w:rPr>
                <w:rFonts w:ascii="Arial" w:cs="Arial" w:eastAsia="Arial" w:hAnsi="Arial"/>
                <w:sz w:val="22"/>
                <w:szCs w:val="22"/>
                <w:color w:val="auto"/>
              </w:rPr>
              <w:t>Net ALLETE Long-Term Debt</w:t>
            </w:r>
          </w:p>
        </w:tc>
        <w:tc>
          <w:tcPr>
            <w:tcW w:w="2380" w:type="dxa"/>
            <w:vAlign w:val="bottom"/>
          </w:tcPr>
          <w:p>
            <w:pPr>
              <w:jc w:val="right"/>
              <w:spacing w:after="0"/>
              <w:rPr>
                <w:sz w:val="20"/>
                <w:szCs w:val="20"/>
                <w:color w:val="auto"/>
              </w:rPr>
            </w:pPr>
            <w:r>
              <w:rPr>
                <w:rFonts w:ascii="Arial" w:cs="Arial" w:eastAsia="Arial" w:hAnsi="Arial"/>
                <w:sz w:val="22"/>
                <w:szCs w:val="22"/>
                <w:color w:val="auto"/>
              </w:rPr>
              <w:t>1,298.4</w:t>
            </w:r>
          </w:p>
        </w:tc>
      </w:tr>
    </w:tbl>
    <w:p>
      <w:pPr>
        <w:spacing w:after="0" w:line="200" w:lineRule="exact"/>
        <w:rPr>
          <w:sz w:val="20"/>
          <w:szCs w:val="20"/>
          <w:color w:val="auto"/>
        </w:rPr>
      </w:pPr>
    </w:p>
    <w:p>
      <w:pPr>
        <w:sectPr>
          <w:pgSz w:w="11900" w:h="16838" w:orient="portrait"/>
          <w:cols w:equalWidth="0" w:num="1">
            <w:col w:w="10139"/>
          </w:cols>
          <w:pgMar w:left="320" w:top="531" w:right="1440" w:bottom="1440" w:gutter="0" w:footer="0" w:header="0"/>
        </w:sectPr>
      </w:pPr>
    </w:p>
    <w:p>
      <w:pPr>
        <w:spacing w:after="0" w:line="322"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{00423270.DOC; 10}</w:t>
      </w:r>
      <w:r>
        <w:rPr>
          <w:sz w:val="20"/>
          <w:szCs w:val="20"/>
          <w:color w:val="auto"/>
        </w:rPr>
        <w:tab/>
      </w:r>
      <w:r>
        <w:rPr>
          <w:rFonts w:ascii="Arial" w:cs="Arial" w:eastAsia="Arial" w:hAnsi="Arial"/>
          <w:sz w:val="19"/>
          <w:szCs w:val="19"/>
          <w:color w:val="auto"/>
        </w:rPr>
        <w:t>- 13 -</w:t>
      </w:r>
    </w:p>
    <w:p>
      <w:pPr>
        <w:sectPr>
          <w:pgSz w:w="11900" w:h="16838" w:orient="portrait"/>
          <w:cols w:equalWidth="0" w:num="1">
            <w:col w:w="10139"/>
          </w:cols>
          <w:pgMar w:left="320" w:top="531" w:right="1440"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25"/>
          <w:szCs w:val="25"/>
          <w:b w:val="1"/>
          <w:bCs w:val="1"/>
          <w:u w:val="single" w:color="auto"/>
          <w:color w:val="auto"/>
        </w:rPr>
        <w:t>5.15(b)</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5.15(c)</w:t>
      </w:r>
    </w:p>
    <w:p>
      <w:pPr>
        <w:spacing w:after="0" w:line="16"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The Mortgage and Deed of Trust dated September 1, 1945, between the Company and Irving Trust Company (now The Bank of New York Mellon) and Richard H. West (Andres Serrano, successor), as Trustees, as supplemented and amended.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Note Purchase Agreement dated December 8, 2016 among the Company and the Purchasers named therein.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Reimbursement Agreement dated as of November 1, 2011, as thereafter amended, by and among the Company, the participating banks, and JPMorgan Chase Bank, N.A., as Administrative Agent (relating to Adjustable Rate Pollution Control Revenue Refunding Bonds (Minnesota Power, Inc. Project), Series 2000.</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Amended and Restated Letter of Credit Agreement entered into as of June 3, 2011, as thereafter amended, among the Company and Wells Fargo Bank, National Association, as Administrative Agent and Issuing Bank.</w:t>
      </w:r>
    </w:p>
    <w:p>
      <w:pPr>
        <w:spacing w:after="0" w:line="202"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Amended and Restated Credit Agreement dated as of January 10, 2019, as thereafter amended, among the Company and JPMorgan Chase Bank, N.A., as Agent for the Lenders thereunder.</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Term Loan Agreement dated as of January 10, 2020 between the Company and Bank of America, N.A., as Lender.</w:t>
      </w:r>
    </w:p>
    <w:p>
      <w:pPr>
        <w:spacing w:after="0" w:line="245" w:lineRule="exact"/>
        <w:rPr>
          <w:sz w:val="20"/>
          <w:szCs w:val="20"/>
          <w:color w:val="auto"/>
        </w:rPr>
      </w:pPr>
    </w:p>
    <w:p>
      <w:pPr>
        <w:ind w:right="620"/>
        <w:spacing w:after="0" w:line="250" w:lineRule="auto"/>
        <w:rPr>
          <w:sz w:val="20"/>
          <w:szCs w:val="20"/>
          <w:color w:val="auto"/>
        </w:rPr>
      </w:pPr>
      <w:r>
        <w:rPr>
          <w:rFonts w:ascii="Arial" w:cs="Arial" w:eastAsia="Arial" w:hAnsi="Arial"/>
          <w:sz w:val="22"/>
          <w:szCs w:val="22"/>
          <w:color w:val="auto"/>
        </w:rPr>
        <w:t>Term Loan Agreement dated as of April 8, 2020 among the Company, the Lenders party thereto, and U.S. Bank National Association, as Administrative Agent.</w:t>
      </w:r>
    </w:p>
    <w:p>
      <w:pPr>
        <w:spacing w:after="0" w:line="20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Letter of Credit Agreement entered into as of June 11, 2020, among the Company and CoBank, ACB as Administrative Agent and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-14-</w:t>
            </w:r>
          </w:p>
        </w:tc>
      </w:tr>
    </w:tbl>
    <w:p>
      <w:pPr>
        <w:sectPr>
          <w:pgSz w:w="11900" w:h="16838" w:orient="portrait"/>
          <w:cols w:equalWidth="0" w:num="1">
            <w:col w:w="11080"/>
          </w:cols>
          <w:pgMar w:left="320" w:top="603" w:right="4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color w:val="auto"/>
        </w:rPr>
        <w:t>[Form of Note]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ALLETE, Inc.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2.65% Senior Note Due September 10, 2025</w:t>
      </w:r>
    </w:p>
    <w:p>
      <w:pPr>
        <w:spacing w:after="0" w:line="230" w:lineRule="auto"/>
        <w:rPr>
          <w:sz w:val="20"/>
          <w:szCs w:val="20"/>
          <w:color w:val="auto"/>
        </w:rPr>
      </w:pPr>
      <w:r>
        <w:rPr>
          <w:rFonts w:ascii="Arial" w:cs="Arial" w:eastAsia="Arial" w:hAnsi="Arial"/>
          <w:sz w:val="22"/>
          <w:szCs w:val="22"/>
          <w:color w:val="auto"/>
        </w:rPr>
        <w:t>No. R-[___] [_______, 20__]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 PPN 018522 M@8</w:t>
      </w:r>
    </w:p>
    <w:p>
      <w:pPr>
        <w:spacing w:after="0" w:line="20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 xml:space="preserve">For Value Received, the undersigned, Allete, Inc (herein called the </w:t>
      </w:r>
      <w:r>
        <w:rPr>
          <w:rFonts w:ascii="Arial" w:cs="Arial" w:eastAsia="Arial" w:hAnsi="Arial"/>
          <w:sz w:val="19"/>
          <w:szCs w:val="19"/>
          <w:b w:val="1"/>
          <w:bCs w:val="1"/>
          <w:color w:val="auto"/>
        </w:rPr>
        <w:t>“Company”</w:t>
      </w:r>
      <w:r>
        <w:rPr>
          <w:rFonts w:ascii="Arial" w:cs="Arial" w:eastAsia="Arial" w:hAnsi="Arial"/>
          <w:sz w:val="19"/>
          <w:szCs w:val="19"/>
          <w:color w:val="auto"/>
        </w:rPr>
        <w:t>), a corporation organized and existing under the laws of the State of Minnesota, hereby promises to pay to [____________], or registered assigns, the principal sum of</w:t>
      </w:r>
    </w:p>
    <w:p>
      <w:pPr>
        <w:spacing w:after="0"/>
        <w:rPr>
          <w:sz w:val="20"/>
          <w:szCs w:val="20"/>
          <w:color w:val="auto"/>
        </w:rPr>
      </w:pPr>
      <w:r>
        <w:rPr>
          <w:rFonts w:ascii="Arial" w:cs="Arial" w:eastAsia="Arial" w:hAnsi="Arial"/>
          <w:sz w:val="19"/>
          <w:szCs w:val="19"/>
          <w:color w:val="auto"/>
        </w:rPr>
        <w:t>[_____________________] Dollars (or so much thereof as shall not have been prepaid) on September 10, 2025, with interest</w:t>
      </w:r>
    </w:p>
    <w:p>
      <w:pPr>
        <w:spacing w:after="0" w:line="25" w:lineRule="exact"/>
        <w:rPr>
          <w:sz w:val="20"/>
          <w:szCs w:val="20"/>
          <w:color w:val="auto"/>
        </w:rPr>
      </w:pPr>
    </w:p>
    <w:p>
      <w:pPr>
        <w:jc w:val="both"/>
        <w:spacing w:after="0" w:line="243" w:lineRule="exact"/>
        <w:rPr>
          <w:sz w:val="20"/>
          <w:szCs w:val="20"/>
          <w:color w:val="auto"/>
        </w:rPr>
      </w:pPr>
      <w:r>
        <w:rPr>
          <w:rFonts w:ascii="Arial" w:cs="Arial" w:eastAsia="Arial" w:hAnsi="Arial"/>
          <w:sz w:val="21"/>
          <w:szCs w:val="21"/>
          <w:color w:val="auto"/>
        </w:rPr>
        <w:t>(computed on the basis of a 360-day year of twelve 30</w:t>
      </w:r>
      <w:r>
        <w:rPr>
          <w:rFonts w:ascii="MS PGothic" w:cs="MS PGothic" w:eastAsia="MS PGothic" w:hAnsi="MS PGothic"/>
          <w:sz w:val="21"/>
          <w:szCs w:val="21"/>
          <w:color w:val="auto"/>
        </w:rPr>
        <w:t>‑</w:t>
      </w:r>
      <w:r>
        <w:rPr>
          <w:rFonts w:ascii="Arial" w:cs="Arial" w:eastAsia="Arial" w:hAnsi="Arial"/>
          <w:sz w:val="21"/>
          <w:szCs w:val="21"/>
          <w:color w:val="auto"/>
        </w:rPr>
        <w:t>day months) (a) on the unpaid balance hereof at the rate of 2.65% per annum from the date hereof, payable semiannually, on the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March and September in each year, commencing with the March or September next succeeding the date hereof, and on the Maturity Date, until the principal hereof shall have become due and payable, and (b) to the extent permitted by law, on any overdue payment of interest and, during the continuance of an Event of Default, on such unpaid balance and on any overdue payment of any Make</w:t>
      </w:r>
      <w:r>
        <w:rPr>
          <w:rFonts w:ascii="MS PGothic" w:cs="MS PGothic" w:eastAsia="MS PGothic" w:hAnsi="MS PGothic"/>
          <w:sz w:val="21"/>
          <w:szCs w:val="21"/>
          <w:color w:val="auto"/>
        </w:rPr>
        <w:t>‑</w:t>
      </w:r>
      <w:r>
        <w:rPr>
          <w:rFonts w:ascii="Arial" w:cs="Arial" w:eastAsia="Arial" w:hAnsi="Arial"/>
          <w:sz w:val="21"/>
          <w:szCs w:val="21"/>
          <w:color w:val="auto"/>
        </w:rPr>
        <w:t>Whole Amount, at a rate per annum from time to time equal to the greater of (i) 4.65% or (ii) 2.00% over the rate of interest publicly announced by U.S. Bank from time to time in New York, New York as its “base” or “prime” rate, payable semiannually as aforesaid (or, at the option of the registered holder hereof, on demand).</w:t>
      </w:r>
    </w:p>
    <w:p>
      <w:pPr>
        <w:spacing w:after="0" w:line="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1"/>
          <w:szCs w:val="21"/>
          <w:color w:val="auto"/>
        </w:rPr>
        <w:t>Payments of principal of, interest on and any Make-Whole Amount with respect to this Note are to be made in lawful money of the United States of America at U.S. Bank or at such other place as the Company shall have designated by written notice to the holder of this Note as provided in the Note Purchase Agreement referred to below.</w:t>
      </w:r>
    </w:p>
    <w:p>
      <w:pPr>
        <w:spacing w:after="0" w:line="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color w:val="auto"/>
        </w:rPr>
        <w:t xml:space="preserve">This Note is one of a series of Senior Notes (herein called the </w:t>
      </w:r>
      <w:r>
        <w:rPr>
          <w:rFonts w:ascii="Arial" w:cs="Arial" w:eastAsia="Arial" w:hAnsi="Arial"/>
          <w:sz w:val="19"/>
          <w:szCs w:val="19"/>
          <w:b w:val="1"/>
          <w:bCs w:val="1"/>
          <w:color w:val="auto"/>
        </w:rPr>
        <w:t>“Notes”</w:t>
      </w:r>
      <w:r>
        <w:rPr>
          <w:rFonts w:ascii="Arial" w:cs="Arial" w:eastAsia="Arial" w:hAnsi="Arial"/>
          <w:sz w:val="19"/>
          <w:szCs w:val="19"/>
          <w:color w:val="auto"/>
        </w:rPr>
        <w:t xml:space="preserve">) issued pursuant to the Note Purchase Agreement, dated September 10, 2020 (as from time to time amended, the </w:t>
      </w:r>
      <w:r>
        <w:rPr>
          <w:rFonts w:ascii="Arial" w:cs="Arial" w:eastAsia="Arial" w:hAnsi="Arial"/>
          <w:sz w:val="19"/>
          <w:szCs w:val="19"/>
          <w:b w:val="1"/>
          <w:bCs w:val="1"/>
          <w:color w:val="auto"/>
        </w:rPr>
        <w:t>“Note Purchase Agreement”</w:t>
      </w:r>
      <w:r>
        <w:rPr>
          <w:rFonts w:ascii="Arial" w:cs="Arial" w:eastAsia="Arial" w:hAnsi="Arial"/>
          <w:sz w:val="19"/>
          <w:szCs w:val="19"/>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w:t>
      </w:r>
    </w:p>
    <w:p>
      <w:pPr>
        <w:spacing w:after="0" w:line="3" w:lineRule="exact"/>
        <w:rPr>
          <w:sz w:val="20"/>
          <w:szCs w:val="20"/>
          <w:color w:val="auto"/>
        </w:rPr>
      </w:pPr>
    </w:p>
    <w:p>
      <w:pPr>
        <w:ind w:right="20" w:firstLine="8"/>
        <w:spacing w:after="0" w:line="266" w:lineRule="auto"/>
        <w:tabs>
          <w:tab w:leader="none" w:pos="34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made the representation set forth in Section 6.2 of the Note Purchase Agreement. Unless otherwise indicated, capitalized terms used in this Note shall have the respective meanings ascribed to such terms in the Note Purchase Agreement.</w:t>
      </w:r>
    </w:p>
    <w:p>
      <w:pPr>
        <w:spacing w:after="0" w:line="1" w:lineRule="exact"/>
        <w:rPr>
          <w:rFonts w:ascii="Arial" w:cs="Arial" w:eastAsia="Arial" w:hAnsi="Arial"/>
          <w:sz w:val="19"/>
          <w:szCs w:val="19"/>
          <w:color w:val="auto"/>
        </w:rPr>
      </w:pPr>
    </w:p>
    <w:p>
      <w:pPr>
        <w:jc w:val="both"/>
        <w:ind w:firstLine="648"/>
        <w:spacing w:after="0" w:line="230" w:lineRule="auto"/>
        <w:rPr>
          <w:rFonts w:ascii="Arial" w:cs="Arial" w:eastAsia="Arial" w:hAnsi="Arial"/>
          <w:sz w:val="19"/>
          <w:szCs w:val="19"/>
          <w:color w:val="auto"/>
        </w:rPr>
      </w:pPr>
      <w:r>
        <w:rPr>
          <w:rFonts w:ascii="Arial" w:cs="Arial" w:eastAsia="Arial" w:hAnsi="Arial"/>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3" w:lineRule="exact"/>
        <w:rPr>
          <w:rFonts w:ascii="Arial" w:cs="Arial" w:eastAsia="Arial" w:hAnsi="Arial"/>
          <w:sz w:val="19"/>
          <w:szCs w:val="19"/>
          <w:color w:val="auto"/>
        </w:rPr>
      </w:pPr>
    </w:p>
    <w:p>
      <w:pPr>
        <w:ind w:firstLine="648"/>
        <w:spacing w:after="0" w:line="230" w:lineRule="auto"/>
        <w:rPr>
          <w:rFonts w:ascii="Arial" w:cs="Arial" w:eastAsia="Arial" w:hAnsi="Arial"/>
          <w:sz w:val="19"/>
          <w:szCs w:val="19"/>
          <w:color w:val="auto"/>
        </w:rPr>
      </w:pPr>
      <w:r>
        <w:rPr>
          <w:rFonts w:ascii="Arial" w:cs="Arial" w:eastAsia="Arial" w:hAnsi="Arial"/>
          <w:sz w:val="22"/>
          <w:szCs w:val="22"/>
          <w:color w:val="auto"/>
        </w:rPr>
        <w:t>This Note is subject to optional prepayment, in whole or from time to time in part, at the times and on the terms specified in the Note Purchase Agreement, but not otherwise.</w:t>
      </w:r>
    </w:p>
    <w:p>
      <w:pPr>
        <w:spacing w:after="0" w:line="1" w:lineRule="exact"/>
        <w:rPr>
          <w:rFonts w:ascii="Arial" w:cs="Arial" w:eastAsia="Arial" w:hAnsi="Arial"/>
          <w:sz w:val="19"/>
          <w:szCs w:val="19"/>
          <w:color w:val="auto"/>
        </w:rPr>
      </w:pPr>
    </w:p>
    <w:p>
      <w:pPr>
        <w:jc w:val="both"/>
        <w:ind w:firstLine="648"/>
        <w:spacing w:after="0" w:line="230" w:lineRule="auto"/>
        <w:rPr>
          <w:rFonts w:ascii="Arial" w:cs="Arial" w:eastAsia="Arial" w:hAnsi="Arial"/>
          <w:sz w:val="19"/>
          <w:szCs w:val="19"/>
          <w:color w:val="auto"/>
        </w:rPr>
      </w:pPr>
      <w:r>
        <w:rPr>
          <w:rFonts w:ascii="Arial" w:cs="Arial" w:eastAsia="Arial" w:hAnsi="Arial"/>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1" w:lineRule="exact"/>
        <w:rPr>
          <w:rFonts w:ascii="Arial" w:cs="Arial" w:eastAsia="Arial" w:hAnsi="Arial"/>
          <w:sz w:val="19"/>
          <w:szCs w:val="19"/>
          <w:color w:val="auto"/>
        </w:rPr>
      </w:pPr>
    </w:p>
    <w:p>
      <w:pPr>
        <w:jc w:val="both"/>
        <w:ind w:firstLine="648"/>
        <w:spacing w:after="0" w:line="230" w:lineRule="auto"/>
        <w:rPr>
          <w:rFonts w:ascii="Arial" w:cs="Arial" w:eastAsia="Arial" w:hAnsi="Arial"/>
          <w:sz w:val="19"/>
          <w:szCs w:val="19"/>
          <w:color w:val="auto"/>
        </w:rPr>
      </w:pPr>
      <w:r>
        <w:rPr>
          <w:rFonts w:ascii="Arial" w:cs="Arial" w:eastAsia="Arial" w:hAnsi="Arial"/>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ind w:left="4220"/>
        <w:spacing w:after="0" w:line="232" w:lineRule="auto"/>
        <w:rPr>
          <w:sz w:val="20"/>
          <w:szCs w:val="20"/>
          <w:color w:val="auto"/>
        </w:rPr>
      </w:pPr>
      <w:r>
        <w:rPr>
          <w:rFonts w:ascii="Arial" w:cs="Arial" w:eastAsia="Arial" w:hAnsi="Arial"/>
          <w:sz w:val="22"/>
          <w:szCs w:val="22"/>
          <w:color w:val="auto"/>
        </w:rPr>
        <w:t>ALLETE, Inc.</w:t>
      </w:r>
    </w:p>
    <w:p>
      <w:pPr>
        <w:ind w:left="4220"/>
        <w:spacing w:after="0" w:line="230" w:lineRule="auto"/>
        <w:rPr>
          <w:sz w:val="20"/>
          <w:szCs w:val="20"/>
          <w:color w:val="auto"/>
        </w:rPr>
      </w:pPr>
      <w:r>
        <w:rPr>
          <w:rFonts w:ascii="Arial" w:cs="Arial" w:eastAsia="Arial" w:hAnsi="Arial"/>
          <w:sz w:val="22"/>
          <w:szCs w:val="22"/>
          <w:color w:val="auto"/>
        </w:rPr>
        <w:t>By:</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Title: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-15-</w:t>
            </w:r>
          </w:p>
        </w:tc>
      </w:tr>
    </w:tbl>
    <w:p>
      <w:pPr>
        <w:sectPr>
          <w:pgSz w:w="11900" w:h="16838" w:orient="portrait"/>
          <w:cols w:equalWidth="0" w:num="1">
            <w:col w:w="11240"/>
          </w:cols>
          <w:pgMar w:left="320" w:top="619"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u w:val="single" w:color="auto"/>
          <w:color w:val="auto"/>
        </w:rPr>
        <w:t>EXHIBIT 4.4(a)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OPINION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Vice President, Chief Legal Officer and Corporate Secretary of ALLETE, Inc.</w:t>
      </w:r>
    </w:p>
    <w:p>
      <w:pPr>
        <w:spacing w:after="0" w:line="200" w:lineRule="exact"/>
        <w:rPr>
          <w:sz w:val="20"/>
          <w:szCs w:val="20"/>
          <w:color w:val="auto"/>
        </w:rPr>
      </w:pPr>
    </w:p>
    <w:p>
      <w:pPr>
        <w:spacing w:after="0" w:line="25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[ALLETE, INC. LETTERHEAD]</w:t>
      </w:r>
    </w:p>
    <w:p>
      <w:pPr>
        <w:spacing w:after="0" w:line="200" w:lineRule="exact"/>
        <w:rPr>
          <w:sz w:val="20"/>
          <w:szCs w:val="20"/>
          <w:color w:val="auto"/>
        </w:rPr>
      </w:pPr>
    </w:p>
    <w:p>
      <w:pPr>
        <w:spacing w:after="0" w:line="27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September 10,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To Each of the Purchasers Listed</w:t>
      </w:r>
    </w:p>
    <w:p>
      <w:pPr>
        <w:spacing w:after="0" w:line="238" w:lineRule="auto"/>
        <w:rPr>
          <w:sz w:val="20"/>
          <w:szCs w:val="20"/>
          <w:color w:val="auto"/>
        </w:rPr>
      </w:pPr>
      <w:r>
        <w:rPr>
          <w:rFonts w:ascii="Arial" w:cs="Arial" w:eastAsia="Arial" w:hAnsi="Arial"/>
          <w:sz w:val="22"/>
          <w:szCs w:val="22"/>
          <w:color w:val="auto"/>
        </w:rPr>
        <w:t>on Schedule A to the Note Purchase Agreement</w:t>
      </w:r>
    </w:p>
    <w:p>
      <w:pPr>
        <w:spacing w:after="0"/>
        <w:rPr>
          <w:sz w:val="20"/>
          <w:szCs w:val="20"/>
          <w:color w:val="auto"/>
        </w:rPr>
      </w:pPr>
      <w:r>
        <w:rPr>
          <w:rFonts w:ascii="Arial" w:cs="Arial" w:eastAsia="Arial" w:hAnsi="Arial"/>
          <w:sz w:val="22"/>
          <w:szCs w:val="22"/>
          <w:color w:val="auto"/>
        </w:rPr>
        <w:t>dated September 10, 2020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$150,000,000 2.65% Senior Notes due September 10, 2025</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Issued by ALLETE, Inc.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Reference is made to the sale by ALLETE, Inc., a Minnesota corporation (“Company”) of $150,000,000 principal amount of its 2.65% Senior Notes due September 10, 2025 (the “Notes”). The Notes will be issued under the Note Purchase Agreement, dated September 10, 2020 (the “Agreement”). I advise you that I am Vice President, Chief Legal Officer and Corporate Secretary of the Company and have acted in that capacity in connection with such issuance and sale and I (or attorneys in the Company’s legal department with whom I have consulted) have participated in the preparation of (i) the Agreement; and</w:t>
      </w:r>
    </w:p>
    <w:p>
      <w:pPr>
        <w:spacing w:after="0" w:line="4" w:lineRule="exact"/>
        <w:rPr>
          <w:sz w:val="20"/>
          <w:szCs w:val="20"/>
          <w:color w:val="auto"/>
        </w:rPr>
      </w:pPr>
    </w:p>
    <w:p>
      <w:pPr>
        <w:ind w:firstLine="8"/>
        <w:spacing w:after="0" w:line="230" w:lineRule="auto"/>
        <w:tabs>
          <w:tab w:leader="none" w:pos="31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petition filed by the Company with the Minnesota Public Utilities Commission seeking authorization to issue the Notes. In addition, I have reviewed the order issued by said Commission in response to said petition.</w:t>
      </w:r>
    </w:p>
    <w:p>
      <w:pPr>
        <w:spacing w:after="0" w:line="1" w:lineRule="exact"/>
        <w:rPr>
          <w:rFonts w:ascii="Arial" w:cs="Arial" w:eastAsia="Arial" w:hAnsi="Arial"/>
          <w:sz w:val="22"/>
          <w:szCs w:val="22"/>
          <w:color w:val="auto"/>
        </w:rPr>
      </w:pPr>
    </w:p>
    <w:p>
      <w:pPr>
        <w:jc w:val="right"/>
        <w:ind w:firstLine="1296"/>
        <w:spacing w:after="0" w:line="266" w:lineRule="auto"/>
        <w:rPr>
          <w:rFonts w:ascii="Arial" w:cs="Arial" w:eastAsia="Arial" w:hAnsi="Arial"/>
          <w:sz w:val="22"/>
          <w:szCs w:val="22"/>
          <w:color w:val="auto"/>
        </w:rPr>
      </w:pPr>
      <w:r>
        <w:rPr>
          <w:rFonts w:ascii="Arial" w:cs="Arial" w:eastAsia="Arial" w:hAnsi="Arial"/>
          <w:sz w:val="19"/>
          <w:szCs w:val="19"/>
          <w:color w:val="auto"/>
        </w:rPr>
        <w:t>All capitalized terms used herein without definition shall have the respective meanings set forth in the Agreement. In furnishing this opinion, I have examined the Amended and Restated Articles of Incorporation, as amended (the “Charter”), and the Bylaws, as amended, of the Company and the Agreement, and have made such further investigation and</w:t>
      </w:r>
    </w:p>
    <w:p>
      <w:pPr>
        <w:spacing w:after="0" w:line="2"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examined such further documents and records of the Company and certificates of public officials as I have deemed necessary or appropriate for purposes of this opinion.</w:t>
      </w:r>
    </w:p>
    <w:p>
      <w:pPr>
        <w:spacing w:after="0" w:line="1" w:lineRule="exact"/>
        <w:rPr>
          <w:rFonts w:ascii="Arial" w:cs="Arial" w:eastAsia="Arial" w:hAnsi="Arial"/>
          <w:sz w:val="22"/>
          <w:szCs w:val="22"/>
          <w:color w:val="auto"/>
        </w:rPr>
      </w:pPr>
    </w:p>
    <w:p>
      <w:pPr>
        <w:ind w:firstLine="1296"/>
        <w:spacing w:after="0" w:line="230" w:lineRule="auto"/>
        <w:rPr>
          <w:rFonts w:ascii="Arial" w:cs="Arial" w:eastAsia="Arial" w:hAnsi="Arial"/>
          <w:sz w:val="22"/>
          <w:szCs w:val="22"/>
          <w:color w:val="auto"/>
        </w:rPr>
      </w:pPr>
      <w:r>
        <w:rPr>
          <w:rFonts w:ascii="Arial" w:cs="Arial" w:eastAsia="Arial" w:hAnsi="Arial"/>
          <w:sz w:val="22"/>
          <w:szCs w:val="22"/>
          <w:color w:val="auto"/>
        </w:rPr>
        <w:t>I have also reviewed all corporate proceedings taken by the Company in respect of the authorization of the Agreement and the issuance and sale of the Notes thereunder and I have examined the Notes.</w:t>
      </w:r>
    </w:p>
    <w:p>
      <w:pPr>
        <w:spacing w:after="0" w:line="1" w:lineRule="exact"/>
        <w:rPr>
          <w:rFonts w:ascii="Arial" w:cs="Arial" w:eastAsia="Arial" w:hAnsi="Arial"/>
          <w:sz w:val="22"/>
          <w:szCs w:val="22"/>
          <w:color w:val="auto"/>
        </w:rPr>
      </w:pPr>
    </w:p>
    <w:p>
      <w:pPr>
        <w:jc w:val="both"/>
        <w:ind w:firstLine="1296"/>
        <w:spacing w:after="0" w:line="230" w:lineRule="auto"/>
        <w:rPr>
          <w:rFonts w:ascii="Arial" w:cs="Arial" w:eastAsia="Arial" w:hAnsi="Arial"/>
          <w:sz w:val="22"/>
          <w:szCs w:val="22"/>
          <w:color w:val="auto"/>
        </w:rPr>
      </w:pPr>
      <w:r>
        <w:rPr>
          <w:rFonts w:ascii="Arial" w:cs="Arial" w:eastAsia="Arial" w:hAnsi="Arial"/>
          <w:sz w:val="22"/>
          <w:szCs w:val="22"/>
          <w:color w:val="auto"/>
        </w:rPr>
        <w:t>For purposes of the opinions expressed below, I have assumed (i) the authenticity of all documents submitted to me as originals, (ii) the conformity to the originals of all documents submitted to me as certified or photostatic copies and the authenticity of the 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(vi) the due authorization, execution and delivery of all documents by all parties other than the Company, and (vii) that the consideration contemplated by the Agreement for the purchase of the Notes has been paid.</w:t>
      </w:r>
    </w:p>
    <w:p>
      <w:pPr>
        <w:spacing w:after="0" w:line="4" w:lineRule="exact"/>
        <w:rPr>
          <w:rFonts w:ascii="Arial" w:cs="Arial" w:eastAsia="Arial" w:hAnsi="Arial"/>
          <w:sz w:val="22"/>
          <w:szCs w:val="22"/>
          <w:color w:val="auto"/>
        </w:rPr>
      </w:pPr>
    </w:p>
    <w:p>
      <w:pPr>
        <w:jc w:val="both"/>
        <w:ind w:firstLine="1296"/>
        <w:spacing w:after="0" w:line="234" w:lineRule="auto"/>
        <w:rPr>
          <w:rFonts w:ascii="Arial" w:cs="Arial" w:eastAsia="Arial" w:hAnsi="Arial"/>
          <w:sz w:val="22"/>
          <w:szCs w:val="22"/>
          <w:color w:val="auto"/>
        </w:rPr>
      </w:pPr>
      <w:r>
        <w:rPr>
          <w:rFonts w:ascii="Arial" w:cs="Arial" w:eastAsia="Arial" w:hAnsi="Arial"/>
          <w:sz w:val="22"/>
          <w:szCs w:val="22"/>
          <w:color w:val="auto"/>
        </w:rPr>
        <w:t>For purposes of the opinions contained herein, I have made no independent investigation of the facts referred to herein, and with respect to such facts have relied, for the purpose of rendering this opinion and except as otherwise stated herein, exclusively on the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-16-</w:t>
            </w:r>
          </w:p>
        </w:tc>
      </w:tr>
    </w:tbl>
    <w:p>
      <w:pPr>
        <w:sectPr>
          <w:pgSz w:w="11900" w:h="16838" w:orient="portrait"/>
          <w:cols w:equalWidth="0" w:num="1">
            <w:col w:w="11240"/>
          </w:cols>
          <w:pgMar w:left="320" w:top="847" w:right="339" w:bottom="1440" w:gutter="0" w:footer="0" w:header="0"/>
        </w:sectPr>
      </w:pPr>
    </w:p>
    <w:bookmarkStart w:id="126" w:name="page127"/>
    <w:bookmarkEnd w:id="126"/>
    <w:p>
      <w:pPr>
        <w:jc w:val="both"/>
        <w:spacing w:after="0" w:line="233" w:lineRule="auto"/>
        <w:rPr>
          <w:sz w:val="20"/>
          <w:szCs w:val="20"/>
          <w:color w:val="auto"/>
        </w:rPr>
      </w:pPr>
      <w:r>
        <w:rPr>
          <w:rFonts w:ascii="Arial" w:cs="Arial" w:eastAsia="Arial" w:hAnsi="Arial"/>
          <w:sz w:val="22"/>
          <w:szCs w:val="22"/>
          <w:color w:val="auto"/>
        </w:rPr>
        <w:t>statements contained and matters provided for in the Agreement and such other documents relating to the Agreement as I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my opinion, from such earlier date through and including the date of this opinion.</w:t>
      </w:r>
    </w:p>
    <w:p>
      <w:pPr>
        <w:ind w:left="1300"/>
        <w:spacing w:after="0" w:line="235" w:lineRule="auto"/>
        <w:rPr>
          <w:sz w:val="20"/>
          <w:szCs w:val="20"/>
          <w:color w:val="auto"/>
        </w:rPr>
      </w:pPr>
      <w:r>
        <w:rPr>
          <w:rFonts w:ascii="Arial" w:cs="Arial" w:eastAsia="Arial" w:hAnsi="Arial"/>
          <w:sz w:val="22"/>
          <w:szCs w:val="22"/>
          <w:color w:val="auto"/>
        </w:rPr>
        <w:t>Based on such examinations and investigation, it is my opinion that:</w:t>
      </w:r>
    </w:p>
    <w:p>
      <w:pPr>
        <w:jc w:val="both"/>
        <w:ind w:firstLine="1952"/>
        <w:spacing w:after="0" w:line="230" w:lineRule="auto"/>
        <w:tabs>
          <w:tab w:leader="none" w:pos="21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Company is a validly organized and existing corporation and in good standing under the laws of the State of Minnesota and is duly qualified as a foreign corporation in each jurisdiction in which the character of the properties owned or leased by it or the nature of the business transacted by it makes such qualification necessary, except where the failure to be so qualified would not result in a Material Adverse Effect.</w:t>
      </w:r>
    </w:p>
    <w:p>
      <w:pPr>
        <w:spacing w:after="0" w:line="2" w:lineRule="exact"/>
        <w:rPr>
          <w:rFonts w:ascii="Arial" w:cs="Arial" w:eastAsia="Arial" w:hAnsi="Arial"/>
          <w:sz w:val="22"/>
          <w:szCs w:val="22"/>
          <w:color w:val="auto"/>
        </w:rPr>
      </w:pPr>
    </w:p>
    <w:p>
      <w:pPr>
        <w:jc w:val="both"/>
        <w:ind w:firstLine="1952"/>
        <w:spacing w:after="0" w:line="230" w:lineRule="auto"/>
        <w:tabs>
          <w:tab w:leader="none" w:pos="217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Company is a corporation duly authorized by its Charter to conduct the business which it is now conducting as set forth in the Disclosure Documents and the Company holds valid and subsisting franchises, licenses and permits authorizing it to carry on the business in which it is engaged.</w:t>
      </w:r>
    </w:p>
    <w:p>
      <w:pPr>
        <w:spacing w:after="0" w:line="1" w:lineRule="exact"/>
        <w:rPr>
          <w:rFonts w:ascii="Arial" w:cs="Arial" w:eastAsia="Arial" w:hAnsi="Arial"/>
          <w:sz w:val="22"/>
          <w:szCs w:val="22"/>
          <w:color w:val="auto"/>
        </w:rPr>
      </w:pPr>
    </w:p>
    <w:p>
      <w:pPr>
        <w:ind w:right="20" w:firstLine="1952"/>
        <w:spacing w:after="0" w:line="230" w:lineRule="auto"/>
        <w:tabs>
          <w:tab w:leader="none" w:pos="216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Company has all requisite corporate power and authority to execute and deliver, and to perform all of its obligations under, the Agreement and the Notes.</w:t>
      </w:r>
    </w:p>
    <w:p>
      <w:pPr>
        <w:spacing w:after="0" w:line="1" w:lineRule="exact"/>
        <w:rPr>
          <w:rFonts w:ascii="Arial" w:cs="Arial" w:eastAsia="Arial" w:hAnsi="Arial"/>
          <w:sz w:val="22"/>
          <w:szCs w:val="22"/>
          <w:color w:val="auto"/>
        </w:rPr>
      </w:pPr>
    </w:p>
    <w:p>
      <w:pPr>
        <w:jc w:val="both"/>
        <w:ind w:firstLine="1952"/>
        <w:spacing w:after="0" w:line="230" w:lineRule="auto"/>
        <w:tabs>
          <w:tab w:leader="none" w:pos="217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Agreement has been duly and validly authorized by all necessary corporate action, has been duly and validly executed and delivered, and is a valid and binding obligation of the Company enforceable in accordance with its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spacing w:after="0" w:line="2" w:lineRule="exact"/>
        <w:rPr>
          <w:rFonts w:ascii="Arial" w:cs="Arial" w:eastAsia="Arial" w:hAnsi="Arial"/>
          <w:sz w:val="22"/>
          <w:szCs w:val="22"/>
          <w:color w:val="auto"/>
        </w:rPr>
      </w:pPr>
    </w:p>
    <w:p>
      <w:pPr>
        <w:jc w:val="both"/>
        <w:ind w:firstLine="1952"/>
        <w:spacing w:after="0" w:line="266" w:lineRule="auto"/>
        <w:tabs>
          <w:tab w:leader="none" w:pos="220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Notes have been duly and validly authorized by all necessary corporate action and have been executed in accordance with the provisions of the Agreement and delivered and are entitled to the benefits of the Agreement and are valid and binding obligations of the Company enforceable in accordance with their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spacing w:after="0" w:line="4" w:lineRule="exact"/>
        <w:rPr>
          <w:rFonts w:ascii="Arial" w:cs="Arial" w:eastAsia="Arial" w:hAnsi="Arial"/>
          <w:sz w:val="19"/>
          <w:szCs w:val="19"/>
          <w:color w:val="auto"/>
        </w:rPr>
      </w:pPr>
    </w:p>
    <w:p>
      <w:pPr>
        <w:jc w:val="both"/>
        <w:ind w:firstLine="1952"/>
        <w:spacing w:after="0" w:line="230" w:lineRule="auto"/>
        <w:tabs>
          <w:tab w:leader="none" w:pos="220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An order has been issued by the Minnesota Public Utilities Commission certifying the Company’s capital structure and authorizing the issuance and sale of the Notes, and to the best of my knowledge after such inquiry as I deem reasonable, said order is still in full force and effect; and no further approval, authorization, consent or order of any public board or body (other than in connection or in compliance with the provisions of the securities or “blue sky” laws of any jurisdiction) is legally required for the authorization of the issuance and sale of the Notes or, as of the date hereof, the performance of the Notes or the Agreement.</w:t>
      </w:r>
    </w:p>
    <w:p>
      <w:pPr>
        <w:spacing w:after="0" w:line="3" w:lineRule="exact"/>
        <w:rPr>
          <w:rFonts w:ascii="Arial" w:cs="Arial" w:eastAsia="Arial" w:hAnsi="Arial"/>
          <w:sz w:val="22"/>
          <w:szCs w:val="22"/>
          <w:color w:val="auto"/>
        </w:rPr>
      </w:pPr>
    </w:p>
    <w:p>
      <w:pPr>
        <w:jc w:val="both"/>
        <w:ind w:firstLine="1952"/>
        <w:spacing w:after="0" w:line="241" w:lineRule="auto"/>
        <w:tabs>
          <w:tab w:leader="none" w:pos="21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Neither the execution by the Company of the Agreement nor the issue and sale by the Company of the Notes as contemplated by the Agreement nor the consummation by the Company of the other transactions contemplated by the Agreement or, as of the date hereof, the performance of the Notes or the Agreement conflicts with, or results in a breach of, the Charter or Bylaws of the Company or any material agreement or instrument to which the Company is a party or by which the Company is bound, any law or regulation or, so far as is known to me after such inquiry as I deem reasonable, any order or regulation of any court, governmental instrumentality or arbitrator, and which conflict or breach is material to the Company and its subsidiaries, taken as a whole.</w:t>
      </w:r>
    </w:p>
    <w:p>
      <w:pPr>
        <w:spacing w:after="0" w:line="3" w:lineRule="exact"/>
        <w:rPr>
          <w:rFonts w:ascii="Arial" w:cs="Arial" w:eastAsia="Arial" w:hAnsi="Arial"/>
          <w:sz w:val="21"/>
          <w:szCs w:val="21"/>
          <w:color w:val="auto"/>
        </w:rPr>
      </w:pPr>
    </w:p>
    <w:p>
      <w:pPr>
        <w:ind w:firstLine="1952"/>
        <w:spacing w:after="0" w:line="241" w:lineRule="auto"/>
        <w:tabs>
          <w:tab w:leader="none" w:pos="2173"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execution, delivery and performance by the Company of the Agreement and the Notes do not and will not violate any provision of Regulations T, U or X of the Board of Governors of the Federal Reserve System.</w:t>
      </w:r>
    </w:p>
    <w:p>
      <w:pPr>
        <w:spacing w:after="0" w:line="1" w:lineRule="exact"/>
        <w:rPr>
          <w:rFonts w:ascii="Arial" w:cs="Arial" w:eastAsia="Arial" w:hAnsi="Arial"/>
          <w:sz w:val="21"/>
          <w:szCs w:val="21"/>
          <w:color w:val="auto"/>
        </w:rPr>
      </w:pPr>
    </w:p>
    <w:p>
      <w:pPr>
        <w:jc w:val="both"/>
        <w:ind w:firstLine="1952"/>
        <w:spacing w:after="0" w:line="234" w:lineRule="auto"/>
        <w:tabs>
          <w:tab w:leader="none" w:pos="217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It is not necessary, in connection with the sale of the Notes to the Purchasers by the Company, in the manner contemplated by the Agreement, to register the Notes under the Securities Act of 1933, as amended, or to qualify the Agreement under the Trust Indenture Act of 1939, as amended.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-17-</w:t>
            </w:r>
          </w:p>
        </w:tc>
      </w:tr>
    </w:tbl>
    <w:p>
      <w:pPr>
        <w:sectPr>
          <w:pgSz w:w="11900" w:h="16838" w:orient="portrait"/>
          <w:cols w:equalWidth="0" w:num="1">
            <w:col w:w="11240"/>
          </w:cols>
          <w:pgMar w:left="320" w:top="604" w:right="339" w:bottom="1440" w:gutter="0" w:footer="0" w:header="0"/>
        </w:sectPr>
      </w:pPr>
    </w:p>
    <w:bookmarkStart w:id="127" w:name="page128"/>
    <w:bookmarkEnd w:id="127"/>
    <w:p>
      <w:pPr>
        <w:jc w:val="both"/>
        <w:ind w:firstLine="1952"/>
        <w:spacing w:after="0" w:line="245" w:lineRule="auto"/>
        <w:tabs>
          <w:tab w:leader="none" w:pos="2268" w:val="left"/>
        </w:tabs>
        <w:numPr>
          <w:ilvl w:val="1"/>
          <w:numId w:val="123"/>
        </w:numPr>
        <w:rPr>
          <w:rFonts w:ascii="Arial" w:cs="Arial" w:eastAsia="Arial" w:hAnsi="Arial"/>
          <w:sz w:val="21"/>
          <w:szCs w:val="21"/>
          <w:color w:val="auto"/>
        </w:rPr>
      </w:pPr>
      <w:r>
        <w:rPr>
          <w:rFonts w:ascii="Arial" w:cs="Arial" w:eastAsia="Arial" w:hAnsi="Arial"/>
          <w:sz w:val="21"/>
          <w:szCs w:val="21"/>
          <w:color w:val="auto"/>
        </w:rPr>
        <w:t>Except as disclosed in the Disclosure Documents, there are no actions, suits, or proceedings pending or, to the best of my knowledge after due inquiry, threatened against the Company before any court or arbitrator or by or before any administrative agency or governmental authority, which, if adversely determined, would prevent or have a material adverse effect on the ability of the Company to perform its obligations under the Agreement or the Notes.</w:t>
      </w:r>
    </w:p>
    <w:p>
      <w:pPr>
        <w:spacing w:after="0" w:line="3" w:lineRule="exact"/>
        <w:rPr>
          <w:rFonts w:ascii="Arial" w:cs="Arial" w:eastAsia="Arial" w:hAnsi="Arial"/>
          <w:sz w:val="21"/>
          <w:szCs w:val="21"/>
          <w:color w:val="auto"/>
        </w:rPr>
      </w:pPr>
    </w:p>
    <w:p>
      <w:pPr>
        <w:ind w:firstLine="1952"/>
        <w:spacing w:after="0" w:line="230" w:lineRule="auto"/>
        <w:tabs>
          <w:tab w:leader="none" w:pos="2314"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Company is not an “investment company” or a company “controlled” by an “investment company” within the meaning of the Investment Company Act of 1940, as amended.</w:t>
      </w:r>
    </w:p>
    <w:p>
      <w:pPr>
        <w:spacing w:after="0" w:line="1" w:lineRule="exact"/>
        <w:rPr>
          <w:rFonts w:ascii="Arial" w:cs="Arial" w:eastAsia="Arial" w:hAnsi="Arial"/>
          <w:sz w:val="22"/>
          <w:szCs w:val="22"/>
          <w:color w:val="auto"/>
        </w:rPr>
      </w:pPr>
    </w:p>
    <w:p>
      <w:pPr>
        <w:jc w:val="both"/>
        <w:ind w:firstLine="1296"/>
        <w:spacing w:after="0" w:line="230" w:lineRule="auto"/>
        <w:rPr>
          <w:rFonts w:ascii="Arial" w:cs="Arial" w:eastAsia="Arial" w:hAnsi="Arial"/>
          <w:sz w:val="22"/>
          <w:szCs w:val="22"/>
          <w:color w:val="auto"/>
        </w:rPr>
      </w:pPr>
      <w:r>
        <w:rPr>
          <w:rFonts w:ascii="Arial" w:cs="Arial" w:eastAsia="Arial" w:hAnsi="Arial"/>
          <w:sz w:val="22"/>
          <w:szCs w:val="22"/>
          <w:color w:val="auto"/>
        </w:rPr>
        <w:t>I am a member of the Minnesota Bar and do not hold myself out as an expert on the laws of any other jurisdiction. As to all matters of Minnesota law, Cohen Tauber Spievack &amp; Wagner P.C. is hereby authorized to rely upon this opinion to the same extent as if this opinion had been addressed to them.</w:t>
      </w:r>
    </w:p>
    <w:p>
      <w:pPr>
        <w:spacing w:after="0" w:line="1" w:lineRule="exact"/>
        <w:rPr>
          <w:rFonts w:ascii="Arial" w:cs="Arial" w:eastAsia="Arial" w:hAnsi="Arial"/>
          <w:sz w:val="22"/>
          <w:szCs w:val="22"/>
          <w:color w:val="auto"/>
        </w:rPr>
      </w:pPr>
    </w:p>
    <w:p>
      <w:pPr>
        <w:jc w:val="both"/>
        <w:ind w:firstLine="1296"/>
        <w:spacing w:after="0" w:line="230" w:lineRule="auto"/>
        <w:rPr>
          <w:rFonts w:ascii="Arial" w:cs="Arial" w:eastAsia="Arial" w:hAnsi="Arial"/>
          <w:sz w:val="22"/>
          <w:szCs w:val="22"/>
          <w:color w:val="auto"/>
        </w:rPr>
      </w:pPr>
      <w:r>
        <w:rPr>
          <w:rFonts w:ascii="Arial" w:cs="Arial" w:eastAsia="Arial" w:hAnsi="Arial"/>
          <w:sz w:val="22"/>
          <w:szCs w:val="22"/>
          <w:color w:val="auto"/>
        </w:rPr>
        <w:t>The opinions expressed above are limited to the laws and facts in effect on the date hereof. I disclaim any obligation to advise you of facts, circumstances, events or developments which hereafter may be brought to my attention and which might alter, affect or modify the opinions expressed herein.</w:t>
      </w:r>
    </w:p>
    <w:p>
      <w:pPr>
        <w:spacing w:after="0" w:line="1" w:lineRule="exact"/>
        <w:rPr>
          <w:rFonts w:ascii="Arial" w:cs="Arial" w:eastAsia="Arial" w:hAnsi="Arial"/>
          <w:sz w:val="22"/>
          <w:szCs w:val="22"/>
          <w:color w:val="auto"/>
        </w:rPr>
      </w:pPr>
    </w:p>
    <w:p>
      <w:pPr>
        <w:jc w:val="both"/>
        <w:ind w:firstLine="1296"/>
        <w:spacing w:after="0" w:line="266" w:lineRule="auto"/>
        <w:rPr>
          <w:rFonts w:ascii="Arial" w:cs="Arial" w:eastAsia="Arial" w:hAnsi="Arial"/>
          <w:sz w:val="22"/>
          <w:szCs w:val="22"/>
          <w:color w:val="auto"/>
        </w:rPr>
      </w:pPr>
      <w:r>
        <w:rPr>
          <w:rFonts w:ascii="Arial" w:cs="Arial" w:eastAsia="Arial" w:hAnsi="Arial"/>
          <w:sz w:val="19"/>
          <w:szCs w:val="19"/>
          <w:color w:val="auto"/>
        </w:rPr>
        <w:t>The opinion is rendered to you in connection with the above-described transaction. This opinion may not be relied upon by you for any other purpose, or relied upon or furnished to any other Person, without my prior written consent, except that</w:t>
      </w:r>
    </w:p>
    <w:p>
      <w:pPr>
        <w:spacing w:after="0" w:line="1" w:lineRule="exact"/>
        <w:rPr>
          <w:rFonts w:ascii="Arial" w:cs="Arial" w:eastAsia="Arial" w:hAnsi="Arial"/>
          <w:sz w:val="22"/>
          <w:szCs w:val="22"/>
          <w:color w:val="auto"/>
        </w:rPr>
      </w:pPr>
    </w:p>
    <w:p>
      <w:pPr>
        <w:ind w:right="20" w:firstLine="8"/>
        <w:spacing w:after="0" w:line="266" w:lineRule="auto"/>
        <w:tabs>
          <w:tab w:leader="none" w:pos="26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this opinion may be reviewed by, but not relied upon by, applicable legal or regulatory bodies and proposed transferees of the Notes, and (ii) this opinion may be relied upon by transferees of the Notes as of the date of original delivery hereof.</w:t>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1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Margaret A. Thickens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-18-</w:t>
            </w:r>
          </w:p>
        </w:tc>
      </w:tr>
    </w:tbl>
    <w:p>
      <w:pPr>
        <w:sectPr>
          <w:pgSz w:w="11900" w:h="16838" w:orient="portrait"/>
          <w:cols w:equalWidth="0" w:num="1">
            <w:col w:w="11240"/>
          </w:cols>
          <w:pgMar w:left="320" w:top="60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u w:val="single" w:color="auto"/>
          <w:color w:val="auto"/>
        </w:rPr>
        <w:t>EXHIBIT 4.4(b)</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OPINION OF COHEN TAUBER SPIEVACK &amp; WAGNER P.C.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[CTSW LETTERHEAD]</w:t>
      </w:r>
    </w:p>
    <w:p>
      <w:pPr>
        <w:spacing w:after="0" w:line="200" w:lineRule="exact"/>
        <w:rPr>
          <w:sz w:val="20"/>
          <w:szCs w:val="20"/>
          <w:color w:val="auto"/>
        </w:rPr>
      </w:pPr>
    </w:p>
    <w:p>
      <w:pPr>
        <w:spacing w:after="0" w:line="276" w:lineRule="exact"/>
        <w:rPr>
          <w:sz w:val="20"/>
          <w:szCs w:val="20"/>
          <w:color w:val="auto"/>
        </w:rPr>
      </w:pPr>
    </w:p>
    <w:p>
      <w:pPr>
        <w:ind w:left="5840"/>
        <w:spacing w:after="0"/>
        <w:rPr>
          <w:sz w:val="20"/>
          <w:szCs w:val="20"/>
          <w:color w:val="auto"/>
        </w:rPr>
      </w:pPr>
      <w:r>
        <w:rPr>
          <w:rFonts w:ascii="Arial" w:cs="Arial" w:eastAsia="Arial" w:hAnsi="Arial"/>
          <w:sz w:val="22"/>
          <w:szCs w:val="22"/>
          <w:color w:val="auto"/>
        </w:rPr>
        <w:t>September 10, 2020</w:t>
      </w:r>
    </w:p>
    <w:p>
      <w:pPr>
        <w:spacing w:after="0" w:line="238" w:lineRule="auto"/>
        <w:rPr>
          <w:sz w:val="20"/>
          <w:szCs w:val="20"/>
          <w:color w:val="auto"/>
        </w:rPr>
      </w:pPr>
      <w:r>
        <w:rPr>
          <w:rFonts w:ascii="Arial" w:cs="Arial" w:eastAsia="Arial" w:hAnsi="Arial"/>
          <w:sz w:val="22"/>
          <w:szCs w:val="22"/>
          <w:color w:val="auto"/>
        </w:rPr>
        <w:t>To Each of the Purchasers Listed</w:t>
      </w:r>
    </w:p>
    <w:p>
      <w:pPr>
        <w:spacing w:after="0" w:line="230" w:lineRule="auto"/>
        <w:rPr>
          <w:sz w:val="20"/>
          <w:szCs w:val="20"/>
          <w:color w:val="auto"/>
        </w:rPr>
      </w:pPr>
      <w:r>
        <w:rPr>
          <w:rFonts w:ascii="Arial" w:cs="Arial" w:eastAsia="Arial" w:hAnsi="Arial"/>
          <w:sz w:val="22"/>
          <w:szCs w:val="22"/>
          <w:color w:val="auto"/>
        </w:rPr>
        <w:t>on Schedule A to the Note Purchase Agreement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10, 2020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$150,000,000 2.65% Senior Notes due September 10, 2025</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Issued by ALLETE, Inc.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Reference is made to the sale by ALLETE, Inc., a Minnesota corporation (“Company”) of $150,000,000 principal amount of its 2.65% Senior Notes due September 10, 2025 (the “Notes”). The Notes will be issued under the Note Purchase Agreement, dated September 10, 2020 (the “Agreement”). We advise you that we have acted as counsel to the Company in connection with such issuance and sale and have participated in the preparation of the Agreement. In addition, we have reviewed the petition filed by the Company with the Minnesota Public Utilities Commission seeking authorization to issue the Notes, and the order issued by said Commission in response to said petition.</w:t>
      </w:r>
    </w:p>
    <w:p>
      <w:pPr>
        <w:spacing w:after="0" w:line="3" w:lineRule="exact"/>
        <w:rPr>
          <w:sz w:val="20"/>
          <w:szCs w:val="20"/>
          <w:color w:val="auto"/>
        </w:rPr>
      </w:pPr>
    </w:p>
    <w:p>
      <w:pPr>
        <w:jc w:val="right"/>
        <w:spacing w:after="0" w:line="266" w:lineRule="auto"/>
        <w:rPr>
          <w:sz w:val="20"/>
          <w:szCs w:val="20"/>
          <w:color w:val="auto"/>
        </w:rPr>
      </w:pPr>
      <w:r>
        <w:rPr>
          <w:rFonts w:ascii="Arial" w:cs="Arial" w:eastAsia="Arial" w:hAnsi="Arial"/>
          <w:sz w:val="19"/>
          <w:szCs w:val="19"/>
          <w:color w:val="auto"/>
        </w:rPr>
        <w:t>All capitalized terms used herein without definition shall have the respective meanings set forth in the Agreement. In furnishing this opinion, we have examined the Amended and Restated Articles of Incorporation, as amended, and the Bylaws, as amended, of the Company, and the Agreement, and have made such further investigation and examined such</w:t>
      </w:r>
    </w:p>
    <w:p>
      <w:pPr>
        <w:spacing w:after="0" w:line="3"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further documents and records of the Company and certificates of public officials as we have deemed necessary or appropriate for purposes of this opinion.</w:t>
      </w:r>
    </w:p>
    <w:p>
      <w:pPr>
        <w:spacing w:after="0" w:line="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1"/>
          <w:szCs w:val="21"/>
          <w:color w:val="auto"/>
        </w:rPr>
        <w:t>We have also reviewed all corporate proceedings taken by the Company in respect of the authorization of the Agreement and the issuance and sale of the Notes thereunder and we have examined the Notes.</w:t>
      </w:r>
    </w:p>
    <w:p>
      <w:pPr>
        <w:spacing w:after="0" w:line="1"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2"/>
          <w:szCs w:val="22"/>
          <w:color w:val="auto"/>
        </w:rPr>
        <w:t>For purposes of the opinions expressed below, we have assumed (i) the authenticity of all documents submitted to us as originals, (ii) the conformity to the originals of all documents submitted to us as certified or photostatic copies and the authenticity of the 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(vi) the due authorization, execution and delivery of all documents by all parties other than the Company, and (vii) that the consideration contemplated by the Agreement for the purchase of the Notes has been paid.</w:t>
      </w:r>
    </w:p>
    <w:p>
      <w:pPr>
        <w:spacing w:after="0" w:line="4"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1"/>
          <w:szCs w:val="21"/>
          <w:color w:val="auto"/>
        </w:rPr>
        <w:t>For purposes of the opinions contained herein, we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we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our opinion, from such earlier date through and including the date of this opinion.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-19-</w:t>
            </w:r>
          </w:p>
        </w:tc>
      </w:tr>
    </w:tbl>
    <w:p>
      <w:pPr>
        <w:sectPr>
          <w:pgSz w:w="11900" w:h="16838" w:orient="portrait"/>
          <w:cols w:equalWidth="0" w:num="1">
            <w:col w:w="11240"/>
          </w:cols>
          <w:pgMar w:left="320" w:top="619" w:right="339" w:bottom="1440" w:gutter="0" w:footer="0" w:header="0"/>
        </w:sectPr>
      </w:pPr>
    </w:p>
    <w:bookmarkStart w:id="129" w:name="page130"/>
    <w:bookmarkEnd w:id="129"/>
    <w:p>
      <w:pPr>
        <w:ind w:left="1300"/>
        <w:spacing w:after="0"/>
        <w:rPr>
          <w:sz w:val="20"/>
          <w:szCs w:val="20"/>
          <w:color w:val="auto"/>
        </w:rPr>
      </w:pPr>
      <w:r>
        <w:rPr>
          <w:rFonts w:ascii="Arial" w:cs="Arial" w:eastAsia="Arial" w:hAnsi="Arial"/>
          <w:sz w:val="22"/>
          <w:szCs w:val="22"/>
          <w:color w:val="auto"/>
        </w:rPr>
        <w:t>Based on such examinations and investigation, it is our opinion that:</w:t>
      </w:r>
    </w:p>
    <w:p>
      <w:pPr>
        <w:spacing w:after="0" w:line="8" w:lineRule="exact"/>
        <w:rPr>
          <w:sz w:val="20"/>
          <w:szCs w:val="20"/>
          <w:color w:val="auto"/>
        </w:rPr>
      </w:pPr>
    </w:p>
    <w:p>
      <w:pPr>
        <w:ind w:right="20" w:firstLine="1952"/>
        <w:spacing w:after="0" w:line="230" w:lineRule="auto"/>
        <w:tabs>
          <w:tab w:leader="none" w:pos="216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Company has all requisite corporate power and authority to execute and deliver, and to perform all of its obligations under, the Agreement and the Notes.</w:t>
      </w:r>
    </w:p>
    <w:p>
      <w:pPr>
        <w:spacing w:after="0" w:line="1" w:lineRule="exact"/>
        <w:rPr>
          <w:rFonts w:ascii="Arial" w:cs="Arial" w:eastAsia="Arial" w:hAnsi="Arial"/>
          <w:sz w:val="22"/>
          <w:szCs w:val="22"/>
          <w:color w:val="auto"/>
        </w:rPr>
      </w:pPr>
    </w:p>
    <w:p>
      <w:pPr>
        <w:jc w:val="both"/>
        <w:ind w:firstLine="1952"/>
        <w:spacing w:after="0" w:line="230" w:lineRule="auto"/>
        <w:tabs>
          <w:tab w:leader="none" w:pos="2173"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Agreement has been duly and validly authorized by all necessary corporate action, has been duly and validly executed and delivered, and is a valid and binding obligation of the Company enforceable in accordance with its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spacing w:after="0" w:line="2" w:lineRule="exact"/>
        <w:rPr>
          <w:rFonts w:ascii="Arial" w:cs="Arial" w:eastAsia="Arial" w:hAnsi="Arial"/>
          <w:sz w:val="22"/>
          <w:szCs w:val="22"/>
          <w:color w:val="auto"/>
        </w:rPr>
      </w:pPr>
    </w:p>
    <w:p>
      <w:pPr>
        <w:jc w:val="both"/>
        <w:ind w:firstLine="1952"/>
        <w:spacing w:after="0" w:line="230" w:lineRule="auto"/>
        <w:tabs>
          <w:tab w:leader="none" w:pos="220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Notes have been duly and validly authorized by all necessary corporate action and have been executed and authenticated in accordance with the provisions of the Agreement and delivered and are entitled to the benefits of the Agreement and are valid and binding obligations of the Company enforceable in accordance with their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spacing w:after="0" w:line="3" w:lineRule="exact"/>
        <w:rPr>
          <w:rFonts w:ascii="Arial" w:cs="Arial" w:eastAsia="Arial" w:hAnsi="Arial"/>
          <w:sz w:val="22"/>
          <w:szCs w:val="22"/>
          <w:color w:val="auto"/>
        </w:rPr>
      </w:pPr>
    </w:p>
    <w:p>
      <w:pPr>
        <w:jc w:val="both"/>
        <w:ind w:firstLine="1952"/>
        <w:spacing w:after="0" w:line="230" w:lineRule="auto"/>
        <w:tabs>
          <w:tab w:leader="none" w:pos="220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An order has been issued by the Minnesota Public Utilities Commission certifying the Company’s capital structure and authorizing the issuance and sale of the Notes, and to the best of our knowledge after such inquiry as we deem reasonable, said order is still in full force and effect; and no further approval, authorization, consent or order of any public board or body (other than in connection or in compliance with the provisions of the securities or “blue sky” laws of any jurisdiction) is legally required for the authorization of the issuance and sale of the Notes or, as of the date hereof, the performance of the Notes or the Agreement.</w:t>
      </w:r>
    </w:p>
    <w:p>
      <w:pPr>
        <w:spacing w:after="0" w:line="3" w:lineRule="exact"/>
        <w:rPr>
          <w:rFonts w:ascii="Arial" w:cs="Arial" w:eastAsia="Arial" w:hAnsi="Arial"/>
          <w:sz w:val="22"/>
          <w:szCs w:val="22"/>
          <w:color w:val="auto"/>
        </w:rPr>
      </w:pPr>
    </w:p>
    <w:p>
      <w:pPr>
        <w:ind w:firstLine="1952"/>
        <w:spacing w:after="0" w:line="241" w:lineRule="auto"/>
        <w:tabs>
          <w:tab w:leader="none" w:pos="2173" w:val="left"/>
        </w:tabs>
        <w:numPr>
          <w:ilvl w:val="1"/>
          <w:numId w:val="125"/>
        </w:numPr>
        <w:rPr>
          <w:rFonts w:ascii="Arial" w:cs="Arial" w:eastAsia="Arial" w:hAnsi="Arial"/>
          <w:sz w:val="21"/>
          <w:szCs w:val="21"/>
          <w:color w:val="auto"/>
        </w:rPr>
      </w:pPr>
      <w:r>
        <w:rPr>
          <w:rFonts w:ascii="Arial" w:cs="Arial" w:eastAsia="Arial" w:hAnsi="Arial"/>
          <w:sz w:val="21"/>
          <w:szCs w:val="21"/>
          <w:color w:val="auto"/>
        </w:rPr>
        <w:t>The execution, delivery and performance by the Company of the Agreement and the Notes do not and will not violate any provision of Regulations T, U or X of the Board of Governors of the Federal Reserve System.</w:t>
      </w:r>
    </w:p>
    <w:p>
      <w:pPr>
        <w:spacing w:after="0" w:line="1" w:lineRule="exact"/>
        <w:rPr>
          <w:rFonts w:ascii="Arial" w:cs="Arial" w:eastAsia="Arial" w:hAnsi="Arial"/>
          <w:sz w:val="21"/>
          <w:szCs w:val="21"/>
          <w:color w:val="auto"/>
        </w:rPr>
      </w:pPr>
    </w:p>
    <w:p>
      <w:pPr>
        <w:jc w:val="both"/>
        <w:ind w:firstLine="1952"/>
        <w:spacing w:after="0" w:line="230" w:lineRule="auto"/>
        <w:tabs>
          <w:tab w:leader="none" w:pos="2173"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It is not necessary, in connection with the sale of the Notes to the Purchasers by the Company, in the manner contemplated by the Agreement, to register the Notes under the Securities Act of 1933, as amended, or to qualify the Agreement under the Trust Indenture Act of 1939, as amended.</w:t>
      </w:r>
    </w:p>
    <w:p>
      <w:pPr>
        <w:spacing w:after="0" w:line="1" w:lineRule="exact"/>
        <w:rPr>
          <w:rFonts w:ascii="Arial" w:cs="Arial" w:eastAsia="Arial" w:hAnsi="Arial"/>
          <w:sz w:val="22"/>
          <w:szCs w:val="22"/>
          <w:color w:val="auto"/>
        </w:rPr>
      </w:pPr>
    </w:p>
    <w:p>
      <w:pPr>
        <w:ind w:firstLine="1952"/>
        <w:spacing w:after="0" w:line="230" w:lineRule="auto"/>
        <w:tabs>
          <w:tab w:leader="none" w:pos="216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Company is not an “investment company” or a company “controlled” by an “investment company” within the meaning of the Investment Company Act of 1940, as amended.</w:t>
      </w:r>
    </w:p>
    <w:p>
      <w:pPr>
        <w:spacing w:after="0" w:line="1" w:lineRule="exact"/>
        <w:rPr>
          <w:rFonts w:ascii="Arial" w:cs="Arial" w:eastAsia="Arial" w:hAnsi="Arial"/>
          <w:sz w:val="22"/>
          <w:szCs w:val="22"/>
          <w:color w:val="auto"/>
        </w:rPr>
      </w:pPr>
    </w:p>
    <w:p>
      <w:pPr>
        <w:jc w:val="both"/>
        <w:ind w:firstLine="1296"/>
        <w:spacing w:after="0" w:line="266" w:lineRule="auto"/>
        <w:rPr>
          <w:rFonts w:ascii="Arial" w:cs="Arial" w:eastAsia="Arial" w:hAnsi="Arial"/>
          <w:sz w:val="22"/>
          <w:szCs w:val="22"/>
          <w:color w:val="auto"/>
        </w:rPr>
      </w:pPr>
      <w:r>
        <w:rPr>
          <w:rFonts w:ascii="Arial" w:cs="Arial" w:eastAsia="Arial" w:hAnsi="Arial"/>
          <w:sz w:val="19"/>
          <w:szCs w:val="19"/>
          <w:color w:val="auto"/>
        </w:rPr>
        <w:t>This opinion is limited to the laws of the States of Minnesota and New York and the federal laws of the United States of America. As to all matters of Minnesota law, we have relied with your consent upon an opinion of even date herewith addressed to you by Margaret A. Thickens, Esq., Vice President, Chief Legal Officer and Corporate Secretary of the Company.</w:t>
      </w:r>
    </w:p>
    <w:p>
      <w:pPr>
        <w:spacing w:after="0" w:line="2" w:lineRule="exact"/>
        <w:rPr>
          <w:rFonts w:ascii="Arial" w:cs="Arial" w:eastAsia="Arial" w:hAnsi="Arial"/>
          <w:sz w:val="22"/>
          <w:szCs w:val="22"/>
          <w:color w:val="auto"/>
        </w:rPr>
      </w:pPr>
    </w:p>
    <w:p>
      <w:pPr>
        <w:jc w:val="both"/>
        <w:ind w:firstLine="1296"/>
        <w:spacing w:after="0" w:line="230" w:lineRule="auto"/>
        <w:rPr>
          <w:rFonts w:ascii="Arial" w:cs="Arial" w:eastAsia="Arial" w:hAnsi="Arial"/>
          <w:sz w:val="22"/>
          <w:szCs w:val="22"/>
          <w:color w:val="auto"/>
        </w:rPr>
      </w:pPr>
      <w:r>
        <w:rPr>
          <w:rFonts w:ascii="Arial" w:cs="Arial" w:eastAsia="Arial" w:hAnsi="Arial"/>
          <w:sz w:val="22"/>
          <w:szCs w:val="22"/>
          <w:color w:val="auto"/>
        </w:rPr>
        <w:t>The opinions expressed above are limited to the laws and facts in effect on the date hereof. We disclaim any obligation to advise you of facts, circumstances, events or developments which hereafter may be brought to our attention and which might alter, affect or modify the opinions expressed herein.</w:t>
      </w:r>
    </w:p>
    <w:p>
      <w:pPr>
        <w:spacing w:after="0" w:line="1" w:lineRule="exact"/>
        <w:rPr>
          <w:rFonts w:ascii="Arial" w:cs="Arial" w:eastAsia="Arial" w:hAnsi="Arial"/>
          <w:sz w:val="22"/>
          <w:szCs w:val="22"/>
          <w:color w:val="auto"/>
        </w:rPr>
      </w:pPr>
    </w:p>
    <w:p>
      <w:pPr>
        <w:jc w:val="both"/>
        <w:ind w:firstLine="1296"/>
        <w:spacing w:after="0" w:line="266" w:lineRule="auto"/>
        <w:rPr>
          <w:rFonts w:ascii="Arial" w:cs="Arial" w:eastAsia="Arial" w:hAnsi="Arial"/>
          <w:sz w:val="22"/>
          <w:szCs w:val="22"/>
          <w:color w:val="auto"/>
        </w:rPr>
      </w:pPr>
      <w:r>
        <w:rPr>
          <w:rFonts w:ascii="Arial" w:cs="Arial" w:eastAsia="Arial" w:hAnsi="Arial"/>
          <w:sz w:val="19"/>
          <w:szCs w:val="19"/>
          <w:color w:val="auto"/>
        </w:rPr>
        <w:t>The opinion is rendered to you in connection with the above-described transaction. This opinion may not be relied upon by you for any other purpose, or relied upon or furnished to any other Person, without our prior written consent, except that</w:t>
      </w:r>
    </w:p>
    <w:p>
      <w:pPr>
        <w:spacing w:after="0" w:line="1" w:lineRule="exact"/>
        <w:rPr>
          <w:rFonts w:ascii="Arial" w:cs="Arial" w:eastAsia="Arial" w:hAnsi="Arial"/>
          <w:sz w:val="22"/>
          <w:szCs w:val="22"/>
          <w:color w:val="auto"/>
        </w:rPr>
      </w:pPr>
    </w:p>
    <w:p>
      <w:pPr>
        <w:ind w:right="20" w:firstLine="8"/>
        <w:spacing w:after="0" w:line="266" w:lineRule="auto"/>
        <w:tabs>
          <w:tab w:leader="none" w:pos="26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this opinion may be reviewed by, but not relied upon by, applicable legal or regulatory bodies and proposed transferees of the Notes, and (ii) this opinion may be relied upon by transferees of the Notes as of the date of original delivery hereof.</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COHEN TAUBER SPIEVACK &amp; WAGNER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-20-</w:t>
            </w:r>
          </w:p>
        </w:tc>
      </w:tr>
    </w:tbl>
    <w:p>
      <w:pPr>
        <w:sectPr>
          <w:pgSz w:w="11900" w:h="16838" w:orient="portrait"/>
          <w:cols w:equalWidth="0" w:num="1">
            <w:col w:w="11240"/>
          </w:cols>
          <w:pgMar w:left="320" w:top="60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u w:val="single" w:color="auto"/>
          <w:color w:val="auto"/>
        </w:rPr>
        <w:t>EXHIBIT 4.4(c)</w:t>
      </w:r>
    </w:p>
    <w:p>
      <w:pPr>
        <w:jc w:val="center"/>
        <w:spacing w:after="0" w:line="230" w:lineRule="auto"/>
        <w:rPr>
          <w:sz w:val="20"/>
          <w:szCs w:val="20"/>
          <w:color w:val="auto"/>
        </w:rPr>
      </w:pPr>
      <w:r>
        <w:rPr>
          <w:rFonts w:ascii="Arial" w:cs="Arial" w:eastAsia="Arial" w:hAnsi="Arial"/>
          <w:sz w:val="22"/>
          <w:szCs w:val="22"/>
          <w:color w:val="auto"/>
        </w:rPr>
        <w:t>FORM OF OPINION OF CHAPMAN AND CUTLER LLP</w:t>
      </w:r>
    </w:p>
    <w:p>
      <w:pPr>
        <w:spacing w:after="0" w:line="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The closing opinion of Chapman and Cutler LLP, special counsel to the Purchasers, called for by Section 4.4(b) of the Note Purchase Agreement, shall be dated the date of Closing and addressed to each purchaser, shall be satisfactory in form and substance to the Purchasers and shall be to the effect that:</w:t>
      </w:r>
    </w:p>
    <w:p>
      <w:pPr>
        <w:spacing w:after="0" w:line="2" w:lineRule="exact"/>
        <w:rPr>
          <w:sz w:val="20"/>
          <w:szCs w:val="20"/>
          <w:color w:val="auto"/>
        </w:rPr>
      </w:pPr>
    </w:p>
    <w:p>
      <w:pPr>
        <w:jc w:val="both"/>
        <w:ind w:firstLine="656"/>
        <w:spacing w:after="0" w:line="230" w:lineRule="auto"/>
        <w:tabs>
          <w:tab w:leader="none" w:pos="89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Note Purchase Agreement and the Notes are enforceable in accordance with their respective terms (subject to bankruptcy, insolvency, fraudulent transfer, reorganization, moratorium and laws of general applicability relating to or affecting creditors’ rights and to general equity principles).</w:t>
      </w:r>
    </w:p>
    <w:p>
      <w:pPr>
        <w:spacing w:after="0" w:line="1" w:lineRule="exact"/>
        <w:rPr>
          <w:rFonts w:ascii="Arial" w:cs="Arial" w:eastAsia="Arial" w:hAnsi="Arial"/>
          <w:sz w:val="22"/>
          <w:szCs w:val="22"/>
          <w:color w:val="auto"/>
        </w:rPr>
      </w:pPr>
    </w:p>
    <w:p>
      <w:pPr>
        <w:jc w:val="both"/>
        <w:ind w:firstLine="656"/>
        <w:spacing w:after="0" w:line="234" w:lineRule="auto"/>
        <w:tabs>
          <w:tab w:leader="none" w:pos="864"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issuance, sale and delivery of the Notes under the circumstances contemplated by the Note Purchase Agreement do not, under existing law, require the registration of the Notes under the Securities Act of 1933, as amended, or the qualification of an indenture under the Trust Indenture Act of 1939, as amended.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spacing w:after="0"/>
              <w:rPr>
                <w:sz w:val="20"/>
                <w:szCs w:val="20"/>
                <w:color w:val="auto"/>
              </w:rPr>
            </w:pPr>
            <w:r>
              <w:rPr>
                <w:rFonts w:ascii="Arial" w:cs="Arial" w:eastAsia="Arial" w:hAnsi="Arial"/>
                <w:sz w:val="14"/>
                <w:szCs w:val="14"/>
                <w:color w:val="auto"/>
              </w:rPr>
              <w:t>{00423270.DOC; 10}</w:t>
            </w:r>
          </w:p>
        </w:tc>
        <w:tc>
          <w:tcPr>
            <w:tcW w:w="820" w:type="dxa"/>
            <w:vAlign w:val="bottom"/>
          </w:tcPr>
          <w:p>
            <w:pPr>
              <w:jc w:val="right"/>
              <w:spacing w:after="0"/>
              <w:rPr>
                <w:sz w:val="20"/>
                <w:szCs w:val="20"/>
                <w:color w:val="auto"/>
              </w:rPr>
            </w:pPr>
            <w:r>
              <w:rPr>
                <w:rFonts w:ascii="Arial" w:cs="Arial" w:eastAsia="Arial" w:hAnsi="Arial"/>
                <w:sz w:val="22"/>
                <w:szCs w:val="22"/>
                <w:color w:val="auto"/>
              </w:rPr>
              <w:t>-21-</w:t>
            </w:r>
          </w:p>
        </w:tc>
      </w:tr>
    </w:tbl>
    <w:p>
      <w:pPr>
        <w:sectPr>
          <w:pgSz w:w="11900" w:h="16838" w:orient="portrait"/>
          <w:cols w:equalWidth="0" w:num="1">
            <w:col w:w="11240"/>
          </w:cols>
          <w:pgMar w:left="320" w:top="612"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2929255</wp:posOffset>
            </wp:positionV>
            <wp:extent cx="698627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ALLETE, Inc</w:t>
      </w:r>
      <w:r>
        <w:rPr>
          <w:rFonts w:ascii="Arial" w:cs="Arial" w:eastAsia="Arial" w:hAnsi="Arial"/>
          <w:sz w:val="19"/>
          <w:szCs w:val="19"/>
          <w:b w:val="1"/>
          <w:bCs w:val="1"/>
          <w:color w:val="auto"/>
        </w:rPr>
        <w:t>.</w:t>
      </w:r>
    </w:p>
    <w:p>
      <w:pPr>
        <w:ind w:left="2540"/>
        <w:spacing w:after="0"/>
        <w:rPr>
          <w:sz w:val="20"/>
          <w:szCs w:val="20"/>
          <w:color w:val="auto"/>
        </w:rPr>
      </w:pPr>
      <w:r>
        <w:rPr>
          <w:rFonts w:ascii="Arial" w:cs="Arial" w:eastAsia="Arial" w:hAnsi="Arial"/>
          <w:sz w:val="20"/>
          <w:szCs w:val="20"/>
          <w:b w:val="1"/>
          <w:bCs w:val="1"/>
          <w:color w:val="auto"/>
        </w:rPr>
        <w:t>(formerly Minnesota Power &amp; Light Company</w:t>
      </w:r>
    </w:p>
    <w:p>
      <w:pPr>
        <w:spacing w:after="0" w:line="86"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and formerly Minnesota Power, Inc.)</w:t>
      </w:r>
    </w:p>
    <w:p>
      <w:pPr>
        <w:spacing w:after="0" w:line="22"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TO</w:t>
      </w:r>
    </w:p>
    <w:p>
      <w:pPr>
        <w:spacing w:after="0" w:line="86"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THE BANK OF NEW YORK MELLON</w:t>
      </w:r>
    </w:p>
    <w:p>
      <w:pPr>
        <w:ind w:left="3100"/>
        <w:spacing w:after="0" w:line="233" w:lineRule="auto"/>
        <w:rPr>
          <w:sz w:val="20"/>
          <w:szCs w:val="20"/>
          <w:color w:val="auto"/>
        </w:rPr>
      </w:pPr>
      <w:r>
        <w:rPr>
          <w:rFonts w:ascii="Arial" w:cs="Arial" w:eastAsia="Arial" w:hAnsi="Arial"/>
          <w:sz w:val="20"/>
          <w:szCs w:val="20"/>
          <w:b w:val="1"/>
          <w:bCs w:val="1"/>
          <w:color w:val="auto"/>
        </w:rPr>
        <w:t>(formerly The Bank of New York</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(formerly Irving Trust Company))</w:t>
      </w:r>
    </w:p>
    <w:p>
      <w:pPr>
        <w:spacing w:after="0" w:line="8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AND</w:t>
      </w:r>
    </w:p>
    <w:p>
      <w:pPr>
        <w:spacing w:after="0" w:line="94"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Andres Serrano</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(successor to Richard H. West, J. A. Austin, E. J. McCabe, D. W. May, J. A. Vaughan,</w:t>
      </w:r>
    </w:p>
    <w:p>
      <w:pPr>
        <w:spacing w:after="0" w:line="1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W. T. Cunningham, Douglas J. MacInnes, Ming Ryan, and Philip L. Watson)</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As Trustees under ALLETE, Inc.’s Mortgage and Deed of Trust dated as of September 1, 1945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99695</wp:posOffset>
            </wp:positionV>
            <wp:extent cx="69862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31"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Forty-first Supplemental Indenture</w:t>
      </w:r>
    </w:p>
    <w:p>
      <w:pPr>
        <w:spacing w:after="0" w:line="108"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Providing, among other things, for</w:t>
      </w:r>
    </w:p>
    <w:p>
      <w:pPr>
        <w:spacing w:after="0" w:line="35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First Mortgage Bonds, 2.50% Series due August 1, 2030</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(Sixtieth Series),</w:t>
      </w:r>
    </w:p>
    <w:p>
      <w:pPr>
        <w:jc w:val="center"/>
        <w:ind w:right="1120"/>
        <w:spacing w:after="0"/>
        <w:rPr>
          <w:sz w:val="20"/>
          <w:szCs w:val="20"/>
          <w:color w:val="auto"/>
        </w:rPr>
      </w:pPr>
      <w:r>
        <w:rPr>
          <w:rFonts w:ascii="Arial" w:cs="Arial" w:eastAsia="Arial" w:hAnsi="Arial"/>
          <w:sz w:val="20"/>
          <w:szCs w:val="20"/>
          <w:b w:val="1"/>
          <w:bCs w:val="1"/>
          <w:color w:val="auto"/>
        </w:rPr>
        <w:t>And</w:t>
      </w:r>
    </w:p>
    <w:p>
      <w:pPr>
        <w:spacing w:after="0" w:line="86"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First Mortgage Bonds, 3.30% Series due August 1, 2050</w:t>
      </w:r>
    </w:p>
    <w:p>
      <w:pPr>
        <w:spacing w:after="0" w:line="2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(Sixty-first Series)</w:t>
      </w:r>
    </w:p>
    <w:p>
      <w:pPr>
        <w:spacing w:after="0" w:line="200" w:lineRule="exact"/>
        <w:rPr>
          <w:sz w:val="20"/>
          <w:szCs w:val="20"/>
          <w:color w:val="auto"/>
        </w:rPr>
      </w:pPr>
    </w:p>
    <w:p>
      <w:pPr>
        <w:spacing w:after="0" w:line="229" w:lineRule="exact"/>
        <w:rPr>
          <w:sz w:val="20"/>
          <w:szCs w:val="20"/>
          <w:color w:val="auto"/>
        </w:rPr>
      </w:pPr>
    </w:p>
    <w:p>
      <w:pPr>
        <w:ind w:left="3400"/>
        <w:spacing w:after="0"/>
        <w:rPr>
          <w:sz w:val="20"/>
          <w:szCs w:val="20"/>
          <w:color w:val="auto"/>
        </w:rPr>
      </w:pPr>
      <w:r>
        <w:rPr>
          <w:rFonts w:ascii="Arial" w:cs="Arial" w:eastAsia="Arial" w:hAnsi="Arial"/>
          <w:sz w:val="20"/>
          <w:szCs w:val="20"/>
          <w:b w:val="1"/>
          <w:bCs w:val="1"/>
          <w:i w:val="1"/>
          <w:iCs w:val="1"/>
          <w:color w:val="auto"/>
        </w:rPr>
        <w:t>Dated as of August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516255</wp:posOffset>
            </wp:positionV>
            <wp:extent cx="698627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0"/>
          <w:szCs w:val="20"/>
          <w:b w:val="1"/>
          <w:bCs w:val="1"/>
          <w:color w:val="auto"/>
        </w:rPr>
        <w:t>FORTY-FIRST SUPPLEMENTAL INDENTURE</w:t>
      </w:r>
    </w:p>
    <w:p>
      <w:pPr>
        <w:spacing w:after="0" w:line="18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9"/>
          <w:szCs w:val="19"/>
          <w:b w:val="1"/>
          <w:bCs w:val="1"/>
          <w:color w:val="auto"/>
        </w:rPr>
        <w:t xml:space="preserve">THIS INDENTURE, </w:t>
      </w:r>
      <w:r>
        <w:rPr>
          <w:rFonts w:ascii="Arial" w:cs="Arial" w:eastAsia="Arial" w:hAnsi="Arial"/>
          <w:sz w:val="19"/>
          <w:szCs w:val="19"/>
          <w:color w:val="auto"/>
        </w:rPr>
        <w:t>dated as of August 1, 2020, by and between ALLETE, Inc. (formerly Minnesota Power &amp; Light Company and</w:t>
      </w:r>
      <w:r>
        <w:rPr>
          <w:rFonts w:ascii="Arial" w:cs="Arial" w:eastAsia="Arial" w:hAnsi="Arial"/>
          <w:sz w:val="19"/>
          <w:szCs w:val="19"/>
          <w:b w:val="1"/>
          <w:bCs w:val="1"/>
          <w:color w:val="auto"/>
        </w:rPr>
        <w:t xml:space="preserve"> </w:t>
      </w:r>
      <w:r>
        <w:rPr>
          <w:rFonts w:ascii="Arial" w:cs="Arial" w:eastAsia="Arial" w:hAnsi="Arial"/>
          <w:sz w:val="19"/>
          <w:szCs w:val="19"/>
          <w:color w:val="auto"/>
        </w:rPr>
        <w:t>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240 Greenwich Street, New York, New York 10286 (hereinafter sometimes called the “Corporate Trustee”), and Andres Serrano (successor to Richard H. West, J. A. Austin, E. J. McCabe, D. W. May, J. A. Vaughan, W. T. Cunningham, Douglas J. MacInnes, Ming Ryan and Philip L. Watson), whose post office address is c/o The Bank of New York Mellon, 240 Greenwich Street, New York, New York 10286 (said Andres Serrano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“Forty-first Supplemental Indenture”) being supplemental thereto:</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189"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6"/>
          <w:szCs w:val="16"/>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8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69"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6"/>
          <w:szCs w:val="16"/>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84"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2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9" w:right="339" w:bottom="1440" w:gutter="0" w:footer="0" w:header="0"/>
        </w:sectPr>
      </w:pPr>
    </w:p>
    <w:bookmarkStart w:id="133" w:name="page134"/>
    <w:bookmarkEnd w:id="133"/>
    <w:p>
      <w:pPr>
        <w:jc w:val="both"/>
        <w:ind w:firstLine="648"/>
        <w:spacing w:after="0" w:line="236"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pacing w:after="0" w:line="16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w:t>
      </w:r>
    </w:p>
    <w:p>
      <w:pPr>
        <w:spacing w:after="0" w:line="17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Whereas, an instrument, dated as of July 31, 2015, was executed and delivered under which Andres Serrano in turn succeeded Philip L. Watson as Co-Trustee under the Mortgage effective at the close of business on August 14, 2015, and such instrument was filed and recorded in various official records in the State of Minnesota; and</w:t>
      </w:r>
    </w:p>
    <w:p>
      <w:pPr>
        <w:spacing w:after="0" w:line="17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5"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20"/>
                <w:szCs w:val="20"/>
                <w:b w:val="1"/>
                <w:bCs w:val="1"/>
                <w:color w:val="auto"/>
              </w:rPr>
              <w:t>Designation</w:t>
            </w:r>
          </w:p>
        </w:tc>
        <w:tc>
          <w:tcPr>
            <w:tcW w:w="3760" w:type="dxa"/>
            <w:vAlign w:val="bottom"/>
            <w:gridSpan w:val="3"/>
          </w:tcPr>
          <w:p>
            <w:pPr>
              <w:ind w:left="2260"/>
              <w:spacing w:after="0"/>
              <w:rPr>
                <w:sz w:val="20"/>
                <w:szCs w:val="20"/>
                <w:color w:val="auto"/>
              </w:rPr>
            </w:pPr>
            <w:r>
              <w:rPr>
                <w:rFonts w:ascii="Arial" w:cs="Arial" w:eastAsia="Arial" w:hAnsi="Arial"/>
                <w:sz w:val="20"/>
                <w:szCs w:val="20"/>
                <w:b w:val="1"/>
                <w:bCs w:val="1"/>
                <w:color w:val="auto"/>
              </w:rPr>
              <w:t>Dated as of</w:t>
            </w:r>
          </w:p>
        </w:tc>
      </w:tr>
      <w:tr>
        <w:trPr>
          <w:trHeight w:val="20"/>
        </w:trPr>
        <w:tc>
          <w:tcPr>
            <w:tcW w:w="10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0"/>
        </w:trPr>
        <w:tc>
          <w:tcPr>
            <w:tcW w:w="5500" w:type="dxa"/>
            <w:vAlign w:val="bottom"/>
            <w:gridSpan w:val="2"/>
          </w:tcPr>
          <w:p>
            <w:pPr>
              <w:spacing w:after="0"/>
              <w:rPr>
                <w:sz w:val="20"/>
                <w:szCs w:val="20"/>
                <w:color w:val="auto"/>
              </w:rPr>
            </w:pPr>
            <w:r>
              <w:rPr>
                <w:rFonts w:ascii="Arial" w:cs="Arial" w:eastAsia="Arial" w:hAnsi="Arial"/>
                <w:sz w:val="20"/>
                <w:szCs w:val="20"/>
                <w:color w:val="auto"/>
              </w:rPr>
              <w:t>First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March 1, 1949</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Second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July 1, 1951</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Third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March 1, 1957</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Fourth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January 1, 1968</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Fifth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April 1, 1971</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Sixth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August 1, 1975</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Seventh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86"/>
              </w:rPr>
              <w:t>September 1, 1976</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Eighth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86"/>
              </w:rPr>
              <w:t>September 1, 1977</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Ninth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April 1, 1978</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August 1, 1978</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Eleventh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89"/>
              </w:rPr>
              <w:t>December 1, 1982</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Twelfth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April 1, 1987</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Thirteenth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March 1, 1992</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Fourteenth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June 1, 1992</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Fifteenth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July 1, 1992</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Sixteenth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July 1, 1992</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Seventeenth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97"/>
              </w:rPr>
              <w:t>February 1, 1993</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Eighteenth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July 1, 1993</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Nineteenth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97"/>
              </w:rPr>
              <w:t>February 1, 1997</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Twentieth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89"/>
              </w:rPr>
              <w:t>November 1, 1997</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Twenty-first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October 1, 2000</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Twenty-second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July 1, 2003</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Twenty-third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August 1, 2004</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Twenty-fourth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March 1, 2005</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Twenty-fifth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89"/>
              </w:rPr>
              <w:t>December 1, 2005</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Twenty-sixth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October 1, 2006</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Twenty-seventh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97"/>
              </w:rPr>
              <w:t>February 1, 2008</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Twenty-eighth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May 1, 2008</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Twenty-ninth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89"/>
              </w:rPr>
              <w:t>November 1, 2008</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Thirtieth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January 1, 2009</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Thirty-first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97"/>
              </w:rPr>
              <w:t>February 1, 2010</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Thirty-second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August 1, 2010</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Thirty-third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July 1, 2012</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Thirty-fourth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April 1, 2013</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Thirty-fifth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March 1, 2014</w:t>
            </w:r>
          </w:p>
        </w:tc>
      </w:tr>
      <w:tr>
        <w:trPr>
          <w:trHeight w:val="243"/>
        </w:trPr>
        <w:tc>
          <w:tcPr>
            <w:tcW w:w="5500" w:type="dxa"/>
            <w:vAlign w:val="bottom"/>
            <w:gridSpan w:val="2"/>
          </w:tcPr>
          <w:p>
            <w:pPr>
              <w:spacing w:after="0"/>
              <w:rPr>
                <w:sz w:val="20"/>
                <w:szCs w:val="20"/>
                <w:color w:val="auto"/>
              </w:rPr>
            </w:pPr>
            <w:r>
              <w:rPr>
                <w:rFonts w:ascii="Arial" w:cs="Arial" w:eastAsia="Arial" w:hAnsi="Arial"/>
                <w:sz w:val="20"/>
                <w:szCs w:val="20"/>
                <w:color w:val="auto"/>
              </w:rPr>
              <w:t>Thirty-sixth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June 1, 2014</w:t>
            </w:r>
          </w:p>
        </w:tc>
      </w:tr>
      <w:tr>
        <w:trPr>
          <w:trHeight w:val="250"/>
        </w:trPr>
        <w:tc>
          <w:tcPr>
            <w:tcW w:w="5500" w:type="dxa"/>
            <w:vAlign w:val="bottom"/>
            <w:gridSpan w:val="2"/>
          </w:tcPr>
          <w:p>
            <w:pPr>
              <w:spacing w:after="0"/>
              <w:rPr>
                <w:sz w:val="20"/>
                <w:szCs w:val="20"/>
                <w:color w:val="auto"/>
              </w:rPr>
            </w:pPr>
            <w:r>
              <w:rPr>
                <w:rFonts w:ascii="Arial" w:cs="Arial" w:eastAsia="Arial" w:hAnsi="Arial"/>
                <w:sz w:val="20"/>
                <w:szCs w:val="20"/>
                <w:color w:val="auto"/>
              </w:rPr>
              <w:t>Thirty-seventh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86"/>
              </w:rPr>
              <w:t>September 1, 2014</w:t>
            </w:r>
          </w:p>
        </w:tc>
      </w:tr>
      <w:tr>
        <w:trPr>
          <w:trHeight w:val="236"/>
        </w:trPr>
        <w:tc>
          <w:tcPr>
            <w:tcW w:w="5500" w:type="dxa"/>
            <w:vAlign w:val="bottom"/>
            <w:gridSpan w:val="2"/>
          </w:tcPr>
          <w:p>
            <w:pPr>
              <w:spacing w:after="0"/>
              <w:rPr>
                <w:sz w:val="20"/>
                <w:szCs w:val="20"/>
                <w:color w:val="auto"/>
              </w:rPr>
            </w:pPr>
            <w:r>
              <w:rPr>
                <w:rFonts w:ascii="Arial" w:cs="Arial" w:eastAsia="Arial" w:hAnsi="Arial"/>
                <w:sz w:val="20"/>
                <w:szCs w:val="20"/>
                <w:color w:val="auto"/>
              </w:rPr>
              <w:t>Thirty-eighth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w w:val="86"/>
              </w:rPr>
              <w:t>September 1, 2015</w:t>
            </w:r>
          </w:p>
        </w:tc>
      </w:tr>
      <w:tr>
        <w:trPr>
          <w:trHeight w:val="229"/>
        </w:trPr>
        <w:tc>
          <w:tcPr>
            <w:tcW w:w="5500" w:type="dxa"/>
            <w:vAlign w:val="bottom"/>
            <w:gridSpan w:val="2"/>
          </w:tcPr>
          <w:p>
            <w:pPr>
              <w:spacing w:after="0"/>
              <w:rPr>
                <w:sz w:val="20"/>
                <w:szCs w:val="20"/>
                <w:color w:val="auto"/>
              </w:rPr>
            </w:pPr>
            <w:r>
              <w:rPr>
                <w:rFonts w:ascii="Arial" w:cs="Arial" w:eastAsia="Arial" w:hAnsi="Arial"/>
                <w:sz w:val="20"/>
                <w:szCs w:val="20"/>
                <w:color w:val="auto"/>
              </w:rPr>
              <w:t>Thirty-ninth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April 1, 2018</w:t>
            </w:r>
          </w:p>
        </w:tc>
      </w:tr>
      <w:tr>
        <w:trPr>
          <w:trHeight w:val="250"/>
        </w:trPr>
        <w:tc>
          <w:tcPr>
            <w:tcW w:w="5500" w:type="dxa"/>
            <w:vAlign w:val="bottom"/>
            <w:gridSpan w:val="2"/>
          </w:tcPr>
          <w:p>
            <w:pPr>
              <w:spacing w:after="0"/>
              <w:rPr>
                <w:sz w:val="20"/>
                <w:szCs w:val="20"/>
                <w:color w:val="auto"/>
              </w:rPr>
            </w:pPr>
            <w:r>
              <w:rPr>
                <w:rFonts w:ascii="Arial" w:cs="Arial" w:eastAsia="Arial" w:hAnsi="Arial"/>
                <w:sz w:val="20"/>
                <w:szCs w:val="20"/>
                <w:color w:val="auto"/>
              </w:rPr>
              <w:t>Fortieth Supplemental Indenture</w:t>
            </w:r>
          </w:p>
        </w:tc>
        <w:tc>
          <w:tcPr>
            <w:tcW w:w="3760" w:type="dxa"/>
            <w:vAlign w:val="bottom"/>
            <w:gridSpan w:val="3"/>
          </w:tcPr>
          <w:p>
            <w:pPr>
              <w:ind w:left="2260"/>
              <w:spacing w:after="0"/>
              <w:rPr>
                <w:sz w:val="20"/>
                <w:szCs w:val="20"/>
                <w:color w:val="auto"/>
              </w:rPr>
            </w:pPr>
            <w:r>
              <w:rPr>
                <w:rFonts w:ascii="Arial" w:cs="Arial" w:eastAsia="Arial" w:hAnsi="Arial"/>
                <w:sz w:val="20"/>
                <w:szCs w:val="20"/>
                <w:color w:val="auto"/>
              </w:rPr>
              <w:t>March 1,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19"/>
          </w:cols>
          <w:pgMar w:left="340" w:top="1435" w:right="1440"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which supplemental indentures were filed and recorded in various official records in the State of Minnesota; and</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2080" w:type="dxa"/>
            <w:vAlign w:val="bottom"/>
            <w:gridSpan w:val="2"/>
          </w:tcPr>
          <w:p>
            <w:pPr>
              <w:ind w:left="640"/>
              <w:spacing w:after="0"/>
              <w:rPr>
                <w:sz w:val="20"/>
                <w:szCs w:val="20"/>
                <w:color w:val="auto"/>
              </w:rPr>
            </w:pPr>
            <w:r>
              <w:rPr>
                <w:rFonts w:ascii="Arial" w:cs="Arial" w:eastAsia="Arial" w:hAnsi="Arial"/>
                <w:sz w:val="20"/>
                <w:szCs w:val="20"/>
                <w:b w:val="1"/>
                <w:bCs w:val="1"/>
                <w:color w:val="auto"/>
              </w:rPr>
              <w:t>Principal</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b w:val="1"/>
                <w:bCs w:val="1"/>
                <w:color w:val="auto"/>
                <w:w w:val="92"/>
              </w:rPr>
              <w:t>Principal</w:t>
            </w:r>
          </w:p>
        </w:tc>
      </w:tr>
      <w:tr>
        <w:trPr>
          <w:trHeight w:val="419"/>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20"/>
                <w:szCs w:val="20"/>
                <w:b w:val="1"/>
                <w:bCs w:val="1"/>
                <w:color w:val="auto"/>
              </w:rPr>
              <w:t>Amount</w:t>
            </w:r>
          </w:p>
        </w:tc>
        <w:tc>
          <w:tcPr>
            <w:tcW w:w="1420" w:type="dxa"/>
            <w:vAlign w:val="bottom"/>
            <w:gridSpan w:val="2"/>
          </w:tcPr>
          <w:p>
            <w:pPr>
              <w:spacing w:after="0"/>
              <w:rPr>
                <w:sz w:val="20"/>
                <w:szCs w:val="20"/>
                <w:color w:val="auto"/>
              </w:rPr>
            </w:pPr>
            <w:r>
              <w:rPr>
                <w:rFonts w:ascii="Arial" w:cs="Arial" w:eastAsia="Arial" w:hAnsi="Arial"/>
                <w:sz w:val="20"/>
                <w:szCs w:val="20"/>
                <w:b w:val="1"/>
                <w:bCs w:val="1"/>
                <w:color w:val="auto"/>
              </w:rPr>
              <w:t>Amount</w:t>
            </w:r>
          </w:p>
        </w:tc>
      </w:tr>
      <w:tr>
        <w:trPr>
          <w:trHeight w:val="212"/>
        </w:trPr>
        <w:tc>
          <w:tcPr>
            <w:tcW w:w="540" w:type="dxa"/>
            <w:vAlign w:val="bottom"/>
            <w:gridSpan w:val="2"/>
          </w:tcPr>
          <w:p>
            <w:pPr>
              <w:spacing w:after="0" w:line="206" w:lineRule="exact"/>
              <w:rPr>
                <w:sz w:val="20"/>
                <w:szCs w:val="20"/>
                <w:color w:val="auto"/>
              </w:rPr>
            </w:pPr>
            <w:r>
              <w:rPr>
                <w:rFonts w:ascii="Arial" w:cs="Arial" w:eastAsia="Arial" w:hAnsi="Arial"/>
                <w:sz w:val="20"/>
                <w:szCs w:val="20"/>
                <w:b w:val="1"/>
                <w:bCs w:val="1"/>
                <w:color w:val="auto"/>
                <w:w w:val="86"/>
              </w:rPr>
              <w:t>Series</w:t>
            </w:r>
          </w:p>
        </w:tc>
        <w:tc>
          <w:tcPr>
            <w:tcW w:w="6400" w:type="dxa"/>
            <w:vAlign w:val="bottom"/>
          </w:tcPr>
          <w:p>
            <w:pPr>
              <w:spacing w:after="0"/>
              <w:rPr>
                <w:sz w:val="18"/>
                <w:szCs w:val="18"/>
                <w:color w:val="auto"/>
              </w:rPr>
            </w:pPr>
          </w:p>
        </w:tc>
        <w:tc>
          <w:tcPr>
            <w:tcW w:w="740" w:type="dxa"/>
            <w:vAlign w:val="bottom"/>
            <w:tcBorders>
              <w:bottom w:val="single" w:sz="8" w:color="auto"/>
            </w:tcBorders>
          </w:tcPr>
          <w:p>
            <w:pPr>
              <w:ind w:left="100"/>
              <w:spacing w:after="0" w:line="192" w:lineRule="exact"/>
              <w:rPr>
                <w:sz w:val="20"/>
                <w:szCs w:val="20"/>
                <w:color w:val="auto"/>
              </w:rPr>
            </w:pPr>
            <w:r>
              <w:rPr>
                <w:rFonts w:ascii="Arial" w:cs="Arial" w:eastAsia="Arial" w:hAnsi="Arial"/>
                <w:sz w:val="20"/>
                <w:szCs w:val="20"/>
                <w:b w:val="1"/>
                <w:bCs w:val="1"/>
                <w:color w:val="auto"/>
                <w:w w:val="97"/>
              </w:rPr>
              <w:t>Issued</w:t>
            </w:r>
          </w:p>
        </w:tc>
        <w:tc>
          <w:tcPr>
            <w:tcW w:w="1340" w:type="dxa"/>
            <w:vAlign w:val="bottom"/>
          </w:tcPr>
          <w:p>
            <w:pPr>
              <w:spacing w:after="0"/>
              <w:rPr>
                <w:sz w:val="18"/>
                <w:szCs w:val="18"/>
                <w:color w:val="auto"/>
              </w:rPr>
            </w:pPr>
          </w:p>
        </w:tc>
        <w:tc>
          <w:tcPr>
            <w:tcW w:w="1060" w:type="dxa"/>
            <w:vAlign w:val="bottom"/>
            <w:tcBorders>
              <w:bottom w:val="single" w:sz="8" w:color="auto"/>
            </w:tcBorders>
          </w:tcPr>
          <w:p>
            <w:pPr>
              <w:spacing w:after="0" w:line="192" w:lineRule="exact"/>
              <w:rPr>
                <w:sz w:val="20"/>
                <w:szCs w:val="20"/>
                <w:color w:val="auto"/>
              </w:rPr>
            </w:pPr>
            <w:r>
              <w:rPr>
                <w:rFonts w:ascii="Arial" w:cs="Arial" w:eastAsia="Arial" w:hAnsi="Arial"/>
                <w:sz w:val="20"/>
                <w:szCs w:val="20"/>
                <w:b w:val="1"/>
                <w:bCs w:val="1"/>
                <w:color w:val="auto"/>
                <w:w w:val="88"/>
              </w:rPr>
              <w:t>Outstanding</w:t>
            </w:r>
          </w:p>
        </w:tc>
        <w:tc>
          <w:tcPr>
            <w:tcW w:w="360" w:type="dxa"/>
            <w:vAlign w:val="bottom"/>
          </w:tcPr>
          <w:p>
            <w:pPr>
              <w:spacing w:after="0"/>
              <w:rPr>
                <w:sz w:val="18"/>
                <w:szCs w:val="18"/>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7"/>
        </w:trPr>
        <w:tc>
          <w:tcPr>
            <w:tcW w:w="6940" w:type="dxa"/>
            <w:vAlign w:val="bottom"/>
            <w:gridSpan w:val="3"/>
          </w:tcPr>
          <w:p>
            <w:pPr>
              <w:spacing w:after="0"/>
              <w:rPr>
                <w:sz w:val="20"/>
                <w:szCs w:val="20"/>
                <w:color w:val="auto"/>
              </w:rPr>
            </w:pPr>
            <w:r>
              <w:rPr>
                <w:rFonts w:ascii="Arial" w:cs="Arial" w:eastAsia="Arial" w:hAnsi="Arial"/>
                <w:sz w:val="20"/>
                <w:szCs w:val="20"/>
                <w:color w:val="auto"/>
              </w:rPr>
              <w:t>3-1/8% Series due 1975</w:t>
            </w:r>
          </w:p>
        </w:tc>
        <w:tc>
          <w:tcPr>
            <w:tcW w:w="2080" w:type="dxa"/>
            <w:vAlign w:val="bottom"/>
            <w:gridSpan w:val="2"/>
          </w:tcPr>
          <w:p>
            <w:pPr>
              <w:spacing w:after="0"/>
              <w:rPr>
                <w:sz w:val="20"/>
                <w:szCs w:val="20"/>
                <w:color w:val="auto"/>
              </w:rPr>
            </w:pPr>
            <w:r>
              <w:rPr>
                <w:rFonts w:ascii="Arial" w:cs="Arial" w:eastAsia="Arial" w:hAnsi="Arial"/>
                <w:sz w:val="20"/>
                <w:szCs w:val="20"/>
                <w:color w:val="auto"/>
              </w:rPr>
              <w:t>$26,000,000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3-1/8% Series due 1979</w:t>
            </w:r>
          </w:p>
        </w:tc>
        <w:tc>
          <w:tcPr>
            <w:tcW w:w="2080" w:type="dxa"/>
            <w:vAlign w:val="bottom"/>
            <w:gridSpan w:val="2"/>
          </w:tcPr>
          <w:p>
            <w:pPr>
              <w:spacing w:after="0"/>
              <w:rPr>
                <w:sz w:val="20"/>
                <w:szCs w:val="20"/>
                <w:color w:val="auto"/>
              </w:rPr>
            </w:pPr>
            <w:r>
              <w:rPr>
                <w:rFonts w:ascii="Arial" w:cs="Arial" w:eastAsia="Arial" w:hAnsi="Arial"/>
                <w:sz w:val="20"/>
                <w:szCs w:val="20"/>
                <w:color w:val="auto"/>
              </w:rPr>
              <w:t>4,000,000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3-5/8% Series due 1981</w:t>
            </w:r>
          </w:p>
        </w:tc>
        <w:tc>
          <w:tcPr>
            <w:tcW w:w="2080" w:type="dxa"/>
            <w:vAlign w:val="bottom"/>
            <w:gridSpan w:val="2"/>
          </w:tcPr>
          <w:p>
            <w:pPr>
              <w:spacing w:after="0"/>
              <w:rPr>
                <w:sz w:val="20"/>
                <w:szCs w:val="20"/>
                <w:color w:val="auto"/>
              </w:rPr>
            </w:pPr>
            <w:r>
              <w:rPr>
                <w:rFonts w:ascii="Arial" w:cs="Arial" w:eastAsia="Arial" w:hAnsi="Arial"/>
                <w:sz w:val="20"/>
                <w:szCs w:val="20"/>
                <w:color w:val="auto"/>
              </w:rPr>
              <w:t>10,000,000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4-3/4% Series due 1987</w:t>
            </w:r>
          </w:p>
        </w:tc>
        <w:tc>
          <w:tcPr>
            <w:tcW w:w="2080" w:type="dxa"/>
            <w:vAlign w:val="bottom"/>
            <w:gridSpan w:val="2"/>
          </w:tcPr>
          <w:p>
            <w:pPr>
              <w:spacing w:after="0"/>
              <w:rPr>
                <w:sz w:val="20"/>
                <w:szCs w:val="20"/>
                <w:color w:val="auto"/>
              </w:rPr>
            </w:pPr>
            <w:r>
              <w:rPr>
                <w:rFonts w:ascii="Arial" w:cs="Arial" w:eastAsia="Arial" w:hAnsi="Arial"/>
                <w:sz w:val="20"/>
                <w:szCs w:val="20"/>
                <w:color w:val="auto"/>
              </w:rPr>
              <w:t>12,000,000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6-1/2% Series due 1998</w:t>
            </w:r>
          </w:p>
        </w:tc>
        <w:tc>
          <w:tcPr>
            <w:tcW w:w="2080" w:type="dxa"/>
            <w:vAlign w:val="bottom"/>
            <w:gridSpan w:val="2"/>
          </w:tcPr>
          <w:p>
            <w:pPr>
              <w:spacing w:after="0"/>
              <w:rPr>
                <w:sz w:val="20"/>
                <w:szCs w:val="20"/>
                <w:color w:val="auto"/>
              </w:rPr>
            </w:pPr>
            <w:r>
              <w:rPr>
                <w:rFonts w:ascii="Arial" w:cs="Arial" w:eastAsia="Arial" w:hAnsi="Arial"/>
                <w:sz w:val="20"/>
                <w:szCs w:val="20"/>
                <w:color w:val="auto"/>
              </w:rPr>
              <w:t>18,000,000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8 1/8% Series due 2001</w:t>
            </w:r>
          </w:p>
        </w:tc>
        <w:tc>
          <w:tcPr>
            <w:tcW w:w="2080" w:type="dxa"/>
            <w:vAlign w:val="bottom"/>
            <w:gridSpan w:val="2"/>
          </w:tcPr>
          <w:p>
            <w:pPr>
              <w:spacing w:after="0"/>
              <w:rPr>
                <w:sz w:val="20"/>
                <w:szCs w:val="20"/>
                <w:color w:val="auto"/>
              </w:rPr>
            </w:pPr>
            <w:r>
              <w:rPr>
                <w:rFonts w:ascii="Arial" w:cs="Arial" w:eastAsia="Arial" w:hAnsi="Arial"/>
                <w:sz w:val="20"/>
                <w:szCs w:val="20"/>
                <w:color w:val="auto"/>
              </w:rPr>
              <w:t>23,000,000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10 1/2% Series due 2005</w:t>
            </w:r>
          </w:p>
        </w:tc>
        <w:tc>
          <w:tcPr>
            <w:tcW w:w="2080" w:type="dxa"/>
            <w:vAlign w:val="bottom"/>
            <w:gridSpan w:val="2"/>
          </w:tcPr>
          <w:p>
            <w:pPr>
              <w:spacing w:after="0"/>
              <w:rPr>
                <w:sz w:val="20"/>
                <w:szCs w:val="20"/>
                <w:color w:val="auto"/>
              </w:rPr>
            </w:pPr>
            <w:r>
              <w:rPr>
                <w:rFonts w:ascii="Arial" w:cs="Arial" w:eastAsia="Arial" w:hAnsi="Arial"/>
                <w:sz w:val="20"/>
                <w:szCs w:val="20"/>
                <w:color w:val="auto"/>
              </w:rPr>
              <w:t>35,000,000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8.70%</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2006</w:t>
            </w:r>
          </w:p>
        </w:tc>
        <w:tc>
          <w:tcPr>
            <w:tcW w:w="2080" w:type="dxa"/>
            <w:vAlign w:val="bottom"/>
            <w:gridSpan w:val="2"/>
          </w:tcPr>
          <w:p>
            <w:pPr>
              <w:spacing w:after="0"/>
              <w:rPr>
                <w:sz w:val="20"/>
                <w:szCs w:val="20"/>
                <w:color w:val="auto"/>
              </w:rPr>
            </w:pPr>
            <w:r>
              <w:rPr>
                <w:rFonts w:ascii="Arial" w:cs="Arial" w:eastAsia="Arial" w:hAnsi="Arial"/>
                <w:sz w:val="20"/>
                <w:szCs w:val="20"/>
                <w:color w:val="auto"/>
              </w:rPr>
              <w:t>35,000,000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8.35%</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2007</w:t>
            </w:r>
          </w:p>
        </w:tc>
        <w:tc>
          <w:tcPr>
            <w:tcW w:w="2080" w:type="dxa"/>
            <w:vAlign w:val="bottom"/>
            <w:gridSpan w:val="2"/>
          </w:tcPr>
          <w:p>
            <w:pPr>
              <w:spacing w:after="0"/>
              <w:rPr>
                <w:sz w:val="20"/>
                <w:szCs w:val="20"/>
                <w:color w:val="auto"/>
              </w:rPr>
            </w:pPr>
            <w:r>
              <w:rPr>
                <w:rFonts w:ascii="Arial" w:cs="Arial" w:eastAsia="Arial" w:hAnsi="Arial"/>
                <w:sz w:val="20"/>
                <w:szCs w:val="20"/>
                <w:color w:val="auto"/>
              </w:rPr>
              <w:t>50,000,000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9-1/4% Series due 2008</w:t>
            </w:r>
          </w:p>
        </w:tc>
        <w:tc>
          <w:tcPr>
            <w:tcW w:w="2080" w:type="dxa"/>
            <w:vAlign w:val="bottom"/>
            <w:gridSpan w:val="2"/>
          </w:tcPr>
          <w:p>
            <w:pPr>
              <w:spacing w:after="0"/>
              <w:rPr>
                <w:sz w:val="20"/>
                <w:szCs w:val="20"/>
                <w:color w:val="auto"/>
              </w:rPr>
            </w:pPr>
            <w:r>
              <w:rPr>
                <w:rFonts w:ascii="Arial" w:cs="Arial" w:eastAsia="Arial" w:hAnsi="Arial"/>
                <w:sz w:val="20"/>
                <w:szCs w:val="20"/>
                <w:color w:val="auto"/>
              </w:rPr>
              <w:t>50,000,000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Pollution Control Series A</w:t>
            </w:r>
          </w:p>
        </w:tc>
        <w:tc>
          <w:tcPr>
            <w:tcW w:w="2080" w:type="dxa"/>
            <w:vAlign w:val="bottom"/>
            <w:gridSpan w:val="2"/>
          </w:tcPr>
          <w:p>
            <w:pPr>
              <w:spacing w:after="0"/>
              <w:rPr>
                <w:sz w:val="20"/>
                <w:szCs w:val="20"/>
                <w:color w:val="auto"/>
              </w:rPr>
            </w:pPr>
            <w:r>
              <w:rPr>
                <w:rFonts w:ascii="Arial" w:cs="Arial" w:eastAsia="Arial" w:hAnsi="Arial"/>
                <w:sz w:val="20"/>
                <w:szCs w:val="20"/>
                <w:color w:val="auto"/>
              </w:rPr>
              <w:t>111,000,000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Industrial Development Series A</w:t>
            </w:r>
          </w:p>
        </w:tc>
        <w:tc>
          <w:tcPr>
            <w:tcW w:w="2080" w:type="dxa"/>
            <w:vAlign w:val="bottom"/>
            <w:gridSpan w:val="2"/>
          </w:tcPr>
          <w:p>
            <w:pPr>
              <w:spacing w:after="0"/>
              <w:rPr>
                <w:sz w:val="20"/>
                <w:szCs w:val="20"/>
                <w:color w:val="auto"/>
              </w:rPr>
            </w:pPr>
            <w:r>
              <w:rPr>
                <w:rFonts w:ascii="Arial" w:cs="Arial" w:eastAsia="Arial" w:hAnsi="Arial"/>
                <w:sz w:val="20"/>
                <w:szCs w:val="20"/>
                <w:color w:val="auto"/>
              </w:rPr>
              <w:t>2,500,000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Industrial Development Series B</w:t>
            </w:r>
          </w:p>
        </w:tc>
        <w:tc>
          <w:tcPr>
            <w:tcW w:w="2080" w:type="dxa"/>
            <w:vAlign w:val="bottom"/>
            <w:gridSpan w:val="2"/>
          </w:tcPr>
          <w:p>
            <w:pPr>
              <w:spacing w:after="0"/>
              <w:rPr>
                <w:sz w:val="20"/>
                <w:szCs w:val="20"/>
                <w:color w:val="auto"/>
              </w:rPr>
            </w:pPr>
            <w:r>
              <w:rPr>
                <w:rFonts w:ascii="Arial" w:cs="Arial" w:eastAsia="Arial" w:hAnsi="Arial"/>
                <w:sz w:val="20"/>
                <w:szCs w:val="20"/>
                <w:color w:val="auto"/>
              </w:rPr>
              <w:t>1,800,000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Industrial Development Series C</w:t>
            </w:r>
          </w:p>
        </w:tc>
        <w:tc>
          <w:tcPr>
            <w:tcW w:w="2080" w:type="dxa"/>
            <w:vAlign w:val="bottom"/>
            <w:gridSpan w:val="2"/>
          </w:tcPr>
          <w:p>
            <w:pPr>
              <w:spacing w:after="0"/>
              <w:rPr>
                <w:sz w:val="20"/>
                <w:szCs w:val="20"/>
                <w:color w:val="auto"/>
              </w:rPr>
            </w:pPr>
            <w:r>
              <w:rPr>
                <w:rFonts w:ascii="Arial" w:cs="Arial" w:eastAsia="Arial" w:hAnsi="Arial"/>
                <w:sz w:val="20"/>
                <w:szCs w:val="20"/>
                <w:color w:val="auto"/>
              </w:rPr>
              <w:t>1,150,000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Pollution Control Series B</w:t>
            </w:r>
          </w:p>
        </w:tc>
        <w:tc>
          <w:tcPr>
            <w:tcW w:w="2080" w:type="dxa"/>
            <w:vAlign w:val="bottom"/>
            <w:gridSpan w:val="2"/>
          </w:tcPr>
          <w:p>
            <w:pPr>
              <w:spacing w:after="0"/>
              <w:rPr>
                <w:sz w:val="20"/>
                <w:szCs w:val="20"/>
                <w:color w:val="auto"/>
              </w:rPr>
            </w:pPr>
            <w:r>
              <w:rPr>
                <w:rFonts w:ascii="Arial" w:cs="Arial" w:eastAsia="Arial" w:hAnsi="Arial"/>
                <w:sz w:val="20"/>
                <w:szCs w:val="20"/>
                <w:color w:val="auto"/>
              </w:rPr>
              <w:t>13,500,000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Pollution Control Series C</w:t>
            </w:r>
          </w:p>
        </w:tc>
        <w:tc>
          <w:tcPr>
            <w:tcW w:w="2080" w:type="dxa"/>
            <w:vAlign w:val="bottom"/>
            <w:gridSpan w:val="2"/>
          </w:tcPr>
          <w:p>
            <w:pPr>
              <w:spacing w:after="0"/>
              <w:rPr>
                <w:sz w:val="20"/>
                <w:szCs w:val="20"/>
                <w:color w:val="auto"/>
              </w:rPr>
            </w:pPr>
            <w:r>
              <w:rPr>
                <w:rFonts w:ascii="Arial" w:cs="Arial" w:eastAsia="Arial" w:hAnsi="Arial"/>
                <w:sz w:val="20"/>
                <w:szCs w:val="20"/>
                <w:color w:val="auto"/>
              </w:rPr>
              <w:t>2,000,000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Pollution Control Series D</w:t>
            </w:r>
          </w:p>
        </w:tc>
        <w:tc>
          <w:tcPr>
            <w:tcW w:w="2080" w:type="dxa"/>
            <w:vAlign w:val="bottom"/>
            <w:gridSpan w:val="2"/>
          </w:tcPr>
          <w:p>
            <w:pPr>
              <w:spacing w:after="0"/>
              <w:rPr>
                <w:sz w:val="20"/>
                <w:szCs w:val="20"/>
                <w:color w:val="auto"/>
              </w:rPr>
            </w:pPr>
            <w:r>
              <w:rPr>
                <w:rFonts w:ascii="Arial" w:cs="Arial" w:eastAsia="Arial" w:hAnsi="Arial"/>
                <w:sz w:val="20"/>
                <w:szCs w:val="20"/>
                <w:color w:val="auto"/>
              </w:rPr>
              <w:t>3,600,000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7-3/4% Series due 1994</w:t>
            </w:r>
          </w:p>
        </w:tc>
        <w:tc>
          <w:tcPr>
            <w:tcW w:w="2080" w:type="dxa"/>
            <w:vAlign w:val="bottom"/>
            <w:gridSpan w:val="2"/>
          </w:tcPr>
          <w:p>
            <w:pPr>
              <w:spacing w:after="0"/>
              <w:rPr>
                <w:sz w:val="20"/>
                <w:szCs w:val="20"/>
                <w:color w:val="auto"/>
              </w:rPr>
            </w:pPr>
            <w:r>
              <w:rPr>
                <w:rFonts w:ascii="Arial" w:cs="Arial" w:eastAsia="Arial" w:hAnsi="Arial"/>
                <w:sz w:val="20"/>
                <w:szCs w:val="20"/>
                <w:color w:val="auto"/>
              </w:rPr>
              <w:t>55,000,000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7-3/8% Series due March 1, 1997</w:t>
            </w:r>
          </w:p>
        </w:tc>
        <w:tc>
          <w:tcPr>
            <w:tcW w:w="2080" w:type="dxa"/>
            <w:vAlign w:val="bottom"/>
            <w:gridSpan w:val="2"/>
          </w:tcPr>
          <w:p>
            <w:pPr>
              <w:spacing w:after="0"/>
              <w:rPr>
                <w:sz w:val="20"/>
                <w:szCs w:val="20"/>
                <w:color w:val="auto"/>
              </w:rPr>
            </w:pPr>
            <w:r>
              <w:rPr>
                <w:rFonts w:ascii="Arial" w:cs="Arial" w:eastAsia="Arial" w:hAnsi="Arial"/>
                <w:sz w:val="20"/>
                <w:szCs w:val="20"/>
                <w:color w:val="auto"/>
              </w:rPr>
              <w:t>60,000,000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7-3/4% Series due June 1, 2007</w:t>
            </w:r>
          </w:p>
        </w:tc>
        <w:tc>
          <w:tcPr>
            <w:tcW w:w="2080" w:type="dxa"/>
            <w:vAlign w:val="bottom"/>
            <w:gridSpan w:val="2"/>
          </w:tcPr>
          <w:p>
            <w:pPr>
              <w:spacing w:after="0"/>
              <w:rPr>
                <w:sz w:val="20"/>
                <w:szCs w:val="20"/>
                <w:color w:val="auto"/>
              </w:rPr>
            </w:pPr>
            <w:r>
              <w:rPr>
                <w:rFonts w:ascii="Arial" w:cs="Arial" w:eastAsia="Arial" w:hAnsi="Arial"/>
                <w:sz w:val="20"/>
                <w:szCs w:val="20"/>
                <w:color w:val="auto"/>
              </w:rPr>
              <w:t>55,000,000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7-1/2% Series due August 1, 2007</w:t>
            </w:r>
          </w:p>
        </w:tc>
        <w:tc>
          <w:tcPr>
            <w:tcW w:w="2080" w:type="dxa"/>
            <w:vAlign w:val="bottom"/>
            <w:gridSpan w:val="2"/>
          </w:tcPr>
          <w:p>
            <w:pPr>
              <w:spacing w:after="0"/>
              <w:rPr>
                <w:sz w:val="20"/>
                <w:szCs w:val="20"/>
                <w:color w:val="auto"/>
              </w:rPr>
            </w:pPr>
            <w:r>
              <w:rPr>
                <w:rFonts w:ascii="Arial" w:cs="Arial" w:eastAsia="Arial" w:hAnsi="Arial"/>
                <w:sz w:val="20"/>
                <w:szCs w:val="20"/>
                <w:color w:val="auto"/>
              </w:rPr>
              <w:t>35,000,000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Pollution Control Series E</w:t>
            </w:r>
          </w:p>
        </w:tc>
        <w:tc>
          <w:tcPr>
            <w:tcW w:w="2080" w:type="dxa"/>
            <w:vAlign w:val="bottom"/>
            <w:gridSpan w:val="2"/>
          </w:tcPr>
          <w:p>
            <w:pPr>
              <w:spacing w:after="0"/>
              <w:rPr>
                <w:sz w:val="20"/>
                <w:szCs w:val="20"/>
                <w:color w:val="auto"/>
              </w:rPr>
            </w:pPr>
            <w:r>
              <w:rPr>
                <w:rFonts w:ascii="Arial" w:cs="Arial" w:eastAsia="Arial" w:hAnsi="Arial"/>
                <w:sz w:val="20"/>
                <w:szCs w:val="20"/>
                <w:color w:val="auto"/>
              </w:rPr>
              <w:t>111,000,000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7% Series due March 1, 2008</w:t>
            </w:r>
          </w:p>
        </w:tc>
        <w:tc>
          <w:tcPr>
            <w:tcW w:w="2080" w:type="dxa"/>
            <w:vAlign w:val="bottom"/>
            <w:gridSpan w:val="2"/>
          </w:tcPr>
          <w:p>
            <w:pPr>
              <w:spacing w:after="0"/>
              <w:rPr>
                <w:sz w:val="20"/>
                <w:szCs w:val="20"/>
                <w:color w:val="auto"/>
              </w:rPr>
            </w:pPr>
            <w:r>
              <w:rPr>
                <w:rFonts w:ascii="Arial" w:cs="Arial" w:eastAsia="Arial" w:hAnsi="Arial"/>
                <w:sz w:val="20"/>
                <w:szCs w:val="20"/>
                <w:color w:val="auto"/>
              </w:rPr>
              <w:t>50,000,000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6-1/4% Series due July 1, 2003</w:t>
            </w:r>
          </w:p>
        </w:tc>
        <w:tc>
          <w:tcPr>
            <w:tcW w:w="2080" w:type="dxa"/>
            <w:vAlign w:val="bottom"/>
            <w:gridSpan w:val="2"/>
          </w:tcPr>
          <w:p>
            <w:pPr>
              <w:spacing w:after="0"/>
              <w:rPr>
                <w:sz w:val="20"/>
                <w:szCs w:val="20"/>
                <w:color w:val="auto"/>
              </w:rPr>
            </w:pPr>
            <w:r>
              <w:rPr>
                <w:rFonts w:ascii="Arial" w:cs="Arial" w:eastAsia="Arial" w:hAnsi="Arial"/>
                <w:sz w:val="20"/>
                <w:szCs w:val="20"/>
                <w:color w:val="auto"/>
              </w:rPr>
              <w:t>25,000,000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7% Series due February 15, 2007</w:t>
            </w:r>
          </w:p>
        </w:tc>
        <w:tc>
          <w:tcPr>
            <w:tcW w:w="2080" w:type="dxa"/>
            <w:vAlign w:val="bottom"/>
            <w:gridSpan w:val="2"/>
          </w:tcPr>
          <w:p>
            <w:pPr>
              <w:spacing w:after="0"/>
              <w:rPr>
                <w:sz w:val="20"/>
                <w:szCs w:val="20"/>
                <w:color w:val="auto"/>
              </w:rPr>
            </w:pPr>
            <w:r>
              <w:rPr>
                <w:rFonts w:ascii="Arial" w:cs="Arial" w:eastAsia="Arial" w:hAnsi="Arial"/>
                <w:sz w:val="20"/>
                <w:szCs w:val="20"/>
                <w:color w:val="auto"/>
              </w:rPr>
              <w:t>60,000,000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6.68%</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November 15, 2007</w:t>
            </w:r>
          </w:p>
        </w:tc>
        <w:tc>
          <w:tcPr>
            <w:tcW w:w="2080" w:type="dxa"/>
            <w:vAlign w:val="bottom"/>
            <w:gridSpan w:val="2"/>
          </w:tcPr>
          <w:p>
            <w:pPr>
              <w:spacing w:after="0"/>
              <w:rPr>
                <w:sz w:val="20"/>
                <w:szCs w:val="20"/>
                <w:color w:val="auto"/>
              </w:rPr>
            </w:pPr>
            <w:r>
              <w:rPr>
                <w:rFonts w:ascii="Arial" w:cs="Arial" w:eastAsia="Arial" w:hAnsi="Arial"/>
                <w:sz w:val="20"/>
                <w:szCs w:val="20"/>
                <w:color w:val="auto"/>
              </w:rPr>
              <w:t>20,000,000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Floating Rate Series due October 20, 2003</w:t>
            </w:r>
          </w:p>
        </w:tc>
        <w:tc>
          <w:tcPr>
            <w:tcW w:w="2080" w:type="dxa"/>
            <w:vAlign w:val="bottom"/>
            <w:gridSpan w:val="2"/>
          </w:tcPr>
          <w:p>
            <w:pPr>
              <w:spacing w:after="0"/>
              <w:rPr>
                <w:sz w:val="20"/>
                <w:szCs w:val="20"/>
                <w:color w:val="auto"/>
              </w:rPr>
            </w:pPr>
            <w:r>
              <w:rPr>
                <w:rFonts w:ascii="Arial" w:cs="Arial" w:eastAsia="Arial" w:hAnsi="Arial"/>
                <w:sz w:val="20"/>
                <w:szCs w:val="20"/>
                <w:color w:val="auto"/>
              </w:rPr>
              <w:t>250,000,000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Collateral Series A</w:t>
            </w:r>
          </w:p>
        </w:tc>
        <w:tc>
          <w:tcPr>
            <w:tcW w:w="2080" w:type="dxa"/>
            <w:vAlign w:val="bottom"/>
            <w:gridSpan w:val="2"/>
          </w:tcPr>
          <w:p>
            <w:pPr>
              <w:spacing w:after="0"/>
              <w:rPr>
                <w:sz w:val="20"/>
                <w:szCs w:val="20"/>
                <w:color w:val="auto"/>
              </w:rPr>
            </w:pPr>
            <w:r>
              <w:rPr>
                <w:rFonts w:ascii="Arial" w:cs="Arial" w:eastAsia="Arial" w:hAnsi="Arial"/>
                <w:sz w:val="20"/>
                <w:szCs w:val="20"/>
                <w:color w:val="auto"/>
              </w:rPr>
              <w:t>255,000,000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6940" w:type="dxa"/>
            <w:vAlign w:val="bottom"/>
            <w:gridSpan w:val="3"/>
          </w:tcPr>
          <w:p>
            <w:pPr>
              <w:spacing w:after="0"/>
              <w:rPr>
                <w:sz w:val="20"/>
                <w:szCs w:val="20"/>
                <w:color w:val="auto"/>
              </w:rPr>
            </w:pPr>
            <w:r>
              <w:rPr>
                <w:rFonts w:ascii="Arial" w:cs="Arial" w:eastAsia="Arial" w:hAnsi="Arial"/>
                <w:sz w:val="20"/>
                <w:szCs w:val="20"/>
                <w:color w:val="auto"/>
              </w:rPr>
              <w:t>Pollution Control Series F</w:t>
            </w:r>
          </w:p>
        </w:tc>
        <w:tc>
          <w:tcPr>
            <w:tcW w:w="2080" w:type="dxa"/>
            <w:vAlign w:val="bottom"/>
            <w:gridSpan w:val="2"/>
          </w:tcPr>
          <w:p>
            <w:pPr>
              <w:spacing w:after="0"/>
              <w:rPr>
                <w:sz w:val="20"/>
                <w:szCs w:val="20"/>
                <w:color w:val="auto"/>
              </w:rPr>
            </w:pPr>
            <w:r>
              <w:rPr>
                <w:rFonts w:ascii="Arial" w:cs="Arial" w:eastAsia="Arial" w:hAnsi="Arial"/>
                <w:sz w:val="20"/>
                <w:szCs w:val="20"/>
                <w:color w:val="auto"/>
              </w:rPr>
              <w:t>111,000,000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5.28%</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August 1, 2020</w:t>
            </w:r>
          </w:p>
        </w:tc>
        <w:tc>
          <w:tcPr>
            <w:tcW w:w="2080" w:type="dxa"/>
            <w:vAlign w:val="bottom"/>
            <w:gridSpan w:val="2"/>
          </w:tcPr>
          <w:p>
            <w:pPr>
              <w:spacing w:after="0"/>
              <w:rPr>
                <w:sz w:val="20"/>
                <w:szCs w:val="20"/>
                <w:color w:val="auto"/>
              </w:rPr>
            </w:pPr>
            <w:r>
              <w:rPr>
                <w:rFonts w:ascii="Arial" w:cs="Arial" w:eastAsia="Arial" w:hAnsi="Arial"/>
                <w:sz w:val="20"/>
                <w:szCs w:val="20"/>
                <w:color w:val="auto"/>
              </w:rPr>
              <w:t>35,000,000</w:t>
            </w:r>
          </w:p>
        </w:tc>
        <w:tc>
          <w:tcPr>
            <w:tcW w:w="1420" w:type="dxa"/>
            <w:vAlign w:val="bottom"/>
            <w:gridSpan w:val="2"/>
          </w:tcPr>
          <w:p>
            <w:pPr>
              <w:spacing w:after="0"/>
              <w:rPr>
                <w:sz w:val="20"/>
                <w:szCs w:val="20"/>
                <w:color w:val="auto"/>
              </w:rPr>
            </w:pPr>
            <w:r>
              <w:rPr>
                <w:rFonts w:ascii="Arial" w:cs="Arial" w:eastAsia="Arial" w:hAnsi="Arial"/>
                <w:sz w:val="20"/>
                <w:szCs w:val="20"/>
                <w:color w:val="auto"/>
              </w:rPr>
              <w:t>None</w:t>
            </w: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5.69%</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March 1, 2036</w:t>
            </w:r>
          </w:p>
        </w:tc>
        <w:tc>
          <w:tcPr>
            <w:tcW w:w="2080" w:type="dxa"/>
            <w:vAlign w:val="bottom"/>
            <w:gridSpan w:val="2"/>
          </w:tcPr>
          <w:p>
            <w:pPr>
              <w:spacing w:after="0"/>
              <w:rPr>
                <w:sz w:val="20"/>
                <w:szCs w:val="20"/>
                <w:color w:val="auto"/>
              </w:rPr>
            </w:pPr>
            <w:r>
              <w:rPr>
                <w:rFonts w:ascii="Arial" w:cs="Arial" w:eastAsia="Arial" w:hAnsi="Arial"/>
                <w:sz w:val="20"/>
                <w:szCs w:val="20"/>
                <w:color w:val="auto"/>
              </w:rPr>
              <w:t>50,000,000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50,000,000</w:t>
            </w: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2080" w:type="dxa"/>
            <w:vAlign w:val="bottom"/>
            <w:gridSpan w:val="2"/>
          </w:tcPr>
          <w:p>
            <w:pPr>
              <w:spacing w:after="0"/>
              <w:rPr>
                <w:sz w:val="20"/>
                <w:szCs w:val="20"/>
                <w:color w:val="auto"/>
              </w:rPr>
            </w:pPr>
            <w:r>
              <w:rPr>
                <w:rFonts w:ascii="Arial" w:cs="Arial" w:eastAsia="Arial" w:hAnsi="Arial"/>
                <w:sz w:val="20"/>
                <w:szCs w:val="20"/>
                <w:color w:val="auto"/>
              </w:rPr>
              <w:t>60,000,000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60,000,000</w:t>
            </w: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2080" w:type="dxa"/>
            <w:vAlign w:val="bottom"/>
            <w:gridSpan w:val="2"/>
          </w:tcPr>
          <w:p>
            <w:pPr>
              <w:spacing w:after="0"/>
              <w:rPr>
                <w:sz w:val="20"/>
                <w:szCs w:val="20"/>
                <w:color w:val="auto"/>
              </w:rPr>
            </w:pPr>
            <w:r>
              <w:rPr>
                <w:rFonts w:ascii="Arial" w:cs="Arial" w:eastAsia="Arial" w:hAnsi="Arial"/>
                <w:sz w:val="20"/>
                <w:szCs w:val="20"/>
                <w:color w:val="auto"/>
              </w:rPr>
              <w:t>60,000,000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r>
        <w:trPr>
          <w:trHeight w:val="243"/>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2080" w:type="dxa"/>
            <w:vAlign w:val="bottom"/>
            <w:gridSpan w:val="2"/>
          </w:tcPr>
          <w:p>
            <w:pPr>
              <w:spacing w:after="0"/>
              <w:rPr>
                <w:sz w:val="20"/>
                <w:szCs w:val="20"/>
                <w:color w:val="auto"/>
              </w:rPr>
            </w:pPr>
            <w:r>
              <w:rPr>
                <w:rFonts w:ascii="Arial" w:cs="Arial" w:eastAsia="Arial" w:hAnsi="Arial"/>
                <w:sz w:val="20"/>
                <w:szCs w:val="20"/>
                <w:color w:val="auto"/>
              </w:rPr>
              <w:t>75,000,000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9"/>
              </w:rPr>
              <w:t>75,000,000</w:t>
            </w:r>
          </w:p>
        </w:tc>
      </w:tr>
      <w:tr>
        <w:trPr>
          <w:trHeight w:val="250"/>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640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2080" w:type="dxa"/>
            <w:vAlign w:val="bottom"/>
            <w:gridSpan w:val="2"/>
          </w:tcPr>
          <w:p>
            <w:pPr>
              <w:spacing w:after="0"/>
              <w:rPr>
                <w:sz w:val="20"/>
                <w:szCs w:val="20"/>
                <w:color w:val="auto"/>
              </w:rPr>
            </w:pPr>
            <w:r>
              <w:rPr>
                <w:rFonts w:ascii="Arial" w:cs="Arial" w:eastAsia="Arial" w:hAnsi="Arial"/>
                <w:sz w:val="20"/>
                <w:szCs w:val="20"/>
                <w:color w:val="auto"/>
              </w:rPr>
              <w:t>18,000,000</w:t>
            </w:r>
          </w:p>
        </w:tc>
        <w:tc>
          <w:tcPr>
            <w:tcW w:w="1420" w:type="dxa"/>
            <w:vAlign w:val="bottom"/>
            <w:gridSpan w:val="2"/>
          </w:tcPr>
          <w:p>
            <w:pPr>
              <w:jc w:val="center"/>
              <w:ind w:left="421"/>
              <w:spacing w:after="0"/>
              <w:rPr>
                <w:sz w:val="20"/>
                <w:szCs w:val="20"/>
                <w:color w:val="auto"/>
              </w:rPr>
            </w:pPr>
            <w:r>
              <w:rPr>
                <w:rFonts w:ascii="Arial" w:cs="Arial" w:eastAsia="Arial" w:hAnsi="Arial"/>
                <w:sz w:val="20"/>
                <w:szCs w:val="20"/>
                <w:color w:val="auto"/>
                <w:w w:val="87"/>
              </w:rPr>
              <w:t>None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5" w:right="339" w:bottom="1440" w:gutter="0" w:footer="0" w:header="0"/>
        </w:sectPr>
      </w:pPr>
    </w:p>
    <w:bookmarkStart w:id="136" w:name="page137"/>
    <w:bookmarkEnd w:id="136"/>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7.70%</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20,000,000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7"/>
              </w:rPr>
              <w:t>None</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8.17%</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42,000,000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7"/>
              </w:rPr>
              <w:t>None</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4.85%</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15,000,000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15,000,000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5.10%</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30,000,000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30,000,000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6.00%</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35,000,000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35,000,000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4.90%</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30,000,000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30,000,000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5.82%</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45,000,000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45,000,000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3.20%</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75,000,000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75,000,000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4.08%</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85,000,000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85,000,000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1.83%</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50,000,000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7"/>
              </w:rPr>
              <w:t>None</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3.30%</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40,000,000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40,000,000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4.21%</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60,000,000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60,000,000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3.69%</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March 15, 2024</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60,000,000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60,000,000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4.95%</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March 15, 2044</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40,000,000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40,000,000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3.40%</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July 15, 2022</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75,000,000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75,000,000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5.05%</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July 15, 2044</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40,000,000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40,000,000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3.02%</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September 15, 2021</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60,000,000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60,000,000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3.74%</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September 15, 2029</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50,000,000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50,000,000</w:t>
            </w:r>
          </w:p>
        </w:tc>
      </w:tr>
      <w:tr>
        <w:trPr>
          <w:trHeight w:val="243"/>
        </w:trPr>
        <w:tc>
          <w:tcPr>
            <w:tcW w:w="540" w:type="dxa"/>
            <w:vAlign w:val="bottom"/>
          </w:tcPr>
          <w:p>
            <w:pPr>
              <w:jc w:val="right"/>
              <w:spacing w:after="0"/>
              <w:rPr>
                <w:sz w:val="20"/>
                <w:szCs w:val="20"/>
                <w:color w:val="auto"/>
              </w:rPr>
            </w:pPr>
            <w:r>
              <w:rPr>
                <w:rFonts w:ascii="Arial" w:cs="Arial" w:eastAsia="Arial" w:hAnsi="Arial"/>
                <w:sz w:val="20"/>
                <w:szCs w:val="20"/>
                <w:color w:val="auto"/>
                <w:w w:val="88"/>
              </w:rPr>
              <w:t>4.39%</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September 15, 2044</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50,000,000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50,000,000</w:t>
            </w:r>
          </w:p>
        </w:tc>
      </w:tr>
      <w:tr>
        <w:trPr>
          <w:trHeight w:val="250"/>
        </w:trPr>
        <w:tc>
          <w:tcPr>
            <w:tcW w:w="540" w:type="dxa"/>
            <w:vAlign w:val="bottom"/>
          </w:tcPr>
          <w:p>
            <w:pPr>
              <w:jc w:val="right"/>
              <w:spacing w:after="0"/>
              <w:rPr>
                <w:sz w:val="20"/>
                <w:szCs w:val="20"/>
                <w:color w:val="auto"/>
              </w:rPr>
            </w:pPr>
            <w:r>
              <w:rPr>
                <w:rFonts w:ascii="Arial" w:cs="Arial" w:eastAsia="Arial" w:hAnsi="Arial"/>
                <w:sz w:val="20"/>
                <w:szCs w:val="20"/>
                <w:color w:val="auto"/>
                <w:w w:val="88"/>
              </w:rPr>
              <w:t>2.80%</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September 15, 2020</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40,000,000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40,000,000</w:t>
            </w:r>
          </w:p>
        </w:tc>
      </w:tr>
      <w:tr>
        <w:trPr>
          <w:trHeight w:val="236"/>
        </w:trPr>
        <w:tc>
          <w:tcPr>
            <w:tcW w:w="540" w:type="dxa"/>
            <w:vAlign w:val="bottom"/>
          </w:tcPr>
          <w:p>
            <w:pPr>
              <w:jc w:val="right"/>
              <w:spacing w:after="0"/>
              <w:rPr>
                <w:sz w:val="20"/>
                <w:szCs w:val="20"/>
                <w:color w:val="auto"/>
              </w:rPr>
            </w:pPr>
            <w:r>
              <w:rPr>
                <w:rFonts w:ascii="Arial" w:cs="Arial" w:eastAsia="Arial" w:hAnsi="Arial"/>
                <w:sz w:val="20"/>
                <w:szCs w:val="20"/>
                <w:color w:val="auto"/>
                <w:w w:val="88"/>
              </w:rPr>
              <w:t>3.86%</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September 16, 2030</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60,000,000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60,000,000</w:t>
            </w:r>
          </w:p>
        </w:tc>
      </w:tr>
      <w:tr>
        <w:trPr>
          <w:trHeight w:val="230"/>
        </w:trPr>
        <w:tc>
          <w:tcPr>
            <w:tcW w:w="540" w:type="dxa"/>
            <w:vAlign w:val="bottom"/>
          </w:tcPr>
          <w:p>
            <w:pPr>
              <w:jc w:val="right"/>
              <w:spacing w:after="0"/>
              <w:rPr>
                <w:sz w:val="20"/>
                <w:szCs w:val="20"/>
                <w:color w:val="auto"/>
              </w:rPr>
            </w:pPr>
            <w:r>
              <w:rPr>
                <w:rFonts w:ascii="Arial" w:cs="Arial" w:eastAsia="Arial" w:hAnsi="Arial"/>
                <w:sz w:val="20"/>
                <w:szCs w:val="20"/>
                <w:color w:val="auto"/>
                <w:w w:val="88"/>
              </w:rPr>
              <w:t>4.07%</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April 16, 2048</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60,000,000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60,000,000</w:t>
            </w:r>
          </w:p>
        </w:tc>
      </w:tr>
      <w:tr>
        <w:trPr>
          <w:trHeight w:val="229"/>
        </w:trPr>
        <w:tc>
          <w:tcPr>
            <w:tcW w:w="540" w:type="dxa"/>
            <w:vAlign w:val="bottom"/>
          </w:tcPr>
          <w:p>
            <w:pPr>
              <w:jc w:val="right"/>
              <w:spacing w:after="0"/>
              <w:rPr>
                <w:sz w:val="20"/>
                <w:szCs w:val="20"/>
                <w:color w:val="auto"/>
              </w:rPr>
            </w:pPr>
            <w:r>
              <w:rPr>
                <w:rFonts w:ascii="Arial" w:cs="Arial" w:eastAsia="Arial" w:hAnsi="Arial"/>
                <w:sz w:val="20"/>
                <w:szCs w:val="20"/>
                <w:color w:val="auto"/>
                <w:w w:val="88"/>
              </w:rPr>
              <w:t>4.08%</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March 1, 2029</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70,000,000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70,000,000</w:t>
            </w:r>
          </w:p>
        </w:tc>
      </w:tr>
      <w:tr>
        <w:trPr>
          <w:trHeight w:val="250"/>
        </w:trPr>
        <w:tc>
          <w:tcPr>
            <w:tcW w:w="540" w:type="dxa"/>
            <w:vAlign w:val="bottom"/>
          </w:tcPr>
          <w:p>
            <w:pPr>
              <w:jc w:val="right"/>
              <w:spacing w:after="0"/>
              <w:rPr>
                <w:sz w:val="20"/>
                <w:szCs w:val="20"/>
                <w:color w:val="auto"/>
              </w:rPr>
            </w:pPr>
            <w:r>
              <w:rPr>
                <w:rFonts w:ascii="Arial" w:cs="Arial" w:eastAsia="Arial" w:hAnsi="Arial"/>
                <w:sz w:val="20"/>
                <w:szCs w:val="20"/>
                <w:color w:val="auto"/>
                <w:w w:val="88"/>
              </w:rPr>
              <w:t>4.47%</w:t>
            </w:r>
          </w:p>
        </w:tc>
        <w:tc>
          <w:tcPr>
            <w:tcW w:w="4440" w:type="dxa"/>
            <w:vAlign w:val="bottom"/>
          </w:tcPr>
          <w:p>
            <w:pPr>
              <w:ind w:left="20"/>
              <w:spacing w:after="0"/>
              <w:rPr>
                <w:sz w:val="20"/>
                <w:szCs w:val="20"/>
                <w:color w:val="auto"/>
              </w:rPr>
            </w:pPr>
            <w:r>
              <w:rPr>
                <w:rFonts w:ascii="Arial" w:cs="Arial" w:eastAsia="Arial" w:hAnsi="Arial"/>
                <w:sz w:val="20"/>
                <w:szCs w:val="20"/>
                <w:color w:val="auto"/>
              </w:rPr>
              <w:t>Series due March 1, 2049</w:t>
            </w:r>
          </w:p>
        </w:tc>
        <w:tc>
          <w:tcPr>
            <w:tcW w:w="3720" w:type="dxa"/>
            <w:vAlign w:val="bottom"/>
          </w:tcPr>
          <w:p>
            <w:pPr>
              <w:jc w:val="right"/>
              <w:ind w:right="761"/>
              <w:spacing w:after="0"/>
              <w:rPr>
                <w:sz w:val="20"/>
                <w:szCs w:val="20"/>
                <w:color w:val="auto"/>
              </w:rPr>
            </w:pPr>
            <w:r>
              <w:rPr>
                <w:rFonts w:ascii="Arial" w:cs="Arial" w:eastAsia="Arial" w:hAnsi="Arial"/>
                <w:sz w:val="20"/>
                <w:szCs w:val="20"/>
                <w:color w:val="auto"/>
              </w:rPr>
              <w:t>30,000,000</w:t>
            </w:r>
          </w:p>
        </w:tc>
        <w:tc>
          <w:tcPr>
            <w:tcW w:w="1740" w:type="dxa"/>
            <w:vAlign w:val="bottom"/>
          </w:tcPr>
          <w:p>
            <w:pPr>
              <w:jc w:val="center"/>
              <w:ind w:left="741"/>
              <w:spacing w:after="0"/>
              <w:rPr>
                <w:sz w:val="20"/>
                <w:szCs w:val="20"/>
                <w:color w:val="auto"/>
              </w:rPr>
            </w:pPr>
            <w:r>
              <w:rPr>
                <w:rFonts w:ascii="Arial" w:cs="Arial" w:eastAsia="Arial" w:hAnsi="Arial"/>
                <w:sz w:val="20"/>
                <w:szCs w:val="20"/>
                <w:color w:val="auto"/>
                <w:w w:val="89"/>
              </w:rPr>
              <w:t>30,000,000</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Fifty-ninth Series, respectively; and</w:t>
      </w:r>
    </w:p>
    <w:p>
      <w:pPr>
        <w:spacing w:after="0" w:line="202"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96" w:lineRule="exact"/>
        <w:rPr>
          <w:sz w:val="20"/>
          <w:szCs w:val="20"/>
          <w:color w:val="auto"/>
        </w:rPr>
      </w:pPr>
    </w:p>
    <w:p>
      <w:pPr>
        <w:jc w:val="both"/>
        <w:ind w:firstLine="621"/>
        <w:spacing w:after="0" w:line="242" w:lineRule="auto"/>
        <w:rPr>
          <w:sz w:val="20"/>
          <w:szCs w:val="20"/>
          <w:color w:val="auto"/>
        </w:rPr>
      </w:pPr>
      <w:r>
        <w:rPr>
          <w:rFonts w:ascii="Arial" w:cs="Arial" w:eastAsia="Arial" w:hAnsi="Arial"/>
          <w:sz w:val="20"/>
          <w:szCs w:val="20"/>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37" w:name="page138"/>
    <w:bookmarkEnd w:id="137"/>
    <w:p>
      <w:pPr>
        <w:jc w:val="both"/>
        <w:ind w:firstLine="621"/>
        <w:spacing w:after="0" w:line="246" w:lineRule="auto"/>
        <w:rPr>
          <w:sz w:val="20"/>
          <w:szCs w:val="20"/>
          <w:color w:val="auto"/>
        </w:rPr>
      </w:pPr>
      <w:r>
        <w:rPr>
          <w:rFonts w:ascii="Arial" w:cs="Arial" w:eastAsia="Arial" w:hAnsi="Arial"/>
          <w:sz w:val="20"/>
          <w:szCs w:val="20"/>
          <w:color w:val="auto"/>
        </w:rPr>
        <w:t>Whereas, the Company now desires to create two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91"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Whereas, the execution and delivery by the Company of this Forty-first Supplemental Indenture, and the terms of the bonds of the Sixtieth Series and the Sixty-first Series, hereinafter referred to, have been duly authorized by the Board of Directors of the Company by appropriate resolutions of said Board of Directors;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21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Andres Serrano,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Forty-first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9" w:right="339" w:bottom="1440" w:gutter="0" w:footer="0" w:header="0"/>
        </w:sectPr>
      </w:pPr>
    </w:p>
    <w:bookmarkStart w:id="138" w:name="page139"/>
    <w:bookmarkEnd w:id="138"/>
    <w:p>
      <w:pPr>
        <w:jc w:val="both"/>
        <w:ind w:right="20"/>
        <w:spacing w:after="0" w:line="260" w:lineRule="auto"/>
        <w:rPr>
          <w:sz w:val="20"/>
          <w:szCs w:val="20"/>
          <w:color w:val="auto"/>
        </w:rPr>
      </w:pPr>
      <w:r>
        <w:rPr>
          <w:rFonts w:ascii="Arial" w:cs="Arial" w:eastAsia="Arial" w:hAnsi="Arial"/>
          <w:sz w:val="20"/>
          <w:szCs w:val="20"/>
          <w:color w:val="auto"/>
        </w:rPr>
        <w:t>property of any kind or nature appertaining to and/or used and/or occupied and/or enjoyed in connection with any property hereinbefore or in the Mortgage, as heretofore supplemented, described.</w:t>
      </w:r>
    </w:p>
    <w:p>
      <w:pPr>
        <w:spacing w:after="0" w:line="17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80"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96" w:lineRule="exact"/>
        <w:rPr>
          <w:sz w:val="20"/>
          <w:szCs w:val="20"/>
          <w:color w:val="auto"/>
        </w:rPr>
      </w:pPr>
    </w:p>
    <w:p>
      <w:pPr>
        <w:jc w:val="both"/>
        <w:ind w:firstLine="621"/>
        <w:spacing w:after="0" w:line="269" w:lineRule="auto"/>
        <w:rPr>
          <w:sz w:val="20"/>
          <w:szCs w:val="20"/>
          <w:color w:val="auto"/>
        </w:rPr>
      </w:pPr>
      <w:r>
        <w:rPr>
          <w:rFonts w:ascii="Arial" w:cs="Arial" w:eastAsia="Arial" w:hAnsi="Arial"/>
          <w:sz w:val="18"/>
          <w:szCs w:val="18"/>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Forty-first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(6) the Company’s franchise to be a corporation; and (7) any property heretofore released pursuant to any provisions of the Mortgage; provided, however, that the property and rights expressly excepted from the lien and operation of this Forty-first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71"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9" w:right="339" w:bottom="1440" w:gutter="0" w:footer="0" w:header="0"/>
        </w:sectPr>
      </w:pPr>
    </w:p>
    <w:bookmarkStart w:id="139" w:name="page140"/>
    <w:bookmarkEnd w:id="139"/>
    <w:p>
      <w:pPr>
        <w:jc w:val="both"/>
        <w:ind w:firstLine="621"/>
        <w:spacing w:after="0" w:line="385" w:lineRule="auto"/>
        <w:rPr>
          <w:sz w:val="20"/>
          <w:szCs w:val="20"/>
          <w:color w:val="auto"/>
        </w:rPr>
      </w:pPr>
      <w:r>
        <w:rPr>
          <w:rFonts w:ascii="Arial" w:cs="Arial" w:eastAsia="Arial" w:hAnsi="Arial"/>
          <w:sz w:val="16"/>
          <w:szCs w:val="16"/>
          <w:color w:val="auto"/>
        </w:rPr>
        <w:t>In trust nevertheless, for the same purposes and upon the same terms, trusts and conditions and subject to and with the same provisos and covenants as are set forth in the Mortgage, as supplemented, this Forty-first Supplemental Indenture being supplemental thereto.</w:t>
      </w:r>
    </w:p>
    <w:p>
      <w:pPr>
        <w:spacing w:after="0" w:line="85"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jc w:val="center"/>
        <w:spacing w:after="0"/>
        <w:rPr>
          <w:sz w:val="20"/>
          <w:szCs w:val="20"/>
          <w:color w:val="auto"/>
        </w:rPr>
      </w:pPr>
      <w:r>
        <w:rPr>
          <w:rFonts w:ascii="Arial" w:cs="Arial" w:eastAsia="Arial" w:hAnsi="Arial"/>
          <w:sz w:val="20"/>
          <w:szCs w:val="20"/>
          <w:b w:val="1"/>
          <w:bCs w:val="1"/>
          <w:color w:val="auto"/>
        </w:rPr>
        <w:t>Sixtieth Series of Bonds</w:t>
      </w:r>
    </w:p>
    <w:p>
      <w:pPr>
        <w:spacing w:after="0" w:line="200" w:lineRule="exact"/>
        <w:rPr>
          <w:sz w:val="20"/>
          <w:szCs w:val="20"/>
          <w:color w:val="auto"/>
        </w:rPr>
      </w:pPr>
    </w:p>
    <w:p>
      <w:pPr>
        <w:spacing w:after="0" w:line="202" w:lineRule="exact"/>
        <w:rPr>
          <w:sz w:val="20"/>
          <w:szCs w:val="20"/>
          <w:color w:val="auto"/>
        </w:rPr>
      </w:pPr>
    </w:p>
    <w:p>
      <w:pPr>
        <w:jc w:val="both"/>
        <w:ind w:firstLine="621"/>
        <w:spacing w:after="0" w:line="271" w:lineRule="auto"/>
        <w:rPr>
          <w:sz w:val="20"/>
          <w:szCs w:val="20"/>
          <w:color w:val="auto"/>
        </w:rPr>
      </w:pPr>
      <w:r>
        <w:rPr>
          <w:rFonts w:ascii="Arial" w:cs="Arial" w:eastAsia="Arial" w:hAnsi="Arial"/>
          <w:sz w:val="18"/>
          <w:szCs w:val="18"/>
          <w:color w:val="auto"/>
        </w:rPr>
        <w:t>Section 1. There shall be a series of bonds designated “2.50% Series due August 1, 2030” (herein sometimes referred to as the “Sixtieth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Sixtieth Series shall be dated as in Section 10 of the Mortgage provided, mature on August 1, 2030 (the “Sixtieth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August 3, 2020 (computed on the basis of a 360-day year of twelve thirty-day months) at the rate of 2.50% per annum, payable semi-annually on February 1 and August 1 of each year, commencing February 1, 2021,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4"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Any payment of principal of or interest on any bond of the Sixtieth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Sixtieth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4" w:lineRule="exact"/>
        <w:rPr>
          <w:sz w:val="20"/>
          <w:szCs w:val="20"/>
          <w:color w:val="auto"/>
        </w:rPr>
      </w:pPr>
    </w:p>
    <w:p>
      <w:pPr>
        <w:jc w:val="both"/>
        <w:ind w:firstLine="629"/>
        <w:spacing w:after="0" w:line="246" w:lineRule="auto"/>
        <w:tabs>
          <w:tab w:leader="none" w:pos="1111" w:val="left"/>
        </w:tabs>
        <w:numPr>
          <w:ilvl w:val="0"/>
          <w:numId w:val="128"/>
        </w:numPr>
        <w:rPr>
          <w:rFonts w:ascii="Arial" w:cs="Arial" w:eastAsia="Arial" w:hAnsi="Arial"/>
          <w:sz w:val="20"/>
          <w:szCs w:val="20"/>
          <w:color w:val="auto"/>
        </w:rPr>
      </w:pPr>
      <w:r>
        <w:rPr>
          <w:rFonts w:ascii="Arial" w:cs="Arial" w:eastAsia="Arial" w:hAnsi="Arial"/>
          <w:sz w:val="20"/>
          <w:szCs w:val="20"/>
          <w:b w:val="1"/>
          <w:bCs w:val="1"/>
          <w:color w:val="auto"/>
        </w:rPr>
        <w:t xml:space="preserve">Optional Prepayment. </w:t>
      </w:r>
      <w:r>
        <w:rPr>
          <w:rFonts w:ascii="Arial" w:cs="Arial" w:eastAsia="Arial" w:hAnsi="Arial"/>
          <w:sz w:val="20"/>
          <w:szCs w:val="20"/>
          <w:color w:val="auto"/>
        </w:rPr>
        <w:t>At any time prior to February 1, 2030 (six months prior to the Sixtieth Series Stated Maturity)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may, at its option, upon notice as provided below, prepay at any time all, or from time to time any part of, the bonds of the Sixtieth Series at 100% of the principal amount so prepaid, and the Make-Whole Amount determined for the Settlement Date specified by the Company in such notice with respect to such principal amount. The Company will give each registered owner of bonds of the Sixtieth Series written notice (by first class mail or such other method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140" w:name="page141"/>
    <w:bookmarkEnd w:id="140"/>
    <w:p>
      <w:pPr>
        <w:jc w:val="both"/>
        <w:spacing w:after="0" w:line="254" w:lineRule="auto"/>
        <w:rPr>
          <w:sz w:val="20"/>
          <w:szCs w:val="20"/>
          <w:color w:val="auto"/>
        </w:rPr>
      </w:pPr>
      <w:r>
        <w:rPr>
          <w:rFonts w:ascii="Arial" w:cs="Arial" w:eastAsia="Arial" w:hAnsi="Arial"/>
          <w:sz w:val="19"/>
          <w:szCs w:val="19"/>
          <w:color w:val="auto"/>
        </w:rPr>
        <w:t>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Sixtieth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Sixtieth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92" w:lineRule="exact"/>
        <w:rPr>
          <w:sz w:val="20"/>
          <w:szCs w:val="20"/>
          <w:color w:val="auto"/>
        </w:rPr>
      </w:pPr>
    </w:p>
    <w:p>
      <w:pPr>
        <w:jc w:val="both"/>
        <w:ind w:firstLine="621"/>
        <w:spacing w:after="0" w:line="291" w:lineRule="auto"/>
        <w:rPr>
          <w:sz w:val="20"/>
          <w:szCs w:val="20"/>
          <w:color w:val="auto"/>
        </w:rPr>
      </w:pPr>
      <w:r>
        <w:rPr>
          <w:rFonts w:ascii="Arial" w:cs="Arial" w:eastAsia="Arial" w:hAnsi="Arial"/>
          <w:sz w:val="18"/>
          <w:szCs w:val="18"/>
          <w:color w:val="auto"/>
        </w:rPr>
        <w:t>At any time on or after February 1, 2030, the bonds of the Sixtieth Series will be redeemable at the option of the Company, in whole or in part, on not less than 30 nor more than 60 days’ notice prior to the Settlement Date, at a redemption price equal to 100% of the principal amount of the bonds of the Sixtieth Series to be redeemed, plus accrued and unpaid interest thereon to the Settlement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bonds of the Sixtieth Series are not otherwise subject to voluntary or optional prepayment.</w:t>
      </w:r>
    </w:p>
    <w:p>
      <w:pPr>
        <w:spacing w:after="0" w:line="210" w:lineRule="exact"/>
        <w:rPr>
          <w:sz w:val="20"/>
          <w:szCs w:val="20"/>
          <w:color w:val="auto"/>
        </w:rPr>
      </w:pPr>
    </w:p>
    <w:p>
      <w:pPr>
        <w:jc w:val="both"/>
        <w:ind w:firstLine="847"/>
        <w:spacing w:after="0" w:line="248" w:lineRule="auto"/>
        <w:tabs>
          <w:tab w:leader="none" w:pos="1321" w:val="left"/>
        </w:tabs>
        <w:numPr>
          <w:ilvl w:val="0"/>
          <w:numId w:val="129"/>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Sixtieth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Sixtieth Series to be prepaid shall be allocated by the Company among all of the bonds of the Sixtieth Series at the time outstanding in proportion, as nearly as practicable, to the respective unpaid principal amounts thereof not theretofore called for prepayment.</w:t>
      </w:r>
    </w:p>
    <w:p>
      <w:pPr>
        <w:spacing w:after="0" w:line="183" w:lineRule="exact"/>
        <w:rPr>
          <w:rFonts w:ascii="Arial" w:cs="Arial" w:eastAsia="Arial" w:hAnsi="Arial"/>
          <w:sz w:val="20"/>
          <w:szCs w:val="20"/>
          <w:color w:val="auto"/>
        </w:rPr>
      </w:pPr>
    </w:p>
    <w:p>
      <w:pPr>
        <w:jc w:val="both"/>
        <w:ind w:firstLine="887"/>
        <w:spacing w:after="0" w:line="270" w:lineRule="auto"/>
        <w:tabs>
          <w:tab w:leader="none" w:pos="1531" w:val="left"/>
        </w:tabs>
        <w:numPr>
          <w:ilvl w:val="1"/>
          <w:numId w:val="129"/>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Sixtieth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Sixtieth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141" w:name="page142"/>
    <w:bookmarkEnd w:id="141"/>
    <w:p>
      <w:pPr>
        <w:jc w:val="both"/>
        <w:spacing w:after="0" w:line="282" w:lineRule="auto"/>
        <w:rPr>
          <w:sz w:val="20"/>
          <w:szCs w:val="20"/>
          <w:color w:val="auto"/>
        </w:rPr>
      </w:pPr>
      <w:r>
        <w:rPr>
          <w:rFonts w:ascii="Arial" w:cs="Arial" w:eastAsia="Arial" w:hAnsi="Arial"/>
          <w:sz w:val="18"/>
          <w:szCs w:val="18"/>
          <w:color w:val="auto"/>
        </w:rPr>
        <w:t>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5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22"/>
        <w:spacing w:after="0" w:line="246" w:lineRule="auto"/>
        <w:rPr>
          <w:sz w:val="20"/>
          <w:szCs w:val="20"/>
          <w:color w:val="auto"/>
        </w:rPr>
      </w:pPr>
      <w:r>
        <w:rPr>
          <w:rFonts w:ascii="Arial" w:cs="Arial" w:eastAsia="Arial" w:hAnsi="Arial"/>
          <w:sz w:val="20"/>
          <w:szCs w:val="20"/>
          <w:color w:val="auto"/>
        </w:rPr>
        <w:t>The term “Make-Whole Amount” means, with respect to any bond of the Sixtieth Series, an amount equal to the excess, if any, of the Discounted Value of the Remaining Scheduled Payments with respect to the Called Principal of such bond of the Sixtieth Series over the amount of such Called Principal, provided that the Make-Whole Amount may in no event be less than zero. For the purposes of determining the Make-Whole Amount, the following terms have the following meanings:</w:t>
      </w:r>
    </w:p>
    <w:p>
      <w:pPr>
        <w:spacing w:after="0" w:line="191" w:lineRule="exact"/>
        <w:rPr>
          <w:sz w:val="20"/>
          <w:szCs w:val="20"/>
          <w:color w:val="auto"/>
        </w:rPr>
      </w:pPr>
    </w:p>
    <w:p>
      <w:pPr>
        <w:jc w:val="both"/>
        <w:ind w:right="20" w:firstLine="621"/>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“Called Principal” means, with respect to any bond of the Sixtieth Series, the principal of such bond that is to be prepaid pursuant to subsection (I) of this section.</w:t>
      </w:r>
    </w:p>
    <w:p>
      <w:pPr>
        <w:spacing w:after="0" w:line="177"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Sixtieth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Sixtieth Series is payable) equal to the Reinvestment Yield with respect to such Called Principal.</w:t>
      </w:r>
    </w:p>
    <w:p>
      <w:pPr>
        <w:spacing w:after="0" w:line="194"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8"/>
          <w:szCs w:val="18"/>
          <w:color w:val="auto"/>
        </w:rPr>
        <w:t>“Reinvestment Yield” means, with respect to the Called Principal of any bond of the Sixtieth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w:t>
      </w:r>
    </w:p>
    <w:p>
      <w:pPr>
        <w:spacing w:after="0" w:line="5" w:lineRule="exact"/>
        <w:rPr>
          <w:sz w:val="20"/>
          <w:szCs w:val="20"/>
          <w:color w:val="auto"/>
        </w:rPr>
      </w:pPr>
    </w:p>
    <w:p>
      <w:pPr>
        <w:jc w:val="both"/>
        <w:ind w:firstLine="8"/>
        <w:spacing w:after="0" w:line="241" w:lineRule="auto"/>
        <w:tabs>
          <w:tab w:leader="none" w:pos="30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Sixtieth Series.</w:t>
      </w:r>
    </w:p>
    <w:p>
      <w:pPr>
        <w:spacing w:after="0" w:line="194"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If such yields are not Reported or the yields Reported as of such time are not ascertainable (including by way of interpolation), then “Reinvestment Yield” means, with respect to the Called Principal of any bond of the Sixtieth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142" w:name="page143"/>
    <w:bookmarkEnd w:id="142"/>
    <w:p>
      <w:pPr>
        <w:jc w:val="both"/>
        <w:spacing w:after="0" w:line="243" w:lineRule="auto"/>
        <w:rPr>
          <w:sz w:val="20"/>
          <w:szCs w:val="20"/>
          <w:color w:val="auto"/>
        </w:rPr>
      </w:pPr>
      <w:r>
        <w:rPr>
          <w:rFonts w:ascii="Arial" w:cs="Arial" w:eastAsia="Arial" w:hAnsi="Arial"/>
          <w:sz w:val="20"/>
          <w:szCs w:val="20"/>
          <w:color w:val="auto"/>
        </w:rPr>
        <w:t>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Sixtieth Series.</w:t>
      </w:r>
    </w:p>
    <w:p>
      <w:pPr>
        <w:spacing w:after="0" w:line="196"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spacing w:after="0" w:line="194"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Sixtieth Series, all payments of such Called Principal and interest thereon that would be due after the Settlement Date with respect to such Called Principal if no payment of such Called Principal were made prior to its scheduled due, provided that if such Settlement Date is not a date on which interest payments are due to be made under the terms of the bonds of the Sixtieth Series, then the amount of the next succeeding scheduled interest payment will be reduced by the amount of interest accrued to such Settlement Date and required to be paid on such Settlement Date pursuant to subsection (I) of this section.</w:t>
      </w:r>
    </w:p>
    <w:p>
      <w:pPr>
        <w:spacing w:after="0" w:line="19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Sixtieth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comptroller of the Company.</w:t>
      </w:r>
    </w:p>
    <w:p>
      <w:pPr>
        <w:spacing w:after="0" w:line="239" w:lineRule="exact"/>
        <w:rPr>
          <w:sz w:val="20"/>
          <w:szCs w:val="20"/>
          <w:color w:val="auto"/>
        </w:rPr>
      </w:pPr>
    </w:p>
    <w:p>
      <w:pPr>
        <w:jc w:val="both"/>
        <w:ind w:firstLine="629"/>
        <w:spacing w:after="0" w:line="244" w:lineRule="auto"/>
        <w:tabs>
          <w:tab w:leader="none" w:pos="111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At the option of the registered owner, any bonds of the Sixtieth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94" w:lineRule="exact"/>
        <w:rPr>
          <w:sz w:val="20"/>
          <w:szCs w:val="20"/>
          <w:color w:val="auto"/>
        </w:rPr>
      </w:pPr>
    </w:p>
    <w:p>
      <w:pPr>
        <w:jc w:val="both"/>
        <w:ind w:firstLine="621"/>
        <w:spacing w:after="0" w:line="282" w:lineRule="auto"/>
        <w:rPr>
          <w:sz w:val="20"/>
          <w:szCs w:val="20"/>
          <w:color w:val="auto"/>
        </w:rPr>
      </w:pPr>
      <w:r>
        <w:rPr>
          <w:rFonts w:ascii="Arial" w:cs="Arial" w:eastAsia="Arial" w:hAnsi="Arial"/>
          <w:sz w:val="18"/>
          <w:szCs w:val="18"/>
          <w:color w:val="auto"/>
        </w:rPr>
        <w:t>Bonds of the Sixtieth Series shall be transferable (subject to the provisions of Section 12 of the Mortgage) at the office or agency of the Company in the Borough of Manhattan, The City of New York. The Company shall not be required to make transfers or exchanges of bonds of the Sixtieth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61"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Upon any exchange or transfer of bonds of the Sixtieth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Sixtieth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9" w:right="339" w:bottom="1440" w:gutter="0" w:footer="0" w:header="0"/>
        </w:sectPr>
      </w:pPr>
    </w:p>
    <w:bookmarkStart w:id="143" w:name="page144"/>
    <w:bookmarkEnd w:id="143"/>
    <w:p>
      <w:pPr>
        <w:jc w:val="both"/>
        <w:ind w:firstLine="622"/>
        <w:spacing w:after="0" w:line="250" w:lineRule="auto"/>
        <w:rPr>
          <w:sz w:val="20"/>
          <w:szCs w:val="20"/>
          <w:color w:val="auto"/>
        </w:rPr>
      </w:pPr>
      <w:r>
        <w:rPr>
          <w:rFonts w:ascii="Arial" w:cs="Arial" w:eastAsia="Arial" w:hAnsi="Arial"/>
          <w:sz w:val="20"/>
          <w:szCs w:val="20"/>
          <w:color w:val="auto"/>
        </w:rPr>
        <w:t>After the delivery of this Forty-first Supplemental Indenture and upon compliance with the applicable provisions of the Mortgage and receipt of consideration therefor by the Company, there shall be an initial issue of bonds of the Sixtieth Series for the aggregate principal amount of $46,000,000.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jc w:val="center"/>
        <w:spacing w:after="0"/>
        <w:rPr>
          <w:sz w:val="20"/>
          <w:szCs w:val="20"/>
          <w:color w:val="auto"/>
        </w:rPr>
      </w:pPr>
      <w:r>
        <w:rPr>
          <w:rFonts w:ascii="Arial" w:cs="Arial" w:eastAsia="Arial" w:hAnsi="Arial"/>
          <w:sz w:val="20"/>
          <w:szCs w:val="20"/>
          <w:b w:val="1"/>
          <w:bCs w:val="1"/>
          <w:color w:val="auto"/>
        </w:rPr>
        <w:t>Sixty-first Series of Bonds</w:t>
      </w:r>
    </w:p>
    <w:p>
      <w:pPr>
        <w:spacing w:after="0" w:line="200" w:lineRule="exact"/>
        <w:rPr>
          <w:sz w:val="20"/>
          <w:szCs w:val="20"/>
          <w:color w:val="auto"/>
        </w:rPr>
      </w:pPr>
    </w:p>
    <w:p>
      <w:pPr>
        <w:spacing w:after="0" w:line="202" w:lineRule="exact"/>
        <w:rPr>
          <w:sz w:val="20"/>
          <w:szCs w:val="20"/>
          <w:color w:val="auto"/>
        </w:rPr>
      </w:pPr>
    </w:p>
    <w:p>
      <w:pPr>
        <w:jc w:val="both"/>
        <w:ind w:firstLine="621"/>
        <w:spacing w:after="0" w:line="271" w:lineRule="auto"/>
        <w:rPr>
          <w:sz w:val="20"/>
          <w:szCs w:val="20"/>
          <w:color w:val="auto"/>
        </w:rPr>
      </w:pPr>
      <w:r>
        <w:rPr>
          <w:rFonts w:ascii="Arial" w:cs="Arial" w:eastAsia="Arial" w:hAnsi="Arial"/>
          <w:sz w:val="18"/>
          <w:szCs w:val="18"/>
          <w:color w:val="auto"/>
        </w:rPr>
        <w:t>Section 1. There shall be a series of bonds designated “3.30% Series due August 1, 2050” (herein sometimes referred to as the “Sixty-first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Sixty-first Series shall be dated as in Section 10 of the Mortgage provided, mature on August 1, 2050 (the “Sixty-first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August 3, 2020 (computed on the basis of a 360-day year of twelve thirty-day months) at the rate of 3.30% per annum, payable semi-annually on February 1 and August 1 of each year, commencing February 1, 2021,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4"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Any payment of principal of or interest on any bond of the Sixty-first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Sixty-first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74" w:lineRule="exact"/>
        <w:rPr>
          <w:sz w:val="20"/>
          <w:szCs w:val="20"/>
          <w:color w:val="auto"/>
        </w:rPr>
      </w:pPr>
    </w:p>
    <w:p>
      <w:pPr>
        <w:jc w:val="both"/>
        <w:ind w:firstLine="629"/>
        <w:spacing w:after="0" w:line="270" w:lineRule="auto"/>
        <w:tabs>
          <w:tab w:leader="none" w:pos="1071"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February 1, 2050 (six months prior to the Sixty-first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Sixty-first Series at 100% of the principal amount so prepaid, and the Make-Whole Amount determined for the Settlement Date specified by the Company in such notice with respect to such principal amount. The Company will give each registered owner of bonds of the Sixty-first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Sixty-first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9" w:right="339" w:bottom="1440" w:gutter="0" w:footer="0" w:header="0"/>
        </w:sectPr>
      </w:pPr>
    </w:p>
    <w:bookmarkStart w:id="144" w:name="page145"/>
    <w:bookmarkEnd w:id="144"/>
    <w:p>
      <w:pPr>
        <w:jc w:val="both"/>
        <w:spacing w:after="0" w:line="278" w:lineRule="auto"/>
        <w:rPr>
          <w:sz w:val="20"/>
          <w:szCs w:val="20"/>
          <w:color w:val="auto"/>
        </w:rPr>
      </w:pPr>
      <w:r>
        <w:rPr>
          <w:rFonts w:ascii="Arial" w:cs="Arial" w:eastAsia="Arial" w:hAnsi="Arial"/>
          <w:sz w:val="18"/>
          <w:szCs w:val="18"/>
          <w:color w:val="auto"/>
        </w:rPr>
        <w:t>bonds of the Sixty-first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65" w:lineRule="exact"/>
        <w:rPr>
          <w:sz w:val="20"/>
          <w:szCs w:val="20"/>
          <w:color w:val="auto"/>
        </w:rPr>
      </w:pPr>
    </w:p>
    <w:p>
      <w:pPr>
        <w:jc w:val="both"/>
        <w:ind w:firstLine="621"/>
        <w:spacing w:after="0" w:line="291" w:lineRule="auto"/>
        <w:rPr>
          <w:sz w:val="20"/>
          <w:szCs w:val="20"/>
          <w:color w:val="auto"/>
        </w:rPr>
      </w:pPr>
      <w:r>
        <w:rPr>
          <w:rFonts w:ascii="Arial" w:cs="Arial" w:eastAsia="Arial" w:hAnsi="Arial"/>
          <w:sz w:val="18"/>
          <w:szCs w:val="18"/>
          <w:color w:val="auto"/>
        </w:rPr>
        <w:t>At any time on or after February 1, 2050, the bonds of the Sixty-first Series will be redeemable at the option of the Company, in whole or in part, on not less than 30 nor more than 60 days’ notice prior to the Settlement Date, at a redemption price equal to 100% of the principal amount of the bonds of the Sixty-first Series to be redeemed, plus accrued and unpaid interest thereon to the Settlement Date.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bonds of the Sixty-first Series are not otherwise subject to voluntary or optional prepayment.</w:t>
      </w:r>
    </w:p>
    <w:p>
      <w:pPr>
        <w:spacing w:after="0" w:line="210" w:lineRule="exact"/>
        <w:rPr>
          <w:sz w:val="20"/>
          <w:szCs w:val="20"/>
          <w:color w:val="auto"/>
        </w:rPr>
      </w:pPr>
    </w:p>
    <w:p>
      <w:pPr>
        <w:jc w:val="both"/>
        <w:ind w:firstLine="935"/>
        <w:spacing w:after="0" w:line="248" w:lineRule="auto"/>
        <w:tabs>
          <w:tab w:leader="none" w:pos="1496" w:val="left"/>
        </w:tabs>
        <w:numPr>
          <w:ilvl w:val="0"/>
          <w:numId w:val="133"/>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Sixty-first Series, the</w:t>
      </w:r>
      <w:r>
        <w:rPr>
          <w:rFonts w:ascii="Arial" w:cs="Arial" w:eastAsia="Arial" w:hAnsi="Arial"/>
          <w:sz w:val="20"/>
          <w:szCs w:val="20"/>
          <w:b w:val="1"/>
          <w:bCs w:val="1"/>
          <w:color w:val="auto"/>
        </w:rPr>
        <w:t xml:space="preserve"> </w:t>
      </w:r>
      <w:r>
        <w:rPr>
          <w:rFonts w:ascii="Arial" w:cs="Arial" w:eastAsia="Arial" w:hAnsi="Arial"/>
          <w:sz w:val="20"/>
          <w:szCs w:val="20"/>
          <w:color w:val="auto"/>
        </w:rPr>
        <w:t>principal amount of the bonds of the Sixty-first Series to be prepaid shall be allocated by the Company among all of the bonds of the Sixty-first Series at the time outstanding in proportion, as nearly as practicable, to the respective unpaid principal amounts thereof not theretofore called for prepayment.</w:t>
      </w:r>
    </w:p>
    <w:p>
      <w:pPr>
        <w:spacing w:after="0" w:line="183" w:lineRule="exact"/>
        <w:rPr>
          <w:rFonts w:ascii="Arial" w:cs="Arial" w:eastAsia="Arial" w:hAnsi="Arial"/>
          <w:sz w:val="20"/>
          <w:szCs w:val="20"/>
          <w:color w:val="auto"/>
        </w:rPr>
      </w:pPr>
    </w:p>
    <w:p>
      <w:pPr>
        <w:jc w:val="both"/>
        <w:ind w:firstLine="863"/>
        <w:spacing w:after="0" w:line="269" w:lineRule="auto"/>
        <w:tabs>
          <w:tab w:leader="none" w:pos="1477"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Sixty-first Series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Sixty-first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9" w:right="339" w:bottom="1440" w:gutter="0" w:footer="0" w:header="0"/>
        </w:sectPr>
      </w:pPr>
    </w:p>
    <w:bookmarkStart w:id="145" w:name="page146"/>
    <w:bookmarkEnd w:id="145"/>
    <w:p>
      <w:pPr>
        <w:ind w:left="820"/>
        <w:spacing w:after="0"/>
        <w:tabs>
          <w:tab w:leader="none" w:pos="134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22" w:lineRule="exact"/>
        <w:rPr>
          <w:sz w:val="20"/>
          <w:szCs w:val="20"/>
          <w:color w:val="auto"/>
        </w:rPr>
      </w:pPr>
    </w:p>
    <w:p>
      <w:pPr>
        <w:jc w:val="both"/>
        <w:ind w:firstLine="622"/>
        <w:spacing w:after="0" w:line="246" w:lineRule="auto"/>
        <w:rPr>
          <w:sz w:val="20"/>
          <w:szCs w:val="20"/>
          <w:color w:val="auto"/>
        </w:rPr>
      </w:pPr>
      <w:r>
        <w:rPr>
          <w:rFonts w:ascii="Arial" w:cs="Arial" w:eastAsia="Arial" w:hAnsi="Arial"/>
          <w:sz w:val="20"/>
          <w:szCs w:val="20"/>
          <w:color w:val="auto"/>
        </w:rPr>
        <w:t>The term “Make-Whole Amount” means, with respect to any bond of the Sixty-first Series, an amount equal to the excess, if any, of the Discounted Value of the Remaining Scheduled Payments with respect to the Called Principal of such bond of the Sixty-first Series over the amount of such Called Principal, provided that the Make-Whole Amount may in no event be less than zero. For the purposes of determining the Make-Whole Amount, the following terms have the following meanings:</w:t>
      </w:r>
    </w:p>
    <w:p>
      <w:pPr>
        <w:spacing w:after="0" w:line="191" w:lineRule="exact"/>
        <w:rPr>
          <w:sz w:val="20"/>
          <w:szCs w:val="20"/>
          <w:color w:val="auto"/>
        </w:rPr>
      </w:pPr>
    </w:p>
    <w:p>
      <w:pPr>
        <w:jc w:val="both"/>
        <w:ind w:right="20" w:firstLine="621"/>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77" w:lineRule="exact"/>
        <w:rPr>
          <w:sz w:val="20"/>
          <w:szCs w:val="20"/>
          <w:color w:val="auto"/>
        </w:rPr>
      </w:pPr>
    </w:p>
    <w:p>
      <w:pPr>
        <w:jc w:val="both"/>
        <w:ind w:right="20" w:firstLine="621"/>
        <w:spacing w:after="0" w:line="260" w:lineRule="auto"/>
        <w:rPr>
          <w:sz w:val="20"/>
          <w:szCs w:val="20"/>
          <w:color w:val="auto"/>
        </w:rPr>
      </w:pPr>
      <w:r>
        <w:rPr>
          <w:rFonts w:ascii="Arial" w:cs="Arial" w:eastAsia="Arial" w:hAnsi="Arial"/>
          <w:sz w:val="20"/>
          <w:szCs w:val="20"/>
          <w:color w:val="auto"/>
        </w:rPr>
        <w:t>“Called Principal” means, with respect to any bond of the Sixty-first Series, the principal of such bond that is to be prepaid pursuant to subsection (I) of this section.</w:t>
      </w:r>
    </w:p>
    <w:p>
      <w:pPr>
        <w:spacing w:after="0" w:line="177"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Sixty-first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Sixty-first Series is payable) equal to the Reinvestment Yield with respect to such Called Principal.</w:t>
      </w:r>
    </w:p>
    <w:p>
      <w:pPr>
        <w:spacing w:after="0" w:line="194"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8"/>
          <w:szCs w:val="18"/>
          <w:color w:val="auto"/>
        </w:rPr>
        <w:t>“Reinvestment Yield” means, with respect to the Called Principal of any bond of the Sixty-first Series,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benchmark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w:t>
      </w:r>
    </w:p>
    <w:p>
      <w:pPr>
        <w:spacing w:after="0" w:line="5" w:lineRule="exact"/>
        <w:rPr>
          <w:sz w:val="20"/>
          <w:szCs w:val="20"/>
          <w:color w:val="auto"/>
        </w:rPr>
      </w:pPr>
    </w:p>
    <w:p>
      <w:pPr>
        <w:jc w:val="both"/>
        <w:ind w:firstLine="8"/>
        <w:spacing w:after="0" w:line="241" w:lineRule="auto"/>
        <w:tabs>
          <w:tab w:leader="none" w:pos="307"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interpolating linearly between the “Ask Yields” Reported for the applicable most recently issued actively traded on-the-run benchmark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 of the Sixty-first Series.</w:t>
      </w:r>
    </w:p>
    <w:p>
      <w:pPr>
        <w:spacing w:after="0" w:line="194" w:lineRule="exact"/>
        <w:rPr>
          <w:sz w:val="20"/>
          <w:szCs w:val="20"/>
          <w:color w:val="auto"/>
        </w:rPr>
      </w:pPr>
    </w:p>
    <w:p>
      <w:pPr>
        <w:jc w:val="both"/>
        <w:ind w:firstLine="621"/>
        <w:spacing w:after="0" w:line="271" w:lineRule="auto"/>
        <w:rPr>
          <w:sz w:val="20"/>
          <w:szCs w:val="20"/>
          <w:color w:val="auto"/>
        </w:rPr>
      </w:pPr>
      <w:r>
        <w:rPr>
          <w:rFonts w:ascii="Arial" w:cs="Arial" w:eastAsia="Arial" w:hAnsi="Arial"/>
          <w:sz w:val="18"/>
          <w:szCs w:val="18"/>
          <w:color w:val="auto"/>
        </w:rPr>
        <w:t>If such yields are not Reported or the yields Reported as of such time are not ascertainable (including by way of interpolation), then “Reinvestment Yield” means, with respect to the Called Principal of any bond of the Sixty-first Series,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 of the Sixty-first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3" w:right="339" w:bottom="1440" w:gutter="0" w:footer="0" w:header="0"/>
        </w:sectPr>
      </w:pPr>
    </w:p>
    <w:bookmarkStart w:id="146" w:name="page147"/>
    <w:bookmarkEnd w:id="146"/>
    <w:p>
      <w:pPr>
        <w:jc w:val="both"/>
        <w:ind w:firstLine="621"/>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w:t>
      </w:r>
    </w:p>
    <w:p>
      <w:pPr>
        <w:spacing w:after="0" w:line="194"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Sixty-first Series, all payments of such Called Principal and interest thereon that would be due after the Settlement Date with respect to such Called Principal if no payment of such Called Principal were made prior to its scheduled due, provided that if such Settlement Date is not a date on which interest payments are due to be made under the terms of the bonds of the Sixty-first Series, then the amount of the next succeeding scheduled interest payment will be reduced by the amount of interest accrued to such Settlement Date and required to be paid on such Settlement Date pursuant to subsection (I) of this section.</w:t>
      </w:r>
    </w:p>
    <w:p>
      <w:pPr>
        <w:spacing w:after="0" w:line="19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Sixty-first Series, the date on which such Called Principal is to be prepaid pursuant to subsection (I) of this section.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Financial Officer” means the chief financial officer, principal accounting officer, treasurer or comptroller of the Company.</w:t>
      </w:r>
    </w:p>
    <w:p>
      <w:pPr>
        <w:spacing w:after="0" w:line="239" w:lineRule="exact"/>
        <w:rPr>
          <w:sz w:val="20"/>
          <w:szCs w:val="20"/>
          <w:color w:val="auto"/>
        </w:rPr>
      </w:pPr>
    </w:p>
    <w:p>
      <w:pPr>
        <w:jc w:val="both"/>
        <w:ind w:firstLine="629"/>
        <w:spacing w:after="0" w:line="244" w:lineRule="auto"/>
        <w:tabs>
          <w:tab w:leader="none" w:pos="1089"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At the option of the registered owner, any bonds of the Sixty-first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94" w:lineRule="exact"/>
        <w:rPr>
          <w:sz w:val="20"/>
          <w:szCs w:val="20"/>
          <w:color w:val="auto"/>
        </w:rPr>
      </w:pPr>
    </w:p>
    <w:p>
      <w:pPr>
        <w:jc w:val="both"/>
        <w:ind w:firstLine="621"/>
        <w:spacing w:after="0" w:line="282" w:lineRule="auto"/>
        <w:rPr>
          <w:sz w:val="20"/>
          <w:szCs w:val="20"/>
          <w:color w:val="auto"/>
        </w:rPr>
      </w:pPr>
      <w:r>
        <w:rPr>
          <w:rFonts w:ascii="Arial" w:cs="Arial" w:eastAsia="Arial" w:hAnsi="Arial"/>
          <w:sz w:val="18"/>
          <w:szCs w:val="18"/>
          <w:color w:val="auto"/>
        </w:rPr>
        <w:t>Bonds of the Sixty-first Series shall be transferable (subject to the provisions of Section 12 of the Mortgage) at the office or agency of the Company in the Borough of Manhattan, The City of New York. The Company shall not be required to make transfers or exchanges of bonds of the Sixty-first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61"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Upon any exchange or transfer of bonds of the Sixty-first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Sixty-first Series.</w:t>
      </w:r>
    </w:p>
    <w:p>
      <w:pPr>
        <w:spacing w:after="0" w:line="186" w:lineRule="exact"/>
        <w:rPr>
          <w:sz w:val="20"/>
          <w:szCs w:val="20"/>
          <w:color w:val="auto"/>
        </w:rPr>
      </w:pPr>
    </w:p>
    <w:p>
      <w:pPr>
        <w:jc w:val="both"/>
        <w:ind w:firstLine="622"/>
        <w:spacing w:after="0" w:line="250" w:lineRule="auto"/>
        <w:rPr>
          <w:sz w:val="20"/>
          <w:szCs w:val="20"/>
          <w:color w:val="auto"/>
        </w:rPr>
      </w:pPr>
      <w:r>
        <w:rPr>
          <w:rFonts w:ascii="Arial" w:cs="Arial" w:eastAsia="Arial" w:hAnsi="Arial"/>
          <w:sz w:val="20"/>
          <w:szCs w:val="20"/>
          <w:color w:val="auto"/>
        </w:rPr>
        <w:t>After the delivery of this Forty-first Supplemental Indenture and upon compliance with the applicable provisions of the Mortgage and receipt of consideration therefor by the Company, there shall be an initial issue of bonds of the Sixty-first Series for the aggregate principal amount of $94,000,000.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9"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auto"/>
        </w:rPr>
        <w:t>ARTICLE III</w:t>
      </w: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200" w:lineRule="exact"/>
        <w:rPr>
          <w:sz w:val="20"/>
          <w:szCs w:val="20"/>
          <w:color w:val="auto"/>
        </w:rPr>
      </w:pPr>
    </w:p>
    <w:p>
      <w:pPr>
        <w:spacing w:after="0" w:line="256" w:lineRule="exact"/>
        <w:rPr>
          <w:sz w:val="20"/>
          <w:szCs w:val="20"/>
          <w:color w:val="auto"/>
        </w:rPr>
      </w:pPr>
    </w:p>
    <w:p>
      <w:pPr>
        <w:jc w:val="both"/>
        <w:ind w:firstLine="621"/>
        <w:spacing w:after="0" w:line="27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Consent to Amendments</w:t>
      </w:r>
      <w:r>
        <w:rPr>
          <w:rFonts w:ascii="Arial" w:cs="Arial" w:eastAsia="Arial" w:hAnsi="Arial"/>
          <w:sz w:val="18"/>
          <w:szCs w:val="18"/>
          <w:color w:val="auto"/>
        </w:rPr>
        <w:t xml:space="preserve"> Each initial and future holder of bonds of the Sixtieth Series and the Sixty-first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spacing w:after="0" w:line="200" w:lineRule="exact"/>
        <w:rPr>
          <w:sz w:val="20"/>
          <w:szCs w:val="20"/>
          <w:color w:val="auto"/>
        </w:rPr>
      </w:pPr>
    </w:p>
    <w:p>
      <w:pPr>
        <w:spacing w:after="0" w:line="229" w:lineRule="exact"/>
        <w:rPr>
          <w:sz w:val="20"/>
          <w:szCs w:val="20"/>
          <w:color w:val="auto"/>
        </w:rPr>
      </w:pPr>
    </w:p>
    <w:p>
      <w:pPr>
        <w:jc w:val="both"/>
        <w:ind w:firstLine="622"/>
        <w:spacing w:after="0" w:line="287" w:lineRule="auto"/>
        <w:rPr>
          <w:sz w:val="20"/>
          <w:szCs w:val="20"/>
          <w:color w:val="auto"/>
        </w:rPr>
      </w:pPr>
      <w:r>
        <w:rPr>
          <w:rFonts w:ascii="Arial" w:cs="Arial" w:eastAsia="Arial" w:hAnsi="Arial"/>
          <w:sz w:val="19"/>
          <w:szCs w:val="19"/>
          <w:color w:val="auto"/>
        </w:rPr>
        <w:t>Section 1. The Company reserves the right, without any vote, consent or other action by the holders of bonds of the Sixtieth Series, the Sixty-first Series, or any subsequent series, to amend the Mortgage, as herein or heretofore supplemented as follows:</w:t>
      </w:r>
    </w:p>
    <w:p>
      <w:pPr>
        <w:spacing w:after="0" w:line="152" w:lineRule="exact"/>
        <w:rPr>
          <w:sz w:val="20"/>
          <w:szCs w:val="20"/>
          <w:color w:val="auto"/>
        </w:rPr>
      </w:pPr>
    </w:p>
    <w:p>
      <w:pPr>
        <w:ind w:right="20" w:firstLine="1098"/>
        <w:spacing w:after="0" w:line="260" w:lineRule="auto"/>
        <w:tabs>
          <w:tab w:leader="none" w:pos="1423" w:val="left"/>
        </w:tabs>
        <w:numPr>
          <w:ilvl w:val="1"/>
          <w:numId w:val="137"/>
        </w:numPr>
        <w:rPr>
          <w:rFonts w:ascii="Arial" w:cs="Arial" w:eastAsia="Arial" w:hAnsi="Arial"/>
          <w:sz w:val="20"/>
          <w:szCs w:val="20"/>
          <w:color w:val="auto"/>
        </w:rPr>
      </w:pPr>
      <w:r>
        <w:rPr>
          <w:rFonts w:ascii="Arial" w:cs="Arial" w:eastAsia="Arial" w:hAnsi="Arial"/>
          <w:sz w:val="20"/>
          <w:szCs w:val="20"/>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392" w:lineRule="exact"/>
        <w:rPr>
          <w:rFonts w:ascii="Arial" w:cs="Arial" w:eastAsia="Arial" w:hAnsi="Arial"/>
          <w:sz w:val="20"/>
          <w:szCs w:val="20"/>
          <w:color w:val="auto"/>
        </w:rPr>
      </w:pPr>
    </w:p>
    <w:p>
      <w:pPr>
        <w:ind w:left="1340" w:hanging="315"/>
        <w:spacing w:after="0"/>
        <w:tabs>
          <w:tab w:leader="none" w:pos="13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By adding the following at the end of the first sentence of Section 101:</w:t>
      </w:r>
    </w:p>
    <w:p>
      <w:pPr>
        <w:spacing w:after="0" w:line="200" w:lineRule="exact"/>
        <w:rPr>
          <w:sz w:val="20"/>
          <w:szCs w:val="20"/>
          <w:color w:val="auto"/>
        </w:rPr>
      </w:pPr>
    </w:p>
    <w:p>
      <w:pPr>
        <w:spacing w:after="0" w:line="218" w:lineRule="exact"/>
        <w:rPr>
          <w:sz w:val="20"/>
          <w:szCs w:val="20"/>
          <w:color w:val="auto"/>
        </w:rPr>
      </w:pPr>
    </w:p>
    <w:p>
      <w:pPr>
        <w:jc w:val="both"/>
        <w:ind w:left="1300" w:right="1300"/>
        <w:spacing w:after="0" w:line="235" w:lineRule="auto"/>
        <w:rPr>
          <w:sz w:val="20"/>
          <w:szCs w:val="20"/>
          <w:color w:val="auto"/>
        </w:rPr>
      </w:pPr>
      <w:r>
        <w:rPr>
          <w:rFonts w:ascii="Arial" w:cs="Arial" w:eastAsia="Arial" w:hAnsi="Arial"/>
          <w:sz w:val="19"/>
          <w:szCs w:val="19"/>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spacing w:after="0" w:line="202"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Section 1. Section 126 of the Mortgage, as heretofore amended, is hereby further amended by adding the words “and August 1, 2030 and August 1, 2050” after the words “and March 1, 2029 and March 1, 2049.”</w:t>
      </w:r>
    </w:p>
    <w:p>
      <w:pPr>
        <w:spacing w:after="0" w:line="177" w:lineRule="exact"/>
        <w:rPr>
          <w:sz w:val="20"/>
          <w:szCs w:val="20"/>
          <w:color w:val="auto"/>
        </w:rPr>
      </w:pPr>
    </w:p>
    <w:p>
      <w:pPr>
        <w:jc w:val="both"/>
        <w:ind w:firstLine="621"/>
        <w:spacing w:after="0" w:line="250" w:lineRule="auto"/>
        <w:rPr>
          <w:sz w:val="20"/>
          <w:szCs w:val="20"/>
          <w:color w:val="auto"/>
        </w:rPr>
      </w:pPr>
      <w:r>
        <w:rPr>
          <w:rFonts w:ascii="Arial" w:cs="Arial" w:eastAsia="Arial" w:hAnsi="Arial"/>
          <w:sz w:val="20"/>
          <w:szCs w:val="20"/>
          <w:color w:val="auto"/>
        </w:rPr>
        <w:t>Section 2. Subject to the amendments provided for in this Forty-first Supplemental Indenture, the terms defined in the Mortgage, as heretofore supplemented, shall, for all purposes of this Forty-first Supplemental Indenture, have the meanings specified in the Mortgage, as heretofore supplemented.</w:t>
      </w:r>
    </w:p>
    <w:p>
      <w:pPr>
        <w:spacing w:after="0" w:line="186" w:lineRule="exact"/>
        <w:rPr>
          <w:sz w:val="20"/>
          <w:szCs w:val="20"/>
          <w:color w:val="auto"/>
        </w:rPr>
      </w:pPr>
    </w:p>
    <w:p>
      <w:pPr>
        <w:jc w:val="both"/>
        <w:ind w:right="20" w:firstLine="621"/>
        <w:spacing w:after="0" w:line="250" w:lineRule="auto"/>
        <w:rPr>
          <w:sz w:val="20"/>
          <w:szCs w:val="20"/>
          <w:color w:val="auto"/>
        </w:rPr>
      </w:pPr>
      <w:r>
        <w:rPr>
          <w:rFonts w:ascii="Arial" w:cs="Arial" w:eastAsia="Arial" w:hAnsi="Arial"/>
          <w:sz w:val="20"/>
          <w:szCs w:val="20"/>
          <w:color w:val="auto"/>
        </w:rPr>
        <w:t>Section 3. The holders of bonds of the Sixtieth Series and the Sixty-first Series consent that the Company may, but shall not be obligated to, fix a record date for the purpose of determining the holders of bonds of the Sixtieth Series and the Sixty-first Series entitled to consent to any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94" w:right="339" w:bottom="1440" w:gutter="0" w:footer="0" w:header="0"/>
        </w:sectPr>
      </w:pPr>
    </w:p>
    <w:bookmarkStart w:id="148" w:name="page149"/>
    <w:bookmarkEnd w:id="148"/>
    <w:p>
      <w:pPr>
        <w:jc w:val="both"/>
        <w:spacing w:after="0" w:line="246" w:lineRule="auto"/>
        <w:rPr>
          <w:sz w:val="20"/>
          <w:szCs w:val="20"/>
          <w:color w:val="auto"/>
        </w:rPr>
      </w:pPr>
      <w:r>
        <w:rPr>
          <w:rFonts w:ascii="Arial" w:cs="Arial" w:eastAsia="Arial" w:hAnsi="Arial"/>
          <w:sz w:val="20"/>
          <w:szCs w:val="20"/>
          <w:color w:val="auto"/>
        </w:rPr>
        <w:t>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91" w:lineRule="exact"/>
        <w:rPr>
          <w:sz w:val="20"/>
          <w:szCs w:val="20"/>
          <w:color w:val="auto"/>
        </w:rPr>
      </w:pPr>
    </w:p>
    <w:p>
      <w:pPr>
        <w:jc w:val="both"/>
        <w:ind w:firstLine="621"/>
        <w:spacing w:after="0" w:line="28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52"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9"/>
          <w:szCs w:val="19"/>
          <w:color w:val="auto"/>
        </w:rPr>
        <w:t>The Trustees shall not be responsible in any manner whatsoever for or in respect of the validity or sufficiency of this Forty-first Supplemental Indenture or for or in respect of the recitals contained herein, all of which recitals are made by the Company solely. In general, each and every term and condition contained in Article XVII of the Mortgage shall apply to and form part of this Forty-first Supplemental Indenture with the same force and effect as if the same were herein set forth in full with such omissions, variations and insertions, if any, as may be appropriate to make the same conform to the provisions of this Forty-first Supplemental Indenture.</w:t>
      </w:r>
    </w:p>
    <w:p>
      <w:pPr>
        <w:spacing w:after="0" w:line="180" w:lineRule="exact"/>
        <w:rPr>
          <w:sz w:val="20"/>
          <w:szCs w:val="20"/>
          <w:color w:val="auto"/>
        </w:rPr>
      </w:pPr>
    </w:p>
    <w:p>
      <w:pPr>
        <w:jc w:val="both"/>
        <w:ind w:firstLine="621"/>
        <w:spacing w:after="0" w:line="244" w:lineRule="auto"/>
        <w:rPr>
          <w:sz w:val="20"/>
          <w:szCs w:val="20"/>
          <w:color w:val="auto"/>
        </w:rPr>
      </w:pPr>
      <w:r>
        <w:rPr>
          <w:rFonts w:ascii="Arial" w:cs="Arial" w:eastAsia="Arial" w:hAnsi="Arial"/>
          <w:sz w:val="20"/>
          <w:szCs w:val="20"/>
          <w:color w:val="auto"/>
        </w:rPr>
        <w:t>Section 5. Whenever in this Forty-first Supplemental Indenture any party hereto is named or referred to, this shall, subject to the provisions of Articles XVI and XVII of the Mortgage, as heretofore supplemented, be deemed to include the successors or assigns of such party, and all the covenants and agreements in this Forty-first Supplemental Indenture contained by or on behalf of the Company, or by or on behalf of the Trustees shall, subject as aforesaid, bind and inure to the benefit of the respective successors and assigns of such party whether so expressed or not.</w:t>
      </w:r>
    </w:p>
    <w:p>
      <w:pPr>
        <w:spacing w:after="0" w:line="194"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20"/>
          <w:szCs w:val="20"/>
          <w:color w:val="auto"/>
        </w:rPr>
        <w:t>Section 6. Nothing in this Forty-first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Forty-first Supplemental Indenture or any covenant, condition, stipulation, promise or agreement hereof, and all the covenants, conditions, stipulations, promises and agreements in this Forty-first Supplemental Indenture contained by and on behalf of the Company shall be for the sole and exclusive benefit of the parties hereto, and of the holders of the bonds and of the coupons Outstanding under the Mortgage.</w:t>
      </w:r>
    </w:p>
    <w:p>
      <w:pPr>
        <w:spacing w:after="0" w:line="19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Section 7. This Forty-first Supplemental Indenture shall be executed in several counterparts, each of which shall be an original and all of which shall constitute but one and the same instrument.</w:t>
      </w:r>
    </w:p>
    <w:p>
      <w:pPr>
        <w:spacing w:after="0" w:line="17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Forty-first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9" w:right="339" w:bottom="1440" w:gutter="0" w:footer="0" w:header="0"/>
        </w:sectPr>
      </w:pPr>
    </w:p>
    <w:bookmarkStart w:id="149" w:name="page150"/>
    <w:bookmarkEnd w:id="149"/>
    <w:p>
      <w:pPr>
        <w:jc w:val="both"/>
        <w:ind w:firstLine="648"/>
        <w:spacing w:after="0" w:line="232" w:lineRule="auto"/>
        <w:rPr>
          <w:sz w:val="20"/>
          <w:szCs w:val="20"/>
          <w:color w:val="auto"/>
        </w:rPr>
      </w:pPr>
      <w:r>
        <w:rPr>
          <w:rFonts w:ascii="Arial" w:cs="Arial" w:eastAsia="Arial" w:hAnsi="Arial"/>
          <w:sz w:val="19"/>
          <w:szCs w:val="19"/>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by one of its Vice Presidents or one of its Assistant Vice Presidents, and Andres Serrano has hereunto set his hand, all in The City of New York, as of the day and year first above written.</w:t>
      </w:r>
    </w:p>
    <w:p>
      <w:pPr>
        <w:spacing w:after="0" w:line="18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ALLETE, Inc.</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-14605</wp:posOffset>
            </wp:positionV>
            <wp:extent cx="1257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Patrick L. Cutshall</w:t>
      </w:r>
    </w:p>
    <w:p>
      <w:pPr>
        <w:ind w:left="5200"/>
        <w:spacing w:after="0"/>
        <w:rPr>
          <w:sz w:val="20"/>
          <w:szCs w:val="20"/>
          <w:color w:val="auto"/>
        </w:rPr>
      </w:pPr>
      <w:r>
        <w:rPr>
          <w:rFonts w:ascii="Arial" w:cs="Arial" w:eastAsia="Arial" w:hAnsi="Arial"/>
          <w:sz w:val="20"/>
          <w:szCs w:val="20"/>
          <w:color w:val="auto"/>
        </w:rPr>
        <w:t>Vice President and Corporate Treasurer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125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Margaret A. Thickens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Chief Legal Officer</w:t>
      </w:r>
    </w:p>
    <w:p>
      <w:pPr>
        <w:spacing w:after="0"/>
        <w:rPr>
          <w:sz w:val="20"/>
          <w:szCs w:val="20"/>
          <w:color w:val="auto"/>
        </w:rPr>
      </w:pPr>
      <w:r>
        <w:rPr>
          <w:rFonts w:ascii="Arial" w:cs="Arial" w:eastAsia="Arial" w:hAnsi="Arial"/>
          <w:sz w:val="20"/>
          <w:szCs w:val="20"/>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5" w:right="339" w:bottom="1440" w:gutter="0" w:footer="0" w:header="0"/>
        </w:sectPr>
      </w:pPr>
    </w:p>
    <w:bookmarkStart w:id="150" w:name="page151"/>
    <w:bookmarkEnd w:id="150"/>
    <w:p>
      <w:pPr>
        <w:spacing w:after="0" w:line="200" w:lineRule="exact"/>
        <w:rPr>
          <w:sz w:val="20"/>
          <w:szCs w:val="20"/>
          <w:color w:val="auto"/>
        </w:rPr>
      </w:pPr>
    </w:p>
    <w:p>
      <w:pPr>
        <w:spacing w:after="0" w:line="265"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-14605</wp:posOffset>
            </wp:positionV>
            <wp:extent cx="1257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660"/>
        <w:spacing w:after="0"/>
        <w:rPr>
          <w:sz w:val="20"/>
          <w:szCs w:val="20"/>
          <w:color w:val="auto"/>
        </w:rPr>
      </w:pPr>
      <w:r>
        <w:rPr>
          <w:rFonts w:ascii="Arial" w:cs="Arial" w:eastAsia="Arial" w:hAnsi="Arial"/>
          <w:sz w:val="20"/>
          <w:szCs w:val="20"/>
          <w:color w:val="auto"/>
        </w:rPr>
        <w:t>Rita Duggan</w:t>
      </w:r>
    </w:p>
    <w:p>
      <w:pPr>
        <w:ind w:left="3660"/>
        <w:spacing w:after="0"/>
        <w:rPr>
          <w:sz w:val="20"/>
          <w:szCs w:val="20"/>
          <w:color w:val="auto"/>
        </w:rPr>
      </w:pPr>
      <w:r>
        <w:rPr>
          <w:rFonts w:ascii="Arial" w:cs="Arial" w:eastAsia="Arial" w:hAnsi="Arial"/>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60" w:right="2059" w:hanging="17"/>
        <w:spacing w:after="0" w:line="385" w:lineRule="auto"/>
        <w:rPr>
          <w:sz w:val="20"/>
          <w:szCs w:val="20"/>
          <w:color w:val="auto"/>
        </w:rPr>
      </w:pPr>
      <w:r>
        <w:rPr>
          <w:rFonts w:ascii="Arial" w:cs="Arial" w:eastAsia="Arial" w:hAnsi="Arial"/>
          <w:sz w:val="16"/>
          <w:szCs w:val="16"/>
          <w:color w:val="auto"/>
        </w:rPr>
        <w:t>Forty-first Supplemental Indenture dated as of August 1, 2020 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Corporate Trustee’s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159385</wp:posOffset>
            </wp:positionV>
            <wp:extent cx="125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55"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Andres Serrano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200" w:lineRule="exact"/>
        <w:rPr>
          <w:sz w:val="20"/>
          <w:szCs w:val="20"/>
          <w:color w:val="auto"/>
        </w:rPr>
      </w:pPr>
    </w:p>
    <w:p>
      <w:pPr>
        <w:spacing w:after="0" w:line="265" w:lineRule="exact"/>
        <w:rPr>
          <w:sz w:val="20"/>
          <w:szCs w:val="20"/>
          <w:color w:val="auto"/>
        </w:rPr>
      </w:pPr>
    </w:p>
    <w:p>
      <w:pPr>
        <w:ind w:left="2060" w:right="2059" w:hanging="17"/>
        <w:spacing w:after="0" w:line="385" w:lineRule="auto"/>
        <w:rPr>
          <w:sz w:val="20"/>
          <w:szCs w:val="20"/>
          <w:color w:val="auto"/>
        </w:rPr>
      </w:pPr>
      <w:r>
        <w:rPr>
          <w:rFonts w:ascii="Arial" w:cs="Arial" w:eastAsia="Arial" w:hAnsi="Arial"/>
          <w:sz w:val="16"/>
          <w:szCs w:val="16"/>
          <w:color w:val="auto"/>
        </w:rPr>
        <w:t>Forty-first Supplemental Indenture dated as of August 1, 2020 to Mortgage and Deed of Trust dated as of September 1, 1945</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Co-Trustee’s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9019"/>
          </w:cols>
          <w:pgMar w:left="1440" w:top="1440" w:right="1440"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color w:val="auto"/>
        </w:rPr>
        <w:t>State of Minnesota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500" w:space="260"/>
            <w:col w:w="9480"/>
          </w:cols>
          <w:pgMar w:left="320" w:top="1419" w:right="339" w:bottom="1440" w:gutter="0" w:footer="0" w:header="0"/>
        </w:sectPr>
      </w:pPr>
    </w:p>
    <w:p>
      <w:pPr>
        <w:spacing w:after="0"/>
        <w:rPr>
          <w:sz w:val="20"/>
          <w:szCs w:val="20"/>
          <w:color w:val="auto"/>
        </w:rPr>
      </w:pPr>
      <w:r>
        <w:rPr>
          <w:rFonts w:ascii="Arial" w:cs="Arial" w:eastAsia="Arial" w:hAnsi="Arial"/>
          <w:sz w:val="16"/>
          <w:szCs w:val="16"/>
          <w:color w:val="auto"/>
        </w:rPr>
        <w:t>) SS:</w:t>
      </w:r>
    </w:p>
    <w:p>
      <w:pPr>
        <w:sectPr>
          <w:pgSz w:w="11900" w:h="16838" w:orient="portrait"/>
          <w:cols w:equalWidth="0" w:num="1">
            <w:col w:w="11240"/>
          </w:cols>
          <w:pgMar w:left="320" w:top="1419" w:right="33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County of St. Louis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60" w:space="260"/>
            <w:col w:w="9420"/>
          </w:cols>
          <w:pgMar w:left="320" w:top="1419" w:right="3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this ________ day of July, 2020, the foregoing instrument was acknowledged before me by Patrick L. Cutshall, Vice President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Corporate Treasurer of ALLETE, Inc., a Minnesota corporation, on behalf of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Jodi Nash</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this _________ day of July, 2020, the foregoing instrument was acknowledged before me by Margaret A. Thickens, Vice President,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 and Corporate Secretary of ALLETE, Inc., a Minnesota corporation, on behalf of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________________________________________</w:t>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Jodi Nash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9" w:right="33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400"/>
            <w:col w:w="9360"/>
          </w:cols>
          <w:pgMar w:left="320" w:top="1419" w:right="339" w:bottom="1440" w:gutter="0" w:footer="0" w:header="0"/>
        </w:sectPr>
      </w:pPr>
    </w:p>
    <w:p>
      <w:pPr>
        <w:ind w:left="2580"/>
        <w:spacing w:after="0"/>
        <w:rPr>
          <w:sz w:val="20"/>
          <w:szCs w:val="20"/>
          <w:color w:val="auto"/>
        </w:rPr>
      </w:pPr>
      <w:r>
        <w:rPr>
          <w:rFonts w:ascii="Arial" w:cs="Arial" w:eastAsia="Arial" w:hAnsi="Arial"/>
          <w:sz w:val="19"/>
          <w:szCs w:val="19"/>
          <w:color w:val="auto"/>
        </w:rPr>
        <w:t>) ss:</w:t>
      </w:r>
    </w:p>
    <w:p>
      <w:pPr>
        <w:sectPr>
          <w:pgSz w:w="11900" w:h="16838" w:orient="portrait"/>
          <w:cols w:equalWidth="0" w:num="1">
            <w:col w:w="11240"/>
          </w:cols>
          <w:pgMar w:left="320" w:top="1419"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660" w:space="400"/>
            <w:col w:w="9180"/>
          </w:cols>
          <w:pgMar w:left="320" w:top="1419" w:right="339" w:bottom="1440" w:gutter="0" w:footer="0" w:header="0"/>
          <w:type w:val="continuous"/>
        </w:sectPr>
      </w:pPr>
    </w:p>
    <w:p>
      <w:pPr>
        <w:spacing w:after="0" w:line="234" w:lineRule="exact"/>
        <w:rPr>
          <w:sz w:val="20"/>
          <w:szCs w:val="20"/>
          <w:color w:val="auto"/>
        </w:rPr>
      </w:pPr>
    </w:p>
    <w:p>
      <w:pPr>
        <w:ind w:firstLine="621"/>
        <w:spacing w:after="0" w:line="222" w:lineRule="auto"/>
        <w:rPr>
          <w:sz w:val="20"/>
          <w:szCs w:val="20"/>
          <w:color w:val="auto"/>
        </w:rPr>
      </w:pPr>
      <w:r>
        <w:rPr>
          <w:rFonts w:ascii="Arial" w:cs="Arial" w:eastAsia="Arial" w:hAnsi="Arial"/>
          <w:sz w:val="20"/>
          <w:szCs w:val="20"/>
          <w:color w:val="auto"/>
        </w:rPr>
        <w:t>On this 24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2020, the foregoing instrument was acknowledged before me by Rita Duggan, a Vice-President of The Bank of New York Mellon, the corporation named in the foregoing instrument.</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24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659765</wp:posOffset>
            </wp:positionV>
            <wp:extent cx="628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540"/>
        <w:spacing w:after="0"/>
        <w:rPr>
          <w:sz w:val="20"/>
          <w:szCs w:val="20"/>
          <w:color w:val="auto"/>
        </w:rPr>
      </w:pPr>
      <w:r>
        <w:rPr>
          <w:rFonts w:ascii="Arial" w:cs="Arial" w:eastAsia="Arial" w:hAnsi="Arial"/>
          <w:sz w:val="20"/>
          <w:szCs w:val="20"/>
          <w:color w:val="auto"/>
        </w:rPr>
        <w:t>Helen Choi</w:t>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20"/>
          <w:szCs w:val="20"/>
          <w:b w:val="1"/>
          <w:bCs w:val="1"/>
          <w:color w:val="1F497D"/>
        </w:rPr>
        <w:t>Helen Choi</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F497D"/>
        </w:rPr>
        <w:t>Notary Public – State of New York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1F497D"/>
        </w:rPr>
        <w:t>New York County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F497D"/>
        </w:rPr>
        <w:t>No. 01CH6291290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F497D"/>
        </w:rPr>
        <w:t>Commission Expires October 15, 2021</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Notary Public,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9" w:right="339" w:bottom="1440" w:gutter="0" w:footer="0" w:header="0"/>
          <w:type w:val="continuous"/>
        </w:sectPr>
      </w:pPr>
    </w:p>
    <w:bookmarkStart w:id="155" w:name="page156"/>
    <w:bookmarkEnd w:id="155"/>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400"/>
            <w:col w:w="9360"/>
          </w:cols>
          <w:pgMar w:left="320" w:top="1440" w:right="339" w:bottom="1440" w:gutter="0" w:footer="0" w:header="0"/>
        </w:sectPr>
      </w:pPr>
    </w:p>
    <w:p>
      <w:pPr>
        <w:ind w:left="2600"/>
        <w:spacing w:after="0"/>
        <w:rPr>
          <w:sz w:val="20"/>
          <w:szCs w:val="20"/>
          <w:color w:val="auto"/>
        </w:rPr>
      </w:pPr>
      <w:r>
        <w:rPr>
          <w:rFonts w:ascii="Arial" w:cs="Arial" w:eastAsia="Arial" w:hAnsi="Arial"/>
          <w:sz w:val="20"/>
          <w:szCs w:val="20"/>
          <w:color w:val="auto"/>
        </w:rPr>
        <w:t>) ss:</w:t>
      </w:r>
    </w:p>
    <w:p>
      <w:pPr>
        <w:sectPr>
          <w:pgSz w:w="11900" w:h="16838" w:orient="portrait"/>
          <w:cols w:equalWidth="0" w:num="1">
            <w:col w:w="1124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660" w:space="400"/>
            <w:col w:w="9180"/>
          </w:cols>
          <w:pgMar w:left="320" w:top="1440" w:right="339" w:bottom="1440" w:gutter="0" w:footer="0" w:header="0"/>
          <w:type w:val="continuous"/>
        </w:sectPr>
      </w:pPr>
    </w:p>
    <w:p>
      <w:pPr>
        <w:spacing w:after="0" w:line="234" w:lineRule="exact"/>
        <w:rPr>
          <w:sz w:val="20"/>
          <w:szCs w:val="20"/>
          <w:color w:val="auto"/>
        </w:rPr>
      </w:pPr>
    </w:p>
    <w:p>
      <w:pPr>
        <w:ind w:firstLine="621"/>
        <w:spacing w:after="0" w:line="222" w:lineRule="auto"/>
        <w:rPr>
          <w:sz w:val="20"/>
          <w:szCs w:val="20"/>
          <w:color w:val="auto"/>
        </w:rPr>
      </w:pPr>
      <w:r>
        <w:rPr>
          <w:rFonts w:ascii="Arial" w:cs="Arial" w:eastAsia="Arial" w:hAnsi="Arial"/>
          <w:sz w:val="20"/>
          <w:szCs w:val="20"/>
          <w:color w:val="auto"/>
        </w:rPr>
        <w:t>On this 24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2020, the foregoing instrument was acknowledged before me by Andres Serrano, the person described in and who executed the foregoing instrument.</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24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5010150</wp:posOffset>
            </wp:positionH>
            <wp:positionV relativeFrom="paragraph">
              <wp:posOffset>659765</wp:posOffset>
            </wp:positionV>
            <wp:extent cx="1257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720"/>
        <w:spacing w:after="0"/>
        <w:rPr>
          <w:sz w:val="20"/>
          <w:szCs w:val="20"/>
          <w:color w:val="auto"/>
        </w:rPr>
      </w:pPr>
      <w:r>
        <w:rPr>
          <w:rFonts w:ascii="Arial" w:cs="Arial" w:eastAsia="Arial" w:hAnsi="Arial"/>
          <w:sz w:val="20"/>
          <w:szCs w:val="20"/>
          <w:color w:val="auto"/>
        </w:rPr>
        <w:t>Roger Garay</w:t>
      </w:r>
    </w:p>
    <w:p>
      <w:pPr>
        <w:spacing w:after="0" w:line="15" w:lineRule="exact"/>
        <w:rPr>
          <w:sz w:val="20"/>
          <w:szCs w:val="20"/>
          <w:color w:val="auto"/>
        </w:rPr>
      </w:pPr>
    </w:p>
    <w:p>
      <w:pPr>
        <w:jc w:val="center"/>
        <w:ind w:left="4720"/>
        <w:spacing w:after="0"/>
        <w:rPr>
          <w:sz w:val="20"/>
          <w:szCs w:val="20"/>
          <w:color w:val="auto"/>
        </w:rPr>
      </w:pPr>
      <w:r>
        <w:rPr>
          <w:rFonts w:ascii="Arial" w:cs="Arial" w:eastAsia="Arial" w:hAnsi="Arial"/>
          <w:sz w:val="20"/>
          <w:szCs w:val="20"/>
          <w:color w:val="auto"/>
        </w:rPr>
        <w:t>Notary Public, State of New York</w:t>
      </w:r>
    </w:p>
    <w:p>
      <w:pPr>
        <w:spacing w:after="0"/>
        <w:rPr>
          <w:sz w:val="20"/>
          <w:szCs w:val="20"/>
          <w:color w:val="auto"/>
        </w:rPr>
      </w:pPr>
      <w:r>
        <w:rPr>
          <w:rFonts w:ascii="Arial" w:cs="Arial" w:eastAsia="Arial" w:hAnsi="Arial"/>
          <w:sz w:val="20"/>
          <w:szCs w:val="20"/>
          <w:b w:val="1"/>
          <w:bCs w:val="1"/>
          <w:color w:val="1F497D"/>
        </w:rPr>
        <w:t>Roger Garay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1F497D"/>
        </w:rPr>
        <w:t>Notary Public – State of New York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1F497D"/>
        </w:rPr>
        <w:t>No. 01GA6168153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F497D"/>
        </w:rPr>
        <w:t>Qualified in Richmond County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F497D"/>
        </w:rPr>
        <w:t>Commission Expires June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type w:val="continuous"/>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Bethany M. Owen, of ALLETE, Inc. (ALLETE), certify that:</w:t>
      </w:r>
    </w:p>
    <w:p>
      <w:pPr>
        <w:spacing w:after="0" w:line="252"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2020,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Date: November 9, 2020</w:t>
            </w: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442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442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52"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2020, of ALLETE;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Date: November 9, 2020</w:t>
            </w:r>
          </w:p>
        </w:tc>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 Adams</w:t>
            </w:r>
          </w:p>
        </w:tc>
      </w:tr>
      <w:tr>
        <w:trPr>
          <w:trHeight w:val="222"/>
        </w:trPr>
        <w:tc>
          <w:tcPr>
            <w:tcW w:w="40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Robert J. Adams</w:t>
            </w:r>
          </w:p>
        </w:tc>
      </w:tr>
      <w:tr>
        <w:trPr>
          <w:trHeight w:val="230"/>
        </w:trPr>
        <w:tc>
          <w:tcPr>
            <w:tcW w:w="4020" w:type="dxa"/>
            <w:vAlign w:val="bottom"/>
          </w:tcPr>
          <w:p>
            <w:pPr>
              <w:spacing w:after="0"/>
              <w:rPr>
                <w:sz w:val="20"/>
                <w:szCs w:val="20"/>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660" w:hanging="328"/>
        <w:spacing w:after="0" w:line="258"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September 30, 2020,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2020</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Bethany M. 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Bethany M. Owen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2020</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14605</wp:posOffset>
            </wp:positionV>
            <wp:extent cx="37458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621"/>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2020, BNI Energy, owner of Center Mine, received five citations under Section 104(a) of the Mine Safety Act, none were significant and substantial (S&amp;S) citations. For the nine months ended September 30, 2020, BNI Energy paid $1,057 in penalties for citations closed during the period. For the nine months ended September 30, 2020, there were no citations, orders, violations or notices under Sections 104(b), 104(d), 107(a), 104(e) or 110(b)(2) of the Mine Safety Act and there were no fatalities. There were no citations received or fatalities during the quarter ended September 30, 2020.</w:t>
      </w:r>
    </w:p>
    <w:p>
      <w:pPr>
        <w:sectPr>
          <w:pgSz w:w="11900" w:h="16838" w:orient="portrait"/>
          <w:cols w:equalWidth="0" w:num="1">
            <w:col w:w="11240"/>
          </w:cols>
          <w:pgMar w:left="320" w:top="891" w:right="33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663575</wp:posOffset>
            </wp:positionV>
            <wp:extent cx="1371600" cy="6261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color w:val="auto"/>
        </w:rPr>
        <w:t>Exhibit 99</w:t>
      </w:r>
    </w:p>
    <w:p>
      <w:pPr>
        <w:spacing w:after="0" w:line="2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November 9, 2020</w:t>
      </w:r>
    </w:p>
    <w:p>
      <w:pPr>
        <w:spacing w:after="0" w:line="23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218-723-3952</w:t>
      </w:r>
    </w:p>
    <w:p>
      <w:pPr>
        <w:spacing w:after="0" w:line="7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vmeyer@allete.com</w:t>
      </w:r>
    </w:p>
    <w:p>
      <w:pPr>
        <w:spacing w:after="0" w:line="767" w:lineRule="exact"/>
        <w:rPr>
          <w:sz w:val="20"/>
          <w:szCs w:val="20"/>
          <w:color w:val="auto"/>
        </w:rPr>
      </w:pPr>
    </w:p>
    <w:p>
      <w:pPr>
        <w:sectPr>
          <w:pgSz w:w="11900" w:h="16838" w:orient="portrait"/>
          <w:cols w:equalWidth="0" w:num="2">
            <w:col w:w="6440" w:space="720"/>
            <w:col w:w="4060"/>
          </w:cols>
          <w:pgMar w:left="320" w:top="976" w:right="3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third quarter earnings of 78 cents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Reaffirms 2020 earnings guidance range</w:t>
      </w:r>
    </w:p>
    <w:p>
      <w:pPr>
        <w:spacing w:after="0" w:line="231"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DULUTH, Minn. - ALLETE, Inc. (NYSE: ALE) today reported third quarter 2020 earnings of 78 cents per share on net income of $40.7 million. Last year’s results were 60 cents per share on net income of $31.2 million.</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“ALLETE’s strong financial performance for this quarter and significant progress made on two of our large renewable energy projects representing over 500 megawatts of new, carbon free wind generation, demonstrate our resilience and resourcefulness while we work to mitigate the effects of the pandemic on our customers and the economy,” said ALLETE President and CEO Bethany Owen. “ALLETE remains focused on delivering essential energy services to our customers and value to our shareholders, while leading the transition to cleaner energy and reducing carbon as part of our sustainability in action strategy.”</w:t>
      </w:r>
    </w:p>
    <w:p>
      <w:pPr>
        <w:spacing w:after="0" w:line="20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ALLETE’s Regulated Operations segment, which includes Minnesota Power, Superior Water, Light and Power and the Company’s investment in the American Transmission Co., recorded net income of $42.4 million, compared to $32.4 million in the third quarter of 2019. Earnings reflect higher net income at Minnesota Power primarily due to higher rates, and year-over-year timing impacts related to income tax expense and fuel adjustment clause recoveries. The quarter also reflects lower kilowatt-hour sales to commercial and industrial customers due to COVID-19 impacts, partially offset by increased residential sales, and lower revenue from other power suppliers due to the expiration of a contract in the second quarter of 2020.</w:t>
      </w:r>
    </w:p>
    <w:p>
      <w:pPr>
        <w:spacing w:after="0" w:line="223"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ALLETE Clean Energy recorded third quarter 2020 net income of $1.1 million compared to a net loss of $1.2 million in 2019. Net income in 2020 reflects additional production tax credits, higher kilowatt-hour sales due to higher wind resources compared to 2019, and earnings from the new Glen Ullin and South Peak wind energy facilities.</w:t>
      </w:r>
    </w:p>
    <w:p>
      <w:pPr>
        <w:spacing w:after="0" w:line="21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Corporate and Other, which includes BNI Energy and ALLETE Properties, recorded a loss of $2.8 million in 2020 primarily due to lower earnings on cash and short-term investments and year-over-year timing impacts related to the recording of income tax expense, which varies quarter to quarter based on an estimated annual effective tax rate.</w:t>
      </w:r>
    </w:p>
    <w:p>
      <w:pPr>
        <w:spacing w:after="0" w:line="213"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“We continue to expect ALLETE’s 2020 annual adjusted earnings guidance (Non-GAAP) to be in the range of $3.25 to $3.45 per share, excluding the 16 cent per share charge related to the Minnesota Power rate case resolution, net of tax.” said ALLETE Senior Vice President and Chief Financial Officer Bob Adams. “This guidance reflects lower power demand and kilowatt-hour sales related to Keewatin Taconite and Verso Corporation operations that remain idled, as well as lower demand from other customers, partially offset by lower operating and maintenance expense.”</w:t>
      </w:r>
    </w:p>
    <w:p>
      <w:pPr>
        <w:spacing w:after="0" w:line="221"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 xml:space="preserve">ALLETE’s earnings conference call will be at 10:00 a.m. (EST), November 9, 2020, at which time management will discuss the third quarter of 2020 financial results. Interested parties may listen live by calling 877-303-5852, pass code 5289685, ten minutes prior to the start time, or may listen to the live audio-only webcast and view supporting slides, which will be available on ALLETE’s Investor Relations website </w:t>
      </w:r>
      <w:r>
        <w:rPr>
          <w:rFonts w:ascii="Arial" w:cs="Arial" w:eastAsia="Arial" w:hAnsi="Arial"/>
          <w:sz w:val="20"/>
          <w:szCs w:val="20"/>
          <w:u w:val="single" w:color="auto"/>
          <w:color w:val="0563C1"/>
        </w:rPr>
        <w:t>http://investor.allete.com/events-presentations</w:t>
      </w:r>
      <w:r>
        <w:rPr>
          <w:rFonts w:ascii="Arial" w:cs="Arial" w:eastAsia="Arial" w:hAnsi="Arial"/>
          <w:sz w:val="18"/>
          <w:szCs w:val="18"/>
          <w:color w:val="000000"/>
        </w:rPr>
        <w:t xml:space="preserve">. A replay of the call will be available through November 16, 2020 by calling (855) 859-2056, pass code 5289685. The webcast will be accessible for one year at </w:t>
      </w:r>
      <w:r>
        <w:rPr>
          <w:rFonts w:ascii="Arial" w:cs="Arial" w:eastAsia="Arial" w:hAnsi="Arial"/>
          <w:sz w:val="20"/>
          <w:szCs w:val="20"/>
          <w:u w:val="single" w:color="auto"/>
          <w:color w:val="0563C1"/>
        </w:rPr>
        <w:t>www.allete.com</w:t>
      </w:r>
      <w:r>
        <w:rPr>
          <w:rFonts w:ascii="Arial" w:cs="Arial" w:eastAsia="Arial" w:hAnsi="Arial"/>
          <w:sz w:val="18"/>
          <w:szCs w:val="18"/>
          <w:color w:val="000000"/>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20"/>
          </w:cols>
          <w:pgMar w:left="320" w:top="976" w:right="359" w:bottom="1440" w:gutter="0" w:footer="0" w:header="0"/>
          <w:type w:val="continuous"/>
        </w:sectPr>
      </w:pPr>
    </w:p>
    <w:bookmarkStart w:id="161" w:name="page162"/>
    <w:bookmarkEnd w:id="161"/>
    <w:p>
      <w:pPr>
        <w:ind w:right="320"/>
        <w:spacing w:after="0" w:line="278" w:lineRule="auto"/>
        <w:rPr>
          <w:sz w:val="20"/>
          <w:szCs w:val="20"/>
          <w:color w:val="auto"/>
        </w:rPr>
      </w:pPr>
      <w:r>
        <w:rPr>
          <w:rFonts w:ascii="Arial" w:cs="Arial" w:eastAsia="Arial" w:hAnsi="Arial"/>
          <w:sz w:val="18"/>
          <w:szCs w:val="18"/>
          <w:color w:val="auto"/>
        </w:rPr>
        <w:t>ALLETE is an energy company headquartered in Duluth, Minn. In addition to its electric utilities, Minnesota Power and Superior Water, Light and Power of Wisconsin, ALLETE owns ALLETE Clean Energy, based in Duluth, BNI Energy in Bismarck, N.D., and has an eight</w:t>
      </w:r>
    </w:p>
    <w:p>
      <w:pPr>
        <w:spacing w:after="0"/>
        <w:rPr>
          <w:sz w:val="20"/>
          <w:szCs w:val="20"/>
          <w:color w:val="auto"/>
        </w:rPr>
      </w:pPr>
      <w:r>
        <w:rPr>
          <w:rFonts w:ascii="Arial" w:cs="Arial" w:eastAsia="Arial" w:hAnsi="Arial"/>
          <w:sz w:val="18"/>
          <w:szCs w:val="18"/>
          <w:color w:val="auto"/>
        </w:rPr>
        <w:t xml:space="preserve">percent equity interest in the American Transmission Co. More information about ALLETE is available at www.allete.com. </w:t>
      </w:r>
      <w:r>
        <w:rPr>
          <w:rFonts w:ascii="Arial" w:cs="Arial" w:eastAsia="Arial" w:hAnsi="Arial"/>
          <w:sz w:val="19"/>
          <w:szCs w:val="19"/>
          <w:i w:val="1"/>
          <w:iCs w:val="1"/>
          <w:color w:val="auto"/>
        </w:rPr>
        <w:t>ALE-CORP</w:t>
      </w:r>
    </w:p>
    <w:p>
      <w:pPr>
        <w:spacing w:after="0" w:line="260"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18" w:lineRule="exact"/>
        <w:rPr>
          <w:sz w:val="20"/>
          <w:szCs w:val="20"/>
          <w:color w:val="auto"/>
        </w:rPr>
      </w:pPr>
    </w:p>
    <w:p>
      <w:pPr>
        <w:jc w:val="both"/>
        <w:ind w:right="120"/>
        <w:spacing w:after="0" w:line="246" w:lineRule="auto"/>
        <w:rPr>
          <w:sz w:val="20"/>
          <w:szCs w:val="20"/>
          <w:color w:val="auto"/>
        </w:rPr>
      </w:pPr>
      <w:r>
        <w:rPr>
          <w:rFonts w:ascii="Arial" w:cs="Arial" w:eastAsia="Arial" w:hAnsi="Arial"/>
          <w:sz w:val="20"/>
          <w:szCs w:val="20"/>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18" w:lineRule="exact"/>
        <w:rPr>
          <w:sz w:val="20"/>
          <w:szCs w:val="20"/>
          <w:color w:val="auto"/>
        </w:rPr>
      </w:pPr>
    </w:p>
    <w:p>
      <w:pPr>
        <w:spacing w:after="0" w:line="243" w:lineRule="auto"/>
        <w:rPr>
          <w:sz w:val="20"/>
          <w:szCs w:val="20"/>
          <w:color w:val="auto"/>
        </w:rPr>
      </w:pPr>
      <w:r>
        <w:rPr>
          <w:rFonts w:ascii="Arial" w:cs="Arial" w:eastAsia="Arial" w:hAnsi="Arial"/>
          <w:sz w:val="20"/>
          <w:szCs w:val="20"/>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such as the charge for the recent Minnesota Power rate case resolution. Management believes that the presentation of non-GAAP financial measures is appropriate and enables investors and analysts to more accurately compare the company's ongoing financial performance over the periods presented. See page 4 in this release for a reconciliation of 2020 annual GAAP earnings guidance range to 2020 annual adjusted earnings guidance range (Non-GAAP).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2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 30 West Superior Street, Duluth, Minnesota 55802</w:t>
      </w:r>
    </w:p>
    <w:p>
      <w:pPr>
        <w:sectPr>
          <w:pgSz w:w="11900" w:h="16838" w:orient="portrait"/>
          <w:cols w:equalWidth="0" w:num="1">
            <w:col w:w="11240"/>
          </w:cols>
          <w:pgMar w:left="320" w:top="1176"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356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5680" w:type="dxa"/>
            <w:vAlign w:val="bottom"/>
          </w:tcPr>
          <w:p>
            <w:pPr>
              <w:spacing w:after="0"/>
              <w:rPr>
                <w:sz w:val="19"/>
                <w:szCs w:val="19"/>
                <w:color w:val="auto"/>
              </w:rPr>
            </w:pPr>
          </w:p>
        </w:tc>
        <w:tc>
          <w:tcPr>
            <w:tcW w:w="35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6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Operating Revenue</w:t>
            </w:r>
          </w:p>
        </w:tc>
        <w:tc>
          <w:tcPr>
            <w:tcW w:w="2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Contracts with Customers – Utility</w:t>
            </w:r>
          </w:p>
        </w:tc>
        <w:tc>
          <w:tcPr>
            <w:tcW w:w="2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$255.1</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$254.1</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$721.2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r>
      <w:tr>
        <w:trPr>
          <w:trHeight w:val="230"/>
        </w:trPr>
        <w:tc>
          <w:tcPr>
            <w:tcW w:w="5680" w:type="dxa"/>
            <w:vAlign w:val="bottom"/>
          </w:tcPr>
          <w:p>
            <w:pPr>
              <w:ind w:left="340"/>
              <w:spacing w:after="0"/>
              <w:rPr>
                <w:sz w:val="20"/>
                <w:szCs w:val="20"/>
                <w:color w:val="auto"/>
              </w:rPr>
            </w:pPr>
            <w:r>
              <w:rPr>
                <w:rFonts w:ascii="Arial" w:cs="Arial" w:eastAsia="Arial" w:hAnsi="Arial"/>
                <w:sz w:val="18"/>
                <w:szCs w:val="18"/>
                <w:color w:val="auto"/>
              </w:rPr>
              <w:t>Contracts with Customers – Non-utility</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35.9</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31.3</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119.0</w:t>
            </w:r>
          </w:p>
        </w:tc>
        <w:tc>
          <w:tcPr>
            <w:tcW w:w="90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5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 Non-utility</w:t>
            </w:r>
          </w:p>
        </w:tc>
        <w:tc>
          <w:tcPr>
            <w:tcW w:w="2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5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Operating Revenue</w:t>
            </w:r>
          </w:p>
        </w:tc>
        <w:tc>
          <w:tcPr>
            <w:tcW w:w="2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293.9</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288.3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848.7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680" w:type="dxa"/>
            <w:vAlign w:val="bottom"/>
          </w:tcPr>
          <w:p>
            <w:pPr>
              <w:ind w:left="340"/>
              <w:spacing w:after="0"/>
              <w:rPr>
                <w:sz w:val="20"/>
                <w:szCs w:val="20"/>
                <w:color w:val="auto"/>
              </w:rPr>
            </w:pPr>
            <w:r>
              <w:rPr>
                <w:rFonts w:ascii="Arial" w:cs="Arial" w:eastAsia="Arial" w:hAnsi="Arial"/>
                <w:sz w:val="18"/>
                <w:szCs w:val="18"/>
                <w:color w:val="auto"/>
              </w:rPr>
              <w:t>Fuel, Purchased Power and Gas – Utility</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93.4</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98.2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251.7</w:t>
            </w:r>
          </w:p>
        </w:tc>
        <w:tc>
          <w:tcPr>
            <w:tcW w:w="900" w:type="dxa"/>
            <w:vAlign w:val="bottom"/>
          </w:tcPr>
          <w:p>
            <w:pPr>
              <w:jc w:val="right"/>
              <w:spacing w:after="0"/>
              <w:rPr>
                <w:sz w:val="20"/>
                <w:szCs w:val="20"/>
                <w:color w:val="auto"/>
              </w:rPr>
            </w:pPr>
            <w:r>
              <w:rPr>
                <w:rFonts w:ascii="Arial" w:cs="Arial" w:eastAsia="Arial" w:hAnsi="Arial"/>
                <w:sz w:val="18"/>
                <w:szCs w:val="18"/>
                <w:color w:val="auto"/>
              </w:rPr>
              <w:t>295.9</w:t>
            </w:r>
          </w:p>
        </w:tc>
      </w:tr>
      <w:tr>
        <w:trPr>
          <w:trHeight w:val="229"/>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Transmission Services – Utility</w:t>
            </w:r>
          </w:p>
        </w:tc>
        <w:tc>
          <w:tcPr>
            <w:tcW w:w="2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14.9</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5680" w:type="dxa"/>
            <w:vAlign w:val="bottom"/>
          </w:tcPr>
          <w:p>
            <w:pPr>
              <w:ind w:left="340"/>
              <w:spacing w:after="0"/>
              <w:rPr>
                <w:sz w:val="20"/>
                <w:szCs w:val="20"/>
                <w:color w:val="auto"/>
              </w:rPr>
            </w:pPr>
            <w:r>
              <w:rPr>
                <w:rFonts w:ascii="Arial" w:cs="Arial" w:eastAsia="Arial" w:hAnsi="Arial"/>
                <w:sz w:val="18"/>
                <w:szCs w:val="18"/>
                <w:color w:val="auto"/>
              </w:rPr>
              <w:t>Cost of Sales – Non-utility</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15.4</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48.6</w:t>
            </w:r>
          </w:p>
        </w:tc>
        <w:tc>
          <w:tcPr>
            <w:tcW w:w="90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30"/>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and Maintenance</w:t>
            </w:r>
          </w:p>
        </w:tc>
        <w:tc>
          <w:tcPr>
            <w:tcW w:w="2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61.9</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58.1</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29"/>
        </w:trPr>
        <w:tc>
          <w:tcPr>
            <w:tcW w:w="5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53.4</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49.5</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161.3</w:t>
            </w:r>
          </w:p>
        </w:tc>
        <w:tc>
          <w:tcPr>
            <w:tcW w:w="90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229"/>
        </w:trPr>
        <w:tc>
          <w:tcPr>
            <w:tcW w:w="5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2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13.3</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12.5</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3"/>
        </w:trPr>
        <w:tc>
          <w:tcPr>
            <w:tcW w:w="5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Operating Expenses</w:t>
            </w:r>
          </w:p>
        </w:tc>
        <w:tc>
          <w:tcPr>
            <w:tcW w:w="2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252.3</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251.3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734.2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r>
      <w:tr>
        <w:trPr>
          <w:trHeight w:val="223"/>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41.6</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37.0</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114.5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5680" w:type="dxa"/>
            <w:vAlign w:val="bottom"/>
          </w:tcPr>
          <w:p>
            <w:pPr>
              <w:ind w:left="340"/>
              <w:spacing w:after="0"/>
              <w:rPr>
                <w:sz w:val="20"/>
                <w:szCs w:val="20"/>
                <w:color w:val="auto"/>
              </w:rPr>
            </w:pPr>
            <w:r>
              <w:rPr>
                <w:rFonts w:ascii="Arial" w:cs="Arial" w:eastAsia="Arial" w:hAnsi="Arial"/>
                <w:sz w:val="18"/>
                <w:szCs w:val="18"/>
                <w:color w:val="auto"/>
              </w:rPr>
              <w:t>Equity Earnings</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5.1</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16.7</w:t>
            </w: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U.S. Water Services</w:t>
            </w:r>
          </w:p>
        </w:tc>
        <w:tc>
          <w:tcPr>
            <w:tcW w:w="2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5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5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(Expense)</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(8.3)</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33.3</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28.8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92.4</w:t>
            </w:r>
          </w:p>
        </w:tc>
        <w:tc>
          <w:tcPr>
            <w:tcW w:w="90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(27.8)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38.8</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31.2</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5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Net Loss Attributable to Non-Controlling Interest</w:t>
            </w:r>
          </w:p>
        </w:tc>
        <w:tc>
          <w:tcPr>
            <w:tcW w:w="2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$40.7</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$31.2</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$127.1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680" w:type="dxa"/>
            <w:vAlign w:val="bottom"/>
          </w:tcPr>
          <w:p>
            <w:pPr>
              <w:ind w:left="340"/>
              <w:spacing w:after="0"/>
              <w:rPr>
                <w:sz w:val="20"/>
                <w:szCs w:val="20"/>
                <w:color w:val="auto"/>
              </w:rPr>
            </w:pPr>
            <w:r>
              <w:rPr>
                <w:rFonts w:ascii="Arial" w:cs="Arial" w:eastAsia="Arial" w:hAnsi="Arial"/>
                <w:sz w:val="18"/>
                <w:szCs w:val="18"/>
                <w:color w:val="auto"/>
              </w:rPr>
              <w:t>Basic</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51.9</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51.7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51.8</w:t>
            </w:r>
          </w:p>
        </w:tc>
        <w:tc>
          <w:tcPr>
            <w:tcW w:w="90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5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52.0</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51.8</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540" w:type="dxa"/>
            <w:vAlign w:val="bottom"/>
          </w:tcPr>
          <w:p>
            <w:pPr>
              <w:jc w:val="right"/>
              <w:ind w:right="150"/>
              <w:spacing w:after="0"/>
              <w:rPr>
                <w:sz w:val="20"/>
                <w:szCs w:val="20"/>
                <w:color w:val="auto"/>
              </w:rPr>
            </w:pPr>
            <w:r>
              <w:rPr>
                <w:rFonts w:ascii="Arial" w:cs="Arial" w:eastAsia="Arial" w:hAnsi="Arial"/>
                <w:sz w:val="18"/>
                <w:szCs w:val="18"/>
                <w:color w:val="auto"/>
              </w:rPr>
              <w:t>$0.78</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$0.60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$2.45</w:t>
            </w: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$0.78</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$0.60</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$0.6175</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$0.5875</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$1.8525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$1.7625</w:t>
            </w: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100" w:type="dxa"/>
            <w:vAlign w:val="bottom"/>
          </w:tcPr>
          <w:p>
            <w:pPr>
              <w:spacing w:after="0"/>
              <w:rPr>
                <w:sz w:val="19"/>
                <w:szCs w:val="19"/>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 30</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Dec. 31,</w:t>
            </w:r>
          </w:p>
        </w:tc>
        <w:tc>
          <w:tcPr>
            <w:tcW w:w="40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Sep. 30</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Dec. 31,</w:t>
            </w:r>
          </w:p>
        </w:tc>
      </w:tr>
      <w:tr>
        <w:trPr>
          <w:trHeight w:val="234"/>
        </w:trPr>
        <w:tc>
          <w:tcPr>
            <w:tcW w:w="3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186.1</w:t>
            </w:r>
          </w:p>
        </w:tc>
        <w:tc>
          <w:tcPr>
            <w:tcW w:w="900" w:type="dxa"/>
            <w:vAlign w:val="bottom"/>
          </w:tcPr>
          <w:p>
            <w:pPr>
              <w:jc w:val="right"/>
              <w:spacing w:after="0"/>
              <w:rPr>
                <w:sz w:val="20"/>
                <w:szCs w:val="20"/>
                <w:color w:val="auto"/>
              </w:rPr>
            </w:pPr>
            <w:r>
              <w:rPr>
                <w:rFonts w:ascii="Arial" w:cs="Arial" w:eastAsia="Arial" w:hAnsi="Arial"/>
                <w:sz w:val="18"/>
                <w:szCs w:val="18"/>
                <w:color w:val="auto"/>
              </w:rPr>
              <w:t>200.2</w:t>
            </w:r>
          </w:p>
        </w:tc>
        <w:tc>
          <w:tcPr>
            <w:tcW w:w="400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20" w:type="dxa"/>
            <w:vAlign w:val="bottom"/>
          </w:tcPr>
          <w:p>
            <w:pPr>
              <w:jc w:val="right"/>
              <w:spacing w:after="0"/>
              <w:rPr>
                <w:sz w:val="20"/>
                <w:szCs w:val="20"/>
                <w:color w:val="auto"/>
              </w:rPr>
            </w:pPr>
            <w:r>
              <w:rPr>
                <w:rFonts w:ascii="Arial" w:cs="Arial" w:eastAsia="Arial" w:hAnsi="Arial"/>
                <w:sz w:val="18"/>
                <w:szCs w:val="18"/>
                <w:color w:val="auto"/>
              </w:rPr>
              <w:t>1,608.0</w:t>
            </w:r>
          </w:p>
        </w:tc>
        <w:tc>
          <w:tcPr>
            <w:tcW w:w="840" w:type="dxa"/>
            <w:vAlign w:val="bottom"/>
          </w:tcPr>
          <w:p>
            <w:pPr>
              <w:jc w:val="right"/>
              <w:spacing w:after="0"/>
              <w:rPr>
                <w:sz w:val="20"/>
                <w:szCs w:val="20"/>
                <w:color w:val="auto"/>
              </w:rPr>
            </w:pPr>
            <w:r>
              <w:rPr>
                <w:rFonts w:ascii="Arial" w:cs="Arial" w:eastAsia="Arial" w:hAnsi="Arial"/>
                <w:sz w:val="18"/>
                <w:szCs w:val="18"/>
                <w:color w:val="auto"/>
              </w:rPr>
              <w:t>1,400.9</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4,377.0</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427.9</w:t>
            </w:r>
          </w:p>
        </w:tc>
        <w:tc>
          <w:tcPr>
            <w:tcW w:w="900" w:type="dxa"/>
            <w:vAlign w:val="bottom"/>
          </w:tcPr>
          <w:p>
            <w:pPr>
              <w:jc w:val="right"/>
              <w:spacing w:after="0"/>
              <w:rPr>
                <w:sz w:val="20"/>
                <w:szCs w:val="20"/>
                <w:color w:val="auto"/>
              </w:rPr>
            </w:pPr>
            <w:r>
              <w:rPr>
                <w:rFonts w:ascii="Arial" w:cs="Arial" w:eastAsia="Arial" w:hAnsi="Arial"/>
                <w:sz w:val="18"/>
                <w:szCs w:val="18"/>
                <w:color w:val="auto"/>
              </w:rPr>
              <w:t>420.5</w:t>
            </w:r>
          </w:p>
        </w:tc>
        <w:tc>
          <w:tcPr>
            <w:tcW w:w="400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547.1</w:t>
            </w:r>
          </w:p>
        </w:tc>
        <w:tc>
          <w:tcPr>
            <w:tcW w:w="840" w:type="dxa"/>
            <w:vAlign w:val="bottom"/>
          </w:tcPr>
          <w:p>
            <w:pPr>
              <w:jc w:val="right"/>
              <w:spacing w:after="0"/>
              <w:rPr>
                <w:sz w:val="20"/>
                <w:szCs w:val="20"/>
                <w:color w:val="auto"/>
              </w:rPr>
            </w:pPr>
            <w:r>
              <w:rPr>
                <w:rFonts w:ascii="Arial" w:cs="Arial" w:eastAsia="Arial" w:hAnsi="Arial"/>
                <w:sz w:val="18"/>
                <w:szCs w:val="18"/>
                <w:color w:val="auto"/>
              </w:rPr>
              <w:t>560.3</w:t>
            </w:r>
          </w:p>
        </w:tc>
      </w:tr>
      <w:tr>
        <w:trPr>
          <w:trHeight w:val="25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0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Defined Benefit Pension and Other Postretirement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148"/>
        </w:trPr>
        <w:tc>
          <w:tcPr>
            <w:tcW w:w="3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Benefit Plans</w:t>
            </w: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196.2</w:t>
            </w:r>
          </w:p>
        </w:tc>
        <w:tc>
          <w:tcPr>
            <w:tcW w:w="900" w:type="dxa"/>
            <w:vAlign w:val="bottom"/>
          </w:tcPr>
          <w:p>
            <w:pPr>
              <w:jc w:val="right"/>
              <w:spacing w:after="0"/>
              <w:rPr>
                <w:sz w:val="20"/>
                <w:szCs w:val="20"/>
                <w:color w:val="auto"/>
              </w:rPr>
            </w:pPr>
            <w:r>
              <w:rPr>
                <w:rFonts w:ascii="Arial" w:cs="Arial" w:eastAsia="Arial" w:hAnsi="Arial"/>
                <w:sz w:val="18"/>
                <w:szCs w:val="18"/>
                <w:color w:val="auto"/>
              </w:rPr>
              <w:t>218.2</w:t>
            </w:r>
          </w:p>
        </w:tc>
        <w:tc>
          <w:tcPr>
            <w:tcW w:w="400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285.5</w:t>
            </w:r>
          </w:p>
        </w:tc>
        <w:tc>
          <w:tcPr>
            <w:tcW w:w="8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29"/>
        </w:trPr>
        <w:tc>
          <w:tcPr>
            <w:tcW w:w="3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2,335.6</w:t>
            </w:r>
          </w:p>
        </w:tc>
      </w:tr>
      <w:tr>
        <w:trPr>
          <w:trHeight w:val="223"/>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$5,878.5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$5,482.8</w:t>
            </w:r>
          </w:p>
        </w:tc>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$5,482.8</w:t>
            </w: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 30 West Superior Street, Duluth, Minnesota 55802</w:t>
      </w:r>
    </w:p>
    <w:p>
      <w:pPr>
        <w:sectPr>
          <w:pgSz w:w="11900" w:h="16838" w:orient="portrait"/>
          <w:cols w:equalWidth="0" w:num="1">
            <w:col w:w="11240"/>
          </w:cols>
          <w:pgMar w:left="320" w:top="931" w:right="339" w:bottom="144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74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Quarter Ended</w:t>
            </w:r>
          </w:p>
        </w:tc>
        <w:tc>
          <w:tcPr>
            <w:tcW w:w="27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24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89"/>
              </w:rPr>
              <w:t>2019</w:t>
            </w:r>
          </w:p>
        </w:tc>
        <w:tc>
          <w:tcPr>
            <w:tcW w:w="18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Regulated Operations</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$42.4</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$32.4</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29"/>
        </w:trPr>
        <w:tc>
          <w:tcPr>
            <w:tcW w:w="4740" w:type="dxa"/>
            <w:vAlign w:val="bottom"/>
          </w:tcPr>
          <w:p>
            <w:pPr>
              <w:ind w:left="340"/>
              <w:spacing w:after="0"/>
              <w:rPr>
                <w:sz w:val="20"/>
                <w:szCs w:val="20"/>
                <w:color w:val="auto"/>
              </w:rPr>
            </w:pPr>
            <w:r>
              <w:rPr>
                <w:rFonts w:ascii="Arial" w:cs="Arial" w:eastAsia="Arial" w:hAnsi="Arial"/>
                <w:sz w:val="18"/>
                <w:szCs w:val="18"/>
                <w:color w:val="auto"/>
              </w:rPr>
              <w:t>ALLETE Clean Energy</w:t>
            </w:r>
          </w:p>
        </w:tc>
        <w:tc>
          <w:tcPr>
            <w:tcW w:w="2480" w:type="dxa"/>
            <w:vAlign w:val="bottom"/>
          </w:tcPr>
          <w:p>
            <w:pPr>
              <w:jc w:val="right"/>
              <w:ind w:right="530"/>
              <w:spacing w:after="0"/>
              <w:rPr>
                <w:sz w:val="20"/>
                <w:szCs w:val="20"/>
                <w:color w:val="auto"/>
              </w:rPr>
            </w:pPr>
            <w:r>
              <w:rPr>
                <w:rFonts w:ascii="Arial" w:cs="Arial" w:eastAsia="Arial" w:hAnsi="Arial"/>
                <w:sz w:val="18"/>
                <w:szCs w:val="18"/>
                <w:color w:val="auto"/>
              </w:rPr>
              <w:t>1.1</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16.8</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Water Services</w:t>
            </w:r>
          </w:p>
        </w:tc>
        <w:tc>
          <w:tcPr>
            <w:tcW w:w="24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7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Corporate and Other</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(2.8)</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(0.7)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23"/>
        </w:trPr>
        <w:tc>
          <w:tcPr>
            <w:tcW w:w="4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$40.7</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$31.2</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$127.1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$0.78</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$0.60</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$2.45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601"/>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tcPr>
          <w:p>
            <w:pPr>
              <w:ind w:left="540"/>
              <w:spacing w:after="0"/>
              <w:rPr>
                <w:sz w:val="20"/>
                <w:szCs w:val="20"/>
                <w:color w:val="auto"/>
              </w:rPr>
            </w:pPr>
            <w:r>
              <w:rPr>
                <w:rFonts w:ascii="Arial" w:cs="Arial" w:eastAsia="Arial" w:hAnsi="Arial"/>
                <w:sz w:val="18"/>
                <w:szCs w:val="18"/>
                <w:color w:val="auto"/>
              </w:rPr>
              <w:t>High</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$61.32</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$88.60</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$84.71</w:t>
            </w:r>
          </w:p>
        </w:tc>
        <w:tc>
          <w:tcPr>
            <w:tcW w:w="960" w:type="dxa"/>
            <w:vAlign w:val="bottom"/>
          </w:tcPr>
          <w:p>
            <w:pPr>
              <w:jc w:val="right"/>
              <w:spacing w:after="0"/>
              <w:rPr>
                <w:sz w:val="20"/>
                <w:szCs w:val="20"/>
                <w:color w:val="auto"/>
              </w:rPr>
            </w:pPr>
            <w:r>
              <w:rPr>
                <w:rFonts w:ascii="Arial" w:cs="Arial" w:eastAsia="Arial" w:hAnsi="Arial"/>
                <w:sz w:val="18"/>
                <w:szCs w:val="18"/>
                <w:color w:val="auto"/>
              </w:rPr>
              <w:t>$88.60</w:t>
            </w:r>
          </w:p>
        </w:tc>
      </w:tr>
      <w:tr>
        <w:trPr>
          <w:trHeight w:val="230"/>
        </w:trPr>
        <w:tc>
          <w:tcPr>
            <w:tcW w:w="4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Low</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$49.91</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$82.38</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$48.22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r>
      <w:tr>
        <w:trPr>
          <w:trHeight w:val="229"/>
        </w:trPr>
        <w:tc>
          <w:tcPr>
            <w:tcW w:w="4740" w:type="dxa"/>
            <w:vAlign w:val="bottom"/>
          </w:tcPr>
          <w:p>
            <w:pPr>
              <w:ind w:left="540"/>
              <w:spacing w:after="0"/>
              <w:rPr>
                <w:sz w:val="20"/>
                <w:szCs w:val="20"/>
                <w:color w:val="auto"/>
              </w:rPr>
            </w:pPr>
            <w:r>
              <w:rPr>
                <w:rFonts w:ascii="Arial" w:cs="Arial" w:eastAsia="Arial" w:hAnsi="Arial"/>
                <w:sz w:val="18"/>
                <w:szCs w:val="18"/>
                <w:color w:val="auto"/>
              </w:rPr>
              <w:t>Close</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$51.74</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$87.41</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$51.74</w:t>
            </w:r>
          </w:p>
        </w:tc>
        <w:tc>
          <w:tcPr>
            <w:tcW w:w="960" w:type="dxa"/>
            <w:vAlign w:val="bottom"/>
          </w:tcPr>
          <w:p>
            <w:pPr>
              <w:jc w:val="right"/>
              <w:spacing w:after="0"/>
              <w:rPr>
                <w:sz w:val="20"/>
                <w:szCs w:val="20"/>
                <w:color w:val="auto"/>
              </w:rPr>
            </w:pPr>
            <w:r>
              <w:rPr>
                <w:rFonts w:ascii="Arial" w:cs="Arial" w:eastAsia="Arial" w:hAnsi="Arial"/>
                <w:sz w:val="18"/>
                <w:szCs w:val="18"/>
                <w:color w:val="auto"/>
              </w:rPr>
              <w:t>$87.41</w:t>
            </w:r>
          </w:p>
        </w:tc>
      </w:tr>
      <w:tr>
        <w:trPr>
          <w:trHeight w:val="230"/>
        </w:trPr>
        <w:tc>
          <w:tcPr>
            <w:tcW w:w="4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Book Value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$43.89</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$42.73</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$43.89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r>
      <w:tr>
        <w:trPr>
          <w:trHeight w:val="601"/>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Regulated Utility</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40" w:type="dxa"/>
            <w:vAlign w:val="bottom"/>
          </w:tcPr>
          <w:p>
            <w:pPr>
              <w:ind w:left="540"/>
              <w:spacing w:after="0"/>
              <w:rPr>
                <w:sz w:val="20"/>
                <w:szCs w:val="20"/>
                <w:color w:val="auto"/>
              </w:rPr>
            </w:pPr>
            <w:r>
              <w:rPr>
                <w:rFonts w:ascii="Arial" w:cs="Arial" w:eastAsia="Arial" w:hAnsi="Arial"/>
                <w:sz w:val="18"/>
                <w:szCs w:val="18"/>
                <w:color w:val="auto"/>
              </w:rPr>
              <w:t>Retail and Municipal</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Residential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268</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248</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835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30"/>
        </w:trPr>
        <w:tc>
          <w:tcPr>
            <w:tcW w:w="4740" w:type="dxa"/>
            <w:vAlign w:val="bottom"/>
          </w:tcPr>
          <w:p>
            <w:pPr>
              <w:ind w:left="98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345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361</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983</w:t>
            </w:r>
          </w:p>
        </w:tc>
        <w:tc>
          <w:tcPr>
            <w:tcW w:w="96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29"/>
        </w:trPr>
        <w:tc>
          <w:tcPr>
            <w:tcW w:w="4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Industrial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1,410</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1,802</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4,547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r>
      <w:tr>
        <w:trPr>
          <w:trHeight w:val="230"/>
        </w:trPr>
        <w:tc>
          <w:tcPr>
            <w:tcW w:w="47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147</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146</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434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4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Retail and Municipal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2,170</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2,557</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6,799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r>
      <w:tr>
        <w:trPr>
          <w:trHeight w:val="230"/>
        </w:trPr>
        <w:tc>
          <w:tcPr>
            <w:tcW w:w="47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Other Power Suppliers</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967</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758</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2,495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r>
      <w:tr>
        <w:trPr>
          <w:trHeight w:val="223"/>
        </w:trPr>
        <w:tc>
          <w:tcPr>
            <w:tcW w:w="47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Total Regulated Utility Kilowatt-hours Sold</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3,137</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3,315</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9,294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r>
      <w:tr>
        <w:trPr>
          <w:trHeight w:val="588"/>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Millions</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Regulated Utility Revenue</w:t>
            </w:r>
          </w:p>
        </w:tc>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740" w:type="dxa"/>
            <w:vAlign w:val="bottom"/>
          </w:tcPr>
          <w:p>
            <w:pPr>
              <w:ind w:left="540"/>
              <w:spacing w:after="0"/>
              <w:rPr>
                <w:sz w:val="20"/>
                <w:szCs w:val="20"/>
                <w:color w:val="auto"/>
              </w:rPr>
            </w:pPr>
            <w:r>
              <w:rPr>
                <w:rFonts w:ascii="Arial" w:cs="Arial" w:eastAsia="Arial" w:hAnsi="Arial"/>
                <w:sz w:val="18"/>
                <w:szCs w:val="18"/>
                <w:color w:val="auto"/>
              </w:rPr>
              <w:t>Retail and Municipal Electric Revenue</w:t>
            </w:r>
          </w:p>
        </w:tc>
        <w:tc>
          <w:tcPr>
            <w:tcW w:w="2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Residential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$32.2</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$27.6</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29"/>
        </w:trPr>
        <w:tc>
          <w:tcPr>
            <w:tcW w:w="4740" w:type="dxa"/>
            <w:vAlign w:val="bottom"/>
          </w:tcPr>
          <w:p>
            <w:pPr>
              <w:ind w:left="980"/>
              <w:spacing w:after="0"/>
              <w:rPr>
                <w:sz w:val="20"/>
                <w:szCs w:val="20"/>
                <w:color w:val="auto"/>
              </w:rPr>
            </w:pPr>
            <w:r>
              <w:rPr>
                <w:rFonts w:ascii="Arial" w:cs="Arial" w:eastAsia="Arial" w:hAnsi="Arial"/>
                <w:sz w:val="18"/>
                <w:szCs w:val="18"/>
                <w:color w:val="auto"/>
              </w:rPr>
              <w:t>Commercial</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36.5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36.0</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99.5</w:t>
            </w:r>
          </w:p>
        </w:tc>
        <w:tc>
          <w:tcPr>
            <w:tcW w:w="96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30"/>
        </w:trPr>
        <w:tc>
          <w:tcPr>
            <w:tcW w:w="4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Industrial</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109.3</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115.4</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315.0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r>
      <w:tr>
        <w:trPr>
          <w:trHeight w:val="230"/>
        </w:trPr>
        <w:tc>
          <w:tcPr>
            <w:tcW w:w="47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Municipal</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11.2</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11.8</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30.5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23"/>
        </w:trPr>
        <w:tc>
          <w:tcPr>
            <w:tcW w:w="4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Retail and Municipal Electric Revenue</w:t>
            </w:r>
          </w:p>
        </w:tc>
        <w:tc>
          <w:tcPr>
            <w:tcW w:w="2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189.2</w:t>
            </w: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190.8</w:t>
            </w:r>
          </w:p>
        </w:tc>
        <w:tc>
          <w:tcPr>
            <w:tcW w:w="1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538.3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r>
      <w:tr>
        <w:trPr>
          <w:trHeight w:val="230"/>
        </w:trPr>
        <w:tc>
          <w:tcPr>
            <w:tcW w:w="4740" w:type="dxa"/>
            <w:vAlign w:val="bottom"/>
          </w:tcPr>
          <w:p>
            <w:pPr>
              <w:ind w:left="540"/>
              <w:spacing w:after="0"/>
              <w:rPr>
                <w:sz w:val="20"/>
                <w:szCs w:val="20"/>
                <w:color w:val="auto"/>
              </w:rPr>
            </w:pPr>
            <w:r>
              <w:rPr>
                <w:rFonts w:ascii="Arial" w:cs="Arial" w:eastAsia="Arial" w:hAnsi="Arial"/>
                <w:sz w:val="18"/>
                <w:szCs w:val="18"/>
                <w:color w:val="auto"/>
              </w:rPr>
              <w:t>Other Power Suppliers</w:t>
            </w:r>
          </w:p>
        </w:tc>
        <w:tc>
          <w:tcPr>
            <w:tcW w:w="2480" w:type="dxa"/>
            <w:vAlign w:val="bottom"/>
          </w:tcPr>
          <w:p>
            <w:pPr>
              <w:jc w:val="right"/>
              <w:ind w:right="490"/>
              <w:spacing w:after="0"/>
              <w:rPr>
                <w:sz w:val="20"/>
                <w:szCs w:val="20"/>
                <w:color w:val="auto"/>
              </w:rPr>
            </w:pPr>
            <w:r>
              <w:rPr>
                <w:rFonts w:ascii="Arial" w:cs="Arial" w:eastAsia="Arial" w:hAnsi="Arial"/>
                <w:sz w:val="18"/>
                <w:szCs w:val="18"/>
                <w:color w:val="auto"/>
              </w:rPr>
              <w:t>30.9</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37.3</w:t>
            </w: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96.6</w:t>
            </w:r>
          </w:p>
        </w:tc>
        <w:tc>
          <w:tcPr>
            <w:tcW w:w="96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30"/>
        </w:trPr>
        <w:tc>
          <w:tcPr>
            <w:tcW w:w="4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Other (Includes Water and Gas Revenue)</w:t>
            </w:r>
          </w:p>
        </w:tc>
        <w:tc>
          <w:tcPr>
            <w:tcW w:w="24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35.0</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26.0</w:t>
            </w:r>
          </w:p>
        </w:tc>
        <w:tc>
          <w:tcPr>
            <w:tcW w:w="1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86.3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23"/>
        </w:trPr>
        <w:tc>
          <w:tcPr>
            <w:tcW w:w="4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Regulated Utility Revenue</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$255.1</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$254.1</w:t>
            </w:r>
          </w:p>
        </w:tc>
        <w:tc>
          <w:tcPr>
            <w:tcW w:w="1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$721.2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2020 annual GAAP earnings guidance range to 2020 annual adjusted earnings guidance range (Non-GAAP)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7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Annual GAAP Earnings Guidance Range</w:t>
            </w:r>
          </w:p>
        </w:tc>
        <w:tc>
          <w:tcPr>
            <w:tcW w:w="3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$3.09 - $3.29</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Rate Case Settlement Charge</w:t>
            </w:r>
          </w:p>
        </w:tc>
        <w:tc>
          <w:tcPr>
            <w:tcW w:w="380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30"/>
        </w:trPr>
        <w:tc>
          <w:tcPr>
            <w:tcW w:w="7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Income Tax Benefit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23"/>
        </w:trPr>
        <w:tc>
          <w:tcPr>
            <w:tcW w:w="7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Rate Case Settlement Charge, Net of Income Tax Benefit</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r>
      <w:tr>
        <w:trPr>
          <w:trHeight w:val="223"/>
        </w:trPr>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7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Annual Adjusted Earnings Guidance Range (Non-GAAP)</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$3.25 - $3.45</w:t>
            </w:r>
          </w:p>
        </w:tc>
      </w:tr>
    </w:tbl>
    <w:p>
      <w:pPr>
        <w:spacing w:after="0" w:line="302" w:lineRule="exact"/>
        <w:rPr>
          <w:sz w:val="20"/>
          <w:szCs w:val="20"/>
          <w:color w:val="auto"/>
        </w:rPr>
      </w:pPr>
    </w:p>
    <w:p>
      <w:pPr>
        <w:ind w:right="160"/>
        <w:spacing w:after="0" w:line="290"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jc w:val="center"/>
        <w:spacing w:after="0" w:line="226" w:lineRule="auto"/>
        <w:rPr>
          <w:sz w:val="20"/>
          <w:szCs w:val="20"/>
          <w:color w:val="auto"/>
        </w:rPr>
      </w:pPr>
      <w:r>
        <w:rPr>
          <w:rFonts w:ascii="Arial" w:cs="Arial" w:eastAsia="Arial" w:hAnsi="Arial"/>
          <w:sz w:val="16"/>
          <w:szCs w:val="16"/>
          <w:color w:val="auto"/>
        </w:rPr>
        <w:t>Page 4 of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 30 West Superior Street, Duluth, Minnesota 55802</w:t>
      </w:r>
    </w:p>
    <w:sectPr>
      <w:pgSz w:w="11900" w:h="16838" w:orient="portrait"/>
      <w:cols w:equalWidth="0" w:num="1">
        <w:col w:w="11240"/>
      </w:cols>
      <w:pgMar w:left="320" w:top="9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1)"/>
      <w:numFmt w:val="lowerLetter"/>
      <w:start w:val="1"/>
    </w:lvl>
  </w:abstractNum>
  <w:abstractNum w:abstractNumId="4">
    <w:nsid w:val="1EBA5D23"/>
    <w:multiLevelType w:val="hybridMultilevel"/>
    <w:lvl w:ilvl="0">
      <w:lvlJc w:val="left"/>
      <w:lvlText w:val="(%1)"/>
      <w:numFmt w:val="lowerLetter"/>
      <w:start w:val="1"/>
    </w:lvl>
  </w:abstractNum>
  <w:abstractNum w:abstractNumId="5">
    <w:nsid w:val="661E3F1E"/>
    <w:multiLevelType w:val="hybridMultilevel"/>
    <w:lvl w:ilvl="0">
      <w:lvlJc w:val="left"/>
      <w:lvlText w:val="(%1)"/>
      <w:numFmt w:val="lowerLetter"/>
      <w:start w:val="1"/>
    </w:lvl>
  </w:abstractNum>
  <w:abstractNum w:abstractNumId="6">
    <w:nsid w:val="5DC79EA8"/>
    <w:multiLevelType w:val="hybridMultilevel"/>
    <w:lvl w:ilvl="0">
      <w:lvlJc w:val="left"/>
      <w:lvlText w:val="(%1)"/>
      <w:numFmt w:val="lowerLetter"/>
      <w:start w:val="1"/>
    </w:lvl>
  </w:abstractNum>
  <w:abstractNum w:abstractNumId="7">
    <w:nsid w:val="540A471C"/>
    <w:multiLevelType w:val="hybridMultilevel"/>
    <w:lvl w:ilvl="0">
      <w:lvlJc w:val="left"/>
      <w:lvlText w:val="(%1)"/>
      <w:numFmt w:val="lowerLetter"/>
      <w:start w:val="1"/>
    </w:lvl>
  </w:abstractNum>
  <w:abstractNum w:abstractNumId="8">
    <w:nsid w:val="7BD3EE7B"/>
    <w:multiLevelType w:val="hybridMultilevel"/>
    <w:lvl w:ilvl="0">
      <w:lvlJc w:val="left"/>
      <w:lvlText w:val="(%1)"/>
      <w:numFmt w:val="lowerLetter"/>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1)"/>
      <w:numFmt w:val="lowerLetter"/>
      <w:start w:val="1"/>
    </w:lvl>
  </w:abstractNum>
  <w:abstractNum w:abstractNumId="11">
    <w:nsid w:val="BF72B14"/>
    <w:multiLevelType w:val="hybridMultilevel"/>
    <w:lvl w:ilvl="0">
      <w:lvlJc w:val="left"/>
      <w:lvlText w:val="(%1)"/>
      <w:numFmt w:val="lowerLetter"/>
      <w:start w:val="1"/>
    </w:lvl>
  </w:abstractNum>
  <w:abstractNum w:abstractNumId="12">
    <w:nsid w:val="11447B73"/>
    <w:multiLevelType w:val="hybridMultilevel"/>
    <w:lvl w:ilvl="0">
      <w:lvlJc w:val="left"/>
      <w:lvlText w:val="(%1)"/>
      <w:numFmt w:val="lowerLetter"/>
      <w:start w:val="1"/>
    </w:lvl>
  </w:abstractNum>
  <w:abstractNum w:abstractNumId="13">
    <w:nsid w:val="42963E5A"/>
    <w:multiLevelType w:val="hybridMultilevel"/>
    <w:lvl w:ilvl="0">
      <w:lvlJc w:val="left"/>
      <w:lvlText w:val="4"/>
      <w:numFmt w:val="bullet"/>
      <w:start w:val="1"/>
    </w:lvl>
  </w:abstractNum>
  <w:abstractNum w:abstractNumId="14">
    <w:nsid w:val="A0382C5"/>
    <w:multiLevelType w:val="hybridMultilevel"/>
    <w:lvl w:ilvl="0">
      <w:lvlJc w:val="left"/>
      <w:lvlText w:val="%1"/>
      <w:numFmt w:val="decimal"/>
      <w:start w:val="32"/>
    </w:lvl>
  </w:abstractNum>
  <w:abstractNum w:abstractNumId="15">
    <w:nsid w:val="8F2B15E"/>
    <w:multiLevelType w:val="hybridMultilevel"/>
    <w:lvl w:ilvl="0">
      <w:lvlJc w:val="left"/>
      <w:lvlText w:val="%1"/>
      <w:numFmt w:val="decimal"/>
      <w:start w:val="99"/>
    </w:lvl>
  </w:abstractNum>
  <w:abstractNum w:abstractNumId="16">
    <w:nsid w:val="1A32234B"/>
    <w:multiLevelType w:val="hybridMultilevel"/>
    <w:lvl w:ilvl="0">
      <w:lvlJc w:val="left"/>
      <w:lvlText w:val="&amp;"/>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amp;"/>
      <w:numFmt w:val="bullet"/>
      <w:start w:val="1"/>
    </w:lvl>
    <w:lvl w:ilvl="1">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lvl w:ilvl="1">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lvl w:ilvl="1">
      <w:lvlJc w:val="left"/>
      <w:lvlText w:val="-"/>
      <w:numFmt w:val="bullet"/>
      <w:start w:val="1"/>
    </w:lvl>
  </w:abstractNum>
  <w:abstractNum w:abstractNumId="30">
    <w:nsid w:val="94211F2"/>
    <w:multiLevelType w:val="hybridMultilevel"/>
    <w:lvl w:ilvl="0">
      <w:lvlJc w:val="left"/>
      <w:lvlText w:val="."/>
      <w:numFmt w:val="bullet"/>
      <w:start w:val="1"/>
    </w:lvl>
    <w:lvl w:ilvl="1">
      <w:lvlJc w:val="left"/>
      <w:lvlText w:val="-"/>
      <w:numFmt w:val="bullet"/>
      <w:start w:val="1"/>
    </w:lvl>
  </w:abstractNum>
  <w:abstractNum w:abstractNumId="31">
    <w:nsid w:val="885E1B"/>
    <w:multiLevelType w:val="hybridMultilevel"/>
    <w:lvl w:ilvl="0">
      <w:lvlJc w:val="left"/>
      <w:lvlText w:val="(%1)"/>
      <w:numFmt w:val="lowerRoman"/>
      <w:start w:val="1"/>
    </w:lvl>
    <w:lvl w:ilvl="1">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lvl w:ilvl="1">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0">
    <w:nsid w:val="46B7D44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1">
    <w:nsid w:val="4A2AC315"/>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42">
    <w:nsid w:val="39EE015C"/>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1)"/>
      <w:numFmt w:val="decimal"/>
      <w:start w:val="1"/>
    </w:lvl>
  </w:abstractNum>
  <w:abstractNum w:abstractNumId="47">
    <w:nsid w:val="26F324BA"/>
    <w:multiLevelType w:val="hybridMultilevel"/>
    <w:lvl w:ilvl="0">
      <w:lvlJc w:val="left"/>
      <w:lvlText w:val="(%1)"/>
      <w:numFmt w:val="decimal"/>
      <w:start w:val="2"/>
    </w:lvl>
  </w:abstractNum>
  <w:abstractNum w:abstractNumId="48">
    <w:nsid w:val="7F01579B"/>
    <w:multiLevelType w:val="hybridMultilevel"/>
    <w:lvl w:ilvl="0">
      <w:lvlJc w:val="left"/>
      <w:lvlText w:val="(%1)"/>
      <w:numFmt w:val="decimal"/>
      <w:start w:val="1"/>
    </w:lvl>
  </w:abstractNum>
  <w:abstractNum w:abstractNumId="49">
    <w:nsid w:val="49DA307D"/>
    <w:multiLevelType w:val="hybridMultilevel"/>
    <w:lvl w:ilvl="0">
      <w:lvlJc w:val="left"/>
      <w:lvlText w:val="(%1)"/>
      <w:numFmt w:val="decimal"/>
      <w:start w:val="2"/>
    </w:lvl>
  </w:abstractNum>
  <w:abstractNum w:abstractNumId="50">
    <w:nsid w:val="7055A5F5"/>
    <w:multiLevelType w:val="hybridMultilevel"/>
    <w:lvl w:ilvl="0">
      <w:lvlJc w:val="left"/>
      <w:lvlText w:val="(%1)"/>
      <w:numFmt w:val="decimal"/>
      <w:start w:val="1"/>
    </w:lvl>
    <w:lvl w:ilvl="1">
      <w:lvlJc w:val="left"/>
      <w:lvlText w:val="-"/>
      <w:numFmt w:val="bullet"/>
      <w:start w:val="1"/>
    </w:lvl>
  </w:abstractNum>
  <w:abstractNum w:abstractNumId="51">
    <w:nsid w:val="5FB8370B"/>
    <w:multiLevelType w:val="hybridMultilevel"/>
    <w:lvl w:ilvl="0">
      <w:lvlJc w:val="left"/>
      <w:lvlText w:val="(%1)"/>
      <w:numFmt w:val="decimal"/>
      <w:start w:val="3"/>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1)"/>
      <w:numFmt w:val="lowerLetter"/>
      <w:start w:val="3"/>
    </w:lvl>
  </w:abstractNum>
  <w:abstractNum w:abstractNumId="54">
    <w:nsid w:val="5FB8011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5">
    <w:nsid w:val="6AA78F7F"/>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56">
    <w:nsid w:val="7672BD23"/>
    <w:multiLevelType w:val="hybridMultilevel"/>
    <w:lvl w:ilvl="0">
      <w:lvlJc w:val="left"/>
      <w:lvlText w:val="%1"/>
      <w:numFmt w:val="lowerLetter"/>
      <w:start w:val="1"/>
    </w:lvl>
    <w:lvl w:ilvl="1">
      <w:lvlJc w:val="left"/>
      <w:lvlText w:val="(%2)"/>
      <w:numFmt w:val="lowerLetter"/>
      <w:start w:val="3"/>
    </w:lvl>
  </w:abstractNum>
  <w:abstractNum w:abstractNumId="57">
    <w:nsid w:val="6FC75AF8"/>
    <w:multiLevelType w:val="hybridMultilevel"/>
    <w:lvl w:ilvl="0">
      <w:lvlJc w:val="left"/>
      <w:lvlText w:val="(%1)"/>
      <w:numFmt w:val="lowerLetter"/>
      <w:start w:val="4"/>
    </w:lvl>
    <w:lvl w:ilvl="1">
      <w:lvlJc w:val="left"/>
      <w:lvlText w:val="%2"/>
      <w:numFmt w:val="lowerLetter"/>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lvl w:ilvl="1">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lvl w:ilvl="1">
      <w:lvlJc w:val="left"/>
      <w:lvlText w:val="-"/>
      <w:numFmt w:val="bullet"/>
      <w:start w:val="1"/>
    </w:lvl>
  </w:abstractNum>
  <w:abstractNum w:abstractNumId="63">
    <w:nsid w:val="555C55B5"/>
    <w:multiLevelType w:val="hybridMultilevel"/>
    <w:lvl w:ilvl="0">
      <w:lvlJc w:val="left"/>
      <w:lvlText w:val="(%1)"/>
      <w:numFmt w:val="lowerRoman"/>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lvl w:ilvl="1">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lvl w:ilvl="1">
      <w:lvlJc w:val="left"/>
      <w:lvlText w:val="(%2)"/>
      <w:numFmt w:val="lowerRoman"/>
      <w:start w:val="1"/>
    </w:lvl>
  </w:abstractNum>
  <w:abstractNum w:abstractNumId="71">
    <w:nsid w:val="5092CA79"/>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2">
    <w:nsid w:val="1D545C4D"/>
    <w:multiLevelType w:val="hybridMultilevel"/>
    <w:lvl w:ilvl="0">
      <w:lvlJc w:val="left"/>
      <w:lvlText w:val="%1"/>
      <w:numFmt w:val="lowerLetter"/>
      <w:start w:val="1"/>
    </w:lvl>
    <w:lvl w:ilvl="1">
      <w:lvlJc w:val="left"/>
      <w:lvlText w:val="(%2)"/>
      <w:numFmt w:val="upperLetter"/>
      <w:start w:val="3"/>
    </w:lvl>
  </w:abstractNum>
  <w:abstractNum w:abstractNumId="73">
    <w:nsid w:val="59ADEA3D"/>
    <w:multiLevelType w:val="hybridMultilevel"/>
    <w:lvl w:ilvl="0">
      <w:lvlJc w:val="left"/>
      <w:lvlText w:val="(%1)"/>
      <w:numFmt w:val="lowerLetter"/>
      <w:start w:val="2"/>
    </w:lvl>
    <w:lvl w:ilvl="1">
      <w:lvlJc w:val="left"/>
      <w:lvlText w:val="%2"/>
      <w:numFmt w:val="upperLetter"/>
      <w:start w:val="1"/>
    </w:lvl>
  </w:abstractNum>
  <w:abstractNum w:abstractNumId="74">
    <w:nsid w:val="288F1A34"/>
    <w:multiLevelType w:val="hybridMultilevel"/>
    <w:lvl w:ilvl="0">
      <w:lvlJc w:val="left"/>
      <w:lvlText w:val="."/>
      <w:numFmt w:val="bullet"/>
      <w:start w:val="1"/>
    </w:lvl>
    <w:lvl w:ilvl="1">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1)"/>
      <w:numFmt w:val="lowerLetter"/>
      <w:start w:val="2"/>
    </w:lvl>
    <w:lvl w:ilvl="1">
      <w:lvlJc w:val="left"/>
      <w:lvlText w:val="-"/>
      <w:numFmt w:val="bullet"/>
      <w:start w:val="1"/>
    </w:lvl>
  </w:abstractNum>
  <w:abstractNum w:abstractNumId="77">
    <w:nsid w:val="97E1B4E"/>
    <w:multiLevelType w:val="hybridMultilevel"/>
    <w:lvl w:ilvl="0">
      <w:lvlJc w:val="left"/>
      <w:lvlText w:val="(%1)"/>
      <w:numFmt w:val="lowerLetter"/>
      <w:start w:val="4"/>
    </w:lvl>
  </w:abstractNum>
  <w:abstractNum w:abstractNumId="78">
    <w:nsid w:val="51088277"/>
    <w:multiLevelType w:val="hybridMultilevel"/>
    <w:lvl w:ilvl="0">
      <w:lvlJc w:val="left"/>
      <w:lvlText w:val="(%1)"/>
      <w:numFmt w:val="lowerRoman"/>
      <w:start w:val="10"/>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
      <w:numFmt w:val="bullet"/>
      <w:start w:val="1"/>
    </w:lvl>
  </w:abstractNum>
  <w:abstractNum w:abstractNumId="81">
    <w:nsid w:val="415E286C"/>
    <w:multiLevelType w:val="hybridMultilevel"/>
    <w:lvl w:ilvl="0">
      <w:lvlJc w:val="left"/>
      <w:lvlText w:val="(%1)"/>
      <w:numFmt w:val="decimal"/>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1)"/>
      <w:numFmt w:val="lowerRoman"/>
      <w:start w:val="2"/>
    </w:lvl>
  </w:abstractNum>
  <w:abstractNum w:abstractNumId="84">
    <w:nsid w:val="45E6D486"/>
    <w:multiLevelType w:val="hybridMultilevel"/>
    <w:lvl w:ilvl="0">
      <w:lvlJc w:val="left"/>
      <w:lvlText w:val="(%1)"/>
      <w:numFmt w:val="lowerRoman"/>
      <w:start w:val="7"/>
    </w:lvl>
  </w:abstractNum>
  <w:abstractNum w:abstractNumId="85">
    <w:nsid w:val="5C10FE21"/>
    <w:multiLevelType w:val="hybridMultilevel"/>
    <w:lvl w:ilvl="0">
      <w:lvlJc w:val="left"/>
      <w:lvlText w:val="(%1)"/>
      <w:numFmt w:val="lowerLetter"/>
      <w:start w:val="13"/>
    </w:lvl>
  </w:abstractNum>
  <w:abstractNum w:abstractNumId="86">
    <w:nsid w:val="E7FFA2B"/>
    <w:multiLevelType w:val="hybridMultilevel"/>
    <w:lvl w:ilvl="0">
      <w:lvlJc w:val="left"/>
      <w:lvlText w:val="."/>
      <w:numFmt w:val="bullet"/>
      <w:start w:val="1"/>
    </w:lvl>
    <w:lvl w:ilvl="1">
      <w:lvlJc w:val="left"/>
      <w:lvlText w:val="-"/>
      <w:numFmt w:val="bullet"/>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1)"/>
      <w:numFmt w:val="lowerLetter"/>
      <w:start w:val="1"/>
    </w:lvl>
    <w:lvl w:ilvl="1">
      <w:lvlJc w:val="left"/>
      <w:lvlText w:val="."/>
      <w:numFmt w:val="bullet"/>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lvl w:ilvl="1">
      <w:lvlJc w:val="left"/>
      <w:lvlText w:val="(%2)"/>
      <w:numFmt w:val="lowerLetter"/>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
      <w:numFmt w:val="bullet"/>
      <w:start w:val="1"/>
    </w:lvl>
    <w:lvl w:ilvl="1">
      <w:lvlJc w:val="left"/>
      <w:lvlText w:val="-"/>
      <w:numFmt w:val="bullet"/>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
      <w:numFmt w:val="bullet"/>
      <w:start w:val="1"/>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1)"/>
      <w:numFmt w:val="lowerLetter"/>
      <w:start w:val="1"/>
    </w:lvl>
    <w:lvl w:ilvl="1">
      <w:lvlJc w:val="left"/>
      <w:lvlText w:val="-"/>
      <w:numFmt w:val="bullet"/>
      <w:start w:val="1"/>
    </w:lvl>
  </w:abstractNum>
  <w:abstractNum w:abstractNumId="99">
    <w:nsid w:val="5675FF36"/>
    <w:multiLevelType w:val="hybridMultilevel"/>
    <w:lvl w:ilvl="0">
      <w:lvlJc w:val="left"/>
      <w:lvlText w:val="(%1)"/>
      <w:numFmt w:val="lowerLetter"/>
      <w:start w:val="2"/>
    </w:lvl>
  </w:abstractNum>
  <w:abstractNum w:abstractNumId="100">
    <w:nsid w:val="3DD15094"/>
    <w:multiLevelType w:val="hybridMultilevel"/>
    <w:lvl w:ilvl="0">
      <w:lvlJc w:val="left"/>
      <w:lvlText w:val="(%1)"/>
      <w:numFmt w:val="decimal"/>
      <w:start w:val="1"/>
    </w:lvl>
  </w:abstractNum>
  <w:abstractNum w:abstractNumId="101">
    <w:nsid w:val="3DB012B3"/>
    <w:multiLevelType w:val="hybridMultilevel"/>
    <w:lvl w:ilvl="0">
      <w:lvlJc w:val="left"/>
      <w:lvlText w:val="."/>
      <w:numFmt w:val="bullet"/>
      <w:start w:val="1"/>
    </w:lvl>
    <w:lvl w:ilvl="1">
      <w:lvlJc w:val="left"/>
      <w:lvlText w:val="-"/>
      <w:numFmt w:val="bullet"/>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1)"/>
      <w:numFmt w:val="lowerRoman"/>
      <w:start w:val="1"/>
    </w:lvl>
  </w:abstractNum>
  <w:abstractNum w:abstractNumId="104">
    <w:nsid w:val="175DFCF0"/>
    <w:multiLevelType w:val="hybridMultilevel"/>
    <w:lvl w:ilvl="0">
      <w:lvlJc w:val="left"/>
      <w:lvlText w:val="(%1)"/>
      <w:numFmt w:val="lowerLetter"/>
      <w:start w:val="23"/>
    </w:lvl>
    <w:lvl w:ilvl="1">
      <w:lvlJc w:val="left"/>
      <w:lvlText w:val="-"/>
      <w:numFmt w:val="bullet"/>
      <w:start w:val="1"/>
    </w:lvl>
  </w:abstractNum>
  <w:abstractNum w:abstractNumId="105">
    <w:nsid w:val="4F97E3E4"/>
    <w:multiLevelType w:val="hybridMultilevel"/>
    <w:lvl w:ilvl="0">
      <w:lvlJc w:val="left"/>
      <w:lvlText w:val="."/>
      <w:numFmt w:val="bullet"/>
      <w:start w:val="1"/>
    </w:lvl>
    <w:lvl w:ilvl="1">
      <w:lvlJc w:val="left"/>
      <w:lvlText w:val="-"/>
      <w:numFmt w:val="bullet"/>
      <w:start w:val="1"/>
    </w:lvl>
  </w:abstractNum>
  <w:abstractNum w:abstractNumId="106">
    <w:nsid w:val="53B0A9E"/>
    <w:multiLevelType w:val="hybridMultilevel"/>
    <w:lvl w:ilvl="0">
      <w:lvlJc w:val="left"/>
      <w:lvlText w:val="."/>
      <w:numFmt w:val="bullet"/>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
      <w:numFmt w:val="bullet"/>
      <w:start w:val="1"/>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lvl w:ilvl="3">
      <w:lvlJc w:val="left"/>
      <w:lvlText w:val="-"/>
      <w:numFmt w:val="bullet"/>
      <w:start w:val="1"/>
    </w:lvl>
  </w:abstractNum>
  <w:abstractNum w:abstractNumId="112">
    <w:nsid w:val="17A1B582"/>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lvl w:ilvl="3">
      <w:lvlJc w:val="left"/>
      <w:lvlText w:val="-"/>
      <w:numFmt w:val="bullet"/>
      <w:start w:val="1"/>
    </w:lvl>
  </w:abstractNum>
  <w:abstractNum w:abstractNumId="113">
    <w:nsid w:val="4DF72E4E"/>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lvl w:ilvl="3">
      <w:lvlJc w:val="left"/>
      <w:lvlText w:val="-"/>
      <w:numFmt w:val="bullet"/>
      <w:start w:val="1"/>
    </w:lvl>
  </w:abstractNum>
  <w:abstractNum w:abstractNumId="114">
    <w:nsid w:val="5046B5A9"/>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115">
    <w:nsid w:val="5D888A08"/>
    <w:multiLevelType w:val="hybridMultilevel"/>
    <w:lvl w:ilvl="0">
      <w:lvlJc w:val="left"/>
      <w:lvlText w:val="(%1)"/>
      <w:numFmt w:val="lowerLetter"/>
      <w:start w:val="1"/>
    </w:lvl>
    <w:lvl w:ilvl="1">
      <w:lvlJc w:val="left"/>
      <w:lvlText w:val="(%2)"/>
      <w:numFmt w:val="lowerRoman"/>
      <w:start w:val="1"/>
    </w:lvl>
  </w:abstractNum>
  <w:abstractNum w:abstractNumId="116">
    <w:nsid w:val="2A082C70"/>
    <w:multiLevelType w:val="hybridMultilevel"/>
    <w:lvl w:ilvl="0">
      <w:lvlJc w:val="left"/>
      <w:lvlText w:val="%1."/>
      <w:numFmt w:val="decimal"/>
      <w:start w:val="1"/>
    </w:lvl>
  </w:abstractNum>
  <w:abstractNum w:abstractNumId="117">
    <w:nsid w:val="5EC6AFD4"/>
    <w:multiLevelType w:val="hybridMultilevel"/>
    <w:lvl w:ilvl="0">
      <w:lvlJc w:val="left"/>
      <w:lvlText w:val="1"/>
      <w:numFmt w:val="bullet"/>
      <w:start w:val="1"/>
    </w:lvl>
  </w:abstractNum>
  <w:abstractNum w:abstractNumId="118">
    <w:nsid w:val="19E21BB2"/>
    <w:multiLevelType w:val="hybridMultilevel"/>
    <w:lvl w:ilvl="0">
      <w:lvlJc w:val="left"/>
      <w:lvlText w:val="2"/>
      <w:numFmt w:val="bullet"/>
      <w:start w:val="1"/>
    </w:lvl>
  </w:abstractNum>
  <w:abstractNum w:abstractNumId="119">
    <w:nsid w:val="75E0858A"/>
    <w:multiLevelType w:val="hybridMultilevel"/>
    <w:lvl w:ilvl="0">
      <w:lvlJc w:val="left"/>
      <w:lvlText w:val="(%1)"/>
      <w:numFmt w:val="lowerRoman"/>
      <w:start w:val="2"/>
    </w:lvl>
  </w:abstractNum>
  <w:abstractNum w:abstractNumId="120">
    <w:nsid w:val="57A61A29"/>
    <w:multiLevelType w:val="hybridMultilevel"/>
    <w:lvl w:ilvl="0">
      <w:lvlJc w:val="left"/>
      <w:lvlText w:val="(%1)"/>
      <w:numFmt w:val="lowerRoman"/>
      <w:start w:val="2"/>
    </w:lvl>
  </w:abstractNum>
  <w:abstractNum w:abstractNumId="121">
    <w:nsid w:val="5399C654"/>
    <w:multiLevelType w:val="hybridMultilevel"/>
    <w:lvl w:ilvl="0">
      <w:lvlJc w:val="left"/>
      <w:lvlText w:val="%1."/>
      <w:numFmt w:val="decimal"/>
      <w:start w:val="1"/>
    </w:lvl>
  </w:abstractNum>
  <w:abstractNum w:abstractNumId="122">
    <w:nsid w:val="20EE1348"/>
    <w:multiLevelType w:val="hybridMultilevel"/>
    <w:lvl w:ilvl="0">
      <w:lvlJc w:val="left"/>
      <w:lvlText w:val="%1"/>
      <w:numFmt w:val="lowerRoman"/>
      <w:start w:val="1"/>
    </w:lvl>
    <w:lvl w:ilvl="1">
      <w:lvlJc w:val="left"/>
      <w:lvlText w:val="%2."/>
      <w:numFmt w:val="decimal"/>
      <w:start w:val="10"/>
    </w:lvl>
  </w:abstractNum>
  <w:abstractNum w:abstractNumId="123">
    <w:nsid w:val="4427069A"/>
    <w:multiLevelType w:val="hybridMultilevel"/>
    <w:lvl w:ilvl="0">
      <w:lvlJc w:val="left"/>
      <w:lvlText w:val="(%1)"/>
      <w:numFmt w:val="lowerRoman"/>
      <w:start w:val="1"/>
    </w:lvl>
    <w:lvl w:ilvl="1">
      <w:lvlJc w:val="left"/>
      <w:lvlText w:val="%2"/>
      <w:numFmt w:val="decimal"/>
      <w:start w:val="1"/>
    </w:lvl>
  </w:abstractNum>
  <w:abstractNum w:abstractNumId="124">
    <w:nsid w:val="B37E80A"/>
    <w:multiLevelType w:val="hybridMultilevel"/>
    <w:lvl w:ilvl="0">
      <w:lvlJc w:val="left"/>
      <w:lvlText w:val="%1"/>
      <w:numFmt w:val="lowerRoman"/>
      <w:start w:val="1"/>
    </w:lvl>
    <w:lvl w:ilvl="1">
      <w:lvlJc w:val="left"/>
      <w:lvlText w:val="%2."/>
      <w:numFmt w:val="decimal"/>
      <w:start w:val="1"/>
    </w:lvl>
  </w:abstractNum>
  <w:abstractNum w:abstractNumId="125">
    <w:nsid w:val="2157F6BC"/>
    <w:multiLevelType w:val="hybridMultilevel"/>
    <w:lvl w:ilvl="0">
      <w:lvlJc w:val="left"/>
      <w:lvlText w:val="(%1)"/>
      <w:numFmt w:val="lowerRoman"/>
      <w:start w:val="1"/>
    </w:lvl>
    <w:lvl w:ilvl="1">
      <w:lvlJc w:val="left"/>
      <w:lvlText w:val="%2"/>
      <w:numFmt w:val="decimal"/>
      <w:start w:val="1"/>
    </w:lvl>
  </w:abstractNum>
  <w:abstractNum w:abstractNumId="126">
    <w:nsid w:val="704E1DD5"/>
    <w:multiLevelType w:val="hybridMultilevel"/>
    <w:lvl w:ilvl="0">
      <w:lvlJc w:val="left"/>
      <w:lvlText w:val="%1."/>
      <w:numFmt w:val="decimal"/>
      <w:start w:val="1"/>
    </w:lvl>
  </w:abstractNum>
  <w:abstractNum w:abstractNumId="127">
    <w:nsid w:val="57D2F10E"/>
    <w:multiLevelType w:val="hybridMultilevel"/>
    <w:lvl w:ilvl="0">
      <w:lvlJc w:val="left"/>
      <w:lvlText w:val="(%1)"/>
      <w:numFmt w:val="upperLetter"/>
      <w:start w:val="9"/>
    </w:lvl>
  </w:abstractNum>
  <w:abstractNum w:abstractNumId="128">
    <w:nsid w:val="BFFAE18"/>
    <w:multiLevelType w:val="hybridMultilevel"/>
    <w:lvl w:ilvl="0">
      <w:lvlJc w:val="left"/>
      <w:lvlText w:val="(%1)"/>
      <w:numFmt w:val="upperLetter"/>
      <w:start w:val="35"/>
    </w:lvl>
    <w:lvl w:ilvl="1">
      <w:lvlJc w:val="left"/>
      <w:lvlText w:val="(%2)"/>
      <w:numFmt w:val="upperLetter"/>
      <w:start w:val="61"/>
    </w:lvl>
  </w:abstractNum>
  <w:abstractNum w:abstractNumId="129">
    <w:nsid w:val="E3E47A8"/>
    <w:multiLevelType w:val="hybridMultilevel"/>
    <w:lvl w:ilvl="0">
      <w:lvlJc w:val="left"/>
      <w:lvlText w:val="(%1)"/>
      <w:numFmt w:val="lowerRoman"/>
      <w:start w:val="2"/>
    </w:lvl>
  </w:abstractNum>
  <w:abstractNum w:abstractNumId="130">
    <w:nsid w:val="2E48F044"/>
    <w:multiLevelType w:val="hybridMultilevel"/>
    <w:lvl w:ilvl="0">
      <w:lvlJc w:val="left"/>
      <w:lvlText w:val="(%1)"/>
      <w:numFmt w:val="upperLetter"/>
      <w:start w:val="22"/>
    </w:lvl>
  </w:abstractNum>
  <w:abstractNum w:abstractNumId="131">
    <w:nsid w:val="49D0FEAC"/>
    <w:multiLevelType w:val="hybridMultilevel"/>
    <w:lvl w:ilvl="0">
      <w:lvlJc w:val="left"/>
      <w:lvlText w:val="(%1)"/>
      <w:numFmt w:val="upperLetter"/>
      <w:start w:val="9"/>
    </w:lvl>
  </w:abstractNum>
  <w:abstractNum w:abstractNumId="132">
    <w:nsid w:val="4BEE5A5B"/>
    <w:multiLevelType w:val="hybridMultilevel"/>
    <w:lvl w:ilvl="0">
      <w:lvlJc w:val="left"/>
      <w:lvlText w:val="(%1)"/>
      <w:numFmt w:val="upperLetter"/>
      <w:start w:val="35"/>
    </w:lvl>
    <w:lvl w:ilvl="1">
      <w:lvlJc w:val="left"/>
      <w:lvlText w:val="%2"/>
      <w:numFmt w:val="upperLetter"/>
      <w:start w:val="1"/>
    </w:lvl>
  </w:abstractNum>
  <w:abstractNum w:abstractNumId="133">
    <w:nsid w:val="5551B9F3"/>
    <w:multiLevelType w:val="hybridMultilevel"/>
    <w:lvl w:ilvl="0">
      <w:lvlJc w:val="left"/>
      <w:lvlText w:val="(%1)"/>
      <w:numFmt w:val="upperLetter"/>
      <w:start w:val="61"/>
    </w:lvl>
    <w:lvl w:ilvl="1">
      <w:lvlJc w:val="left"/>
      <w:lvlText w:val="%2"/>
      <w:numFmt w:val="upperLetter"/>
      <w:start w:val="1"/>
    </w:lvl>
  </w:abstractNum>
  <w:abstractNum w:abstractNumId="134">
    <w:nsid w:val="24F6AB8E"/>
    <w:multiLevelType w:val="hybridMultilevel"/>
    <w:lvl w:ilvl="0">
      <w:lvlJc w:val="left"/>
      <w:lvlText w:val="(%1)"/>
      <w:numFmt w:val="lowerRoman"/>
      <w:start w:val="2"/>
    </w:lvl>
  </w:abstractNum>
  <w:abstractNum w:abstractNumId="135">
    <w:nsid w:val="634C574C"/>
    <w:multiLevelType w:val="hybridMultilevel"/>
    <w:lvl w:ilvl="0">
      <w:lvlJc w:val="left"/>
      <w:lvlText w:val="(%1)"/>
      <w:numFmt w:val="upperLetter"/>
      <w:start w:val="22"/>
    </w:lvl>
  </w:abstractNum>
  <w:abstractNum w:abstractNumId="136">
    <w:nsid w:val="24E99DD7"/>
    <w:multiLevelType w:val="hybridMultilevel"/>
    <w:lvl w:ilvl="0">
      <w:lvlJc w:val="left"/>
      <w:lvlText w:val="%1"/>
      <w:numFmt w:val="upperLetter"/>
      <w:start w:val="1"/>
    </w:lvl>
    <w:lvl w:ilvl="1">
      <w:lvlJc w:val="left"/>
      <w:lvlText w:val="(%2)"/>
      <w:numFmt w:val="upperLetter"/>
      <w:start w:val="1"/>
    </w:lvl>
  </w:abstractNum>
  <w:abstractNum w:abstractNumId="137">
    <w:nsid w:val="2A31B62D"/>
    <w:multiLevelType w:val="hybridMultilevel"/>
    <w:lvl w:ilvl="0">
      <w:lvlJc w:val="left"/>
      <w:lvlText w:val="(%1)"/>
      <w:numFmt w:val="upperLetter"/>
      <w:start w:val="2"/>
    </w:lvl>
    <w:lvl w:ilvl="1">
      <w:lvlJc w:val="left"/>
      <w:lvlText w:val="%2"/>
      <w:numFmt w:val="upp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lvl w:ilvl="1">
      <w:lvlJc w:val="left"/>
      <w:lvlText w:val="%2."/>
      <w:numFmt w:val="lowerLetter"/>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2020-11-09T05:55:44Z</dcterms:created>
  <dcterms:modified xsi:type="dcterms:W3CDTF">2020-11-09T05:55:44Z</dcterms:modified>
</cp:coreProperties>
</file>