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4" w:lineRule="exact"/>
        <w:rPr>
          <w:sz w:val="24"/>
          <w:szCs w:val="24"/>
          <w:color w:val="auto"/>
        </w:rPr>
      </w:pPr>
    </w:p>
    <w:p>
      <w:pPr>
        <w:ind w:right="4180" w:firstLine="26"/>
        <w:spacing w:after="0" w:line="367" w:lineRule="auto"/>
        <w:tabs>
          <w:tab w:leader="none" w:pos="6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04" w:lineRule="exact"/>
        <w:rPr>
          <w:sz w:val="24"/>
          <w:szCs w:val="24"/>
          <w:color w:val="auto"/>
        </w:rPr>
      </w:pPr>
    </w:p>
    <w:p>
      <w:pPr>
        <w:ind w:left="660" w:right="4140" w:hanging="634"/>
        <w:spacing w:after="0" w:line="293"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ALLETE, Inc.</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1039" w:right="339" w:bottom="1440" w:gutter="0" w:footer="0" w:header="0"/>
        </w:sectPr>
      </w:pPr>
    </w:p>
    <w:p>
      <w:pPr>
        <w:spacing w:after="0" w:line="13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41-0418150</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7"/>
          <w:szCs w:val="17"/>
          <w:color w:val="auto"/>
        </w:rPr>
        <w:t>(IRS Employer Identification No.)</w:t>
      </w:r>
    </w:p>
    <w:p>
      <w:pPr>
        <w:spacing w:after="0" w:line="124" w:lineRule="exact"/>
        <w:rPr>
          <w:sz w:val="24"/>
          <w:szCs w:val="24"/>
          <w:color w:val="auto"/>
        </w:rPr>
      </w:pPr>
    </w:p>
    <w:p>
      <w:pPr>
        <w:sectPr>
          <w:pgSz w:w="11900" w:h="16838" w:orient="portrait"/>
          <w:cols w:equalWidth="0" w:num="2">
            <w:col w:w="6360" w:space="720"/>
            <w:col w:w="4160"/>
          </w:cols>
          <w:pgMar w:left="320" w:top="1039"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ectPr>
          <w:pgSz w:w="11900" w:h="16838" w:orient="portrait"/>
          <w:cols w:equalWidth="0" w:num="1">
            <w:col w:w="11240"/>
          </w:cols>
          <w:pgMar w:left="320" w:top="1039" w:right="339" w:bottom="1440" w:gutter="0" w:footer="0" w:header="0"/>
          <w:type w:val="continuous"/>
        </w:sectPr>
      </w:pP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1039" w:right="339" w:bottom="1440" w:gutter="0" w:footer="0" w:header="0"/>
          <w:type w:val="continuous"/>
        </w:sectPr>
      </w:pPr>
    </w:p>
    <w:p>
      <w:pPr>
        <w:spacing w:after="0" w:line="73" w:lineRule="exact"/>
        <w:rPr>
          <w:sz w:val="24"/>
          <w:szCs w:val="24"/>
          <w:color w:val="auto"/>
        </w:rPr>
      </w:pPr>
    </w:p>
    <w:p>
      <w:pPr>
        <w:jc w:val="center"/>
        <w:ind w:left="20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left="200"/>
        <w:spacing w:after="0"/>
        <w:rPr>
          <w:sz w:val="20"/>
          <w:szCs w:val="20"/>
          <w:color w:val="auto"/>
        </w:rPr>
      </w:pPr>
      <w:r>
        <w:rPr>
          <w:rFonts w:ascii="Arial" w:cs="Arial" w:eastAsia="Arial" w:hAnsi="Arial"/>
          <w:sz w:val="16"/>
          <w:szCs w:val="16"/>
          <w:b w:val="1"/>
          <w:bCs w:val="1"/>
          <w:color w:val="auto"/>
        </w:rPr>
        <w:t>Common Stock, without par value</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Trading symbol</w:t>
      </w:r>
    </w:p>
    <w:p>
      <w:pPr>
        <w:spacing w:after="0" w:line="46"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ALE</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New York Stock Exchange</w:t>
      </w:r>
    </w:p>
    <w:p>
      <w:pPr>
        <w:spacing w:after="0" w:line="116" w:lineRule="exact"/>
        <w:rPr>
          <w:sz w:val="24"/>
          <w:szCs w:val="24"/>
          <w:color w:val="auto"/>
        </w:rPr>
      </w:pPr>
    </w:p>
    <w:p>
      <w:pPr>
        <w:sectPr>
          <w:pgSz w:w="11900" w:h="16838" w:orient="portrait"/>
          <w:cols w:equalWidth="0" w:num="3">
            <w:col w:w="4320" w:space="720"/>
            <w:col w:w="1620" w:space="720"/>
            <w:col w:w="3860"/>
          </w:cols>
          <w:pgMar w:left="320" w:top="1039" w:right="339" w:bottom="1440" w:gutter="0" w:footer="0" w:header="0"/>
          <w:type w:val="continuous"/>
        </w:sect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1"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0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39" w:right="339" w:bottom="1440" w:gutter="0" w:footer="0" w:header="0"/>
          <w:type w:val="continuous"/>
        </w:sectPr>
      </w:pPr>
    </w:p>
    <w:p>
      <w:pPr>
        <w:spacing w:after="0" w:line="43" w:lineRule="exact"/>
        <w:rPr>
          <w:sz w:val="24"/>
          <w:szCs w:val="24"/>
          <w:color w:val="auto"/>
        </w:rPr>
      </w:pPr>
    </w:p>
    <w:p>
      <w:pPr>
        <w:ind w:left="420"/>
        <w:spacing w:after="0" w:line="250"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2">
            <w:col w:w="4880" w:space="180"/>
            <w:col w:w="6180"/>
          </w:cols>
          <w:pgMar w:left="320" w:top="1039" w:right="339" w:bottom="1440" w:gutter="0" w:footer="0" w:header="0"/>
          <w:type w:val="continuous"/>
        </w:sectPr>
      </w:pPr>
    </w:p>
    <w:p>
      <w:pPr>
        <w:ind w:left="1320"/>
        <w:spacing w:after="0" w:line="196" w:lineRule="exact"/>
        <w:tabs>
          <w:tab w:leader="none" w:pos="35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9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without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57,161,878 shares outstanding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as of September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gridSpan w:val="7"/>
          </w:tcPr>
          <w:p>
            <w:pPr>
              <w:ind w:left="120"/>
              <w:spacing w:after="0"/>
              <w:rPr>
                <w:sz w:val="20"/>
                <w:szCs w:val="20"/>
                <w:color w:val="auto"/>
              </w:rPr>
            </w:pPr>
            <w:r>
              <w:rPr>
                <w:rFonts w:ascii="Arial" w:cs="Arial" w:eastAsia="Arial" w:hAnsi="Arial"/>
                <w:sz w:val="18"/>
                <w:szCs w:val="18"/>
                <w:b w:val="1"/>
                <w:bCs w:val="1"/>
                <w:color w:val="auto"/>
              </w:rPr>
              <w:t>Index</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8"/>
                <w:szCs w:val="18"/>
                <w:color w:val="0000FF"/>
                <w:w w:val="97"/>
              </w:rPr>
              <w:t>Definitions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860" w:type="dxa"/>
            <w:vAlign w:val="bottom"/>
            <w:gridSpan w:val="3"/>
          </w:tcPr>
          <w:p>
            <w:pPr>
              <w:jc w:val="right"/>
              <w:ind w:right="20"/>
              <w:spacing w:after="0"/>
              <w:rPr>
                <w:sz w:val="20"/>
                <w:szCs w:val="20"/>
                <w:color w:val="auto"/>
              </w:rPr>
            </w:pPr>
            <w:r>
              <w:rPr>
                <w:rFonts w:ascii="Arial" w:cs="Arial" w:eastAsia="Arial" w:hAnsi="Arial"/>
                <w:sz w:val="18"/>
                <w:szCs w:val="18"/>
                <w:color w:val="0000FF"/>
              </w:rPr>
              <w:t>3</w:t>
            </w: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120" w:type="dxa"/>
            <w:vAlign w:val="bottom"/>
            <w:gridSpan w:val="10"/>
            <w:shd w:val="clear" w:color="auto" w:fill="CCEEFF"/>
          </w:tcPr>
          <w:p>
            <w:pPr>
              <w:spacing w:after="0" w:line="189" w:lineRule="exact"/>
              <w:rPr>
                <w:sz w:val="20"/>
                <w:szCs w:val="20"/>
                <w:color w:val="auto"/>
              </w:rPr>
            </w:pPr>
            <w:r>
              <w:rPr>
                <w:rFonts w:ascii="Arial" w:cs="Arial" w:eastAsia="Arial" w:hAnsi="Arial"/>
                <w:sz w:val="18"/>
                <w:szCs w:val="18"/>
                <w:color w:val="0000FF"/>
                <w:w w:val="90"/>
              </w:rPr>
              <w:t>Forward-Looking Statements</w:t>
            </w:r>
          </w:p>
        </w:tc>
        <w:tc>
          <w:tcPr>
            <w:tcW w:w="6200" w:type="dxa"/>
            <w:vAlign w:val="bottom"/>
            <w:gridSpan w:val="29"/>
            <w:shd w:val="clear" w:color="auto" w:fill="CCEEFF"/>
          </w:tcPr>
          <w:p>
            <w:pPr>
              <w:spacing w:after="0"/>
              <w:rPr>
                <w:sz w:val="16"/>
                <w:szCs w:val="16"/>
                <w:color w:val="auto"/>
              </w:rPr>
            </w:pP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gridSpan w:val="4"/>
          </w:tcPr>
          <w:p>
            <w:pPr>
              <w:spacing w:after="0" w:line="189" w:lineRule="exact"/>
              <w:rPr>
                <w:sz w:val="20"/>
                <w:szCs w:val="20"/>
                <w:color w:val="auto"/>
              </w:rPr>
            </w:pPr>
            <w:r>
              <w:rPr>
                <w:rFonts w:ascii="Arial" w:cs="Arial" w:eastAsia="Arial" w:hAnsi="Arial"/>
                <w:sz w:val="18"/>
                <w:szCs w:val="18"/>
                <w:color w:val="0000FF"/>
              </w:rPr>
              <w:t>Part I.</w:t>
            </w:r>
          </w:p>
        </w:tc>
        <w:tc>
          <w:tcPr>
            <w:tcW w:w="7460" w:type="dxa"/>
            <w:vAlign w:val="bottom"/>
            <w:gridSpan w:val="35"/>
          </w:tcPr>
          <w:p>
            <w:pPr>
              <w:ind w:left="20"/>
              <w:spacing w:after="0" w:line="189" w:lineRule="exact"/>
              <w:rPr>
                <w:sz w:val="20"/>
                <w:szCs w:val="20"/>
                <w:color w:val="auto"/>
              </w:rPr>
            </w:pPr>
            <w:r>
              <w:rPr>
                <w:rFonts w:ascii="Arial" w:cs="Arial" w:eastAsia="Arial" w:hAnsi="Arial"/>
                <w:sz w:val="18"/>
                <w:szCs w:val="18"/>
                <w:color w:val="0000FF"/>
              </w:rPr>
              <w:t>Financial Information</w:t>
            </w: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0000FF"/>
                <w:w w:val="87"/>
              </w:rPr>
              <w:t>Item 1.</w:t>
            </w:r>
          </w:p>
        </w:tc>
        <w:tc>
          <w:tcPr>
            <w:tcW w:w="300" w:type="dxa"/>
            <w:vAlign w:val="bottom"/>
            <w:gridSpan w:val="2"/>
            <w:shd w:val="clear" w:color="auto" w:fill="CCEEFF"/>
          </w:tcPr>
          <w:p>
            <w:pPr>
              <w:spacing w:after="0"/>
              <w:rPr>
                <w:sz w:val="16"/>
                <w:szCs w:val="16"/>
                <w:color w:val="auto"/>
              </w:rPr>
            </w:pPr>
          </w:p>
        </w:tc>
        <w:tc>
          <w:tcPr>
            <w:tcW w:w="6640" w:type="dxa"/>
            <w:vAlign w:val="bottom"/>
            <w:gridSpan w:val="32"/>
            <w:shd w:val="clear" w:color="auto" w:fill="CCEEFF"/>
          </w:tcPr>
          <w:p>
            <w:pPr>
              <w:ind w:left="180"/>
              <w:spacing w:after="0" w:line="189" w:lineRule="exact"/>
              <w:rPr>
                <w:sz w:val="20"/>
                <w:szCs w:val="20"/>
                <w:color w:val="auto"/>
              </w:rPr>
            </w:pPr>
            <w:r>
              <w:rPr>
                <w:rFonts w:ascii="Arial" w:cs="Arial" w:eastAsia="Arial" w:hAnsi="Arial"/>
                <w:sz w:val="18"/>
                <w:szCs w:val="18"/>
                <w:color w:val="0000FF"/>
              </w:rPr>
              <w:t>Consolidated Financial Statements - Unaudited</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0" w:type="dxa"/>
            <w:vAlign w:val="bottom"/>
            <w:gridSpan w:val="23"/>
          </w:tcPr>
          <w:p>
            <w:pPr>
              <w:spacing w:after="0" w:line="189" w:lineRule="exact"/>
              <w:rPr>
                <w:sz w:val="20"/>
                <w:szCs w:val="20"/>
                <w:color w:val="auto"/>
              </w:rPr>
            </w:pPr>
            <w:r>
              <w:rPr>
                <w:rFonts w:ascii="Arial" w:cs="Arial" w:eastAsia="Arial" w:hAnsi="Arial"/>
                <w:sz w:val="18"/>
                <w:szCs w:val="18"/>
                <w:color w:val="0000FF"/>
              </w:rPr>
              <w:t>Consolidated Balance Sheet</w:t>
            </w:r>
          </w:p>
        </w:tc>
        <w:tc>
          <w:tcPr>
            <w:tcW w:w="3060" w:type="dxa"/>
            <w:vAlign w:val="bottom"/>
            <w:gridSpan w:val="7"/>
          </w:tcPr>
          <w:p>
            <w:pPr>
              <w:spacing w:after="0"/>
              <w:rPr>
                <w:sz w:val="16"/>
                <w:szCs w:val="16"/>
                <w:color w:val="auto"/>
              </w:rPr>
            </w:pPr>
          </w:p>
        </w:tc>
        <w:tc>
          <w:tcPr>
            <w:tcW w:w="28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6</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50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w w:val="89"/>
              </w:rPr>
              <w:t>Consolidated Statement of Income</w:t>
            </w:r>
          </w:p>
        </w:tc>
        <w:tc>
          <w:tcPr>
            <w:tcW w:w="3760" w:type="dxa"/>
            <w:vAlign w:val="bottom"/>
            <w:gridSpan w:val="11"/>
            <w:shd w:val="clear" w:color="auto" w:fill="CCEEFF"/>
          </w:tcPr>
          <w:p>
            <w:pPr>
              <w:spacing w:after="0"/>
              <w:rPr>
                <w:sz w:val="16"/>
                <w:szCs w:val="16"/>
                <w:color w:val="auto"/>
              </w:rPr>
            </w:pP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60" w:type="dxa"/>
            <w:vAlign w:val="bottom"/>
            <w:gridSpan w:val="30"/>
          </w:tcPr>
          <w:p>
            <w:pPr>
              <w:spacing w:after="0" w:line="189" w:lineRule="exact"/>
              <w:rPr>
                <w:sz w:val="20"/>
                <w:szCs w:val="20"/>
                <w:color w:val="auto"/>
              </w:rPr>
            </w:pPr>
            <w:r>
              <w:rPr>
                <w:rFonts w:ascii="Arial" w:cs="Arial" w:eastAsia="Arial" w:hAnsi="Arial"/>
                <w:sz w:val="18"/>
                <w:szCs w:val="18"/>
                <w:color w:val="0000FF"/>
              </w:rPr>
              <w:t>Consolidated Statement of Comprehensive Income</w:t>
            </w:r>
          </w:p>
        </w:tc>
        <w:tc>
          <w:tcPr>
            <w:tcW w:w="28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8</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0000FF"/>
                <w:w w:val="89"/>
              </w:rPr>
              <w:t>Consolidated Statement of Cash Flows</w:t>
            </w:r>
          </w:p>
        </w:tc>
        <w:tc>
          <w:tcPr>
            <w:tcW w:w="3460" w:type="dxa"/>
            <w:vAlign w:val="bottom"/>
            <w:gridSpan w:val="10"/>
            <w:shd w:val="clear" w:color="auto" w:fill="CCEEFF"/>
          </w:tcPr>
          <w:p>
            <w:pPr>
              <w:spacing w:after="0"/>
              <w:rPr>
                <w:sz w:val="16"/>
                <w:szCs w:val="16"/>
                <w:color w:val="auto"/>
              </w:rPr>
            </w:pP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20"/>
          </w:tcPr>
          <w:p>
            <w:pPr>
              <w:spacing w:after="0" w:line="189" w:lineRule="exact"/>
              <w:rPr>
                <w:sz w:val="20"/>
                <w:szCs w:val="20"/>
                <w:color w:val="auto"/>
              </w:rPr>
            </w:pPr>
            <w:r>
              <w:rPr>
                <w:rFonts w:ascii="Arial" w:cs="Arial" w:eastAsia="Arial" w:hAnsi="Arial"/>
                <w:sz w:val="18"/>
                <w:szCs w:val="18"/>
                <w:color w:val="0000FF"/>
              </w:rPr>
              <w:t>Consolidated Statement of Equity</w:t>
            </w:r>
          </w:p>
        </w:tc>
        <w:tc>
          <w:tcPr>
            <w:tcW w:w="3460" w:type="dxa"/>
            <w:vAlign w:val="bottom"/>
            <w:gridSpan w:val="10"/>
          </w:tcPr>
          <w:p>
            <w:pPr>
              <w:spacing w:after="0"/>
              <w:rPr>
                <w:sz w:val="16"/>
                <w:szCs w:val="16"/>
                <w:color w:val="auto"/>
              </w:rPr>
            </w:pPr>
          </w:p>
        </w:tc>
        <w:tc>
          <w:tcPr>
            <w:tcW w:w="28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10</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00FF"/>
              </w:rPr>
              <w:t>Notes to Consolidated Financial Statements</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7"/>
          </w:tcPr>
          <w:p>
            <w:pPr>
              <w:spacing w:after="0" w:line="189" w:lineRule="exact"/>
              <w:rPr>
                <w:sz w:val="20"/>
                <w:szCs w:val="20"/>
                <w:color w:val="auto"/>
              </w:rPr>
            </w:pPr>
            <w:r>
              <w:rPr>
                <w:rFonts w:ascii="Arial" w:cs="Arial" w:eastAsia="Arial" w:hAnsi="Arial"/>
                <w:sz w:val="18"/>
                <w:szCs w:val="18"/>
                <w:color w:val="0000FF"/>
              </w:rPr>
              <w:t>Note 1. Operations and Significant Accounting Policies</w:t>
            </w:r>
          </w:p>
        </w:tc>
        <w:tc>
          <w:tcPr>
            <w:tcW w:w="28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11</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7"/>
            <w:shd w:val="clear" w:color="auto" w:fill="CCEEFF"/>
          </w:tcPr>
          <w:p>
            <w:pPr>
              <w:spacing w:after="0" w:line="189" w:lineRule="exact"/>
              <w:rPr>
                <w:sz w:val="20"/>
                <w:szCs w:val="20"/>
                <w:color w:val="auto"/>
              </w:rPr>
            </w:pPr>
            <w:r>
              <w:rPr>
                <w:rFonts w:ascii="Arial" w:cs="Arial" w:eastAsia="Arial" w:hAnsi="Arial"/>
                <w:sz w:val="18"/>
                <w:szCs w:val="18"/>
                <w:color w:val="0000FF"/>
              </w:rPr>
              <w:t>Note 2. Regulatory Matters</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12"/>
          </w:tcPr>
          <w:p>
            <w:pPr>
              <w:spacing w:after="0" w:line="189" w:lineRule="exact"/>
              <w:rPr>
                <w:sz w:val="20"/>
                <w:szCs w:val="20"/>
                <w:color w:val="auto"/>
              </w:rPr>
            </w:pPr>
            <w:r>
              <w:rPr>
                <w:rFonts w:ascii="Arial" w:cs="Arial" w:eastAsia="Arial" w:hAnsi="Arial"/>
                <w:sz w:val="18"/>
                <w:szCs w:val="18"/>
                <w:color w:val="0000FF"/>
              </w:rPr>
              <w:t>Note 3. Acquisitions</w:t>
            </w:r>
          </w:p>
        </w:tc>
        <w:tc>
          <w:tcPr>
            <w:tcW w:w="4060" w:type="dxa"/>
            <w:vAlign w:val="bottom"/>
            <w:gridSpan w:val="15"/>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0000FF"/>
                <w:w w:val="79"/>
              </w:rPr>
              <w:t>16</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7"/>
            <w:shd w:val="clear" w:color="auto" w:fill="CCEEFF"/>
          </w:tcPr>
          <w:p>
            <w:pPr>
              <w:spacing w:after="0" w:line="189" w:lineRule="exact"/>
              <w:rPr>
                <w:sz w:val="20"/>
                <w:szCs w:val="20"/>
                <w:color w:val="auto"/>
              </w:rPr>
            </w:pPr>
            <w:r>
              <w:rPr>
                <w:rFonts w:ascii="Arial" w:cs="Arial" w:eastAsia="Arial" w:hAnsi="Arial"/>
                <w:sz w:val="18"/>
                <w:szCs w:val="18"/>
                <w:color w:val="0000FF"/>
              </w:rPr>
              <w:t>Note 4. Equity Investments</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12"/>
          </w:tcPr>
          <w:p>
            <w:pPr>
              <w:spacing w:after="0" w:line="189" w:lineRule="exact"/>
              <w:rPr>
                <w:sz w:val="20"/>
                <w:szCs w:val="20"/>
                <w:color w:val="auto"/>
              </w:rPr>
            </w:pPr>
            <w:r>
              <w:rPr>
                <w:rFonts w:ascii="Arial" w:cs="Arial" w:eastAsia="Arial" w:hAnsi="Arial"/>
                <w:sz w:val="18"/>
                <w:szCs w:val="18"/>
                <w:color w:val="0000FF"/>
              </w:rPr>
              <w:t>Note 5. Fair Value</w:t>
            </w:r>
          </w:p>
        </w:tc>
        <w:tc>
          <w:tcPr>
            <w:tcW w:w="4060" w:type="dxa"/>
            <w:vAlign w:val="bottom"/>
            <w:gridSpan w:val="15"/>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0000FF"/>
                <w:w w:val="79"/>
              </w:rPr>
              <w:t>17</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7"/>
            <w:shd w:val="clear" w:color="auto" w:fill="CCEEFF"/>
          </w:tcPr>
          <w:p>
            <w:pPr>
              <w:spacing w:after="0" w:line="189" w:lineRule="exact"/>
              <w:rPr>
                <w:sz w:val="20"/>
                <w:szCs w:val="20"/>
                <w:color w:val="auto"/>
              </w:rPr>
            </w:pPr>
            <w:r>
              <w:rPr>
                <w:rFonts w:ascii="Arial" w:cs="Arial" w:eastAsia="Arial" w:hAnsi="Arial"/>
                <w:sz w:val="18"/>
                <w:szCs w:val="18"/>
                <w:color w:val="0000FF"/>
              </w:rPr>
              <w:t>Note 6. Short-Term and Long-Term Debt</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7"/>
          </w:tcPr>
          <w:p>
            <w:pPr>
              <w:spacing w:after="0" w:line="189" w:lineRule="exact"/>
              <w:rPr>
                <w:sz w:val="20"/>
                <w:szCs w:val="20"/>
                <w:color w:val="auto"/>
              </w:rPr>
            </w:pPr>
            <w:r>
              <w:rPr>
                <w:rFonts w:ascii="Arial" w:cs="Arial" w:eastAsia="Arial" w:hAnsi="Arial"/>
                <w:sz w:val="18"/>
                <w:szCs w:val="18"/>
                <w:color w:val="0000FF"/>
              </w:rPr>
              <w:t>Note 7. Commitments, Guarantees and Contingencies</w:t>
            </w:r>
          </w:p>
        </w:tc>
        <w:tc>
          <w:tcPr>
            <w:tcW w:w="28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20</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7"/>
            <w:shd w:val="clear" w:color="auto" w:fill="CCEEFF"/>
          </w:tcPr>
          <w:p>
            <w:pPr>
              <w:spacing w:after="0" w:line="189" w:lineRule="exact"/>
              <w:rPr>
                <w:sz w:val="20"/>
                <w:szCs w:val="20"/>
                <w:color w:val="auto"/>
              </w:rPr>
            </w:pPr>
            <w:r>
              <w:rPr>
                <w:rFonts w:ascii="Arial" w:cs="Arial" w:eastAsia="Arial" w:hAnsi="Arial"/>
                <w:sz w:val="18"/>
                <w:szCs w:val="18"/>
                <w:color w:val="0000FF"/>
              </w:rPr>
              <w:t>Note 8. Earnings Per Share and Common Stock</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26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21"/>
          </w:tcPr>
          <w:p>
            <w:pPr>
              <w:spacing w:after="0" w:line="189" w:lineRule="exact"/>
              <w:rPr>
                <w:sz w:val="20"/>
                <w:szCs w:val="20"/>
                <w:color w:val="auto"/>
              </w:rPr>
            </w:pPr>
            <w:r>
              <w:rPr>
                <w:rFonts w:ascii="Arial" w:cs="Arial" w:eastAsia="Arial" w:hAnsi="Arial"/>
                <w:sz w:val="18"/>
                <w:szCs w:val="18"/>
                <w:color w:val="0000FF"/>
              </w:rPr>
              <w:t>Note 9. Income Tax Expense</w:t>
            </w:r>
          </w:p>
        </w:tc>
        <w:tc>
          <w:tcPr>
            <w:tcW w:w="2600" w:type="dxa"/>
            <w:vAlign w:val="bottom"/>
            <w:gridSpan w:val="6"/>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0000FF"/>
                <w:w w:val="79"/>
              </w:rPr>
              <w:t>26</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100" w:type="dxa"/>
            <w:vAlign w:val="bottom"/>
            <w:gridSpan w:val="26"/>
            <w:shd w:val="clear" w:color="auto" w:fill="CCEEFF"/>
          </w:tcPr>
          <w:p>
            <w:pPr>
              <w:spacing w:after="0" w:line="189" w:lineRule="exact"/>
              <w:rPr>
                <w:sz w:val="20"/>
                <w:szCs w:val="20"/>
                <w:color w:val="auto"/>
              </w:rPr>
            </w:pPr>
            <w:r>
              <w:rPr>
                <w:rFonts w:ascii="Arial" w:cs="Arial" w:eastAsia="Arial" w:hAnsi="Arial"/>
                <w:sz w:val="18"/>
                <w:szCs w:val="18"/>
                <w:color w:val="0000FF"/>
                <w:w w:val="89"/>
              </w:rPr>
              <w:t>Note 10. Pension and Other Postretirement Benefit Plans</w:t>
            </w:r>
          </w:p>
        </w:tc>
        <w:tc>
          <w:tcPr>
            <w:tcW w:w="192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79"/>
              </w:rPr>
              <w:t>28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00" w:type="dxa"/>
            <w:vAlign w:val="bottom"/>
            <w:gridSpan w:val="26"/>
          </w:tcPr>
          <w:p>
            <w:pPr>
              <w:spacing w:after="0" w:line="189" w:lineRule="exact"/>
              <w:rPr>
                <w:sz w:val="20"/>
                <w:szCs w:val="20"/>
                <w:color w:val="auto"/>
              </w:rPr>
            </w:pPr>
            <w:r>
              <w:rPr>
                <w:rFonts w:ascii="Arial" w:cs="Arial" w:eastAsia="Arial" w:hAnsi="Arial"/>
                <w:sz w:val="18"/>
                <w:szCs w:val="18"/>
                <w:color w:val="0000FF"/>
              </w:rPr>
              <w:t>Note 11. Business Segments</w:t>
            </w:r>
          </w:p>
        </w:tc>
        <w:tc>
          <w:tcPr>
            <w:tcW w:w="19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0000FF"/>
                <w:w w:val="79"/>
              </w:rPr>
              <w:t>28</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0000FF"/>
                <w:w w:val="87"/>
              </w:rPr>
              <w:t>Item 2.</w:t>
            </w:r>
          </w:p>
        </w:tc>
        <w:tc>
          <w:tcPr>
            <w:tcW w:w="300" w:type="dxa"/>
            <w:vAlign w:val="bottom"/>
            <w:gridSpan w:val="2"/>
            <w:shd w:val="clear" w:color="auto" w:fill="CCEEFF"/>
          </w:tcPr>
          <w:p>
            <w:pPr>
              <w:spacing w:after="0"/>
              <w:rPr>
                <w:sz w:val="16"/>
                <w:szCs w:val="16"/>
                <w:color w:val="auto"/>
              </w:rPr>
            </w:pPr>
          </w:p>
        </w:tc>
        <w:tc>
          <w:tcPr>
            <w:tcW w:w="6640" w:type="dxa"/>
            <w:vAlign w:val="bottom"/>
            <w:gridSpan w:val="32"/>
            <w:shd w:val="clear" w:color="auto" w:fill="CCEEFF"/>
          </w:tcPr>
          <w:p>
            <w:pPr>
              <w:ind w:left="180"/>
              <w:spacing w:after="0" w:line="189" w:lineRule="exact"/>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30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920" w:type="dxa"/>
            <w:vAlign w:val="bottom"/>
            <w:tcBorders>
              <w:top w:val="single" w:sz="8" w:color="0000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60" w:type="dxa"/>
            <w:vAlign w:val="bottom"/>
            <w:gridSpan w:val="30"/>
          </w:tcPr>
          <w:p>
            <w:pPr>
              <w:spacing w:after="0" w:line="189" w:lineRule="exact"/>
              <w:rPr>
                <w:sz w:val="20"/>
                <w:szCs w:val="20"/>
                <w:color w:val="auto"/>
              </w:rPr>
            </w:pPr>
            <w:r>
              <w:rPr>
                <w:rFonts w:ascii="Arial" w:cs="Arial" w:eastAsia="Arial" w:hAnsi="Arial"/>
                <w:sz w:val="18"/>
                <w:szCs w:val="18"/>
                <w:color w:val="0000FF"/>
              </w:rPr>
              <w:t>Comparison of the Quarters Ended</w:t>
            </w:r>
          </w:p>
        </w:tc>
        <w:tc>
          <w:tcPr>
            <w:tcW w:w="26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0000FF"/>
                <w:w w:val="79"/>
              </w:rPr>
              <w:t>32</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4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w w:val="90"/>
              </w:rPr>
              <w:t>Comparison of the Nine Months Ended</w:t>
            </w:r>
          </w:p>
        </w:tc>
        <w:tc>
          <w:tcPr>
            <w:tcW w:w="3420" w:type="dxa"/>
            <w:vAlign w:val="bottom"/>
            <w:gridSpan w:val="9"/>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79"/>
              </w:rPr>
              <w:t>36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21"/>
          </w:tcPr>
          <w:p>
            <w:pPr>
              <w:spacing w:after="0" w:line="189" w:lineRule="exact"/>
              <w:rPr>
                <w:sz w:val="20"/>
                <w:szCs w:val="20"/>
                <w:color w:val="auto"/>
              </w:rPr>
            </w:pPr>
            <w:r>
              <w:rPr>
                <w:rFonts w:ascii="Arial" w:cs="Arial" w:eastAsia="Arial" w:hAnsi="Arial"/>
                <w:sz w:val="18"/>
                <w:szCs w:val="18"/>
                <w:color w:val="0000FF"/>
              </w:rPr>
              <w:t>Critical Accounting Policies</w:t>
            </w:r>
          </w:p>
        </w:tc>
        <w:tc>
          <w:tcPr>
            <w:tcW w:w="3420" w:type="dxa"/>
            <w:vAlign w:val="bottom"/>
            <w:gridSpan w:val="9"/>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0000FF"/>
                <w:w w:val="79"/>
              </w:rPr>
              <w:t>39</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00FF"/>
              </w:rPr>
              <w:t>Outlook</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60" w:type="dxa"/>
            <w:vAlign w:val="bottom"/>
            <w:gridSpan w:val="30"/>
          </w:tcPr>
          <w:p>
            <w:pPr>
              <w:spacing w:after="0" w:line="189" w:lineRule="exact"/>
              <w:rPr>
                <w:sz w:val="20"/>
                <w:szCs w:val="20"/>
                <w:color w:val="auto"/>
              </w:rPr>
            </w:pPr>
            <w:r>
              <w:rPr>
                <w:rFonts w:ascii="Arial" w:cs="Arial" w:eastAsia="Arial" w:hAnsi="Arial"/>
                <w:sz w:val="18"/>
                <w:szCs w:val="18"/>
                <w:color w:val="0000FF"/>
              </w:rPr>
              <w:t>Liquidity and Capital Resources</w:t>
            </w:r>
          </w:p>
        </w:tc>
        <w:tc>
          <w:tcPr>
            <w:tcW w:w="28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43</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00FF"/>
              </w:rPr>
              <w:t>Other</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Arial" w:cs="Arial" w:eastAsia="Arial" w:hAnsi="Arial"/>
                <w:sz w:val="18"/>
                <w:szCs w:val="18"/>
                <w:color w:val="0000FF"/>
              </w:rPr>
              <w:t>Item 3.</w:t>
            </w:r>
          </w:p>
        </w:tc>
        <w:tc>
          <w:tcPr>
            <w:tcW w:w="6640" w:type="dxa"/>
            <w:vAlign w:val="bottom"/>
            <w:gridSpan w:val="32"/>
          </w:tcPr>
          <w:p>
            <w:pPr>
              <w:ind w:left="180"/>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28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45</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0000FF"/>
                <w:w w:val="87"/>
              </w:rPr>
              <w:t>Item 4.</w:t>
            </w:r>
          </w:p>
        </w:tc>
        <w:tc>
          <w:tcPr>
            <w:tcW w:w="300" w:type="dxa"/>
            <w:vAlign w:val="bottom"/>
            <w:gridSpan w:val="2"/>
            <w:shd w:val="clear" w:color="auto" w:fill="CCEEFF"/>
          </w:tcPr>
          <w:p>
            <w:pPr>
              <w:spacing w:after="0"/>
              <w:rPr>
                <w:sz w:val="16"/>
                <w:szCs w:val="16"/>
                <w:color w:val="auto"/>
              </w:rPr>
            </w:pPr>
          </w:p>
        </w:tc>
        <w:tc>
          <w:tcPr>
            <w:tcW w:w="6640" w:type="dxa"/>
            <w:vAlign w:val="bottom"/>
            <w:gridSpan w:val="32"/>
            <w:shd w:val="clear" w:color="auto" w:fill="CCEEFF"/>
          </w:tcPr>
          <w:p>
            <w:pPr>
              <w:ind w:left="180"/>
              <w:spacing w:after="0" w:line="189" w:lineRule="exact"/>
              <w:rPr>
                <w:sz w:val="20"/>
                <w:szCs w:val="20"/>
                <w:color w:val="auto"/>
              </w:rPr>
            </w:pPr>
            <w:r>
              <w:rPr>
                <w:rFonts w:ascii="Arial" w:cs="Arial" w:eastAsia="Arial" w:hAnsi="Arial"/>
                <w:sz w:val="18"/>
                <w:szCs w:val="18"/>
                <w:color w:val="0000FF"/>
              </w:rPr>
              <w:t>Controls and Procedures</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46</w:t>
            </w:r>
          </w:p>
        </w:tc>
      </w:tr>
      <w:tr>
        <w:trPr>
          <w:trHeight w:val="20"/>
        </w:trPr>
        <w:tc>
          <w:tcPr>
            <w:tcW w:w="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CCEEFF"/>
            </w:tcBorders>
            <w:shd w:val="clear" w:color="auto" w:fill="0000FF"/>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0000FF"/>
              </w:rPr>
              <w:t>Part II.</w:t>
            </w:r>
          </w:p>
        </w:tc>
        <w:tc>
          <w:tcPr>
            <w:tcW w:w="7460" w:type="dxa"/>
            <w:vAlign w:val="bottom"/>
            <w:gridSpan w:val="35"/>
            <w:shd w:val="clear" w:color="auto" w:fill="CCEEFF"/>
          </w:tcPr>
          <w:p>
            <w:pPr>
              <w:ind w:left="20"/>
              <w:spacing w:after="0"/>
              <w:rPr>
                <w:sz w:val="20"/>
                <w:szCs w:val="20"/>
                <w:color w:val="auto"/>
              </w:rPr>
            </w:pPr>
            <w:r>
              <w:rPr>
                <w:rFonts w:ascii="Arial" w:cs="Arial" w:eastAsia="Arial" w:hAnsi="Arial"/>
                <w:sz w:val="18"/>
                <w:szCs w:val="18"/>
                <w:color w:val="0000FF"/>
              </w:rPr>
              <w:t>Other Information</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Arial" w:cs="Arial" w:eastAsia="Arial" w:hAnsi="Arial"/>
                <w:sz w:val="18"/>
                <w:szCs w:val="18"/>
                <w:color w:val="0000FF"/>
              </w:rPr>
              <w:t>Item 1.</w:t>
            </w:r>
          </w:p>
        </w:tc>
        <w:tc>
          <w:tcPr>
            <w:tcW w:w="6640" w:type="dxa"/>
            <w:vAlign w:val="bottom"/>
            <w:gridSpan w:val="32"/>
          </w:tcPr>
          <w:p>
            <w:pPr>
              <w:ind w:left="180"/>
              <w:spacing w:after="0" w:line="189" w:lineRule="exact"/>
              <w:rPr>
                <w:sz w:val="20"/>
                <w:szCs w:val="20"/>
                <w:color w:val="auto"/>
              </w:rPr>
            </w:pPr>
            <w:r>
              <w:rPr>
                <w:rFonts w:ascii="Arial" w:cs="Arial" w:eastAsia="Arial" w:hAnsi="Arial"/>
                <w:sz w:val="18"/>
                <w:szCs w:val="18"/>
                <w:color w:val="0000FF"/>
              </w:rPr>
              <w:t>Legal Proceedings</w:t>
            </w:r>
          </w:p>
        </w:tc>
        <w:tc>
          <w:tcPr>
            <w:tcW w:w="28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46</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0000FF"/>
              </w:rPr>
              <w:t>Item 1A.</w:t>
            </w:r>
          </w:p>
        </w:tc>
        <w:tc>
          <w:tcPr>
            <w:tcW w:w="6640" w:type="dxa"/>
            <w:vAlign w:val="bottom"/>
            <w:gridSpan w:val="32"/>
            <w:shd w:val="clear" w:color="auto" w:fill="CCEEFF"/>
          </w:tcPr>
          <w:p>
            <w:pPr>
              <w:ind w:left="180"/>
              <w:spacing w:after="0" w:line="189" w:lineRule="exact"/>
              <w:rPr>
                <w:sz w:val="20"/>
                <w:szCs w:val="20"/>
                <w:color w:val="auto"/>
              </w:rPr>
            </w:pPr>
            <w:r>
              <w:rPr>
                <w:rFonts w:ascii="Arial" w:cs="Arial" w:eastAsia="Arial" w:hAnsi="Arial"/>
                <w:sz w:val="18"/>
                <w:szCs w:val="18"/>
                <w:color w:val="0000FF"/>
              </w:rPr>
              <w:t>Risk Factors</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ind w:left="20"/>
              <w:spacing w:after="0" w:line="189" w:lineRule="exact"/>
              <w:rPr>
                <w:sz w:val="20"/>
                <w:szCs w:val="20"/>
                <w:color w:val="auto"/>
              </w:rPr>
            </w:pPr>
            <w:r>
              <w:rPr>
                <w:rFonts w:ascii="Arial" w:cs="Arial" w:eastAsia="Arial" w:hAnsi="Arial"/>
                <w:sz w:val="18"/>
                <w:szCs w:val="18"/>
                <w:color w:val="0000FF"/>
              </w:rPr>
              <w:t>Item 2.</w:t>
            </w:r>
          </w:p>
        </w:tc>
        <w:tc>
          <w:tcPr>
            <w:tcW w:w="180" w:type="dxa"/>
            <w:vAlign w:val="bottom"/>
          </w:tcPr>
          <w:p>
            <w:pPr>
              <w:spacing w:after="0"/>
              <w:rPr>
                <w:sz w:val="16"/>
                <w:szCs w:val="16"/>
                <w:color w:val="auto"/>
              </w:rPr>
            </w:pPr>
          </w:p>
        </w:tc>
        <w:tc>
          <w:tcPr>
            <w:tcW w:w="6640" w:type="dxa"/>
            <w:vAlign w:val="bottom"/>
            <w:gridSpan w:val="32"/>
          </w:tcPr>
          <w:p>
            <w:pPr>
              <w:ind w:left="180"/>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28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47</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0000FF"/>
                <w:w w:val="87"/>
              </w:rPr>
              <w:t>Item 3.</w:t>
            </w:r>
          </w:p>
        </w:tc>
        <w:tc>
          <w:tcPr>
            <w:tcW w:w="300" w:type="dxa"/>
            <w:vAlign w:val="bottom"/>
            <w:gridSpan w:val="2"/>
            <w:shd w:val="clear" w:color="auto" w:fill="CCEEFF"/>
          </w:tcPr>
          <w:p>
            <w:pPr>
              <w:spacing w:after="0"/>
              <w:rPr>
                <w:sz w:val="16"/>
                <w:szCs w:val="16"/>
                <w:color w:val="auto"/>
              </w:rPr>
            </w:pPr>
          </w:p>
        </w:tc>
        <w:tc>
          <w:tcPr>
            <w:tcW w:w="6640" w:type="dxa"/>
            <w:vAlign w:val="bottom"/>
            <w:gridSpan w:val="32"/>
            <w:shd w:val="clear" w:color="auto" w:fill="CCEEFF"/>
          </w:tcPr>
          <w:p>
            <w:pPr>
              <w:ind w:left="180"/>
              <w:spacing w:after="0" w:line="189" w:lineRule="exact"/>
              <w:rPr>
                <w:sz w:val="20"/>
                <w:szCs w:val="20"/>
                <w:color w:val="auto"/>
              </w:rPr>
            </w:pPr>
            <w:r>
              <w:rPr>
                <w:rFonts w:ascii="Arial" w:cs="Arial" w:eastAsia="Arial" w:hAnsi="Arial"/>
                <w:sz w:val="18"/>
                <w:szCs w:val="18"/>
                <w:color w:val="0000FF"/>
              </w:rPr>
              <w:t>Defaults Upon Senior Securities</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20"/>
              <w:spacing w:after="0" w:line="189" w:lineRule="exact"/>
              <w:rPr>
                <w:sz w:val="20"/>
                <w:szCs w:val="20"/>
                <w:color w:val="auto"/>
              </w:rPr>
            </w:pPr>
            <w:r>
              <w:rPr>
                <w:rFonts w:ascii="Arial" w:cs="Arial" w:eastAsia="Arial" w:hAnsi="Arial"/>
                <w:sz w:val="18"/>
                <w:szCs w:val="18"/>
                <w:color w:val="0000FF"/>
                <w:w w:val="87"/>
              </w:rPr>
              <w:t>Item 4.</w:t>
            </w:r>
          </w:p>
        </w:tc>
        <w:tc>
          <w:tcPr>
            <w:tcW w:w="300" w:type="dxa"/>
            <w:vAlign w:val="bottom"/>
            <w:gridSpan w:val="2"/>
          </w:tcPr>
          <w:p>
            <w:pPr>
              <w:spacing w:after="0"/>
              <w:rPr>
                <w:sz w:val="16"/>
                <w:szCs w:val="16"/>
                <w:color w:val="auto"/>
              </w:rPr>
            </w:pPr>
          </w:p>
        </w:tc>
        <w:tc>
          <w:tcPr>
            <w:tcW w:w="6640" w:type="dxa"/>
            <w:vAlign w:val="bottom"/>
            <w:gridSpan w:val="32"/>
          </w:tcPr>
          <w:p>
            <w:pPr>
              <w:ind w:left="180"/>
              <w:spacing w:after="0" w:line="189" w:lineRule="exact"/>
              <w:rPr>
                <w:sz w:val="20"/>
                <w:szCs w:val="20"/>
                <w:color w:val="auto"/>
              </w:rPr>
            </w:pPr>
            <w:r>
              <w:rPr>
                <w:rFonts w:ascii="Arial" w:cs="Arial" w:eastAsia="Arial" w:hAnsi="Arial"/>
                <w:sz w:val="18"/>
                <w:szCs w:val="18"/>
                <w:color w:val="0000FF"/>
              </w:rPr>
              <w:t>Mine Safety Disclosures</w:t>
            </w:r>
          </w:p>
        </w:tc>
        <w:tc>
          <w:tcPr>
            <w:tcW w:w="28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47</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0000FF"/>
                <w:w w:val="87"/>
              </w:rPr>
              <w:t>Item 5.</w:t>
            </w:r>
          </w:p>
        </w:tc>
        <w:tc>
          <w:tcPr>
            <w:tcW w:w="300" w:type="dxa"/>
            <w:vAlign w:val="bottom"/>
            <w:gridSpan w:val="2"/>
            <w:shd w:val="clear" w:color="auto" w:fill="CCEEFF"/>
          </w:tcPr>
          <w:p>
            <w:pPr>
              <w:spacing w:after="0"/>
              <w:rPr>
                <w:sz w:val="16"/>
                <w:szCs w:val="16"/>
                <w:color w:val="auto"/>
              </w:rPr>
            </w:pPr>
          </w:p>
        </w:tc>
        <w:tc>
          <w:tcPr>
            <w:tcW w:w="6640" w:type="dxa"/>
            <w:vAlign w:val="bottom"/>
            <w:gridSpan w:val="32"/>
            <w:shd w:val="clear" w:color="auto" w:fill="CCEEFF"/>
          </w:tcPr>
          <w:p>
            <w:pPr>
              <w:ind w:left="180"/>
              <w:spacing w:after="0" w:line="189" w:lineRule="exact"/>
              <w:rPr>
                <w:sz w:val="20"/>
                <w:szCs w:val="20"/>
                <w:color w:val="auto"/>
              </w:rPr>
            </w:pPr>
            <w:r>
              <w:rPr>
                <w:rFonts w:ascii="Arial" w:cs="Arial" w:eastAsia="Arial" w:hAnsi="Arial"/>
                <w:sz w:val="18"/>
                <w:szCs w:val="18"/>
                <w:color w:val="0000FF"/>
              </w:rPr>
              <w:t>Other Information</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20"/>
              <w:spacing w:after="0" w:line="189" w:lineRule="exact"/>
              <w:rPr>
                <w:sz w:val="20"/>
                <w:szCs w:val="20"/>
                <w:color w:val="auto"/>
              </w:rPr>
            </w:pPr>
            <w:r>
              <w:rPr>
                <w:rFonts w:ascii="Arial" w:cs="Arial" w:eastAsia="Arial" w:hAnsi="Arial"/>
                <w:sz w:val="18"/>
                <w:szCs w:val="18"/>
                <w:color w:val="0000FF"/>
                <w:w w:val="87"/>
              </w:rPr>
              <w:t>Item 6.</w:t>
            </w:r>
          </w:p>
        </w:tc>
        <w:tc>
          <w:tcPr>
            <w:tcW w:w="300" w:type="dxa"/>
            <w:vAlign w:val="bottom"/>
            <w:gridSpan w:val="2"/>
          </w:tcPr>
          <w:p>
            <w:pPr>
              <w:spacing w:after="0"/>
              <w:rPr>
                <w:sz w:val="16"/>
                <w:szCs w:val="16"/>
                <w:color w:val="auto"/>
              </w:rPr>
            </w:pPr>
          </w:p>
        </w:tc>
        <w:tc>
          <w:tcPr>
            <w:tcW w:w="6640" w:type="dxa"/>
            <w:vAlign w:val="bottom"/>
            <w:gridSpan w:val="32"/>
          </w:tcPr>
          <w:p>
            <w:pPr>
              <w:ind w:left="180"/>
              <w:spacing w:after="0" w:line="189" w:lineRule="exact"/>
              <w:rPr>
                <w:sz w:val="20"/>
                <w:szCs w:val="20"/>
                <w:color w:val="auto"/>
              </w:rPr>
            </w:pPr>
            <w:r>
              <w:rPr>
                <w:rFonts w:ascii="Arial" w:cs="Arial" w:eastAsia="Arial" w:hAnsi="Arial"/>
                <w:sz w:val="18"/>
                <w:szCs w:val="18"/>
                <w:color w:val="0000FF"/>
              </w:rPr>
              <w:t>Exhibits</w:t>
            </w:r>
          </w:p>
        </w:tc>
        <w:tc>
          <w:tcPr>
            <w:tcW w:w="28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48</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color w:val="0000FF"/>
                <w:w w:val="95"/>
              </w:rPr>
              <w:t>Signatures</w:t>
            </w: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49</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08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Abbreviation or Acronym</w:t>
            </w:r>
          </w:p>
        </w:tc>
        <w:tc>
          <w:tcPr>
            <w:tcW w:w="814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Term</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AFUDC</w:t>
            </w:r>
          </w:p>
        </w:tc>
        <w:tc>
          <w:tcPr>
            <w:tcW w:w="8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8"/>
              </w:rPr>
              <w:t>Allowance for Funds Used During Construction – the cost of both debt and equity funds used to finance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regulated utility plant additions during construction periods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ALLETE</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Clean Energy</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ALLETE Properties</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South Wind</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South Wind,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ALLETE Transmission Holdings</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Transmission Holdings,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ArcelorMittal</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ArcelorMittal S.A.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ATC</w:t>
            </w:r>
          </w:p>
        </w:tc>
        <w:tc>
          <w:tcPr>
            <w:tcW w:w="8120" w:type="dxa"/>
            <w:vAlign w:val="bottom"/>
            <w:gridSpan w:val="2"/>
          </w:tcPr>
          <w:p>
            <w:pPr>
              <w:spacing w:after="0"/>
              <w:rPr>
                <w:sz w:val="20"/>
                <w:szCs w:val="20"/>
                <w:color w:val="auto"/>
              </w:rPr>
            </w:pPr>
            <w:r>
              <w:rPr>
                <w:rFonts w:ascii="Arial" w:cs="Arial" w:eastAsia="Arial" w:hAnsi="Arial"/>
                <w:sz w:val="18"/>
                <w:szCs w:val="18"/>
                <w:color w:val="auto"/>
              </w:rPr>
              <w:t>American Transmission Company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Bison</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Bison Wind Energy Center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BNI Energy</w:t>
            </w:r>
          </w:p>
        </w:tc>
        <w:tc>
          <w:tcPr>
            <w:tcW w:w="8120" w:type="dxa"/>
            <w:vAlign w:val="bottom"/>
            <w:gridSpan w:val="2"/>
          </w:tcPr>
          <w:p>
            <w:pPr>
              <w:spacing w:after="0"/>
              <w:rPr>
                <w:sz w:val="20"/>
                <w:szCs w:val="20"/>
                <w:color w:val="auto"/>
              </w:rPr>
            </w:pPr>
            <w:r>
              <w:rPr>
                <w:rFonts w:ascii="Arial" w:cs="Arial" w:eastAsia="Arial" w:hAnsi="Arial"/>
                <w:sz w:val="18"/>
                <w:szCs w:val="18"/>
                <w:color w:val="auto"/>
              </w:rPr>
              <w:t>BNI Energy, Inc. and its subsidiary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Boswell</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Boswell Energy Center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Cliffs</w:t>
            </w:r>
          </w:p>
        </w:tc>
        <w:tc>
          <w:tcPr>
            <w:tcW w:w="8120" w:type="dxa"/>
            <w:vAlign w:val="bottom"/>
            <w:gridSpan w:val="2"/>
          </w:tcPr>
          <w:p>
            <w:pPr>
              <w:spacing w:after="0"/>
              <w:rPr>
                <w:sz w:val="20"/>
                <w:szCs w:val="20"/>
                <w:color w:val="auto"/>
              </w:rPr>
            </w:pPr>
            <w:r>
              <w:rPr>
                <w:rFonts w:ascii="Arial" w:cs="Arial" w:eastAsia="Arial" w:hAnsi="Arial"/>
                <w:sz w:val="18"/>
                <w:szCs w:val="18"/>
                <w:color w:val="auto"/>
              </w:rPr>
              <w:t>Cleveland-Cliffs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Inc.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COVID-19</w:t>
            </w:r>
          </w:p>
        </w:tc>
        <w:tc>
          <w:tcPr>
            <w:tcW w:w="8120" w:type="dxa"/>
            <w:vAlign w:val="bottom"/>
            <w:gridSpan w:val="2"/>
          </w:tcPr>
          <w:p>
            <w:pPr>
              <w:spacing w:after="0"/>
              <w:rPr>
                <w:sz w:val="20"/>
                <w:szCs w:val="20"/>
                <w:color w:val="auto"/>
              </w:rPr>
            </w:pPr>
            <w:r>
              <w:rPr>
                <w:rFonts w:ascii="Arial" w:cs="Arial" w:eastAsia="Arial" w:hAnsi="Arial"/>
                <w:sz w:val="18"/>
                <w:szCs w:val="18"/>
                <w:color w:val="auto"/>
              </w:rPr>
              <w:t>2019 novel coronavirus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CSAPR</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Cross-State Air Pollution Rule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EPA</w:t>
            </w:r>
          </w:p>
        </w:tc>
        <w:tc>
          <w:tcPr>
            <w:tcW w:w="8120" w:type="dxa"/>
            <w:vAlign w:val="bottom"/>
            <w:gridSpan w:val="2"/>
          </w:tcPr>
          <w:p>
            <w:pPr>
              <w:spacing w:after="0"/>
              <w:rPr>
                <w:sz w:val="20"/>
                <w:szCs w:val="20"/>
                <w:color w:val="auto"/>
              </w:rPr>
            </w:pPr>
            <w:r>
              <w:rPr>
                <w:rFonts w:ascii="Arial" w:cs="Arial" w:eastAsia="Arial" w:hAnsi="Arial"/>
                <w:sz w:val="18"/>
                <w:szCs w:val="18"/>
                <w:color w:val="auto"/>
              </w:rPr>
              <w:t>United States Environmental Protection Agency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ESOP</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Stock Ownership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FERC</w:t>
            </w:r>
          </w:p>
        </w:tc>
        <w:tc>
          <w:tcPr>
            <w:tcW w:w="8120" w:type="dxa"/>
            <w:vAlign w:val="bottom"/>
            <w:gridSpan w:val="2"/>
          </w:tcPr>
          <w:p>
            <w:pPr>
              <w:spacing w:after="0"/>
              <w:rPr>
                <w:sz w:val="20"/>
                <w:szCs w:val="20"/>
                <w:color w:val="auto"/>
              </w:rPr>
            </w:pPr>
            <w:r>
              <w:rPr>
                <w:rFonts w:ascii="Arial" w:cs="Arial" w:eastAsia="Arial" w:hAnsi="Arial"/>
                <w:sz w:val="18"/>
                <w:szCs w:val="18"/>
                <w:color w:val="auto"/>
              </w:rPr>
              <w:t>Federal Energy Regulatory Commission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10-K</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Annual Report on Form 10-K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Form 10-Q</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Quarterly Report on Form 10-Q</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GAAP</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Generally Accepted Accounting Principles in the United States of America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GHG</w:t>
            </w:r>
          </w:p>
        </w:tc>
        <w:tc>
          <w:tcPr>
            <w:tcW w:w="8120" w:type="dxa"/>
            <w:vAlign w:val="bottom"/>
            <w:gridSpan w:val="2"/>
          </w:tcPr>
          <w:p>
            <w:pPr>
              <w:spacing w:after="0"/>
              <w:rPr>
                <w:sz w:val="20"/>
                <w:szCs w:val="20"/>
                <w:color w:val="auto"/>
              </w:rPr>
            </w:pPr>
            <w:r>
              <w:rPr>
                <w:rFonts w:ascii="Arial" w:cs="Arial" w:eastAsia="Arial" w:hAnsi="Arial"/>
                <w:sz w:val="18"/>
                <w:szCs w:val="18"/>
                <w:color w:val="auto"/>
              </w:rPr>
              <w:t>Greenhouse Gases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Hibbing Taconite</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Hibbing Taconite Co.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Invest Direct</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ALLETE’s Direct Stock Purchase and Dividend Reinvestment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IRP</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Integrated Resource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Item ___</w:t>
            </w:r>
          </w:p>
        </w:tc>
        <w:tc>
          <w:tcPr>
            <w:tcW w:w="8120" w:type="dxa"/>
            <w:vAlign w:val="bottom"/>
            <w:gridSpan w:val="2"/>
          </w:tcPr>
          <w:p>
            <w:pPr>
              <w:spacing w:after="0"/>
              <w:rPr>
                <w:sz w:val="20"/>
                <w:szCs w:val="20"/>
                <w:color w:val="auto"/>
              </w:rPr>
            </w:pPr>
            <w:r>
              <w:rPr>
                <w:rFonts w:ascii="Arial" w:cs="Arial" w:eastAsia="Arial" w:hAnsi="Arial"/>
                <w:sz w:val="18"/>
                <w:szCs w:val="18"/>
                <w:color w:val="auto"/>
              </w:rPr>
              <w:t>Item ___ of this Form 10-Q</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kWh</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Kilowatt-hour(s)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70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Laskin</w:t>
            </w:r>
          </w:p>
        </w:tc>
        <w:tc>
          <w:tcPr>
            <w:tcW w:w="8120" w:type="dxa"/>
            <w:vAlign w:val="bottom"/>
            <w:gridSpan w:val="2"/>
          </w:tcPr>
          <w:p>
            <w:pPr>
              <w:spacing w:after="0"/>
              <w:rPr>
                <w:sz w:val="20"/>
                <w:szCs w:val="20"/>
                <w:color w:val="auto"/>
              </w:rPr>
            </w:pPr>
            <w:r>
              <w:rPr>
                <w:rFonts w:ascii="Arial" w:cs="Arial" w:eastAsia="Arial" w:hAnsi="Arial"/>
                <w:sz w:val="18"/>
                <w:szCs w:val="18"/>
                <w:color w:val="auto"/>
              </w:rPr>
              <w:t>Laskin Energy Center</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Lampert Capital Markets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Lampert Capital Markets,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Manitoba Hydro</w:t>
            </w:r>
          </w:p>
        </w:tc>
        <w:tc>
          <w:tcPr>
            <w:tcW w:w="8120" w:type="dxa"/>
            <w:vAlign w:val="bottom"/>
            <w:gridSpan w:val="2"/>
          </w:tcPr>
          <w:p>
            <w:pPr>
              <w:spacing w:after="0"/>
              <w:rPr>
                <w:sz w:val="20"/>
                <w:szCs w:val="20"/>
                <w:color w:val="auto"/>
              </w:rPr>
            </w:pPr>
            <w:r>
              <w:rPr>
                <w:rFonts w:ascii="Arial" w:cs="Arial" w:eastAsia="Arial" w:hAnsi="Arial"/>
                <w:sz w:val="18"/>
                <w:szCs w:val="18"/>
                <w:color w:val="auto"/>
              </w:rPr>
              <w:t>Manitoba Hydro-Electric Board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Minnesota Power</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 operating division of ALLETE,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Minnkota Power</w:t>
            </w:r>
          </w:p>
        </w:tc>
        <w:tc>
          <w:tcPr>
            <w:tcW w:w="8120" w:type="dxa"/>
            <w:vAlign w:val="bottom"/>
            <w:gridSpan w:val="2"/>
          </w:tcPr>
          <w:p>
            <w:pPr>
              <w:spacing w:after="0"/>
              <w:rPr>
                <w:sz w:val="20"/>
                <w:szCs w:val="20"/>
                <w:color w:val="auto"/>
              </w:rPr>
            </w:pPr>
            <w:r>
              <w:rPr>
                <w:rFonts w:ascii="Arial" w:cs="Arial" w:eastAsia="Arial" w:hAnsi="Arial"/>
                <w:sz w:val="18"/>
                <w:szCs w:val="18"/>
                <w:color w:val="auto"/>
              </w:rPr>
              <w:t>Minnkota Power Cooperative,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MISO</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Midcontinent Independent System Operator,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Moody’s</w:t>
            </w:r>
          </w:p>
        </w:tc>
        <w:tc>
          <w:tcPr>
            <w:tcW w:w="8120" w:type="dxa"/>
            <w:vAlign w:val="bottom"/>
            <w:gridSpan w:val="2"/>
          </w:tcPr>
          <w:p>
            <w:pPr>
              <w:spacing w:after="0"/>
              <w:rPr>
                <w:sz w:val="20"/>
                <w:szCs w:val="20"/>
                <w:color w:val="auto"/>
              </w:rPr>
            </w:pPr>
            <w:r>
              <w:rPr>
                <w:rFonts w:ascii="Arial" w:cs="Arial" w:eastAsia="Arial" w:hAnsi="Arial"/>
                <w:sz w:val="18"/>
                <w:szCs w:val="18"/>
                <w:color w:val="auto"/>
              </w:rPr>
              <w:t>Moody’s Investors Service,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MPCA</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Minnesota Pollution Control Agency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MPUC</w:t>
            </w:r>
          </w:p>
        </w:tc>
        <w:tc>
          <w:tcPr>
            <w:tcW w:w="8120" w:type="dxa"/>
            <w:vAlign w:val="bottom"/>
            <w:gridSpan w:val="2"/>
          </w:tcPr>
          <w:p>
            <w:pPr>
              <w:spacing w:after="0"/>
              <w:rPr>
                <w:sz w:val="20"/>
                <w:szCs w:val="20"/>
                <w:color w:val="auto"/>
              </w:rPr>
            </w:pPr>
            <w:r>
              <w:rPr>
                <w:rFonts w:ascii="Arial" w:cs="Arial" w:eastAsia="Arial" w:hAnsi="Arial"/>
                <w:sz w:val="18"/>
                <w:szCs w:val="18"/>
                <w:color w:val="auto"/>
              </w:rPr>
              <w:t>Minnesota Public Utilities Commission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MW</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Megawatt(s)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NAAQS</w:t>
            </w:r>
          </w:p>
        </w:tc>
        <w:tc>
          <w:tcPr>
            <w:tcW w:w="8120" w:type="dxa"/>
            <w:vAlign w:val="bottom"/>
            <w:gridSpan w:val="2"/>
          </w:tcPr>
          <w:p>
            <w:pPr>
              <w:spacing w:after="0"/>
              <w:rPr>
                <w:sz w:val="20"/>
                <w:szCs w:val="20"/>
                <w:color w:val="auto"/>
              </w:rPr>
            </w:pPr>
            <w:r>
              <w:rPr>
                <w:rFonts w:ascii="Arial" w:cs="Arial" w:eastAsia="Arial" w:hAnsi="Arial"/>
                <w:sz w:val="18"/>
                <w:szCs w:val="18"/>
                <w:color w:val="auto"/>
              </w:rPr>
              <w:t>National Ambient Air Quality Standards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Energy</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Energy Equity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Nobles 2</w:t>
            </w:r>
          </w:p>
        </w:tc>
        <w:tc>
          <w:tcPr>
            <w:tcW w:w="8120" w:type="dxa"/>
            <w:vAlign w:val="bottom"/>
            <w:gridSpan w:val="2"/>
          </w:tcPr>
          <w:p>
            <w:pPr>
              <w:spacing w:after="0"/>
              <w:rPr>
                <w:sz w:val="20"/>
                <w:szCs w:val="20"/>
                <w:color w:val="auto"/>
              </w:rPr>
            </w:pPr>
            <w:r>
              <w:rPr>
                <w:rFonts w:ascii="Arial" w:cs="Arial" w:eastAsia="Arial" w:hAnsi="Arial"/>
                <w:sz w:val="18"/>
                <w:szCs w:val="18"/>
                <w:color w:val="auto"/>
              </w:rPr>
              <w:t>Nobles 2 Power Partners,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NOL</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Operating Loss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NO</w:t>
            </w:r>
            <w:r>
              <w:rPr>
                <w:rFonts w:ascii="Arial" w:cs="Arial" w:eastAsia="Arial" w:hAnsi="Arial"/>
                <w:sz w:val="23"/>
                <w:szCs w:val="23"/>
                <w:color w:val="auto"/>
                <w:vertAlign w:val="subscript"/>
              </w:rPr>
              <w:t>X</w:t>
            </w:r>
          </w:p>
        </w:tc>
        <w:tc>
          <w:tcPr>
            <w:tcW w:w="8120" w:type="dxa"/>
            <w:vAlign w:val="bottom"/>
            <w:gridSpan w:val="2"/>
          </w:tcPr>
          <w:p>
            <w:pPr>
              <w:spacing w:after="0"/>
              <w:rPr>
                <w:sz w:val="20"/>
                <w:szCs w:val="20"/>
                <w:color w:val="auto"/>
              </w:rPr>
            </w:pPr>
            <w:r>
              <w:rPr>
                <w:rFonts w:ascii="Arial" w:cs="Arial" w:eastAsia="Arial" w:hAnsi="Arial"/>
                <w:sz w:val="18"/>
                <w:szCs w:val="18"/>
                <w:color w:val="auto"/>
              </w:rPr>
              <w:t>Nitrogen Oxides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720" w:type="dxa"/>
            <w:vAlign w:val="bottom"/>
            <w:gridSpan w:val="2"/>
          </w:tcPr>
          <w:p>
            <w:pPr>
              <w:ind w:left="760"/>
              <w:spacing w:after="0"/>
              <w:rPr>
                <w:sz w:val="20"/>
                <w:szCs w:val="20"/>
                <w:color w:val="auto"/>
              </w:rPr>
            </w:pPr>
            <w:r>
              <w:rPr>
                <w:rFonts w:ascii="Arial" w:cs="Arial" w:eastAsia="Arial" w:hAnsi="Arial"/>
                <w:sz w:val="14"/>
                <w:szCs w:val="14"/>
                <w:color w:val="auto"/>
              </w:rPr>
              <w:t>ALLETE, Inc. Third Quarter 2022 Form 10-Q</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120" w:type="dxa"/>
            <w:vAlign w:val="bottom"/>
            <w:gridSpan w:val="2"/>
          </w:tcPr>
          <w:p>
            <w:pPr>
              <w:ind w:left="2480"/>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9A9A9A"/>
            </w:tcBorders>
          </w:tcPr>
          <w:p>
            <w:pPr>
              <w:spacing w:after="0"/>
              <w:rPr>
                <w:sz w:val="11"/>
                <w:szCs w:val="11"/>
                <w:color w:val="auto"/>
              </w:rPr>
            </w:pPr>
          </w:p>
        </w:tc>
        <w:tc>
          <w:tcPr>
            <w:tcW w:w="20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77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Abbreviation or Acronym</w:t>
            </w:r>
          </w:p>
        </w:tc>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Northshore Mining</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Northshore Mining Company, a wholly-owned subsidiary of Cleveland-Cliffs Inc.</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Note ___</w:t>
            </w:r>
          </w:p>
        </w:tc>
        <w:tc>
          <w:tcPr>
            <w:tcW w:w="8120" w:type="dxa"/>
            <w:vAlign w:val="bottom"/>
            <w:gridSpan w:val="2"/>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NPDES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NTEC</w:t>
            </w:r>
          </w:p>
        </w:tc>
        <w:tc>
          <w:tcPr>
            <w:tcW w:w="8120" w:type="dxa"/>
            <w:vAlign w:val="bottom"/>
            <w:gridSpan w:val="2"/>
          </w:tcPr>
          <w:p>
            <w:pPr>
              <w:spacing w:after="0"/>
              <w:rPr>
                <w:sz w:val="20"/>
                <w:szCs w:val="20"/>
                <w:color w:val="auto"/>
              </w:rPr>
            </w:pPr>
            <w:r>
              <w:rPr>
                <w:rFonts w:ascii="Arial" w:cs="Arial" w:eastAsia="Arial" w:hAnsi="Arial"/>
                <w:sz w:val="18"/>
                <w:szCs w:val="18"/>
                <w:color w:val="auto"/>
              </w:rPr>
              <w:t>Nemadji Trail Energy Center</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PPA / PSA</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Power Purchase Agreement / Power Sales Agreement</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PPACA</w:t>
            </w:r>
          </w:p>
        </w:tc>
        <w:tc>
          <w:tcPr>
            <w:tcW w:w="8120" w:type="dxa"/>
            <w:vAlign w:val="bottom"/>
            <w:gridSpan w:val="2"/>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PSCW</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Service Commission of Wisconsin</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SEC</w:t>
            </w:r>
          </w:p>
        </w:tc>
        <w:tc>
          <w:tcPr>
            <w:tcW w:w="812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Silver Bay Power</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Silver Bay Power Company, a wholly-owned subsidiary of Cleveland-Cliffs Inc.</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line="230" w:lineRule="exact"/>
              <w:rPr>
                <w:sz w:val="20"/>
                <w:szCs w:val="20"/>
                <w:color w:val="auto"/>
              </w:rPr>
            </w:pPr>
            <w:r>
              <w:rPr>
                <w:rFonts w:ascii="Arial" w:cs="Arial" w:eastAsia="Arial" w:hAnsi="Arial"/>
                <w:sz w:val="18"/>
                <w:szCs w:val="18"/>
                <w:color w:val="auto"/>
              </w:rPr>
              <w:t>SO</w:t>
            </w:r>
            <w:r>
              <w:rPr>
                <w:rFonts w:ascii="Arial" w:cs="Arial" w:eastAsia="Arial" w:hAnsi="Arial"/>
                <w:sz w:val="23"/>
                <w:szCs w:val="23"/>
                <w:color w:val="auto"/>
                <w:vertAlign w:val="subscript"/>
              </w:rPr>
              <w:t>2</w:t>
            </w:r>
          </w:p>
        </w:tc>
        <w:tc>
          <w:tcPr>
            <w:tcW w:w="8120" w:type="dxa"/>
            <w:vAlign w:val="bottom"/>
            <w:gridSpan w:val="2"/>
          </w:tcPr>
          <w:p>
            <w:pPr>
              <w:spacing w:after="0"/>
              <w:rPr>
                <w:sz w:val="20"/>
                <w:szCs w:val="20"/>
                <w:color w:val="auto"/>
              </w:rPr>
            </w:pPr>
            <w:r>
              <w:rPr>
                <w:rFonts w:ascii="Arial" w:cs="Arial" w:eastAsia="Arial" w:hAnsi="Arial"/>
                <w:sz w:val="18"/>
                <w:szCs w:val="18"/>
                <w:color w:val="auto"/>
              </w:rPr>
              <w:t>Sulfur Dioxide</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Square Butte</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Square Butte Electric Cooperative, a North Dakota cooperative corporation</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South Shore Energy</w:t>
            </w:r>
          </w:p>
        </w:tc>
        <w:tc>
          <w:tcPr>
            <w:tcW w:w="8120" w:type="dxa"/>
            <w:vAlign w:val="bottom"/>
            <w:gridSpan w:val="2"/>
          </w:tcPr>
          <w:p>
            <w:pPr>
              <w:spacing w:after="0"/>
              <w:rPr>
                <w:sz w:val="20"/>
                <w:szCs w:val="20"/>
                <w:color w:val="auto"/>
              </w:rPr>
            </w:pPr>
            <w:r>
              <w:rPr>
                <w:rFonts w:ascii="Arial" w:cs="Arial" w:eastAsia="Arial" w:hAnsi="Arial"/>
                <w:sz w:val="18"/>
                <w:szCs w:val="18"/>
                <w:color w:val="auto"/>
              </w:rPr>
              <w:t>South Shore Energy, LLC</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Paper</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Paper LLC</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SWL&amp;P</w:t>
            </w:r>
          </w:p>
        </w:tc>
        <w:tc>
          <w:tcPr>
            <w:tcW w:w="8120" w:type="dxa"/>
            <w:vAlign w:val="bottom"/>
            <w:gridSpan w:val="2"/>
          </w:tcPr>
          <w:p>
            <w:pPr>
              <w:spacing w:after="0"/>
              <w:rPr>
                <w:sz w:val="20"/>
                <w:szCs w:val="20"/>
                <w:color w:val="auto"/>
              </w:rPr>
            </w:pPr>
            <w:r>
              <w:rPr>
                <w:rFonts w:ascii="Arial" w:cs="Arial" w:eastAsia="Arial" w:hAnsi="Arial"/>
                <w:sz w:val="18"/>
                <w:szCs w:val="18"/>
                <w:color w:val="auto"/>
              </w:rPr>
              <w:t>Superior Water, Light and Power Company</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Taconite Harbor</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Taconite Harbor Energy Center</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U.S.</w:t>
            </w:r>
          </w:p>
        </w:tc>
        <w:tc>
          <w:tcPr>
            <w:tcW w:w="812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USS Corporation</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Steel Corporation</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219"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20" w:hanging="312"/>
        <w:spacing w:after="0" w:line="236"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ind w:left="320" w:hanging="312"/>
        <w:spacing w:after="0" w:line="234"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 or changes in tax rates or policies;</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rates of inflation or availability of key materials and supplies;</w:t>
      </w:r>
    </w:p>
    <w:p>
      <w:pPr>
        <w:spacing w:after="0" w:line="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 including the ongoing COVID-19 pandemic;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bank financing and other financing sources;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raise revenues from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commodity prices on ALLETE and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skilled and experienced personnel;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cybersecurity attacks;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hanging="332"/>
        <w:spacing w:after="0" w:line="281" w:lineRule="auto"/>
        <w:tabs>
          <w:tab w:leader="none" w:pos="335"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businesses of climate change and future regulation to restrict the emissions of GHG;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increased deployment of distributed low-carbon electricity generation resources;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market conditions where our legacy Florida real estate investment is located may deteriorate;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efforts to realize value from, invest in, and develop new opportunities.</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 disclosures regarding factors that could cause our results or performance to differ from those anticipated by this report are discussed in Part I, Item 1A. Risk Factors of our 2021 Form 10-K and Part II, Item 1A. Risk Factors of this Form 10-Q.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16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810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41"/>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rPr>
              <w:t>ALLETE</w:t>
            </w:r>
          </w:p>
        </w:tc>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8100" w:type="dxa"/>
            <w:vAlign w:val="bottom"/>
          </w:tcPr>
          <w:p>
            <w:pPr>
              <w:jc w:val="center"/>
              <w:ind w:left="3070"/>
              <w:spacing w:after="0"/>
              <w:rPr>
                <w:sz w:val="20"/>
                <w:szCs w:val="20"/>
                <w:color w:val="auto"/>
              </w:rPr>
            </w:pPr>
            <w:r>
              <w:rPr>
                <w:rFonts w:ascii="Arial" w:cs="Arial" w:eastAsia="Arial" w:hAnsi="Arial"/>
                <w:sz w:val="18"/>
                <w:szCs w:val="18"/>
                <w:b w:val="1"/>
                <w:bCs w:val="1"/>
                <w:color w:val="auto"/>
                <w:w w:val="99"/>
              </w:rPr>
              <w:t>CONSOLIDATED BALANCE SHEET</w:t>
            </w:r>
          </w:p>
        </w:tc>
        <w:tc>
          <w:tcPr>
            <w:tcW w:w="16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w w:val="90"/>
              </w:rPr>
              <w:t>Unaudited</w:t>
            </w:r>
          </w:p>
        </w:tc>
        <w:tc>
          <w:tcPr>
            <w:tcW w:w="16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8100" w:type="dxa"/>
            <w:vAlign w:val="bottom"/>
          </w:tcPr>
          <w:p>
            <w:pPr>
              <w:spacing w:after="0"/>
              <w:rPr>
                <w:sz w:val="24"/>
                <w:szCs w:val="24"/>
                <w:color w:val="auto"/>
              </w:rPr>
            </w:pPr>
          </w:p>
        </w:tc>
        <w:tc>
          <w:tcPr>
            <w:tcW w:w="1680" w:type="dxa"/>
            <w:vAlign w:val="bottom"/>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9"/>
        </w:trPr>
        <w:tc>
          <w:tcPr>
            <w:tcW w:w="8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7"/>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6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$42.1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Accounts Receivable (Less Allowance of $1.5 and $1.8)</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120.5</w:t>
            </w:r>
          </w:p>
        </w:tc>
        <w:tc>
          <w:tcPr>
            <w:tcW w:w="1360" w:type="dxa"/>
            <w:vAlign w:val="bottom"/>
          </w:tcPr>
          <w:p>
            <w:pPr>
              <w:jc w:val="right"/>
              <w:spacing w:after="0"/>
              <w:rPr>
                <w:sz w:val="20"/>
                <w:szCs w:val="20"/>
                <w:color w:val="auto"/>
              </w:rPr>
            </w:pPr>
            <w:r>
              <w:rPr>
                <w:rFonts w:ascii="Arial" w:cs="Arial" w:eastAsia="Arial" w:hAnsi="Arial"/>
                <w:sz w:val="18"/>
                <w:szCs w:val="18"/>
                <w:color w:val="auto"/>
              </w:rPr>
              <w:t>123.7</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 Net</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472.2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r>
      <w:tr>
        <w:trPr>
          <w:trHeight w:val="230"/>
        </w:trPr>
        <w:tc>
          <w:tcPr>
            <w:tcW w:w="8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Prepayments and Other</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87.4</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r>
      <w:tr>
        <w:trPr>
          <w:trHeight w:val="223"/>
        </w:trPr>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722.2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5,011.0</w:t>
            </w:r>
          </w:p>
        </w:tc>
        <w:tc>
          <w:tcPr>
            <w:tcW w:w="1360" w:type="dxa"/>
            <w:vAlign w:val="bottom"/>
          </w:tcPr>
          <w:p>
            <w:pPr>
              <w:jc w:val="right"/>
              <w:spacing w:after="0"/>
              <w:rPr>
                <w:sz w:val="20"/>
                <w:szCs w:val="20"/>
                <w:color w:val="auto"/>
              </w:rPr>
            </w:pPr>
            <w:r>
              <w:rPr>
                <w:rFonts w:ascii="Arial" w:cs="Arial" w:eastAsia="Arial" w:hAnsi="Arial"/>
                <w:sz w:val="18"/>
                <w:szCs w:val="18"/>
                <w:color w:val="auto"/>
              </w:rPr>
              <w:t>5,100.2</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447.1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Equity Investments</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320.3</w:t>
            </w:r>
          </w:p>
        </w:tc>
        <w:tc>
          <w:tcPr>
            <w:tcW w:w="1360" w:type="dxa"/>
            <w:vAlign w:val="bottom"/>
          </w:tcPr>
          <w:p>
            <w:pPr>
              <w:jc w:val="right"/>
              <w:spacing w:after="0"/>
              <w:rPr>
                <w:sz w:val="20"/>
                <w:szCs w:val="20"/>
                <w:color w:val="auto"/>
              </w:rPr>
            </w:pPr>
            <w:r>
              <w:rPr>
                <w:rFonts w:ascii="Arial" w:cs="Arial" w:eastAsia="Arial" w:hAnsi="Arial"/>
                <w:sz w:val="18"/>
                <w:szCs w:val="18"/>
                <w:color w:val="auto"/>
              </w:rPr>
              <w:t>318.0</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Intangible Assets – Net</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155.8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Assets</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w:t>
            </w:r>
          </w:p>
        </w:tc>
      </w:tr>
      <w:tr>
        <w:trPr>
          <w:trHeight w:val="223"/>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6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$6,858.0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$6,435.0</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6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6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$124.3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Accrued Taxes</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69.5</w:t>
            </w:r>
          </w:p>
        </w:tc>
        <w:tc>
          <w:tcPr>
            <w:tcW w:w="1360" w:type="dxa"/>
            <w:vAlign w:val="bottom"/>
          </w:tcPr>
          <w:p>
            <w:pPr>
              <w:jc w:val="right"/>
              <w:spacing w:after="0"/>
              <w:rPr>
                <w:sz w:val="20"/>
                <w:szCs w:val="20"/>
                <w:color w:val="auto"/>
              </w:rPr>
            </w:pPr>
            <w:r>
              <w:rPr>
                <w:rFonts w:ascii="Arial" w:cs="Arial" w:eastAsia="Arial" w:hAnsi="Arial"/>
                <w:sz w:val="18"/>
                <w:szCs w:val="18"/>
                <w:color w:val="auto"/>
              </w:rPr>
              <w:t>65.1</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Long-Term Debt Due Within One Year</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308.6</w:t>
            </w:r>
          </w:p>
        </w:tc>
        <w:tc>
          <w:tcPr>
            <w:tcW w:w="1360" w:type="dxa"/>
            <w:vAlign w:val="bottom"/>
          </w:tcPr>
          <w:p>
            <w:pPr>
              <w:jc w:val="right"/>
              <w:spacing w:after="0"/>
              <w:rPr>
                <w:sz w:val="20"/>
                <w:szCs w:val="20"/>
                <w:color w:val="auto"/>
              </w:rPr>
            </w:pPr>
            <w:r>
              <w:rPr>
                <w:rFonts w:ascii="Arial" w:cs="Arial" w:eastAsia="Arial" w:hAnsi="Arial"/>
                <w:sz w:val="18"/>
                <w:szCs w:val="18"/>
                <w:color w:val="auto"/>
              </w:rPr>
              <w:t>214.2</w:t>
            </w:r>
          </w:p>
        </w:tc>
      </w:tr>
      <w:tr>
        <w:trPr>
          <w:trHeight w:val="230"/>
        </w:trPr>
        <w:tc>
          <w:tcPr>
            <w:tcW w:w="8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188.5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r>
      <w:tr>
        <w:trPr>
          <w:trHeight w:val="223"/>
        </w:trPr>
        <w:tc>
          <w:tcPr>
            <w:tcW w:w="810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706.0</w:t>
            </w:r>
          </w:p>
        </w:tc>
        <w:tc>
          <w:tcPr>
            <w:tcW w:w="1360" w:type="dxa"/>
            <w:vAlign w:val="bottom"/>
          </w:tcPr>
          <w:p>
            <w:pPr>
              <w:jc w:val="right"/>
              <w:spacing w:after="0"/>
              <w:rPr>
                <w:sz w:val="20"/>
                <w:szCs w:val="20"/>
                <w:color w:val="auto"/>
              </w:rPr>
            </w:pPr>
            <w:r>
              <w:rPr>
                <w:rFonts w:ascii="Arial" w:cs="Arial" w:eastAsia="Arial" w:hAnsi="Arial"/>
                <w:sz w:val="18"/>
                <w:szCs w:val="18"/>
                <w:color w:val="auto"/>
              </w:rPr>
              <w:t>543.4</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1,653.0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1,763.2</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177.0</w:t>
            </w:r>
          </w:p>
        </w:tc>
        <w:tc>
          <w:tcPr>
            <w:tcW w:w="1360" w:type="dxa"/>
            <w:vAlign w:val="bottom"/>
          </w:tcPr>
          <w:p>
            <w:pPr>
              <w:jc w:val="right"/>
              <w:spacing w:after="0"/>
              <w:rPr>
                <w:sz w:val="20"/>
                <w:szCs w:val="20"/>
                <w:color w:val="auto"/>
              </w:rPr>
            </w:pPr>
            <w:r>
              <w:rPr>
                <w:rFonts w:ascii="Arial" w:cs="Arial" w:eastAsia="Arial" w:hAnsi="Arial"/>
                <w:sz w:val="18"/>
                <w:szCs w:val="18"/>
                <w:color w:val="auto"/>
              </w:rPr>
              <w:t>185.7</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Liabilities</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527.4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Defined Benefit Pension and Other Postretirement Benefit Plans</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171.9</w:t>
            </w:r>
          </w:p>
        </w:tc>
        <w:tc>
          <w:tcPr>
            <w:tcW w:w="1360" w:type="dxa"/>
            <w:vAlign w:val="bottom"/>
          </w:tcPr>
          <w:p>
            <w:pPr>
              <w:jc w:val="right"/>
              <w:spacing w:after="0"/>
              <w:rPr>
                <w:sz w:val="20"/>
                <w:szCs w:val="20"/>
                <w:color w:val="auto"/>
              </w:rPr>
            </w:pPr>
            <w:r>
              <w:rPr>
                <w:rFonts w:ascii="Arial" w:cs="Arial" w:eastAsia="Arial" w:hAnsi="Arial"/>
                <w:sz w:val="18"/>
                <w:szCs w:val="18"/>
                <w:color w:val="auto"/>
              </w:rPr>
              <w:t>179.5</w:t>
            </w:r>
          </w:p>
        </w:tc>
      </w:tr>
      <w:tr>
        <w:trPr>
          <w:trHeight w:val="230"/>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6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268.8</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w:t>
            </w:r>
          </w:p>
        </w:tc>
      </w:tr>
      <w:tr>
        <w:trPr>
          <w:trHeight w:val="223"/>
        </w:trPr>
        <w:tc>
          <w:tcPr>
            <w:tcW w:w="81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Liabilities</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3,504.1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3,488.7</w:t>
            </w:r>
          </w:p>
        </w:tc>
      </w:tr>
      <w:tr>
        <w:trPr>
          <w:trHeight w:val="223"/>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Guarantees and Contingencies (Note 7)</w:t>
            </w:r>
          </w:p>
        </w:tc>
        <w:tc>
          <w:tcPr>
            <w:tcW w:w="16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Equity</w:t>
            </w:r>
          </w:p>
        </w:tc>
        <w:tc>
          <w:tcPr>
            <w:tcW w:w="16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ALLETE Equity</w:t>
            </w:r>
          </w:p>
        </w:tc>
        <w:tc>
          <w:tcPr>
            <w:tcW w:w="16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w w:val="92"/>
              </w:rPr>
              <w:t>Common Stock Without Par Value, 80.0 Shares Authorized, 57.2 and 53.2 Shares Issued and Outstanding</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1,777.2</w:t>
            </w:r>
          </w:p>
        </w:tc>
        <w:tc>
          <w:tcPr>
            <w:tcW w:w="1360" w:type="dxa"/>
            <w:vAlign w:val="bottom"/>
          </w:tcPr>
          <w:p>
            <w:pPr>
              <w:jc w:val="right"/>
              <w:spacing w:after="0"/>
              <w:rPr>
                <w:sz w:val="20"/>
                <w:szCs w:val="20"/>
                <w:color w:val="auto"/>
              </w:rPr>
            </w:pPr>
            <w:r>
              <w:rPr>
                <w:rFonts w:ascii="Arial" w:cs="Arial" w:eastAsia="Arial" w:hAnsi="Arial"/>
                <w:sz w:val="18"/>
                <w:szCs w:val="18"/>
                <w:color w:val="auto"/>
              </w:rPr>
              <w:t>1,536.7</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16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(23.8)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29"/>
        </w:trPr>
        <w:tc>
          <w:tcPr>
            <w:tcW w:w="8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Retained Earnings</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929.2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900.2</w:t>
            </w:r>
          </w:p>
        </w:tc>
      </w:tr>
      <w:tr>
        <w:trPr>
          <w:trHeight w:val="223"/>
        </w:trPr>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ALLETE Equity</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2,682.6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2,413.1</w:t>
            </w:r>
          </w:p>
        </w:tc>
      </w:tr>
      <w:tr>
        <w:trPr>
          <w:trHeight w:val="230"/>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Non-Controlling Interest in Subsidiaries</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671.3</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533.2</w:t>
            </w:r>
          </w:p>
        </w:tc>
      </w:tr>
      <w:tr>
        <w:trPr>
          <w:trHeight w:val="223"/>
        </w:trPr>
        <w:tc>
          <w:tcPr>
            <w:tcW w:w="81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Equity</w:t>
            </w:r>
          </w:p>
        </w:tc>
        <w:tc>
          <w:tcPr>
            <w:tcW w:w="16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3,353.9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2,946.3</w:t>
            </w:r>
          </w:p>
        </w:tc>
      </w:tr>
      <w:tr>
        <w:trPr>
          <w:trHeight w:val="223"/>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$6,858.0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$6,435.0</w:t>
            </w:r>
          </w:p>
        </w:tc>
      </w:tr>
    </w:tbl>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19"/>
                <w:szCs w:val="19"/>
                <w:color w:val="auto"/>
              </w:rPr>
            </w:pPr>
          </w:p>
        </w:tc>
        <w:tc>
          <w:tcPr>
            <w:tcW w:w="34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Quarter Ended</w:t>
            </w:r>
          </w:p>
        </w:tc>
        <w:tc>
          <w:tcPr>
            <w:tcW w:w="20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5720" w:type="dxa"/>
            <w:vAlign w:val="bottom"/>
          </w:tcPr>
          <w:p>
            <w:pPr>
              <w:spacing w:after="0"/>
              <w:rPr>
                <w:sz w:val="19"/>
                <w:szCs w:val="19"/>
                <w:color w:val="auto"/>
              </w:rPr>
            </w:pPr>
          </w:p>
        </w:tc>
        <w:tc>
          <w:tcPr>
            <w:tcW w:w="34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September 30,</w:t>
            </w:r>
          </w:p>
        </w:tc>
        <w:tc>
          <w:tcPr>
            <w:tcW w:w="20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7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2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2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Contracts with Customers – Utility</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$322.6</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$304.8</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$960.3</w:t>
            </w:r>
          </w:p>
        </w:tc>
        <w:tc>
          <w:tcPr>
            <w:tcW w:w="860" w:type="dxa"/>
            <w:vAlign w:val="bottom"/>
          </w:tcPr>
          <w:p>
            <w:pPr>
              <w:jc w:val="right"/>
              <w:spacing w:after="0"/>
              <w:rPr>
                <w:sz w:val="20"/>
                <w:szCs w:val="20"/>
                <w:color w:val="auto"/>
              </w:rPr>
            </w:pPr>
            <w:r>
              <w:rPr>
                <w:rFonts w:ascii="Arial" w:cs="Arial" w:eastAsia="Arial" w:hAnsi="Arial"/>
                <w:sz w:val="18"/>
                <w:szCs w:val="18"/>
                <w:color w:val="auto"/>
              </w:rPr>
              <w:t>$888.2</w:t>
            </w:r>
          </w:p>
        </w:tc>
      </w:tr>
      <w:tr>
        <w:trPr>
          <w:trHeight w:val="229"/>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Contracts with Customers – Non-utility</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64.5</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37.7</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178.3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r>
      <w:tr>
        <w:trPr>
          <w:trHeight w:val="229"/>
        </w:trPr>
        <w:tc>
          <w:tcPr>
            <w:tcW w:w="5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 Non-utility</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2.9</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 Operating Revenue</w:t>
            </w:r>
          </w:p>
        </w:tc>
        <w:tc>
          <w:tcPr>
            <w:tcW w:w="2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388.3</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345.4</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1,144.9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1,020.2</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Fuel, Purchased Power and Gas – Utility</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136.8</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140.1</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417.4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w:t>
            </w:r>
          </w:p>
        </w:tc>
      </w:tr>
      <w:tr>
        <w:trPr>
          <w:trHeight w:val="229"/>
        </w:trPr>
        <w:tc>
          <w:tcPr>
            <w:tcW w:w="5720" w:type="dxa"/>
            <w:vAlign w:val="bottom"/>
          </w:tcPr>
          <w:p>
            <w:pPr>
              <w:ind w:left="360"/>
              <w:spacing w:after="0"/>
              <w:rPr>
                <w:sz w:val="20"/>
                <w:szCs w:val="20"/>
                <w:color w:val="auto"/>
              </w:rPr>
            </w:pPr>
            <w:r>
              <w:rPr>
                <w:rFonts w:ascii="Arial" w:cs="Arial" w:eastAsia="Arial" w:hAnsi="Arial"/>
                <w:sz w:val="18"/>
                <w:szCs w:val="18"/>
                <w:color w:val="auto"/>
              </w:rPr>
              <w:t>Transmission Services – Utility</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19.3</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19.2</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57.5</w:t>
            </w:r>
          </w:p>
        </w:tc>
        <w:tc>
          <w:tcPr>
            <w:tcW w:w="860" w:type="dxa"/>
            <w:vAlign w:val="bottom"/>
          </w:tcPr>
          <w:p>
            <w:pPr>
              <w:jc w:val="right"/>
              <w:spacing w:after="0"/>
              <w:rPr>
                <w:sz w:val="20"/>
                <w:szCs w:val="20"/>
                <w:color w:val="auto"/>
              </w:rPr>
            </w:pPr>
            <w:r>
              <w:rPr>
                <w:rFonts w:ascii="Arial" w:cs="Arial" w:eastAsia="Arial" w:hAnsi="Arial"/>
                <w:sz w:val="18"/>
                <w:szCs w:val="18"/>
                <w:color w:val="auto"/>
              </w:rPr>
              <w:t>56.1</w:t>
            </w:r>
          </w:p>
        </w:tc>
      </w:tr>
      <w:tr>
        <w:trPr>
          <w:trHeight w:val="230"/>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Non-utility</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38.4</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15.2</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96.9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29"/>
        </w:trPr>
        <w:tc>
          <w:tcPr>
            <w:tcW w:w="5720" w:type="dxa"/>
            <w:vAlign w:val="bottom"/>
          </w:tcPr>
          <w:p>
            <w:pPr>
              <w:ind w:left="360"/>
              <w:spacing w:after="0"/>
              <w:rPr>
                <w:sz w:val="20"/>
                <w:szCs w:val="20"/>
                <w:color w:val="auto"/>
              </w:rPr>
            </w:pPr>
            <w:r>
              <w:rPr>
                <w:rFonts w:ascii="Arial" w:cs="Arial" w:eastAsia="Arial" w:hAnsi="Arial"/>
                <w:sz w:val="18"/>
                <w:szCs w:val="18"/>
                <w:color w:val="auto"/>
              </w:rPr>
              <w:t>Operating and Maintenance</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83.2</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66.7</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238.1</w:t>
            </w:r>
          </w:p>
        </w:tc>
        <w:tc>
          <w:tcPr>
            <w:tcW w:w="860" w:type="dxa"/>
            <w:vAlign w:val="bottom"/>
          </w:tcPr>
          <w:p>
            <w:pPr>
              <w:jc w:val="right"/>
              <w:spacing w:after="0"/>
              <w:rPr>
                <w:sz w:val="20"/>
                <w:szCs w:val="20"/>
                <w:color w:val="auto"/>
              </w:rPr>
            </w:pPr>
            <w:r>
              <w:rPr>
                <w:rFonts w:ascii="Arial" w:cs="Arial" w:eastAsia="Arial" w:hAnsi="Arial"/>
                <w:sz w:val="18"/>
                <w:szCs w:val="18"/>
                <w:color w:val="auto"/>
              </w:rPr>
              <w:t>200.1</w:t>
            </w:r>
          </w:p>
        </w:tc>
      </w:tr>
      <w:tr>
        <w:trPr>
          <w:trHeight w:val="229"/>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58.7</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57.5</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181.4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r>
      <w:tr>
        <w:trPr>
          <w:trHeight w:val="230"/>
        </w:trPr>
        <w:tc>
          <w:tcPr>
            <w:tcW w:w="5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Taxes Other than Income Taxes</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18.5</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15.6</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53.1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r>
      <w:tr>
        <w:trPr>
          <w:trHeight w:val="223"/>
        </w:trPr>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 Operating Expenses</w:t>
            </w:r>
          </w:p>
        </w:tc>
        <w:tc>
          <w:tcPr>
            <w:tcW w:w="2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354.9</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314.3</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1,044.4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918.9</w:t>
            </w: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Income</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33.4</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31.1</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100.5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57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460" w:type="dxa"/>
            <w:vAlign w:val="bottom"/>
          </w:tcPr>
          <w:p>
            <w:pPr>
              <w:jc w:val="right"/>
              <w:ind w:right="70"/>
              <w:spacing w:after="0"/>
              <w:rPr>
                <w:sz w:val="20"/>
                <w:szCs w:val="20"/>
                <w:color w:val="auto"/>
              </w:rPr>
            </w:pPr>
            <w:r>
              <w:rPr>
                <w:rFonts w:ascii="Arial" w:cs="Arial" w:eastAsia="Arial" w:hAnsi="Arial"/>
                <w:sz w:val="18"/>
                <w:szCs w:val="18"/>
                <w:color w:val="auto"/>
              </w:rPr>
              <w:t>(18.4)</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(17.3)</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(55.3)</w:t>
            </w:r>
          </w:p>
        </w:tc>
        <w:tc>
          <w:tcPr>
            <w:tcW w:w="86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29"/>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Earnings</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4.4</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5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 Other Expense</w:t>
            </w:r>
          </w:p>
        </w:tc>
        <w:tc>
          <w:tcPr>
            <w:tcW w:w="2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(13.8)</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(11.9)</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19.6</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19.2</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74.7</w:t>
            </w:r>
          </w:p>
        </w:tc>
        <w:tc>
          <w:tcPr>
            <w:tcW w:w="860" w:type="dxa"/>
            <w:vAlign w:val="bottom"/>
          </w:tcPr>
          <w:p>
            <w:pPr>
              <w:jc w:val="right"/>
              <w:spacing w:after="0"/>
              <w:rPr>
                <w:sz w:val="20"/>
                <w:szCs w:val="20"/>
                <w:color w:val="auto"/>
              </w:rPr>
            </w:pPr>
            <w:r>
              <w:rPr>
                <w:rFonts w:ascii="Arial" w:cs="Arial" w:eastAsia="Arial" w:hAnsi="Arial"/>
                <w:sz w:val="18"/>
                <w:szCs w:val="18"/>
                <w:color w:val="auto"/>
              </w:rPr>
              <w:t>69.9</w:t>
            </w:r>
          </w:p>
        </w:tc>
      </w:tr>
      <w:tr>
        <w:trPr>
          <w:trHeight w:val="229"/>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Benefit</w:t>
            </w:r>
          </w:p>
        </w:tc>
        <w:tc>
          <w:tcPr>
            <w:tcW w:w="2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(7.2)</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(4.9)</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26.8</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24.1</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94.1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r>
      <w:tr>
        <w:trPr>
          <w:trHeight w:val="223"/>
        </w:trPr>
        <w:tc>
          <w:tcPr>
            <w:tcW w:w="5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Net Loss Attributable to Non-Controlling Interest</w:t>
            </w:r>
          </w:p>
        </w:tc>
        <w:tc>
          <w:tcPr>
            <w:tcW w:w="2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(6.9)</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(3.5)</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(43.5)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$33.7</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$27.6</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$137.6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2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Basic</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57.1</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52.4</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55.5</w:t>
            </w:r>
          </w:p>
        </w:tc>
        <w:tc>
          <w:tcPr>
            <w:tcW w:w="86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30"/>
        </w:trPr>
        <w:tc>
          <w:tcPr>
            <w:tcW w:w="57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57.2</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52.5</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55.6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$0.59</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$0.53</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$2.48</w:t>
            </w:r>
          </w:p>
        </w:tc>
        <w:tc>
          <w:tcPr>
            <w:tcW w:w="86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29"/>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2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$0.59</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$0.53</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$2.48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19"/>
                <w:szCs w:val="19"/>
                <w:color w:val="auto"/>
              </w:rPr>
            </w:pPr>
          </w:p>
        </w:tc>
        <w:tc>
          <w:tcPr>
            <w:tcW w:w="320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Quarter Ended</w:t>
            </w:r>
          </w:p>
        </w:tc>
        <w:tc>
          <w:tcPr>
            <w:tcW w:w="21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5940" w:type="dxa"/>
            <w:vAlign w:val="bottom"/>
          </w:tcPr>
          <w:p>
            <w:pPr>
              <w:spacing w:after="0"/>
              <w:rPr>
                <w:sz w:val="19"/>
                <w:szCs w:val="19"/>
                <w:color w:val="auto"/>
              </w:rPr>
            </w:pPr>
          </w:p>
        </w:tc>
        <w:tc>
          <w:tcPr>
            <w:tcW w:w="320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21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9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$26.8</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$24.1</w:t>
            </w: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$94.1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on Securities</w:t>
            </w:r>
          </w:p>
        </w:tc>
        <w:tc>
          <w:tcPr>
            <w:tcW w:w="20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Net of Income Tax Expense of $–, $–, $(0.2) and $–</w:t>
            </w:r>
          </w:p>
        </w:tc>
        <w:tc>
          <w:tcPr>
            <w:tcW w:w="20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(0.4)</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Defined Benefit Pension and Other Postretirement Benefit Plans</w:t>
            </w:r>
          </w:p>
        </w:tc>
        <w:tc>
          <w:tcPr>
            <w:tcW w:w="20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9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Net of Income Tax Expense of $0.1, $0.1, $0.2 and $0.4</w:t>
            </w:r>
          </w:p>
        </w:tc>
        <w:tc>
          <w:tcPr>
            <w:tcW w:w="2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0.1</w:t>
            </w: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0.4</w:t>
            </w: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59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Other Comprehensive Income</w:t>
            </w:r>
          </w:p>
        </w:tc>
        <w:tc>
          <w:tcPr>
            <w:tcW w:w="20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0.4</w:t>
            </w: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060" w:type="dxa"/>
            <w:vAlign w:val="bottom"/>
          </w:tcPr>
          <w:p>
            <w:pPr>
              <w:jc w:val="right"/>
              <w:ind w:right="190"/>
              <w:spacing w:after="0"/>
              <w:rPr>
                <w:sz w:val="20"/>
                <w:szCs w:val="20"/>
                <w:color w:val="auto"/>
              </w:rPr>
            </w:pPr>
            <w:r>
              <w:rPr>
                <w:rFonts w:ascii="Arial" w:cs="Arial" w:eastAsia="Arial" w:hAnsi="Arial"/>
                <w:sz w:val="18"/>
                <w:szCs w:val="18"/>
                <w:color w:val="auto"/>
              </w:rPr>
              <w:t>26.9</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24.5</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94.1</w:t>
            </w:r>
          </w:p>
        </w:tc>
        <w:tc>
          <w:tcPr>
            <w:tcW w:w="940" w:type="dxa"/>
            <w:vAlign w:val="bottom"/>
          </w:tcPr>
          <w:p>
            <w:pPr>
              <w:jc w:val="right"/>
              <w:spacing w:after="0"/>
              <w:rPr>
                <w:sz w:val="20"/>
                <w:szCs w:val="20"/>
                <w:color w:val="auto"/>
              </w:rPr>
            </w:pPr>
            <w:r>
              <w:rPr>
                <w:rFonts w:ascii="Arial" w:cs="Arial" w:eastAsia="Arial" w:hAnsi="Arial"/>
                <w:sz w:val="18"/>
                <w:szCs w:val="18"/>
                <w:color w:val="auto"/>
              </w:rPr>
              <w:t>90.4</w:t>
            </w:r>
          </w:p>
        </w:tc>
      </w:tr>
      <w:tr>
        <w:trPr>
          <w:trHeight w:val="229"/>
        </w:trPr>
        <w:tc>
          <w:tcPr>
            <w:tcW w:w="59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Net Loss Attributable to Non-Controlling Interest</w:t>
            </w:r>
          </w:p>
        </w:tc>
        <w:tc>
          <w:tcPr>
            <w:tcW w:w="2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(6.9)</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(43.5)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2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Comprehensive Income Attributable to ALLETE</w:t>
            </w:r>
          </w:p>
        </w:tc>
        <w:tc>
          <w:tcPr>
            <w:tcW w:w="2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$33.8</w:t>
            </w: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$28.0</w:t>
            </w: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$137.6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580" w:type="dxa"/>
            <w:vAlign w:val="bottom"/>
          </w:tcPr>
          <w:p>
            <w:pPr>
              <w:spacing w:after="0"/>
              <w:rPr>
                <w:sz w:val="19"/>
                <w:szCs w:val="19"/>
                <w:color w:val="auto"/>
              </w:rPr>
            </w:pPr>
          </w:p>
        </w:tc>
        <w:tc>
          <w:tcPr>
            <w:tcW w:w="3620" w:type="dxa"/>
            <w:vAlign w:val="bottom"/>
            <w:gridSpan w:val="2"/>
          </w:tcPr>
          <w:p>
            <w:pPr>
              <w:jc w:val="right"/>
              <w:ind w:right="215"/>
              <w:spacing w:after="0"/>
              <w:rPr>
                <w:sz w:val="20"/>
                <w:szCs w:val="20"/>
                <w:color w:val="auto"/>
              </w:rPr>
            </w:pPr>
            <w:r>
              <w:rPr>
                <w:rFonts w:ascii="Arial" w:cs="Arial" w:eastAsia="Arial" w:hAnsi="Arial"/>
                <w:sz w:val="17"/>
                <w:szCs w:val="17"/>
                <w:b w:val="1"/>
                <w:bCs w:val="1"/>
                <w:color w:val="auto"/>
              </w:rPr>
              <w:t>Nine Months Ended</w:t>
            </w:r>
          </w:p>
        </w:tc>
      </w:tr>
      <w:tr>
        <w:trPr>
          <w:trHeight w:val="229"/>
        </w:trPr>
        <w:tc>
          <w:tcPr>
            <w:tcW w:w="7580" w:type="dxa"/>
            <w:vAlign w:val="bottom"/>
          </w:tcPr>
          <w:p>
            <w:pPr>
              <w:spacing w:after="0"/>
              <w:rPr>
                <w:sz w:val="19"/>
                <w:szCs w:val="19"/>
                <w:color w:val="auto"/>
              </w:rPr>
            </w:pPr>
          </w:p>
        </w:tc>
        <w:tc>
          <w:tcPr>
            <w:tcW w:w="3620" w:type="dxa"/>
            <w:vAlign w:val="bottom"/>
            <w:gridSpan w:val="2"/>
          </w:tcPr>
          <w:p>
            <w:pPr>
              <w:jc w:val="right"/>
              <w:ind w:right="415"/>
              <w:spacing w:after="0"/>
              <w:rPr>
                <w:sz w:val="20"/>
                <w:szCs w:val="20"/>
                <w:color w:val="auto"/>
              </w:rPr>
            </w:pPr>
            <w:r>
              <w:rPr>
                <w:rFonts w:ascii="Arial" w:cs="Arial" w:eastAsia="Arial" w:hAnsi="Arial"/>
                <w:sz w:val="17"/>
                <w:szCs w:val="17"/>
                <w:b w:val="1"/>
                <w:bCs w:val="1"/>
                <w:color w:val="auto"/>
              </w:rPr>
              <w:t>September 30,</w:t>
            </w:r>
          </w:p>
        </w:tc>
      </w:tr>
      <w:tr>
        <w:trPr>
          <w:trHeight w:val="241"/>
        </w:trPr>
        <w:tc>
          <w:tcPr>
            <w:tcW w:w="75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2022</w:t>
            </w: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2021</w:t>
            </w:r>
          </w:p>
        </w:tc>
      </w:tr>
      <w:tr>
        <w:trPr>
          <w:trHeight w:val="225"/>
        </w:trPr>
        <w:tc>
          <w:tcPr>
            <w:tcW w:w="7580" w:type="dxa"/>
            <w:vAlign w:val="bottom"/>
          </w:tcPr>
          <w:p>
            <w:pPr>
              <w:ind w:left="20"/>
              <w:spacing w:after="0"/>
              <w:rPr>
                <w:sz w:val="20"/>
                <w:szCs w:val="20"/>
                <w:color w:val="auto"/>
              </w:rPr>
            </w:pPr>
            <w:r>
              <w:rPr>
                <w:rFonts w:ascii="Arial" w:cs="Arial" w:eastAsia="Arial" w:hAnsi="Arial"/>
                <w:sz w:val="17"/>
                <w:szCs w:val="17"/>
                <w:b w:val="1"/>
                <w:bCs w:val="1"/>
                <w:color w:val="auto"/>
              </w:rPr>
              <w:t>Millions</w:t>
            </w:r>
          </w:p>
        </w:tc>
        <w:tc>
          <w:tcPr>
            <w:tcW w:w="27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75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27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3"/>
        </w:trPr>
        <w:tc>
          <w:tcPr>
            <w:tcW w:w="758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2740" w:type="dxa"/>
            <w:vAlign w:val="bottom"/>
          </w:tcPr>
          <w:p>
            <w:pPr>
              <w:jc w:val="right"/>
              <w:ind w:right="195"/>
              <w:spacing w:after="0"/>
              <w:rPr>
                <w:sz w:val="20"/>
                <w:szCs w:val="20"/>
                <w:color w:val="auto"/>
              </w:rPr>
            </w:pPr>
            <w:r>
              <w:rPr>
                <w:rFonts w:ascii="Arial" w:cs="Arial" w:eastAsia="Arial" w:hAnsi="Arial"/>
                <w:sz w:val="17"/>
                <w:szCs w:val="17"/>
                <w:color w:val="auto"/>
              </w:rPr>
              <w:t>$94.1</w:t>
            </w:r>
          </w:p>
        </w:tc>
        <w:tc>
          <w:tcPr>
            <w:tcW w:w="880" w:type="dxa"/>
            <w:vAlign w:val="bottom"/>
          </w:tcPr>
          <w:p>
            <w:pPr>
              <w:jc w:val="right"/>
              <w:spacing w:after="0"/>
              <w:rPr>
                <w:sz w:val="20"/>
                <w:szCs w:val="20"/>
                <w:color w:val="auto"/>
              </w:rPr>
            </w:pPr>
            <w:r>
              <w:rPr>
                <w:rFonts w:ascii="Arial" w:cs="Arial" w:eastAsia="Arial" w:hAnsi="Arial"/>
                <w:sz w:val="17"/>
                <w:szCs w:val="17"/>
                <w:color w:val="auto"/>
              </w:rPr>
              <w:t>$89.2</w:t>
            </w:r>
          </w:p>
        </w:tc>
      </w:tr>
      <w:tr>
        <w:trPr>
          <w:trHeight w:val="236"/>
        </w:trPr>
        <w:tc>
          <w:tcPr>
            <w:tcW w:w="7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Adjustments to Reconcile Net Income to Cash provided by Operating Activities:</w:t>
            </w:r>
          </w:p>
        </w:tc>
        <w:tc>
          <w:tcPr>
            <w:tcW w:w="27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3"/>
        </w:trPr>
        <w:tc>
          <w:tcPr>
            <w:tcW w:w="7580" w:type="dxa"/>
            <w:vAlign w:val="bottom"/>
          </w:tcPr>
          <w:p>
            <w:pPr>
              <w:ind w:left="220"/>
              <w:spacing w:after="0"/>
              <w:rPr>
                <w:sz w:val="20"/>
                <w:szCs w:val="20"/>
                <w:color w:val="auto"/>
              </w:rPr>
            </w:pPr>
            <w:r>
              <w:rPr>
                <w:rFonts w:ascii="Arial" w:cs="Arial" w:eastAsia="Arial" w:hAnsi="Arial"/>
                <w:sz w:val="17"/>
                <w:szCs w:val="17"/>
                <w:color w:val="auto"/>
              </w:rPr>
              <w:t>AFUDC – Equity</w:t>
            </w:r>
          </w:p>
        </w:tc>
        <w:tc>
          <w:tcPr>
            <w:tcW w:w="2740" w:type="dxa"/>
            <w:vAlign w:val="bottom"/>
          </w:tcPr>
          <w:p>
            <w:pPr>
              <w:jc w:val="right"/>
              <w:ind w:right="155"/>
              <w:spacing w:after="0"/>
              <w:rPr>
                <w:sz w:val="20"/>
                <w:szCs w:val="20"/>
                <w:color w:val="auto"/>
              </w:rPr>
            </w:pPr>
            <w:r>
              <w:rPr>
                <w:rFonts w:ascii="Arial" w:cs="Arial" w:eastAsia="Arial" w:hAnsi="Arial"/>
                <w:sz w:val="17"/>
                <w:szCs w:val="17"/>
                <w:color w:val="auto"/>
              </w:rPr>
              <w:t>(2.4)</w:t>
            </w:r>
          </w:p>
        </w:tc>
        <w:tc>
          <w:tcPr>
            <w:tcW w:w="8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36"/>
        </w:trPr>
        <w:tc>
          <w:tcPr>
            <w:tcW w:w="7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from Equity Investments – Net of Dividends</w:t>
            </w:r>
          </w:p>
        </w:tc>
        <w:tc>
          <w:tcPr>
            <w:tcW w:w="27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3.8</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23"/>
        </w:trPr>
        <w:tc>
          <w:tcPr>
            <w:tcW w:w="7580" w:type="dxa"/>
            <w:vAlign w:val="bottom"/>
          </w:tcPr>
          <w:p>
            <w:pPr>
              <w:ind w:left="220"/>
              <w:spacing w:after="0"/>
              <w:rPr>
                <w:sz w:val="20"/>
                <w:szCs w:val="20"/>
                <w:color w:val="auto"/>
              </w:rPr>
            </w:pPr>
            <w:r>
              <w:rPr>
                <w:rFonts w:ascii="Arial" w:cs="Arial" w:eastAsia="Arial" w:hAnsi="Arial"/>
                <w:sz w:val="17"/>
                <w:szCs w:val="17"/>
                <w:color w:val="auto"/>
              </w:rPr>
              <w:t>Loss (Gain) on Investments and Property, Plant and Equipment</w:t>
            </w:r>
          </w:p>
        </w:tc>
        <w:tc>
          <w:tcPr>
            <w:tcW w:w="2740" w:type="dxa"/>
            <w:vAlign w:val="bottom"/>
          </w:tcPr>
          <w:p>
            <w:pPr>
              <w:jc w:val="right"/>
              <w:ind w:right="195"/>
              <w:spacing w:after="0"/>
              <w:rPr>
                <w:sz w:val="20"/>
                <w:szCs w:val="20"/>
                <w:color w:val="auto"/>
              </w:rPr>
            </w:pPr>
            <w:r>
              <w:rPr>
                <w:rFonts w:ascii="Arial" w:cs="Arial" w:eastAsia="Arial" w:hAnsi="Arial"/>
                <w:sz w:val="17"/>
                <w:szCs w:val="17"/>
                <w:color w:val="auto"/>
              </w:rPr>
              <w:t>2.1</w:t>
            </w:r>
          </w:p>
        </w:tc>
        <w:tc>
          <w:tcPr>
            <w:tcW w:w="880" w:type="dxa"/>
            <w:vAlign w:val="bottom"/>
          </w:tcPr>
          <w:p>
            <w:pPr>
              <w:jc w:val="right"/>
              <w:spacing w:after="0"/>
              <w:rPr>
                <w:sz w:val="20"/>
                <w:szCs w:val="20"/>
                <w:color w:val="auto"/>
              </w:rPr>
            </w:pPr>
            <w:r>
              <w:rPr>
                <w:rFonts w:ascii="Arial" w:cs="Arial" w:eastAsia="Arial" w:hAnsi="Arial"/>
                <w:sz w:val="17"/>
                <w:szCs w:val="17"/>
                <w:color w:val="auto"/>
              </w:rPr>
              <w:t>(0.7)</w:t>
            </w:r>
          </w:p>
        </w:tc>
      </w:tr>
      <w:tr>
        <w:trPr>
          <w:trHeight w:val="236"/>
        </w:trPr>
        <w:tc>
          <w:tcPr>
            <w:tcW w:w="7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Expense</w:t>
            </w:r>
          </w:p>
        </w:tc>
        <w:tc>
          <w:tcPr>
            <w:tcW w:w="27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181.3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173.4</w:t>
            </w:r>
          </w:p>
        </w:tc>
      </w:tr>
      <w:tr>
        <w:trPr>
          <w:trHeight w:val="223"/>
        </w:trPr>
        <w:tc>
          <w:tcPr>
            <w:tcW w:w="7580" w:type="dxa"/>
            <w:vAlign w:val="bottom"/>
          </w:tcPr>
          <w:p>
            <w:pPr>
              <w:ind w:left="220"/>
              <w:spacing w:after="0"/>
              <w:rPr>
                <w:sz w:val="20"/>
                <w:szCs w:val="20"/>
                <w:color w:val="auto"/>
              </w:rPr>
            </w:pPr>
            <w:r>
              <w:rPr>
                <w:rFonts w:ascii="Arial" w:cs="Arial" w:eastAsia="Arial" w:hAnsi="Arial"/>
                <w:sz w:val="17"/>
                <w:szCs w:val="17"/>
                <w:color w:val="auto"/>
              </w:rPr>
              <w:t>Amortization of PSAs</w:t>
            </w:r>
          </w:p>
        </w:tc>
        <w:tc>
          <w:tcPr>
            <w:tcW w:w="2740" w:type="dxa"/>
            <w:vAlign w:val="bottom"/>
          </w:tcPr>
          <w:p>
            <w:pPr>
              <w:jc w:val="right"/>
              <w:ind w:right="155"/>
              <w:spacing w:after="0"/>
              <w:rPr>
                <w:sz w:val="20"/>
                <w:szCs w:val="20"/>
                <w:color w:val="auto"/>
              </w:rPr>
            </w:pPr>
            <w:r>
              <w:rPr>
                <w:rFonts w:ascii="Arial" w:cs="Arial" w:eastAsia="Arial" w:hAnsi="Arial"/>
                <w:sz w:val="17"/>
                <w:szCs w:val="17"/>
                <w:color w:val="auto"/>
              </w:rPr>
              <w:t>(6.3)</w:t>
            </w:r>
          </w:p>
        </w:tc>
        <w:tc>
          <w:tcPr>
            <w:tcW w:w="88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36"/>
        </w:trPr>
        <w:tc>
          <w:tcPr>
            <w:tcW w:w="7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Other Intangible Assets and Other Assets</w:t>
            </w:r>
          </w:p>
        </w:tc>
        <w:tc>
          <w:tcPr>
            <w:tcW w:w="27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6.3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r>
      <w:tr>
        <w:trPr>
          <w:trHeight w:val="223"/>
        </w:trPr>
        <w:tc>
          <w:tcPr>
            <w:tcW w:w="7580" w:type="dxa"/>
            <w:vAlign w:val="bottom"/>
          </w:tcPr>
          <w:p>
            <w:pPr>
              <w:ind w:left="220"/>
              <w:spacing w:after="0"/>
              <w:rPr>
                <w:sz w:val="20"/>
                <w:szCs w:val="20"/>
                <w:color w:val="auto"/>
              </w:rPr>
            </w:pPr>
            <w:r>
              <w:rPr>
                <w:rFonts w:ascii="Arial" w:cs="Arial" w:eastAsia="Arial" w:hAnsi="Arial"/>
                <w:sz w:val="17"/>
                <w:szCs w:val="17"/>
                <w:color w:val="auto"/>
              </w:rPr>
              <w:t>Deferred Income Tax Benefit</w:t>
            </w:r>
          </w:p>
        </w:tc>
        <w:tc>
          <w:tcPr>
            <w:tcW w:w="2740" w:type="dxa"/>
            <w:vAlign w:val="bottom"/>
          </w:tcPr>
          <w:p>
            <w:pPr>
              <w:jc w:val="right"/>
              <w:ind w:right="155"/>
              <w:spacing w:after="0"/>
              <w:rPr>
                <w:sz w:val="20"/>
                <w:szCs w:val="20"/>
                <w:color w:val="auto"/>
              </w:rPr>
            </w:pPr>
            <w:r>
              <w:rPr>
                <w:rFonts w:ascii="Arial" w:cs="Arial" w:eastAsia="Arial" w:hAnsi="Arial"/>
                <w:sz w:val="17"/>
                <w:szCs w:val="17"/>
                <w:color w:val="auto"/>
              </w:rPr>
              <w:t>(19.7)</w:t>
            </w:r>
          </w:p>
        </w:tc>
        <w:tc>
          <w:tcPr>
            <w:tcW w:w="880" w:type="dxa"/>
            <w:vAlign w:val="bottom"/>
          </w:tcPr>
          <w:p>
            <w:pPr>
              <w:jc w:val="right"/>
              <w:spacing w:after="0"/>
              <w:rPr>
                <w:sz w:val="20"/>
                <w:szCs w:val="20"/>
                <w:color w:val="auto"/>
              </w:rPr>
            </w:pPr>
            <w:r>
              <w:rPr>
                <w:rFonts w:ascii="Arial" w:cs="Arial" w:eastAsia="Arial" w:hAnsi="Arial"/>
                <w:sz w:val="17"/>
                <w:szCs w:val="17"/>
                <w:color w:val="auto"/>
              </w:rPr>
              <w:t>(19.4)</w:t>
            </w:r>
          </w:p>
        </w:tc>
      </w:tr>
      <w:tr>
        <w:trPr>
          <w:trHeight w:val="236"/>
        </w:trPr>
        <w:tc>
          <w:tcPr>
            <w:tcW w:w="7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Share-Based and ESOP Compensation Expense</w:t>
            </w:r>
          </w:p>
        </w:tc>
        <w:tc>
          <w:tcPr>
            <w:tcW w:w="27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4.2</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23"/>
        </w:trPr>
        <w:tc>
          <w:tcPr>
            <w:tcW w:w="7580" w:type="dxa"/>
            <w:vAlign w:val="bottom"/>
          </w:tcPr>
          <w:p>
            <w:pPr>
              <w:ind w:left="220"/>
              <w:spacing w:after="0"/>
              <w:rPr>
                <w:sz w:val="20"/>
                <w:szCs w:val="20"/>
                <w:color w:val="auto"/>
              </w:rPr>
            </w:pPr>
            <w:r>
              <w:rPr>
                <w:rFonts w:ascii="Arial" w:cs="Arial" w:eastAsia="Arial" w:hAnsi="Arial"/>
                <w:sz w:val="17"/>
                <w:szCs w:val="17"/>
                <w:color w:val="auto"/>
              </w:rPr>
              <w:t>Defined Benefit Pension and Postretirement Benefit Expense (Benefit)</w:t>
            </w:r>
          </w:p>
        </w:tc>
        <w:tc>
          <w:tcPr>
            <w:tcW w:w="2740" w:type="dxa"/>
            <w:vAlign w:val="bottom"/>
          </w:tcPr>
          <w:p>
            <w:pPr>
              <w:jc w:val="right"/>
              <w:ind w:right="155"/>
              <w:spacing w:after="0"/>
              <w:rPr>
                <w:sz w:val="20"/>
                <w:szCs w:val="20"/>
                <w:color w:val="auto"/>
              </w:rPr>
            </w:pPr>
            <w:r>
              <w:rPr>
                <w:rFonts w:ascii="Arial" w:cs="Arial" w:eastAsia="Arial" w:hAnsi="Arial"/>
                <w:sz w:val="17"/>
                <w:szCs w:val="17"/>
                <w:color w:val="auto"/>
              </w:rPr>
              <w:t>(2.2)</w:t>
            </w:r>
          </w:p>
        </w:tc>
        <w:tc>
          <w:tcPr>
            <w:tcW w:w="88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36"/>
        </w:trPr>
        <w:tc>
          <w:tcPr>
            <w:tcW w:w="7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Fuel Adjustment Clause</w:t>
            </w:r>
          </w:p>
        </w:tc>
        <w:tc>
          <w:tcPr>
            <w:tcW w:w="27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(3.5)</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r>
      <w:tr>
        <w:trPr>
          <w:trHeight w:val="223"/>
        </w:trPr>
        <w:tc>
          <w:tcPr>
            <w:tcW w:w="7580" w:type="dxa"/>
            <w:vAlign w:val="bottom"/>
          </w:tcPr>
          <w:p>
            <w:pPr>
              <w:ind w:left="220"/>
              <w:spacing w:after="0"/>
              <w:rPr>
                <w:sz w:val="20"/>
                <w:szCs w:val="20"/>
                <w:color w:val="auto"/>
              </w:rPr>
            </w:pPr>
            <w:r>
              <w:rPr>
                <w:rFonts w:ascii="Arial" w:cs="Arial" w:eastAsia="Arial" w:hAnsi="Arial"/>
                <w:sz w:val="17"/>
                <w:szCs w:val="17"/>
                <w:color w:val="auto"/>
              </w:rPr>
              <w:t>Bad Debt Expense</w:t>
            </w:r>
          </w:p>
        </w:tc>
        <w:tc>
          <w:tcPr>
            <w:tcW w:w="2740" w:type="dxa"/>
            <w:vAlign w:val="bottom"/>
          </w:tcPr>
          <w:p>
            <w:pPr>
              <w:jc w:val="right"/>
              <w:ind w:right="195"/>
              <w:spacing w:after="0"/>
              <w:rPr>
                <w:sz w:val="20"/>
                <w:szCs w:val="20"/>
                <w:color w:val="auto"/>
              </w:rPr>
            </w:pPr>
            <w:r>
              <w:rPr>
                <w:rFonts w:ascii="Arial" w:cs="Arial" w:eastAsia="Arial" w:hAnsi="Arial"/>
                <w:sz w:val="17"/>
                <w:szCs w:val="17"/>
                <w:color w:val="auto"/>
              </w:rPr>
              <w:t>1.4</w:t>
            </w:r>
          </w:p>
        </w:tc>
        <w:tc>
          <w:tcPr>
            <w:tcW w:w="88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236"/>
        </w:trPr>
        <w:tc>
          <w:tcPr>
            <w:tcW w:w="7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Residential Interim Rate Adjustment</w:t>
            </w:r>
          </w:p>
        </w:tc>
        <w:tc>
          <w:tcPr>
            <w:tcW w:w="27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(5.9)</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7580" w:type="dxa"/>
            <w:vAlign w:val="bottom"/>
          </w:tcPr>
          <w:p>
            <w:pPr>
              <w:ind w:left="220"/>
              <w:spacing w:after="0"/>
              <w:rPr>
                <w:sz w:val="20"/>
                <w:szCs w:val="20"/>
                <w:color w:val="auto"/>
              </w:rPr>
            </w:pPr>
            <w:r>
              <w:rPr>
                <w:rFonts w:ascii="Arial" w:cs="Arial" w:eastAsia="Arial" w:hAnsi="Arial"/>
                <w:sz w:val="17"/>
                <w:szCs w:val="17"/>
                <w:color w:val="auto"/>
              </w:rPr>
              <w:t>Changes in Operating Assets and Liabilities</w:t>
            </w:r>
          </w:p>
        </w:tc>
        <w:tc>
          <w:tcPr>
            <w:tcW w:w="27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6"/>
        </w:trPr>
        <w:tc>
          <w:tcPr>
            <w:tcW w:w="75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Accounts Receivable</w:t>
            </w:r>
          </w:p>
        </w:tc>
        <w:tc>
          <w:tcPr>
            <w:tcW w:w="27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3.2</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23"/>
        </w:trPr>
        <w:tc>
          <w:tcPr>
            <w:tcW w:w="7580" w:type="dxa"/>
            <w:vAlign w:val="bottom"/>
          </w:tcPr>
          <w:p>
            <w:pPr>
              <w:ind w:left="460"/>
              <w:spacing w:after="0"/>
              <w:rPr>
                <w:sz w:val="20"/>
                <w:szCs w:val="20"/>
                <w:color w:val="auto"/>
              </w:rPr>
            </w:pPr>
            <w:r>
              <w:rPr>
                <w:rFonts w:ascii="Arial" w:cs="Arial" w:eastAsia="Arial" w:hAnsi="Arial"/>
                <w:sz w:val="17"/>
                <w:szCs w:val="17"/>
                <w:color w:val="auto"/>
              </w:rPr>
              <w:t>Inventories</w:t>
            </w:r>
          </w:p>
        </w:tc>
        <w:tc>
          <w:tcPr>
            <w:tcW w:w="2740" w:type="dxa"/>
            <w:vAlign w:val="bottom"/>
          </w:tcPr>
          <w:p>
            <w:pPr>
              <w:jc w:val="right"/>
              <w:ind w:right="155"/>
              <w:spacing w:after="0"/>
              <w:rPr>
                <w:sz w:val="20"/>
                <w:szCs w:val="20"/>
                <w:color w:val="auto"/>
              </w:rPr>
            </w:pPr>
            <w:r>
              <w:rPr>
                <w:rFonts w:ascii="Arial" w:cs="Arial" w:eastAsia="Arial" w:hAnsi="Arial"/>
                <w:sz w:val="17"/>
                <w:szCs w:val="17"/>
                <w:color w:val="auto"/>
              </w:rPr>
              <w:t>(261.4)</w:t>
            </w:r>
          </w:p>
        </w:tc>
        <w:tc>
          <w:tcPr>
            <w:tcW w:w="880" w:type="dxa"/>
            <w:vAlign w:val="bottom"/>
          </w:tcPr>
          <w:p>
            <w:pPr>
              <w:jc w:val="right"/>
              <w:spacing w:after="0"/>
              <w:rPr>
                <w:sz w:val="20"/>
                <w:szCs w:val="20"/>
                <w:color w:val="auto"/>
              </w:rPr>
            </w:pPr>
            <w:r>
              <w:rPr>
                <w:rFonts w:ascii="Arial" w:cs="Arial" w:eastAsia="Arial" w:hAnsi="Arial"/>
                <w:sz w:val="17"/>
                <w:szCs w:val="17"/>
                <w:color w:val="auto"/>
              </w:rPr>
              <w:t>(15.4)</w:t>
            </w:r>
          </w:p>
        </w:tc>
      </w:tr>
      <w:tr>
        <w:trPr>
          <w:trHeight w:val="236"/>
        </w:trPr>
        <w:tc>
          <w:tcPr>
            <w:tcW w:w="75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Prepayments and Other</w:t>
            </w:r>
          </w:p>
        </w:tc>
        <w:tc>
          <w:tcPr>
            <w:tcW w:w="27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(7.7)</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r>
      <w:tr>
        <w:trPr>
          <w:trHeight w:val="223"/>
        </w:trPr>
        <w:tc>
          <w:tcPr>
            <w:tcW w:w="7580" w:type="dxa"/>
            <w:vAlign w:val="bottom"/>
          </w:tcPr>
          <w:p>
            <w:pPr>
              <w:ind w:left="460"/>
              <w:spacing w:after="0"/>
              <w:rPr>
                <w:sz w:val="20"/>
                <w:szCs w:val="20"/>
                <w:color w:val="auto"/>
              </w:rPr>
            </w:pPr>
            <w:r>
              <w:rPr>
                <w:rFonts w:ascii="Arial" w:cs="Arial" w:eastAsia="Arial" w:hAnsi="Arial"/>
                <w:sz w:val="17"/>
                <w:szCs w:val="17"/>
                <w:color w:val="auto"/>
              </w:rPr>
              <w:t>Accounts Payable</w:t>
            </w:r>
          </w:p>
        </w:tc>
        <w:tc>
          <w:tcPr>
            <w:tcW w:w="2740" w:type="dxa"/>
            <w:vAlign w:val="bottom"/>
          </w:tcPr>
          <w:p>
            <w:pPr>
              <w:jc w:val="right"/>
              <w:ind w:right="195"/>
              <w:spacing w:after="0"/>
              <w:rPr>
                <w:sz w:val="20"/>
                <w:szCs w:val="20"/>
                <w:color w:val="auto"/>
              </w:rPr>
            </w:pPr>
            <w:r>
              <w:rPr>
                <w:rFonts w:ascii="Arial" w:cs="Arial" w:eastAsia="Arial" w:hAnsi="Arial"/>
                <w:sz w:val="17"/>
                <w:szCs w:val="17"/>
                <w:color w:val="auto"/>
              </w:rPr>
              <w:t>8.0</w:t>
            </w:r>
          </w:p>
        </w:tc>
        <w:tc>
          <w:tcPr>
            <w:tcW w:w="88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36"/>
        </w:trPr>
        <w:tc>
          <w:tcPr>
            <w:tcW w:w="75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Other Current Liabilities</w:t>
            </w:r>
          </w:p>
        </w:tc>
        <w:tc>
          <w:tcPr>
            <w:tcW w:w="27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63.5</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w:t>
            </w:r>
          </w:p>
        </w:tc>
      </w:tr>
      <w:tr>
        <w:trPr>
          <w:trHeight w:val="223"/>
        </w:trPr>
        <w:tc>
          <w:tcPr>
            <w:tcW w:w="7580" w:type="dxa"/>
            <w:vAlign w:val="bottom"/>
          </w:tcPr>
          <w:p>
            <w:pPr>
              <w:ind w:left="440"/>
              <w:spacing w:after="0"/>
              <w:rPr>
                <w:sz w:val="20"/>
                <w:szCs w:val="20"/>
                <w:color w:val="auto"/>
              </w:rPr>
            </w:pPr>
            <w:r>
              <w:rPr>
                <w:rFonts w:ascii="Arial" w:cs="Arial" w:eastAsia="Arial" w:hAnsi="Arial"/>
                <w:sz w:val="17"/>
                <w:szCs w:val="17"/>
                <w:color w:val="auto"/>
              </w:rPr>
              <w:t>Cash Contributions to Defined Benefit Pension Plans</w:t>
            </w:r>
          </w:p>
        </w:tc>
        <w:tc>
          <w:tcPr>
            <w:tcW w:w="274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(10.3)</w:t>
            </w:r>
          </w:p>
        </w:tc>
      </w:tr>
      <w:tr>
        <w:trPr>
          <w:trHeight w:val="236"/>
        </w:trPr>
        <w:tc>
          <w:tcPr>
            <w:tcW w:w="7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Changes in Regulatory and Other Non-Current Assets</w:t>
            </w:r>
          </w:p>
        </w:tc>
        <w:tc>
          <w:tcPr>
            <w:tcW w:w="27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28.0</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23"/>
        </w:trPr>
        <w:tc>
          <w:tcPr>
            <w:tcW w:w="758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Changes in Regulatory and Other Non-Current Liabilities</w:t>
            </w:r>
          </w:p>
        </w:tc>
        <w:tc>
          <w:tcPr>
            <w:tcW w:w="27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(5.6)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w:t>
            </w:r>
          </w:p>
        </w:tc>
      </w:tr>
      <w:tr>
        <w:trPr>
          <w:trHeight w:val="223"/>
        </w:trPr>
        <w:tc>
          <w:tcPr>
            <w:tcW w:w="75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Cash provided by Operating Activities</w:t>
            </w:r>
          </w:p>
        </w:tc>
        <w:tc>
          <w:tcPr>
            <w:tcW w:w="27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81.2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209.2</w:t>
            </w:r>
          </w:p>
        </w:tc>
      </w:tr>
      <w:tr>
        <w:trPr>
          <w:trHeight w:val="225"/>
        </w:trPr>
        <w:tc>
          <w:tcPr>
            <w:tcW w:w="7580" w:type="dxa"/>
            <w:vAlign w:val="bottom"/>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27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7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Sale of Available-for-sale Securities</w:t>
            </w:r>
          </w:p>
        </w:tc>
        <w:tc>
          <w:tcPr>
            <w:tcW w:w="27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1.7</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23"/>
        </w:trPr>
        <w:tc>
          <w:tcPr>
            <w:tcW w:w="7580" w:type="dxa"/>
            <w:vAlign w:val="bottom"/>
          </w:tcPr>
          <w:p>
            <w:pPr>
              <w:ind w:left="220"/>
              <w:spacing w:after="0"/>
              <w:rPr>
                <w:sz w:val="20"/>
                <w:szCs w:val="20"/>
                <w:color w:val="auto"/>
              </w:rPr>
            </w:pPr>
            <w:r>
              <w:rPr>
                <w:rFonts w:ascii="Arial" w:cs="Arial" w:eastAsia="Arial" w:hAnsi="Arial"/>
                <w:sz w:val="17"/>
                <w:szCs w:val="17"/>
                <w:color w:val="auto"/>
              </w:rPr>
              <w:t>Payments for Purchase of Available-for-sale Securities</w:t>
            </w:r>
          </w:p>
        </w:tc>
        <w:tc>
          <w:tcPr>
            <w:tcW w:w="2740" w:type="dxa"/>
            <w:vAlign w:val="bottom"/>
          </w:tcPr>
          <w:p>
            <w:pPr>
              <w:jc w:val="right"/>
              <w:ind w:right="155"/>
              <w:spacing w:after="0"/>
              <w:rPr>
                <w:sz w:val="20"/>
                <w:szCs w:val="20"/>
                <w:color w:val="auto"/>
              </w:rPr>
            </w:pPr>
            <w:r>
              <w:rPr>
                <w:rFonts w:ascii="Arial" w:cs="Arial" w:eastAsia="Arial" w:hAnsi="Arial"/>
                <w:sz w:val="17"/>
                <w:szCs w:val="17"/>
                <w:color w:val="auto"/>
              </w:rPr>
              <w:t>(1.7)</w:t>
            </w:r>
          </w:p>
        </w:tc>
        <w:tc>
          <w:tcPr>
            <w:tcW w:w="88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36"/>
        </w:trPr>
        <w:tc>
          <w:tcPr>
            <w:tcW w:w="7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Acquisition of Subsidiaries - Net of Cash &amp; Restricted Cash Acquired</w:t>
            </w:r>
          </w:p>
        </w:tc>
        <w:tc>
          <w:tcPr>
            <w:tcW w:w="27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(155.0)</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7580" w:type="dxa"/>
            <w:vAlign w:val="bottom"/>
          </w:tcPr>
          <w:p>
            <w:pPr>
              <w:ind w:left="220"/>
              <w:spacing w:after="0"/>
              <w:rPr>
                <w:sz w:val="20"/>
                <w:szCs w:val="20"/>
                <w:color w:val="auto"/>
              </w:rPr>
            </w:pPr>
            <w:r>
              <w:rPr>
                <w:rFonts w:ascii="Arial" w:cs="Arial" w:eastAsia="Arial" w:hAnsi="Arial"/>
                <w:sz w:val="17"/>
                <w:szCs w:val="17"/>
                <w:color w:val="auto"/>
              </w:rPr>
              <w:t>Payments for Equity Method Investments</w:t>
            </w:r>
          </w:p>
        </w:tc>
        <w:tc>
          <w:tcPr>
            <w:tcW w:w="2740" w:type="dxa"/>
            <w:vAlign w:val="bottom"/>
          </w:tcPr>
          <w:p>
            <w:pPr>
              <w:jc w:val="right"/>
              <w:ind w:right="155"/>
              <w:spacing w:after="0"/>
              <w:rPr>
                <w:sz w:val="20"/>
                <w:szCs w:val="20"/>
                <w:color w:val="auto"/>
              </w:rPr>
            </w:pPr>
            <w:r>
              <w:rPr>
                <w:rFonts w:ascii="Arial" w:cs="Arial" w:eastAsia="Arial" w:hAnsi="Arial"/>
                <w:sz w:val="17"/>
                <w:szCs w:val="17"/>
                <w:color w:val="auto"/>
              </w:rPr>
              <w:t>(5.1)</w:t>
            </w:r>
          </w:p>
        </w:tc>
        <w:tc>
          <w:tcPr>
            <w:tcW w:w="880" w:type="dxa"/>
            <w:vAlign w:val="bottom"/>
          </w:tcPr>
          <w:p>
            <w:pPr>
              <w:jc w:val="right"/>
              <w:spacing w:after="0"/>
              <w:rPr>
                <w:sz w:val="20"/>
                <w:szCs w:val="20"/>
                <w:color w:val="auto"/>
              </w:rPr>
            </w:pPr>
            <w:r>
              <w:rPr>
                <w:rFonts w:ascii="Arial" w:cs="Arial" w:eastAsia="Arial" w:hAnsi="Arial"/>
                <w:sz w:val="17"/>
                <w:szCs w:val="17"/>
                <w:color w:val="auto"/>
              </w:rPr>
              <w:t>(17.4)</w:t>
            </w:r>
          </w:p>
        </w:tc>
      </w:tr>
      <w:tr>
        <w:trPr>
          <w:trHeight w:val="236"/>
        </w:trPr>
        <w:tc>
          <w:tcPr>
            <w:tcW w:w="7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Additions to Property, Plant and Equipment</w:t>
            </w:r>
          </w:p>
        </w:tc>
        <w:tc>
          <w:tcPr>
            <w:tcW w:w="27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(152.0)</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(384.3)</w:t>
            </w:r>
          </w:p>
        </w:tc>
      </w:tr>
      <w:tr>
        <w:trPr>
          <w:trHeight w:val="223"/>
        </w:trPr>
        <w:tc>
          <w:tcPr>
            <w:tcW w:w="75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Investing Activities</w:t>
            </w:r>
          </w:p>
        </w:tc>
        <w:tc>
          <w:tcPr>
            <w:tcW w:w="27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1.0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r>
      <w:tr>
        <w:trPr>
          <w:trHeight w:val="223"/>
        </w:trPr>
        <w:tc>
          <w:tcPr>
            <w:tcW w:w="75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Cash used in Investing Activities</w:t>
            </w:r>
          </w:p>
        </w:tc>
        <w:tc>
          <w:tcPr>
            <w:tcW w:w="27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(311.1)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(397.1)</w:t>
            </w:r>
          </w:p>
        </w:tc>
      </w:tr>
      <w:tr>
        <w:trPr>
          <w:trHeight w:val="225"/>
        </w:trPr>
        <w:tc>
          <w:tcPr>
            <w:tcW w:w="758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27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7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Issuance of Common Stock</w:t>
            </w:r>
          </w:p>
        </w:tc>
        <w:tc>
          <w:tcPr>
            <w:tcW w:w="27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244.4</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r>
      <w:tr>
        <w:trPr>
          <w:trHeight w:val="223"/>
        </w:trPr>
        <w:tc>
          <w:tcPr>
            <w:tcW w:w="7580" w:type="dxa"/>
            <w:vAlign w:val="bottom"/>
          </w:tcPr>
          <w:p>
            <w:pPr>
              <w:ind w:left="220"/>
              <w:spacing w:after="0"/>
              <w:rPr>
                <w:sz w:val="20"/>
                <w:szCs w:val="20"/>
                <w:color w:val="auto"/>
              </w:rPr>
            </w:pPr>
            <w:r>
              <w:rPr>
                <w:rFonts w:ascii="Arial" w:cs="Arial" w:eastAsia="Arial" w:hAnsi="Arial"/>
                <w:sz w:val="17"/>
                <w:szCs w:val="17"/>
                <w:color w:val="auto"/>
              </w:rPr>
              <w:t>Equity Issuance Costs</w:t>
            </w:r>
          </w:p>
        </w:tc>
        <w:tc>
          <w:tcPr>
            <w:tcW w:w="2740" w:type="dxa"/>
            <w:vAlign w:val="bottom"/>
          </w:tcPr>
          <w:p>
            <w:pPr>
              <w:jc w:val="right"/>
              <w:ind w:right="155"/>
              <w:spacing w:after="0"/>
              <w:rPr>
                <w:sz w:val="20"/>
                <w:szCs w:val="20"/>
                <w:color w:val="auto"/>
              </w:rPr>
            </w:pPr>
            <w:r>
              <w:rPr>
                <w:rFonts w:ascii="Arial" w:cs="Arial" w:eastAsia="Arial" w:hAnsi="Arial"/>
                <w:sz w:val="17"/>
                <w:szCs w:val="17"/>
                <w:color w:val="auto"/>
              </w:rPr>
              <w:t>(8.1)</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7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Issuance of Short-Term and Long-Term Debt</w:t>
            </w:r>
          </w:p>
        </w:tc>
        <w:tc>
          <w:tcPr>
            <w:tcW w:w="27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720.5</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510.6</w:t>
            </w:r>
          </w:p>
        </w:tc>
      </w:tr>
      <w:tr>
        <w:trPr>
          <w:trHeight w:val="223"/>
        </w:trPr>
        <w:tc>
          <w:tcPr>
            <w:tcW w:w="7580" w:type="dxa"/>
            <w:vAlign w:val="bottom"/>
          </w:tcPr>
          <w:p>
            <w:pPr>
              <w:ind w:left="220"/>
              <w:spacing w:after="0"/>
              <w:rPr>
                <w:sz w:val="20"/>
                <w:szCs w:val="20"/>
                <w:color w:val="auto"/>
              </w:rPr>
            </w:pPr>
            <w:r>
              <w:rPr>
                <w:rFonts w:ascii="Arial" w:cs="Arial" w:eastAsia="Arial" w:hAnsi="Arial"/>
                <w:sz w:val="17"/>
                <w:szCs w:val="17"/>
                <w:color w:val="auto"/>
              </w:rPr>
              <w:t>Repayments of Short-Term and Long-Term Debt</w:t>
            </w:r>
          </w:p>
        </w:tc>
        <w:tc>
          <w:tcPr>
            <w:tcW w:w="2740" w:type="dxa"/>
            <w:vAlign w:val="bottom"/>
          </w:tcPr>
          <w:p>
            <w:pPr>
              <w:jc w:val="right"/>
              <w:ind w:right="155"/>
              <w:spacing w:after="0"/>
              <w:rPr>
                <w:sz w:val="20"/>
                <w:szCs w:val="20"/>
                <w:color w:val="auto"/>
              </w:rPr>
            </w:pPr>
            <w:r>
              <w:rPr>
                <w:rFonts w:ascii="Arial" w:cs="Arial" w:eastAsia="Arial" w:hAnsi="Arial"/>
                <w:sz w:val="17"/>
                <w:szCs w:val="17"/>
                <w:color w:val="auto"/>
              </w:rPr>
              <w:t>(771.0)</w:t>
            </w:r>
          </w:p>
        </w:tc>
        <w:tc>
          <w:tcPr>
            <w:tcW w:w="880" w:type="dxa"/>
            <w:vAlign w:val="bottom"/>
          </w:tcPr>
          <w:p>
            <w:pPr>
              <w:jc w:val="right"/>
              <w:spacing w:after="0"/>
              <w:rPr>
                <w:sz w:val="20"/>
                <w:szCs w:val="20"/>
                <w:color w:val="auto"/>
              </w:rPr>
            </w:pPr>
            <w:r>
              <w:rPr>
                <w:rFonts w:ascii="Arial" w:cs="Arial" w:eastAsia="Arial" w:hAnsi="Arial"/>
                <w:sz w:val="17"/>
                <w:szCs w:val="17"/>
                <w:color w:val="auto"/>
              </w:rPr>
              <w:t>(280.9)</w:t>
            </w:r>
          </w:p>
        </w:tc>
      </w:tr>
      <w:tr>
        <w:trPr>
          <w:trHeight w:val="236"/>
        </w:trPr>
        <w:tc>
          <w:tcPr>
            <w:tcW w:w="7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Non-Controlling Interest in Subsidiaries - Net</w:t>
            </w:r>
          </w:p>
        </w:tc>
        <w:tc>
          <w:tcPr>
            <w:tcW w:w="27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155.7</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w:t>
            </w:r>
          </w:p>
        </w:tc>
      </w:tr>
      <w:tr>
        <w:trPr>
          <w:trHeight w:val="223"/>
        </w:trPr>
        <w:tc>
          <w:tcPr>
            <w:tcW w:w="7580" w:type="dxa"/>
            <w:vAlign w:val="bottom"/>
          </w:tcPr>
          <w:p>
            <w:pPr>
              <w:ind w:left="220"/>
              <w:spacing w:after="0"/>
              <w:rPr>
                <w:sz w:val="20"/>
                <w:szCs w:val="20"/>
                <w:color w:val="auto"/>
              </w:rPr>
            </w:pPr>
            <w:r>
              <w:rPr>
                <w:rFonts w:ascii="Arial" w:cs="Arial" w:eastAsia="Arial" w:hAnsi="Arial"/>
                <w:sz w:val="17"/>
                <w:szCs w:val="17"/>
                <w:color w:val="auto"/>
              </w:rPr>
              <w:t>Dividends on Common Stock</w:t>
            </w:r>
          </w:p>
        </w:tc>
        <w:tc>
          <w:tcPr>
            <w:tcW w:w="2740" w:type="dxa"/>
            <w:vAlign w:val="bottom"/>
          </w:tcPr>
          <w:p>
            <w:pPr>
              <w:jc w:val="right"/>
              <w:ind w:right="155"/>
              <w:spacing w:after="0"/>
              <w:rPr>
                <w:sz w:val="20"/>
                <w:szCs w:val="20"/>
                <w:color w:val="auto"/>
              </w:rPr>
            </w:pPr>
            <w:r>
              <w:rPr>
                <w:rFonts w:ascii="Arial" w:cs="Arial" w:eastAsia="Arial" w:hAnsi="Arial"/>
                <w:sz w:val="17"/>
                <w:szCs w:val="17"/>
                <w:color w:val="auto"/>
              </w:rPr>
              <w:t>(108.6)</w:t>
            </w:r>
          </w:p>
        </w:tc>
        <w:tc>
          <w:tcPr>
            <w:tcW w:w="880" w:type="dxa"/>
            <w:vAlign w:val="bottom"/>
          </w:tcPr>
          <w:p>
            <w:pPr>
              <w:jc w:val="right"/>
              <w:spacing w:after="0"/>
              <w:rPr>
                <w:sz w:val="20"/>
                <w:szCs w:val="20"/>
                <w:color w:val="auto"/>
              </w:rPr>
            </w:pPr>
            <w:r>
              <w:rPr>
                <w:rFonts w:ascii="Arial" w:cs="Arial" w:eastAsia="Arial" w:hAnsi="Arial"/>
                <w:sz w:val="17"/>
                <w:szCs w:val="17"/>
                <w:color w:val="auto"/>
              </w:rPr>
              <w:t>(98.7)</w:t>
            </w:r>
          </w:p>
        </w:tc>
      </w:tr>
      <w:tr>
        <w:trPr>
          <w:trHeight w:val="230"/>
        </w:trPr>
        <w:tc>
          <w:tcPr>
            <w:tcW w:w="75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Other Financing Activities</w:t>
            </w:r>
          </w:p>
        </w:tc>
        <w:tc>
          <w:tcPr>
            <w:tcW w:w="27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(2.1)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23"/>
        </w:trPr>
        <w:tc>
          <w:tcPr>
            <w:tcW w:w="758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Cash provided by Financing Activities</w:t>
            </w:r>
          </w:p>
        </w:tc>
        <w:tc>
          <w:tcPr>
            <w:tcW w:w="27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230.8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188.1</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Change in Cash, Cash Equivalents and Restricted Cash</w:t>
            </w:r>
          </w:p>
        </w:tc>
        <w:tc>
          <w:tcPr>
            <w:tcW w:w="27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0.9</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25"/>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Cash, Cash Equivalents and Restricted Cash at Beginning of Period</w:t>
            </w:r>
          </w:p>
        </w:tc>
        <w:tc>
          <w:tcPr>
            <w:tcW w:w="27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47.7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w:t>
            </w:r>
          </w:p>
        </w:tc>
      </w:tr>
      <w:tr>
        <w:trPr>
          <w:trHeight w:val="223"/>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27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$48.6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$65.4</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200"/>
          </w:cols>
          <w:pgMar w:left="340" w:top="891" w:right="35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ALLETE, Inc. Third Quarter 2022 Form 10-Q</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40" w:type="dxa"/>
            <w:vAlign w:val="bottom"/>
          </w:tcPr>
          <w:p>
            <w:pPr>
              <w:spacing w:after="0"/>
              <w:rPr>
                <w:sz w:val="19"/>
                <w:szCs w:val="19"/>
                <w:color w:val="auto"/>
              </w:rPr>
            </w:pPr>
          </w:p>
        </w:tc>
        <w:tc>
          <w:tcPr>
            <w:tcW w:w="338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Quarter Ended</w:t>
            </w:r>
          </w:p>
        </w:tc>
        <w:tc>
          <w:tcPr>
            <w:tcW w:w="21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5740" w:type="dxa"/>
            <w:vAlign w:val="bottom"/>
          </w:tcPr>
          <w:p>
            <w:pPr>
              <w:spacing w:after="0"/>
              <w:rPr>
                <w:sz w:val="19"/>
                <w:szCs w:val="19"/>
                <w:color w:val="auto"/>
              </w:rPr>
            </w:pPr>
          </w:p>
        </w:tc>
        <w:tc>
          <w:tcPr>
            <w:tcW w:w="338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212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7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2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2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2220" w:type="dxa"/>
            <w:vAlign w:val="bottom"/>
          </w:tcPr>
          <w:p>
            <w:pPr>
              <w:jc w:val="right"/>
              <w:ind w:right="150"/>
              <w:spacing w:after="0"/>
              <w:rPr>
                <w:sz w:val="20"/>
                <w:szCs w:val="20"/>
                <w:color w:val="auto"/>
              </w:rPr>
            </w:pPr>
            <w:r>
              <w:rPr>
                <w:rFonts w:ascii="Arial" w:cs="Arial" w:eastAsia="Arial" w:hAnsi="Arial"/>
                <w:sz w:val="18"/>
                <w:szCs w:val="18"/>
                <w:color w:val="auto"/>
              </w:rPr>
              <w:t>$1,771.7</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$1,474.1</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$1,536.7</w:t>
            </w:r>
          </w:p>
        </w:tc>
        <w:tc>
          <w:tcPr>
            <w:tcW w:w="920" w:type="dxa"/>
            <w:vAlign w:val="bottom"/>
          </w:tcPr>
          <w:p>
            <w:pPr>
              <w:jc w:val="right"/>
              <w:spacing w:after="0"/>
              <w:rPr>
                <w:sz w:val="20"/>
                <w:szCs w:val="20"/>
                <w:color w:val="auto"/>
              </w:rPr>
            </w:pPr>
            <w:r>
              <w:rPr>
                <w:rFonts w:ascii="Arial" w:cs="Arial" w:eastAsia="Arial" w:hAnsi="Arial"/>
                <w:sz w:val="18"/>
                <w:szCs w:val="18"/>
                <w:color w:val="auto"/>
              </w:rPr>
              <w:t>$1,460.9</w:t>
            </w:r>
          </w:p>
        </w:tc>
      </w:tr>
      <w:tr>
        <w:trPr>
          <w:trHeight w:val="230"/>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Common Stock Issued</w:t>
            </w:r>
          </w:p>
        </w:tc>
        <w:tc>
          <w:tcPr>
            <w:tcW w:w="2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5.5</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22.4</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240.5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23"/>
        </w:trPr>
        <w:tc>
          <w:tcPr>
            <w:tcW w:w="5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Balance, End of Period</w:t>
            </w:r>
          </w:p>
        </w:tc>
        <w:tc>
          <w:tcPr>
            <w:tcW w:w="2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1,777.2</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1,496.5</w:t>
            </w: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1,777.2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1,496.5</w:t>
            </w:r>
          </w:p>
        </w:tc>
      </w:tr>
      <w:tr>
        <w:trPr>
          <w:trHeight w:val="250"/>
        </w:trPr>
        <w:tc>
          <w:tcPr>
            <w:tcW w:w="574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2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2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(23.9)</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(30.3)</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Other Comprehensive Income - Net of Income Taxes</w:t>
            </w:r>
          </w:p>
        </w:tc>
        <w:tc>
          <w:tcPr>
            <w:tcW w:w="2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 on Debt Securities</w:t>
            </w:r>
          </w:p>
        </w:tc>
        <w:tc>
          <w:tcPr>
            <w:tcW w:w="2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Defined Benefit Pension and Other Postretirement Plans</w:t>
            </w:r>
          </w:p>
        </w:tc>
        <w:tc>
          <w:tcPr>
            <w:tcW w:w="2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0.1</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0.4</w:t>
            </w: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57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2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(23.8)</w:t>
            </w: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(29.9)</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50"/>
        </w:trPr>
        <w:tc>
          <w:tcPr>
            <w:tcW w:w="57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2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2220" w:type="dxa"/>
            <w:vAlign w:val="bottom"/>
          </w:tcPr>
          <w:p>
            <w:pPr>
              <w:jc w:val="right"/>
              <w:ind w:right="150"/>
              <w:spacing w:after="0"/>
              <w:rPr>
                <w:sz w:val="20"/>
                <w:szCs w:val="20"/>
                <w:color w:val="auto"/>
              </w:rPr>
            </w:pPr>
            <w:r>
              <w:rPr>
                <w:rFonts w:ascii="Arial" w:cs="Arial" w:eastAsia="Arial" w:hAnsi="Arial"/>
                <w:sz w:val="18"/>
                <w:szCs w:val="18"/>
                <w:color w:val="auto"/>
              </w:rPr>
              <w:t>932.6</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878.8</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900.2</w:t>
            </w:r>
          </w:p>
        </w:tc>
        <w:tc>
          <w:tcPr>
            <w:tcW w:w="920" w:type="dxa"/>
            <w:vAlign w:val="bottom"/>
          </w:tcPr>
          <w:p>
            <w:pPr>
              <w:jc w:val="right"/>
              <w:spacing w:after="0"/>
              <w:rPr>
                <w:sz w:val="20"/>
                <w:szCs w:val="20"/>
                <w:color w:val="auto"/>
              </w:rPr>
            </w:pPr>
            <w:r>
              <w:rPr>
                <w:rFonts w:ascii="Arial" w:cs="Arial" w:eastAsia="Arial" w:hAnsi="Arial"/>
                <w:sz w:val="18"/>
                <w:szCs w:val="18"/>
                <w:color w:val="auto"/>
              </w:rPr>
              <w:t>864.8</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ALLETE</w:t>
            </w:r>
          </w:p>
        </w:tc>
        <w:tc>
          <w:tcPr>
            <w:tcW w:w="2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33.7</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27.6</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137.6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r>
      <w:tr>
        <w:trPr>
          <w:trHeight w:val="22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Common Stock Dividends</w:t>
            </w:r>
          </w:p>
        </w:tc>
        <w:tc>
          <w:tcPr>
            <w:tcW w:w="2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(37.1)</w:t>
            </w: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(33.0)</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(108.6)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r>
      <w:tr>
        <w:trPr>
          <w:trHeight w:val="223"/>
        </w:trPr>
        <w:tc>
          <w:tcPr>
            <w:tcW w:w="57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2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929.2</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873.4</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929.2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w:t>
            </w:r>
          </w:p>
        </w:tc>
      </w:tr>
      <w:tr>
        <w:trPr>
          <w:trHeight w:val="250"/>
        </w:trPr>
        <w:tc>
          <w:tcPr>
            <w:tcW w:w="57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Non-Controlling Interest in Subsidiaries</w:t>
            </w:r>
          </w:p>
        </w:tc>
        <w:tc>
          <w:tcPr>
            <w:tcW w:w="2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2220" w:type="dxa"/>
            <w:vAlign w:val="bottom"/>
          </w:tcPr>
          <w:p>
            <w:pPr>
              <w:jc w:val="right"/>
              <w:ind w:right="150"/>
              <w:spacing w:after="0"/>
              <w:rPr>
                <w:sz w:val="20"/>
                <w:szCs w:val="20"/>
                <w:color w:val="auto"/>
              </w:rPr>
            </w:pPr>
            <w:r>
              <w:rPr>
                <w:rFonts w:ascii="Arial" w:cs="Arial" w:eastAsia="Arial" w:hAnsi="Arial"/>
                <w:sz w:val="18"/>
                <w:szCs w:val="18"/>
                <w:color w:val="auto"/>
              </w:rPr>
              <w:t>678.5</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519.3</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533.2</w:t>
            </w:r>
          </w:p>
        </w:tc>
        <w:tc>
          <w:tcPr>
            <w:tcW w:w="920" w:type="dxa"/>
            <w:vAlign w:val="bottom"/>
          </w:tcPr>
          <w:p>
            <w:pPr>
              <w:jc w:val="right"/>
              <w:spacing w:after="0"/>
              <w:rPr>
                <w:sz w:val="20"/>
                <w:szCs w:val="20"/>
                <w:color w:val="auto"/>
              </w:rPr>
            </w:pPr>
            <w:r>
              <w:rPr>
                <w:rFonts w:ascii="Arial" w:cs="Arial" w:eastAsia="Arial" w:hAnsi="Arial"/>
                <w:sz w:val="18"/>
                <w:szCs w:val="18"/>
                <w:color w:val="auto"/>
              </w:rPr>
              <w:t>505.6</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Non-Controlling Interest in Subsidiaries - Net</w:t>
            </w:r>
          </w:p>
        </w:tc>
        <w:tc>
          <w:tcPr>
            <w:tcW w:w="2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182.9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2220" w:type="dxa"/>
            <w:vAlign w:val="bottom"/>
          </w:tcPr>
          <w:p>
            <w:pPr>
              <w:jc w:val="right"/>
              <w:ind w:right="110"/>
              <w:spacing w:after="0"/>
              <w:rPr>
                <w:sz w:val="20"/>
                <w:szCs w:val="20"/>
                <w:color w:val="auto"/>
              </w:rPr>
            </w:pPr>
            <w:r>
              <w:rPr>
                <w:rFonts w:ascii="Arial" w:cs="Arial" w:eastAsia="Arial" w:hAnsi="Arial"/>
                <w:sz w:val="18"/>
                <w:szCs w:val="18"/>
                <w:color w:val="auto"/>
              </w:rPr>
              <w:t>(6.9)</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(3.5)</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(43.5)</w:t>
            </w:r>
          </w:p>
        </w:tc>
        <w:tc>
          <w:tcPr>
            <w:tcW w:w="92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29"/>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Distributions to Non-Controlling Interest</w:t>
            </w:r>
          </w:p>
        </w:tc>
        <w:tc>
          <w:tcPr>
            <w:tcW w:w="2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(0.3)</w:t>
            </w: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(1.3)</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5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Balance, End of Period</w:t>
            </w:r>
          </w:p>
        </w:tc>
        <w:tc>
          <w:tcPr>
            <w:tcW w:w="2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671.3</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514.5</w:t>
            </w: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671.3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514.5</w:t>
            </w:r>
          </w:p>
        </w:tc>
      </w:tr>
      <w:tr>
        <w:trPr>
          <w:trHeight w:val="250"/>
        </w:trPr>
        <w:tc>
          <w:tcPr>
            <w:tcW w:w="5740" w:type="dxa"/>
            <w:vAlign w:val="bottom"/>
            <w:tcBorders>
              <w:bottom w:val="single" w:sz="8" w:color="auto"/>
            </w:tcBorders>
            <w:shd w:val="clear" w:color="auto" w:fill="CCEEFF"/>
          </w:tcPr>
          <w:p>
            <w:pPr>
              <w:spacing w:after="0"/>
              <w:rPr>
                <w:sz w:val="21"/>
                <w:szCs w:val="21"/>
                <w:color w:val="auto"/>
              </w:rPr>
            </w:pPr>
          </w:p>
        </w:tc>
        <w:tc>
          <w:tcPr>
            <w:tcW w:w="2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r>
      <w:tr>
        <w:trPr>
          <w:trHeight w:val="22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Equity</w:t>
            </w:r>
          </w:p>
        </w:tc>
        <w:tc>
          <w:tcPr>
            <w:tcW w:w="2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$3,353.9</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$2,854.5</w:t>
            </w: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$3,353.9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$2,854.5</w:t>
            </w:r>
          </w:p>
        </w:tc>
      </w:tr>
      <w:tr>
        <w:trPr>
          <w:trHeight w:val="250"/>
        </w:trPr>
        <w:tc>
          <w:tcPr>
            <w:tcW w:w="574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Dividends Per Share of Common Stock</w:t>
            </w:r>
          </w:p>
        </w:tc>
        <w:tc>
          <w:tcPr>
            <w:tcW w:w="2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$0.65</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$0.63</w:t>
            </w: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$1.95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2021, Consolidated Balance Sheet was derived from audited financial statements, but does not include all disclosures required by GAAP. The presentation of certain prior period amounts on the Consolidated Financial Statements have been adjusted for comparative purposes. In management’s opinion, these unaudited financial statements include all adjustments necessary for a fair statement of financial results. All adjustments are of a normal, recurring nature, except as otherwise disclosed. Operating results for the nine months ended September 30, 2022, are not necessarily indicative of results that may be expected for any other interim period or for the year ending December 31, 2022. For further information, refer to the Consolidated Financial Statements and notes included in our 2021 Form 10-K.</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Cash, Cash Equivalents and Restricted Cash. </w:t>
      </w:r>
      <w:r>
        <w:rPr>
          <w:rFonts w:ascii="Arial" w:cs="Arial" w:eastAsia="Arial" w:hAnsi="Arial"/>
          <w:sz w:val="18"/>
          <w:szCs w:val="18"/>
          <w:color w:val="auto"/>
        </w:rPr>
        <w:t>We consider all investments purchased with original maturities of three months or less to be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As of September 30, 2022, restricted cash amounts included in Prepayments and Other on the Consolidated Balance Sheet include collateral deposits required under ALLETE Clean Energy loan and tax equity financing agreements. The restricted cash amounts included in Other Non-Current Assets represent collateral deposits required under an ALLETE Clean Energy loan agreement as well as PSAs. The following table provides a reconciliation of cash, cash equivalents and restricted cash reported within the Consolidated Balance Sheet that aggregate to the amounts presented in the Consolidated Statement of Cash Flows.</w:t>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b w:val="1"/>
                <w:bCs w:val="1"/>
                <w:color w:val="auto"/>
              </w:rPr>
              <w:t>September 30,</w:t>
            </w: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c>
          <w:tcPr>
            <w:tcW w:w="1580" w:type="dxa"/>
            <w:vAlign w:val="bottom"/>
          </w:tcPr>
          <w:p>
            <w:pPr>
              <w:jc w:val="right"/>
              <w:ind w:right="17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1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7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$42.1</w:t>
            </w:r>
          </w:p>
        </w:tc>
        <w:tc>
          <w:tcPr>
            <w:tcW w:w="1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$45.1</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$59.0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Restricted Cash included in Prepayments and Other</w:t>
            </w:r>
          </w:p>
        </w:tc>
        <w:tc>
          <w:tcPr>
            <w:tcW w:w="1700" w:type="dxa"/>
            <w:vAlign w:val="bottom"/>
          </w:tcPr>
          <w:p>
            <w:pPr>
              <w:jc w:val="right"/>
              <w:ind w:right="210"/>
              <w:spacing w:after="0"/>
              <w:rPr>
                <w:sz w:val="20"/>
                <w:szCs w:val="20"/>
                <w:color w:val="auto"/>
              </w:rPr>
            </w:pPr>
            <w:r>
              <w:rPr>
                <w:rFonts w:ascii="Arial" w:cs="Arial" w:eastAsia="Arial" w:hAnsi="Arial"/>
                <w:sz w:val="18"/>
                <w:szCs w:val="18"/>
                <w:color w:val="auto"/>
              </w:rPr>
              <w:t>4.2</w:t>
            </w: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0.3</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4.1</w:t>
            </w: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5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7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2.3</w:t>
            </w:r>
          </w:p>
        </w:tc>
        <w:tc>
          <w:tcPr>
            <w:tcW w:w="15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2.3</w:t>
            </w:r>
          </w:p>
        </w:tc>
        <w:tc>
          <w:tcPr>
            <w:tcW w:w="15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169"/>
        </w:trPr>
        <w:tc>
          <w:tcPr>
            <w:tcW w:w="5040" w:type="dxa"/>
            <w:vAlign w:val="bottom"/>
          </w:tcPr>
          <w:p>
            <w:pPr>
              <w:ind w:left="20"/>
              <w:spacing w:after="0" w:line="169" w:lineRule="exact"/>
              <w:rPr>
                <w:sz w:val="20"/>
                <w:szCs w:val="20"/>
                <w:color w:val="auto"/>
              </w:rPr>
            </w:pPr>
            <w:r>
              <w:rPr>
                <w:rFonts w:ascii="Arial" w:cs="Arial" w:eastAsia="Arial" w:hAnsi="Arial"/>
                <w:sz w:val="18"/>
                <w:szCs w:val="18"/>
                <w:color w:val="auto"/>
                <w:w w:val="95"/>
              </w:rPr>
              <w:t>Cash, Cash Equivalents and Restricted Cash on the Consolidated</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4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Statement of Cash Flows</w:t>
            </w:r>
          </w:p>
        </w:tc>
        <w:tc>
          <w:tcPr>
            <w:tcW w:w="1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$48.6</w:t>
            </w:r>
          </w:p>
        </w:tc>
        <w:tc>
          <w:tcPr>
            <w:tcW w:w="1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$47.7</w:t>
            </w:r>
          </w:p>
        </w:tc>
        <w:tc>
          <w:tcPr>
            <w:tcW w:w="1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$65.4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r>
    </w:tbl>
    <w:p>
      <w:pPr>
        <w:spacing w:after="0" w:line="33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 Net. </w:t>
      </w:r>
      <w:r>
        <w:rPr>
          <w:rFonts w:ascii="Arial" w:cs="Arial" w:eastAsia="Arial" w:hAnsi="Arial"/>
          <w:sz w:val="18"/>
          <w:szCs w:val="18"/>
          <w:color w:val="auto"/>
        </w:rPr>
        <w:t>Inventories are stated at the lower of cost or net realizable value. Inventories in our Regulated Operations segment are carried at an</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cost or first-in, first-out basis. Inventories in our ALLETE Clean Energy segment and Corporate and Other businesses are carried at an average cost, first-in, first-out or specific identification basis.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8"/>
                <w:szCs w:val="18"/>
                <w:color w:val="auto"/>
              </w:rPr>
            </w:pPr>
          </w:p>
        </w:tc>
        <w:tc>
          <w:tcPr>
            <w:tcW w:w="3700" w:type="dxa"/>
            <w:vAlign w:val="bottom"/>
          </w:tcPr>
          <w:p>
            <w:pPr>
              <w:jc w:val="right"/>
              <w:ind w:right="15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Inventories – Net</w:t>
            </w:r>
          </w:p>
        </w:tc>
        <w:tc>
          <w:tcPr>
            <w:tcW w:w="3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7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6"/>
                <w:szCs w:val="16"/>
                <w:i w:val="1"/>
                <w:iCs w:val="1"/>
                <w:color w:val="auto"/>
              </w:rPr>
              <w:t>(a)</w:t>
            </w:r>
          </w:p>
        </w:tc>
        <w:tc>
          <w:tcPr>
            <w:tcW w:w="3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$36.2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Materials and Supplies</w:t>
            </w:r>
          </w:p>
        </w:tc>
        <w:tc>
          <w:tcPr>
            <w:tcW w:w="3700" w:type="dxa"/>
            <w:vAlign w:val="bottom"/>
          </w:tcPr>
          <w:p>
            <w:pPr>
              <w:jc w:val="right"/>
              <w:ind w:right="210"/>
              <w:spacing w:after="0"/>
              <w:rPr>
                <w:sz w:val="20"/>
                <w:szCs w:val="20"/>
                <w:color w:val="auto"/>
              </w:rPr>
            </w:pPr>
            <w:r>
              <w:rPr>
                <w:rFonts w:ascii="Arial" w:cs="Arial" w:eastAsia="Arial" w:hAnsi="Arial"/>
                <w:sz w:val="18"/>
                <w:szCs w:val="18"/>
                <w:color w:val="auto"/>
              </w:rPr>
              <w:t>70.6</w:t>
            </w:r>
          </w:p>
        </w:tc>
        <w:tc>
          <w:tcPr>
            <w:tcW w:w="1320" w:type="dxa"/>
            <w:vAlign w:val="bottom"/>
          </w:tcPr>
          <w:p>
            <w:pPr>
              <w:jc w:val="right"/>
              <w:spacing w:after="0"/>
              <w:rPr>
                <w:sz w:val="20"/>
                <w:szCs w:val="20"/>
                <w:color w:val="auto"/>
              </w:rPr>
            </w:pPr>
            <w:r>
              <w:rPr>
                <w:rFonts w:ascii="Arial" w:cs="Arial" w:eastAsia="Arial" w:hAnsi="Arial"/>
                <w:sz w:val="18"/>
                <w:szCs w:val="18"/>
                <w:color w:val="auto"/>
              </w:rPr>
              <w:t>56.1</w:t>
            </w:r>
          </w:p>
        </w:tc>
      </w:tr>
      <w:tr>
        <w:trPr>
          <w:trHeight w:val="229"/>
        </w:trPr>
        <w:tc>
          <w:tcPr>
            <w:tcW w:w="6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Renewable Energy Facilities Under Development </w:t>
            </w:r>
            <w:r>
              <w:rPr>
                <w:rFonts w:ascii="Arial" w:cs="Arial" w:eastAsia="Arial" w:hAnsi="Arial"/>
                <w:sz w:val="16"/>
                <w:szCs w:val="16"/>
                <w:i w:val="1"/>
                <w:iCs w:val="1"/>
                <w:color w:val="auto"/>
              </w:rPr>
              <w:t>(b)</w:t>
            </w:r>
          </w:p>
        </w:tc>
        <w:tc>
          <w:tcPr>
            <w:tcW w:w="37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365.4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23"/>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Inventories – Net</w:t>
            </w:r>
          </w:p>
        </w:tc>
        <w:tc>
          <w:tcPr>
            <w:tcW w:w="3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$472.2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r>
    </w:tbl>
    <w:p>
      <w:pPr>
        <w:spacing w:after="0" w:line="71"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Fuel consists primarily of coal inventory at Minnesota Power.</w:t>
      </w:r>
    </w:p>
    <w:p>
      <w:pPr>
        <w:spacing w:after="0" w:line="22" w:lineRule="exact"/>
        <w:rPr>
          <w:rFonts w:ascii="Arial" w:cs="Arial" w:eastAsia="Arial" w:hAnsi="Arial"/>
          <w:sz w:val="16"/>
          <w:szCs w:val="16"/>
          <w:i w:val="1"/>
          <w:iCs w:val="1"/>
          <w:color w:val="auto"/>
        </w:rPr>
      </w:pPr>
    </w:p>
    <w:p>
      <w:pPr>
        <w:ind w:left="340" w:hanging="332"/>
        <w:spacing w:after="0" w:line="270" w:lineRule="auto"/>
        <w:tabs>
          <w:tab w:leader="none" w:pos="418"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Renewable Energy Facilities Under Development consists primarily of project costs related to ALLETE Clean Energy’s Northern Wind, Rock Aetna, and Red Barn wind projects which are expected to be sold in late 2022 and early 2023, respectively. (See Other Current Liabilities.)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0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45"/>
        </w:trPr>
        <w:tc>
          <w:tcPr>
            <w:tcW w:w="4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080" w:type="dxa"/>
            <w:vAlign w:val="bottom"/>
          </w:tcPr>
          <w:p>
            <w:pPr>
              <w:jc w:val="right"/>
              <w:ind w:right="130"/>
              <w:spacing w:after="0"/>
              <w:rPr>
                <w:sz w:val="20"/>
                <w:szCs w:val="20"/>
                <w:color w:val="auto"/>
              </w:rPr>
            </w:pPr>
            <w:r>
              <w:rPr>
                <w:rFonts w:ascii="Arial" w:cs="Arial" w:eastAsia="Arial" w:hAnsi="Arial"/>
                <w:sz w:val="18"/>
                <w:szCs w:val="18"/>
                <w:b w:val="1"/>
                <w:bCs w:val="1"/>
                <w:color w:val="auto"/>
              </w:rPr>
              <w:t>September 30,</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40" w:type="dxa"/>
            <w:vAlign w:val="bottom"/>
          </w:tcPr>
          <w:p>
            <w:pPr>
              <w:spacing w:after="0"/>
              <w:rPr>
                <w:sz w:val="21"/>
                <w:szCs w:val="21"/>
                <w:color w:val="auto"/>
              </w:rPr>
            </w:pPr>
          </w:p>
        </w:tc>
        <w:tc>
          <w:tcPr>
            <w:tcW w:w="7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Other Non-Current Assets</w:t>
            </w:r>
          </w:p>
        </w:tc>
        <w:tc>
          <w:tcPr>
            <w:tcW w:w="2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4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20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Contract Assets </w:t>
            </w:r>
            <w:r>
              <w:rPr>
                <w:rFonts w:ascii="Arial" w:cs="Arial" w:eastAsia="Arial" w:hAnsi="Arial"/>
                <w:sz w:val="16"/>
                <w:szCs w:val="16"/>
                <w:i w:val="1"/>
                <w:iCs w:val="1"/>
                <w:color w:val="auto"/>
              </w:rPr>
              <w:t>(a)</w:t>
            </w:r>
          </w:p>
        </w:tc>
        <w:tc>
          <w:tcPr>
            <w:tcW w:w="2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29"/>
        </w:trPr>
        <w:tc>
          <w:tcPr>
            <w:tcW w:w="4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080" w:type="dxa"/>
            <w:vAlign w:val="bottom"/>
          </w:tcPr>
          <w:p>
            <w:pPr>
              <w:jc w:val="right"/>
              <w:ind w:right="190"/>
              <w:spacing w:after="0"/>
              <w:rPr>
                <w:sz w:val="20"/>
                <w:szCs w:val="20"/>
                <w:color w:val="auto"/>
              </w:rPr>
            </w:pPr>
            <w:r>
              <w:rPr>
                <w:rFonts w:ascii="Arial" w:cs="Arial" w:eastAsia="Arial" w:hAnsi="Arial"/>
                <w:sz w:val="18"/>
                <w:szCs w:val="18"/>
                <w:color w:val="auto"/>
              </w:rPr>
              <w:t>13.9</w:t>
            </w:r>
          </w:p>
        </w:tc>
        <w:tc>
          <w:tcPr>
            <w:tcW w:w="130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40" w:type="dxa"/>
            <w:vAlign w:val="bottom"/>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ALLETE Properties</w:t>
            </w:r>
          </w:p>
        </w:tc>
        <w:tc>
          <w:tcPr>
            <w:tcW w:w="2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9"/>
        </w:trPr>
        <w:tc>
          <w:tcPr>
            <w:tcW w:w="4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Restricted Cash</w:t>
            </w:r>
          </w:p>
        </w:tc>
        <w:tc>
          <w:tcPr>
            <w:tcW w:w="2080" w:type="dxa"/>
            <w:vAlign w:val="bottom"/>
          </w:tcPr>
          <w:p>
            <w:pPr>
              <w:jc w:val="right"/>
              <w:ind w:right="190"/>
              <w:spacing w:after="0"/>
              <w:rPr>
                <w:sz w:val="20"/>
                <w:szCs w:val="20"/>
                <w:color w:val="auto"/>
              </w:rPr>
            </w:pPr>
            <w:r>
              <w:rPr>
                <w:rFonts w:ascii="Arial" w:cs="Arial" w:eastAsia="Arial" w:hAnsi="Arial"/>
                <w:sz w:val="18"/>
                <w:szCs w:val="18"/>
                <w:color w:val="auto"/>
              </w:rPr>
              <w:t>2.3</w:t>
            </w: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40" w:type="dxa"/>
            <w:vAlign w:val="bottom"/>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Postretirement Benefit Plans</w:t>
            </w:r>
          </w:p>
        </w:tc>
        <w:tc>
          <w:tcPr>
            <w:tcW w:w="2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66.5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29"/>
        </w:trPr>
        <w:tc>
          <w:tcPr>
            <w:tcW w:w="40" w:type="dxa"/>
            <w:vAlign w:val="bottom"/>
          </w:tcPr>
          <w:p>
            <w:pPr>
              <w:spacing w:after="0"/>
              <w:rPr>
                <w:sz w:val="19"/>
                <w:szCs w:val="19"/>
                <w:color w:val="auto"/>
              </w:rPr>
            </w:pPr>
          </w:p>
        </w:tc>
        <w:tc>
          <w:tcPr>
            <w:tcW w:w="7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79.8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w:t>
            </w:r>
          </w:p>
        </w:tc>
      </w:tr>
      <w:tr>
        <w:trPr>
          <w:trHeight w:val="223"/>
        </w:trPr>
        <w:tc>
          <w:tcPr>
            <w:tcW w:w="40" w:type="dxa"/>
            <w:vAlign w:val="bottom"/>
          </w:tcPr>
          <w:p>
            <w:pPr>
              <w:spacing w:after="0"/>
              <w:rPr>
                <w:sz w:val="19"/>
                <w:szCs w:val="19"/>
                <w:color w:val="auto"/>
              </w:rPr>
            </w:pPr>
          </w:p>
        </w:tc>
        <w:tc>
          <w:tcPr>
            <w:tcW w:w="7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Other Non-Current Assets</w:t>
            </w:r>
          </w:p>
        </w:tc>
        <w:tc>
          <w:tcPr>
            <w:tcW w:w="20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$201.6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r>
    </w:tbl>
    <w:p>
      <w:pPr>
        <w:spacing w:after="0" w:line="85" w:lineRule="exact"/>
        <w:rPr>
          <w:sz w:val="20"/>
          <w:szCs w:val="20"/>
          <w:color w:val="auto"/>
        </w:rPr>
      </w:pPr>
    </w:p>
    <w:p>
      <w:pPr>
        <w:ind w:left="340" w:hanging="332"/>
        <w:spacing w:after="0" w:line="275" w:lineRule="auto"/>
        <w:tabs>
          <w:tab w:leader="none" w:pos="394"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Contract Assets consist of payments made to customers as an incentive to execute or extend service agreements. The contract payments are being amortized over the term of the respective agreements as a reduction to revenue.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3980" w:type="dxa"/>
            <w:vAlign w:val="bottom"/>
          </w:tcPr>
          <w:p>
            <w:pPr>
              <w:jc w:val="right"/>
              <w:ind w:right="130"/>
              <w:spacing w:after="0"/>
              <w:rPr>
                <w:sz w:val="20"/>
                <w:szCs w:val="20"/>
                <w:color w:val="auto"/>
              </w:rPr>
            </w:pPr>
            <w:r>
              <w:rPr>
                <w:rFonts w:ascii="Arial" w:cs="Arial" w:eastAsia="Arial" w:hAnsi="Arial"/>
                <w:sz w:val="18"/>
                <w:szCs w:val="18"/>
                <w:b w:val="1"/>
                <w:bCs w:val="1"/>
                <w:color w:val="auto"/>
              </w:rPr>
              <w:t>September 30,</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Other Current Liabilities</w:t>
            </w:r>
          </w:p>
        </w:tc>
        <w:tc>
          <w:tcPr>
            <w:tcW w:w="3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9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Customer Deposits </w:t>
            </w:r>
            <w:r>
              <w:rPr>
                <w:rFonts w:ascii="Arial" w:cs="Arial" w:eastAsia="Arial" w:hAnsi="Arial"/>
                <w:sz w:val="16"/>
                <w:szCs w:val="16"/>
                <w:i w:val="1"/>
                <w:iCs w:val="1"/>
                <w:color w:val="auto"/>
              </w:rPr>
              <w:t>(a)</w:t>
            </w:r>
          </w:p>
        </w:tc>
        <w:tc>
          <w:tcPr>
            <w:tcW w:w="3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$111.7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PSAs</w:t>
            </w:r>
          </w:p>
        </w:tc>
        <w:tc>
          <w:tcPr>
            <w:tcW w:w="3980" w:type="dxa"/>
            <w:vAlign w:val="bottom"/>
          </w:tcPr>
          <w:p>
            <w:pPr>
              <w:jc w:val="right"/>
              <w:ind w:right="190"/>
              <w:spacing w:after="0"/>
              <w:rPr>
                <w:sz w:val="20"/>
                <w:szCs w:val="20"/>
                <w:color w:val="auto"/>
              </w:rPr>
            </w:pPr>
            <w:r>
              <w:rPr>
                <w:rFonts w:ascii="Arial" w:cs="Arial" w:eastAsia="Arial" w:hAnsi="Arial"/>
                <w:sz w:val="18"/>
                <w:szCs w:val="18"/>
                <w:color w:val="auto"/>
              </w:rPr>
              <w:t>6.1</w:t>
            </w:r>
          </w:p>
        </w:tc>
        <w:tc>
          <w:tcPr>
            <w:tcW w:w="12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Manufactured Gas Plant </w:t>
            </w:r>
            <w:r>
              <w:rPr>
                <w:rFonts w:ascii="Arial" w:cs="Arial" w:eastAsia="Arial" w:hAnsi="Arial"/>
                <w:sz w:val="16"/>
                <w:szCs w:val="16"/>
                <w:i w:val="1"/>
                <w:iCs w:val="1"/>
                <w:color w:val="auto"/>
              </w:rPr>
              <w:t>(b)</w:t>
            </w:r>
          </w:p>
        </w:tc>
        <w:tc>
          <w:tcPr>
            <w:tcW w:w="3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Fuel Adjustment Clause</w:t>
            </w:r>
          </w:p>
        </w:tc>
        <w:tc>
          <w:tcPr>
            <w:tcW w:w="39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 xml:space="preserve">Redeemable Non-Controlling Interest </w:t>
            </w:r>
            <w:r>
              <w:rPr>
                <w:rFonts w:ascii="Arial" w:cs="Arial" w:eastAsia="Arial" w:hAnsi="Arial"/>
                <w:sz w:val="16"/>
                <w:szCs w:val="16"/>
                <w:i w:val="1"/>
                <w:iCs w:val="1"/>
                <w:color w:val="auto"/>
              </w:rPr>
              <w:t>(c)</w:t>
            </w:r>
          </w:p>
        </w:tc>
        <w:tc>
          <w:tcPr>
            <w:tcW w:w="39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29"/>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9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49.2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Other Current Liabilities</w:t>
            </w:r>
          </w:p>
        </w:tc>
        <w:tc>
          <w:tcPr>
            <w:tcW w:w="3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$188.5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r>
    </w:tbl>
    <w:p>
      <w:pPr>
        <w:spacing w:after="0" w:line="85" w:lineRule="exact"/>
        <w:rPr>
          <w:sz w:val="20"/>
          <w:szCs w:val="20"/>
          <w:color w:val="auto"/>
        </w:rPr>
      </w:pPr>
    </w:p>
    <w:p>
      <w:pPr>
        <w:ind w:left="340" w:hanging="332"/>
        <w:spacing w:after="0" w:line="257" w:lineRule="auto"/>
        <w:tabs>
          <w:tab w:leader="none" w:pos="245"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Primarily related to deposits received by ALLETE Clean Energy for the Northern Wind, Rock Aetna and Red Barn wind projects which are expected to be sold in late 2022 and early 2023, respectively. (See Inventories – Net.)</w:t>
      </w:r>
    </w:p>
    <w:p>
      <w:pPr>
        <w:spacing w:after="0" w:line="1" w:lineRule="exact"/>
        <w:rPr>
          <w:rFonts w:ascii="Arial" w:cs="Arial" w:eastAsia="Arial" w:hAnsi="Arial"/>
          <w:sz w:val="16"/>
          <w:szCs w:val="16"/>
          <w:i w:val="1"/>
          <w:iCs w:val="1"/>
          <w:color w:val="auto"/>
        </w:rPr>
      </w:pPr>
    </w:p>
    <w:p>
      <w:pPr>
        <w:ind w:left="340" w:hanging="332"/>
        <w:spacing w:after="0" w:line="255" w:lineRule="auto"/>
        <w:tabs>
          <w:tab w:leader="none" w:pos="259"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The manufactured gas plant represents the current liability for remediation of a former manufactured gas plant site located in Superior, Wisconsin, and formerly operated by SWL&amp;P.</w:t>
      </w:r>
    </w:p>
    <w:p>
      <w:pPr>
        <w:ind w:left="340" w:hanging="332"/>
        <w:spacing w:after="0" w:line="270" w:lineRule="auto"/>
        <w:tabs>
          <w:tab w:leader="none" w:pos="236"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Amount reclassified from Non-Controlling Interest in Subsidiaries resulting from the exercise of an option to buy out a non-controlling interest, which was paid in the first quarter of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tcPr>
          <w:p>
            <w:pPr>
              <w:spacing w:after="0"/>
              <w:rPr>
                <w:sz w:val="18"/>
                <w:szCs w:val="18"/>
                <w:color w:val="auto"/>
              </w:rPr>
            </w:pPr>
          </w:p>
        </w:tc>
        <w:tc>
          <w:tcPr>
            <w:tcW w:w="4320" w:type="dxa"/>
            <w:vAlign w:val="bottom"/>
          </w:tcPr>
          <w:p>
            <w:pPr>
              <w:jc w:val="right"/>
              <w:ind w:right="15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4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3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Asset Retirement Obligation </w:t>
            </w:r>
            <w:r>
              <w:rPr>
                <w:rFonts w:ascii="Arial" w:cs="Arial" w:eastAsia="Arial" w:hAnsi="Arial"/>
                <w:sz w:val="16"/>
                <w:szCs w:val="16"/>
                <w:i w:val="1"/>
                <w:iCs w:val="1"/>
                <w:color w:val="auto"/>
              </w:rPr>
              <w:t>(a)</w:t>
            </w:r>
          </w:p>
        </w:tc>
        <w:tc>
          <w:tcPr>
            <w:tcW w:w="4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$197.2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PSAs</w:t>
            </w:r>
          </w:p>
        </w:tc>
        <w:tc>
          <w:tcPr>
            <w:tcW w:w="4320" w:type="dxa"/>
            <w:vAlign w:val="bottom"/>
          </w:tcPr>
          <w:p>
            <w:pPr>
              <w:jc w:val="right"/>
              <w:ind w:right="210"/>
              <w:spacing w:after="0"/>
              <w:rPr>
                <w:sz w:val="20"/>
                <w:szCs w:val="20"/>
                <w:color w:val="auto"/>
              </w:rPr>
            </w:pPr>
            <w:r>
              <w:rPr>
                <w:rFonts w:ascii="Arial" w:cs="Arial" w:eastAsia="Arial" w:hAnsi="Arial"/>
                <w:sz w:val="18"/>
                <w:szCs w:val="18"/>
                <w:color w:val="auto"/>
              </w:rPr>
              <w:t>28.4</w:t>
            </w:r>
          </w:p>
        </w:tc>
        <w:tc>
          <w:tcPr>
            <w:tcW w:w="132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Manufactured Gas Plant </w:t>
            </w:r>
            <w:r>
              <w:rPr>
                <w:rFonts w:ascii="Arial" w:cs="Arial" w:eastAsia="Arial" w:hAnsi="Arial"/>
                <w:sz w:val="16"/>
                <w:szCs w:val="16"/>
                <w:i w:val="1"/>
                <w:iCs w:val="1"/>
                <w:color w:val="auto"/>
              </w:rPr>
              <w:t>(b)</w:t>
            </w:r>
          </w:p>
        </w:tc>
        <w:tc>
          <w:tcPr>
            <w:tcW w:w="4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4320" w:type="dxa"/>
            <w:vAlign w:val="bottom"/>
          </w:tcPr>
          <w:p>
            <w:pPr>
              <w:jc w:val="right"/>
              <w:ind w:right="210"/>
              <w:spacing w:after="0"/>
              <w:rPr>
                <w:sz w:val="20"/>
                <w:szCs w:val="20"/>
                <w:color w:val="auto"/>
              </w:rPr>
            </w:pPr>
            <w:r>
              <w:rPr>
                <w:rFonts w:ascii="Arial" w:cs="Arial" w:eastAsia="Arial" w:hAnsi="Arial"/>
                <w:sz w:val="18"/>
                <w:szCs w:val="18"/>
                <w:color w:val="auto"/>
              </w:rPr>
              <w:t>10.0</w:t>
            </w:r>
          </w:p>
        </w:tc>
        <w:tc>
          <w:tcPr>
            <w:tcW w:w="13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5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3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33.0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3"/>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Other Non-Current Liabilities</w:t>
            </w:r>
          </w:p>
        </w:tc>
        <w:tc>
          <w:tcPr>
            <w:tcW w:w="4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$268.8</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w:t>
            </w:r>
          </w:p>
        </w:tc>
      </w:tr>
    </w:tbl>
    <w:p>
      <w:pPr>
        <w:spacing w:after="0" w:line="85" w:lineRule="exact"/>
        <w:rPr>
          <w:sz w:val="20"/>
          <w:szCs w:val="20"/>
          <w:color w:val="auto"/>
        </w:rPr>
      </w:pPr>
    </w:p>
    <w:p>
      <w:pPr>
        <w:jc w:val="both"/>
        <w:ind w:left="340" w:hanging="332"/>
        <w:spacing w:after="0" w:line="258"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The asset retirement obligation is primarily related to our Regulated Operations and is funded through customer rates over the life of the related assets. Additionally, BNI Energy funds its obligation through its cost-plus coal supply agreements for which BNI Energy has recorded a receivable of $28.5 million in Other Non-Current Assets on the Consolidated Balance Sheet as of September 30, 2022, ($28.5 million as of December 31, 2021).</w:t>
      </w:r>
    </w:p>
    <w:p>
      <w:pPr>
        <w:spacing w:after="0" w:line="1" w:lineRule="exact"/>
        <w:rPr>
          <w:rFonts w:ascii="Arial" w:cs="Arial" w:eastAsia="Arial" w:hAnsi="Arial"/>
          <w:sz w:val="16"/>
          <w:szCs w:val="16"/>
          <w:i w:val="1"/>
          <w:iCs w:val="1"/>
          <w:color w:val="auto"/>
        </w:rPr>
      </w:pPr>
    </w:p>
    <w:p>
      <w:pPr>
        <w:ind w:left="340" w:hanging="332"/>
        <w:spacing w:after="0" w:line="275"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The manufactured gas plant represents the non-current liability for remediation of a former manufactured gas plant site located in Superior, Wisconsin, and formerly operated by SWL&amp;P.</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46"/>
        </w:trPr>
        <w:tc>
          <w:tcPr>
            <w:tcW w:w="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16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Quarter Ended</w:t>
            </w:r>
          </w:p>
        </w:tc>
        <w:tc>
          <w:tcPr>
            <w:tcW w:w="20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216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20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20" w:type="dxa"/>
            <w:vAlign w:val="bottom"/>
          </w:tcPr>
          <w:p>
            <w:pPr>
              <w:spacing w:after="0"/>
              <w:rPr>
                <w:sz w:val="20"/>
                <w:szCs w:val="20"/>
                <w:color w:val="auto"/>
              </w:rPr>
            </w:pPr>
          </w:p>
        </w:tc>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Other Income</w:t>
            </w: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r>
      <w:tr>
        <w:trPr>
          <w:trHeight w:val="223"/>
        </w:trPr>
        <w:tc>
          <w:tcPr>
            <w:tcW w:w="20" w:type="dxa"/>
            <w:vAlign w:val="bottom"/>
          </w:tcPr>
          <w:p>
            <w:pPr>
              <w:spacing w:after="0"/>
              <w:rPr>
                <w:sz w:val="19"/>
                <w:szCs w:val="19"/>
                <w:color w:val="auto"/>
              </w:rPr>
            </w:pPr>
          </w:p>
        </w:tc>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Pension and Other Postretirement Benefit Plan Non-Service Credits </w:t>
            </w:r>
            <w:r>
              <w:rPr>
                <w:rFonts w:ascii="Arial" w:cs="Arial" w:eastAsia="Arial" w:hAnsi="Arial"/>
                <w:sz w:val="16"/>
                <w:szCs w:val="16"/>
                <w:i w:val="1"/>
                <w:iCs w:val="1"/>
                <w:color w:val="auto"/>
              </w:rPr>
              <w:t>(a)</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20" w:type="dxa"/>
            <w:vAlign w:val="bottom"/>
          </w:tcPr>
          <w:p>
            <w:pPr>
              <w:spacing w:after="0"/>
              <w:rPr>
                <w:sz w:val="19"/>
                <w:szCs w:val="19"/>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Interest and Investment Income (Loss)</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(0.1)</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20" w:type="dxa"/>
            <w:vAlign w:val="bottom"/>
          </w:tcPr>
          <w:p>
            <w:pPr>
              <w:spacing w:after="0"/>
              <w:rPr>
                <w:sz w:val="19"/>
                <w:szCs w:val="19"/>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AFUDC - Equity</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0.6</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20" w:type="dxa"/>
            <w:vAlign w:val="bottom"/>
          </w:tcPr>
          <w:p>
            <w:pPr>
              <w:spacing w:after="0"/>
              <w:rPr>
                <w:sz w:val="19"/>
                <w:szCs w:val="19"/>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 xml:space="preserve">PSA Liability </w:t>
            </w:r>
            <w:r>
              <w:rPr>
                <w:rFonts w:ascii="Arial" w:cs="Arial" w:eastAsia="Arial" w:hAnsi="Arial"/>
                <w:sz w:val="16"/>
                <w:szCs w:val="16"/>
                <w:i w:val="1"/>
                <w:iCs w:val="1"/>
                <w:color w:val="auto"/>
              </w:rPr>
              <w:t>(b)</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10.2</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(1.1)</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20" w:type="dxa"/>
            <w:vAlign w:val="bottom"/>
          </w:tcPr>
          <w:p>
            <w:pPr>
              <w:spacing w:after="0"/>
              <w:rPr>
                <w:sz w:val="19"/>
                <w:szCs w:val="19"/>
                <w:color w:val="auto"/>
              </w:rPr>
            </w:pPr>
          </w:p>
        </w:tc>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Other Income</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w:t>
            </w: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bl>
    <w:p>
      <w:pPr>
        <w:spacing w:after="0" w:line="71" w:lineRule="exact"/>
        <w:rPr>
          <w:sz w:val="20"/>
          <w:szCs w:val="20"/>
          <w:color w:val="auto"/>
        </w:rPr>
      </w:pPr>
    </w:p>
    <w:p>
      <w:pPr>
        <w:ind w:left="340" w:hanging="332"/>
        <w:spacing w:after="0" w:line="264"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components of net periodic pension and other postretirement benefit cost other than service cost. (See Note 10. Pension and Other Postretirement Benefit Plans.)</w:t>
      </w:r>
    </w:p>
    <w:p>
      <w:pPr>
        <w:ind w:left="340" w:right="20" w:hanging="332"/>
        <w:spacing w:after="0" w:line="257"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The gain on removal of the PSA liability for the Northern Wind project upon decommissioning of the legacy wind energy facility assets, which was fully offset by a reserve for an anticipated loss on the sale of the Northern Wind project.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6"/>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2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 – Net of Amounts Capitalized</w:t>
            </w:r>
          </w:p>
        </w:tc>
        <w:tc>
          <w:tcPr>
            <w:tcW w:w="20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$60.5</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$54.9</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0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Accounts Payable for Capital Additions to Property, Plant and Equipment</w:t>
            </w:r>
          </w:p>
        </w:tc>
        <w:tc>
          <w:tcPr>
            <w:tcW w:w="20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8320" w:type="dxa"/>
            <w:vAlign w:val="bottom"/>
          </w:tcPr>
          <w:p>
            <w:pPr>
              <w:ind w:left="220"/>
              <w:spacing w:after="0"/>
              <w:rPr>
                <w:sz w:val="20"/>
                <w:szCs w:val="20"/>
                <w:color w:val="auto"/>
              </w:rPr>
            </w:pPr>
            <w:r>
              <w:rPr>
                <w:rFonts w:ascii="Arial" w:cs="Arial" w:eastAsia="Arial" w:hAnsi="Arial"/>
                <w:sz w:val="18"/>
                <w:szCs w:val="18"/>
                <w:color w:val="auto"/>
              </w:rPr>
              <w:t xml:space="preserve">Reclassification of Property, Plant and Equipment to Inventory </w:t>
            </w:r>
            <w:r>
              <w:rPr>
                <w:rFonts w:ascii="Arial" w:cs="Arial" w:eastAsia="Arial" w:hAnsi="Arial"/>
                <w:sz w:val="16"/>
                <w:szCs w:val="16"/>
                <w:i w:val="1"/>
                <w:iCs w:val="1"/>
                <w:color w:val="auto"/>
              </w:rPr>
              <w:t>(a)</w:t>
            </w:r>
          </w:p>
        </w:tc>
        <w:tc>
          <w:tcPr>
            <w:tcW w:w="2000" w:type="dxa"/>
            <w:vAlign w:val="bottom"/>
          </w:tcPr>
          <w:p>
            <w:pPr>
              <w:jc w:val="right"/>
              <w:ind w:right="350"/>
              <w:spacing w:after="0"/>
              <w:rPr>
                <w:sz w:val="20"/>
                <w:szCs w:val="20"/>
                <w:color w:val="auto"/>
              </w:rPr>
            </w:pPr>
            <w:r>
              <w:rPr>
                <w:rFonts w:ascii="Arial" w:cs="Arial" w:eastAsia="Arial" w:hAnsi="Arial"/>
                <w:sz w:val="18"/>
                <w:szCs w:val="18"/>
                <w:color w:val="auto"/>
              </w:rPr>
              <w:t>$99.8</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 Asset Retirement Costs</w:t>
            </w:r>
          </w:p>
        </w:tc>
        <w:tc>
          <w:tcPr>
            <w:tcW w:w="20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$9.0</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w:t>
            </w:r>
          </w:p>
        </w:tc>
      </w:tr>
      <w:tr>
        <w:trPr>
          <w:trHeight w:val="229"/>
        </w:trPr>
        <w:tc>
          <w:tcPr>
            <w:tcW w:w="8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AFUDC–Equity</w:t>
            </w:r>
          </w:p>
        </w:tc>
        <w:tc>
          <w:tcPr>
            <w:tcW w:w="2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$2.4</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w:t>
            </w:r>
          </w:p>
        </w:tc>
      </w:tr>
    </w:tbl>
    <w:p>
      <w:pPr>
        <w:spacing w:after="0" w:line="85" w:lineRule="exact"/>
        <w:rPr>
          <w:sz w:val="20"/>
          <w:szCs w:val="20"/>
          <w:color w:val="auto"/>
        </w:rPr>
      </w:pPr>
    </w:p>
    <w:p>
      <w:pPr>
        <w:jc w:val="both"/>
        <w:ind w:left="340" w:hanging="332"/>
        <w:spacing w:after="0" w:line="269" w:lineRule="auto"/>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The decommissioning of the existing Northern Wind assets resulted in a reclassification from Property, Plant and Equipment – Net to Inventories – Net in the second quarter of 2022 as they are being sold to a subsidiary of Xcel Energy Inc. In the third quarter of 2022, safe harbor equipment was transferred to the project entity resulting in an additional reclassification from Property, Plant and Equipment - Net to Inventories - Net.</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Non-Controlling Interest in Subsidiaries. </w:t>
      </w:r>
      <w:r>
        <w:rPr>
          <w:rFonts w:ascii="Arial" w:cs="Arial" w:eastAsia="Arial" w:hAnsi="Arial"/>
          <w:sz w:val="18"/>
          <w:szCs w:val="18"/>
          <w:color w:val="auto"/>
        </w:rPr>
        <w:t>Non-controlling interest in subsidiaries on the Consolidated Balance Sheet and net loss attributable to non-controlling interest on the Consolidated Statement of Income represent the portion of equity ownership and earnings, respectively, of subsidiaries that are not attributable to equity holders of ALLETE. These amounts are primarily related to the tax equity financing structures for ALLETE Clean Energy’s 106 MW Glen Ullin, 80 MW South Peak, 303 MW Diamond Spring and 303 MW Caddo wind energy facilities as well as ALLETE’s equity investment in the 250 MW Nobles 2 wind energy facility.</w:t>
      </w:r>
    </w:p>
    <w:p>
      <w:pPr>
        <w:spacing w:after="0" w:line="21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date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2. REGULATORY MATTERS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Regulatory matters are summarized in Note 4. Regulatory Matters to the Consolidated Financial Statements in our 2021 Form 10-K, with additional disclosure provided in the following paragraphs.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PSCW or FERC. As authorized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MPUC, Minnesota Power also recognizes revenue under cost recovery riders for transmission, renewable, and environmental investments and expenditures. Revenue from cost recovery riders was $19.5 million for the nine months ended September 30, 2022 ($29.2 million for the nine months ended September 30, 2021).</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2022 Minnesota General Rate Case. </w:t>
      </w:r>
      <w:r>
        <w:rPr>
          <w:rFonts w:ascii="Arial" w:cs="Arial" w:eastAsia="Arial" w:hAnsi="Arial"/>
          <w:sz w:val="18"/>
          <w:szCs w:val="18"/>
          <w:color w:val="auto"/>
        </w:rPr>
        <w:t>On November 1, 2021, Minnesota Power filed a retail rate increase request with the MPUC seeking an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approximately 18 percent for retail customers. The rate filing seeks a return on equity of 10.25 percent and a 53.81 percent equity ratio. On an annualized basis, the requested final rate increase would generate approximately $108 million in additional revenue. In orders dated December 30, 2021, the MPUC accepted the filing as complete and authorized an annual interim rate increase beginning January 1, 2022, with approximately $80 million expected to be collected in cash and approximately $8 million of interim rates for residential customers deferred with a final determination on recovery at the end of the rate case.</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 2022, the administrative law judge (ALJ) issued a report containing recommendations that if adopted in whole by the MPUC would result in an increase in rates of approximately $76 million on an annualized basis. On September 23, 2022, Minnesota Power filed exceptions totaling approximately $30 million to the ALJ’s report contesting certain recommendations. A final decision by the MPUC is expected in early 2023. Management has evaluated the need for a reserve for interim rate refunds and concluded that a reserve is not necessary as of September 30, 2022. We cannot predict the level of final rates that may be authorized by the MPUC.</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2022 Wisconsin General Rate Case</w:t>
      </w:r>
      <w:r>
        <w:rPr>
          <w:rFonts w:ascii="Arial" w:cs="Arial" w:eastAsia="Arial" w:hAnsi="Arial"/>
          <w:sz w:val="18"/>
          <w:szCs w:val="18"/>
          <w:color w:val="auto"/>
        </w:rPr>
        <w:t>. On June 1, 2022, SWL&amp;P refiled its rate increase request with the PSCW seeking an average increase of 3.6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for retail customers. The filing seeks an overall return on equity of 10.4 percent and a 55 percent equity ratio. On an annualized basis, the requested final rate increase would generate approximately $4.3 million in additional revenue.</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Renewable Cost Recovery Rider</w:t>
      </w:r>
      <w:r>
        <w:rPr>
          <w:rFonts w:ascii="Arial" w:cs="Arial" w:eastAsia="Arial" w:hAnsi="Arial"/>
          <w:sz w:val="16"/>
          <w:szCs w:val="16"/>
          <w:color w:val="auto"/>
        </w:rPr>
        <w:t>. Minnesota Power has an approved cost recovery rider in place to charge retail customers on a current basis for the costs of</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renewable investments and expenditures, including a return on the capital invested. Current customer billing rates for the renewable cost recovery rider were approved by the MPUC in a 2020 order. On February 2, 2022, Minnesota Power submitted its 2022 renewable factor filing, which included a request to recover a regulatory asset of $3.8 million related to the recognition of production tax credits due to a metering error at Bison. If the filing is approved, Minnesota Power would be authorized to include updated billing rates on customer bills; any portion disallowed would be charged to earnings.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Fuel Adjustment Clause</w:t>
      </w:r>
      <w:r>
        <w:rPr>
          <w:rFonts w:ascii="Arial" w:cs="Arial" w:eastAsia="Arial" w:hAnsi="Arial"/>
          <w:sz w:val="17"/>
          <w:szCs w:val="17"/>
          <w:color w:val="auto"/>
        </w:rPr>
        <w:t>. In 2020, Minnesota Power filed its fuel adjustment forecast for 2021, which was approved by the MPUC in a December 2020</w:t>
      </w:r>
      <w:r>
        <w:rPr>
          <w:rFonts w:ascii="Arial" w:cs="Arial" w:eastAsia="Arial" w:hAnsi="Arial"/>
          <w:sz w:val="17"/>
          <w:szCs w:val="17"/>
          <w:i w:val="1"/>
          <w:iCs w:val="1"/>
          <w:color w:val="auto"/>
        </w:rPr>
        <w:t xml:space="preserve"> </w:t>
      </w:r>
      <w:r>
        <w:rPr>
          <w:rFonts w:ascii="Arial" w:cs="Arial" w:eastAsia="Arial" w:hAnsi="Arial"/>
          <w:sz w:val="17"/>
          <w:szCs w:val="17"/>
          <w:color w:val="auto"/>
        </w:rPr>
        <w:t>order, subject to the annual prudence review and true-up filing in 2022. During 2021, Minnesota Power incurred higher fuel and purchased power costs than those forecasted in its May 2020 filing, which resulted in the recognition of an approximately $56 million regulatory asset through December 31, 2021. Minnesota Power submitted its annual true-up filing and a significant events filing in March 2022 requesting recovery of these under-collected fuel adjustment clause recoveries. No parties objected to the request; recovery of the regulatory asset began in April 2022 and will continue through mid-2023. The MPUC approved recovery of the regulatory asset in an order dated July 5, 2022.</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Minnesota Power has also incurred higher fuel and purchased power costs in 2022 than those factored in its fuel adjustment forecast filed in May 2021 for 2022, which resulted in the recognition of an approximately $23 million regulatory asset as of September 30, 2022. Minnesota Power filed a significant events filing in June 2022 requesting recovery of the under-collected fuel adjustment clause recoveries that are expected for 2022 from August 2022 through December 2022. No parties objected to the request and higher rates were implemented in August 2022 to recover the expected under-collection of fuel adjustment clause recoveries, subject to final approval by the MPUC which is expected in 2023.</w:t>
      </w:r>
    </w:p>
    <w:p>
      <w:pPr>
        <w:spacing w:after="0" w:line="2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Conservation Improvement Program. </w:t>
      </w:r>
      <w:r>
        <w:rPr>
          <w:rFonts w:ascii="Arial" w:cs="Arial" w:eastAsia="Arial" w:hAnsi="Arial"/>
          <w:sz w:val="18"/>
          <w:szCs w:val="18"/>
          <w:color w:val="auto"/>
        </w:rPr>
        <w:t>On April 1, 2022, Minnesota Power submitted its 2021 consolidated filing detailing Minnesota Power’s CIP</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results and requesting a CIP financial incentive of $1.9 million based upon MPUC procedures, which was recognized in the second quarter of 2022 upon approval by the MPUC at a hearing on June 30, 2022. In 2021, a CIP financial incentive of $2.4 million was recognized in the third quarter upon approval by the MPUC of Minnesota Power’s 2020 CIP consolidated filing. CIP financial incentives are recognized in the period in which the MPUC approves the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2. REGULATORY MATTERS (Continued)</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2021 Integrated Resource Plan. </w:t>
      </w:r>
      <w:r>
        <w:rPr>
          <w:rFonts w:ascii="Arial" w:cs="Arial" w:eastAsia="Arial" w:hAnsi="Arial"/>
          <w:sz w:val="18"/>
          <w:szCs w:val="18"/>
          <w:color w:val="auto"/>
        </w:rPr>
        <w:t>On February 1, 2021, Minnesota Power filed its latest IRP with the MPUC, which outlines its clean-energy transition</w:t>
      </w:r>
      <w:r>
        <w:rPr>
          <w:rFonts w:ascii="Arial" w:cs="Arial" w:eastAsia="Arial" w:hAnsi="Arial"/>
          <w:sz w:val="18"/>
          <w:szCs w:val="18"/>
          <w:b w:val="1"/>
          <w:bCs w:val="1"/>
          <w:color w:val="auto"/>
        </w:rPr>
        <w:t xml:space="preserve"> </w:t>
      </w:r>
      <w:r>
        <w:rPr>
          <w:rFonts w:ascii="Arial" w:cs="Arial" w:eastAsia="Arial" w:hAnsi="Arial"/>
          <w:sz w:val="18"/>
          <w:szCs w:val="18"/>
          <w:color w:val="auto"/>
        </w:rPr>
        <w:t>plans through 2035. These plans include expanding its renewable energy supply, achieving coal-free operations at its facilities by 2035, and investing in a resilient and flexible transmission and distribution grid. As part of these plans, Minnesota Power anticipates adding approximately 400 MW of new wind and solar energy resources, retiring Boswell Unit 3 by 2030 and transforming Boswell Unit 4 to be coal-free by 2035. Minnesota Power’s plans recognize that advances in technology will play a significant role in completing its transition to carbon-free energy supply, reliably and affordably. A final decision on the IRP is expected in the fourth quarter of 2022.</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Regulatory Assets and Liabilities. </w:t>
      </w:r>
      <w:r>
        <w:rPr>
          <w:rFonts w:ascii="Arial" w:cs="Arial" w:eastAsia="Arial" w:hAnsi="Arial"/>
          <w:sz w:val="18"/>
          <w:szCs w:val="18"/>
          <w:color w:val="auto"/>
        </w:rPr>
        <w:t>Our regulated utility operations are subject to accounting guidance for the effect of certain types of regulation.</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The recovery, refund or credit to rates for these regulatory assets and liabilities will occur over the periods either specified by the applicable regulatory authority or over the corresponding period related to the asset or liability.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tcPr>
          <w:p>
            <w:pPr>
              <w:spacing w:after="0"/>
              <w:rPr>
                <w:sz w:val="17"/>
                <w:szCs w:val="17"/>
                <w:color w:val="auto"/>
              </w:rPr>
            </w:pPr>
          </w:p>
        </w:tc>
        <w:tc>
          <w:tcPr>
            <w:tcW w:w="3180" w:type="dxa"/>
            <w:vAlign w:val="bottom"/>
          </w:tcPr>
          <w:p>
            <w:pPr>
              <w:jc w:val="right"/>
              <w:ind w:right="29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Regulatory Assets and Liabilities</w:t>
            </w:r>
          </w:p>
        </w:tc>
        <w:tc>
          <w:tcPr>
            <w:tcW w:w="3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6"/>
                <w:szCs w:val="16"/>
                <w:i w:val="1"/>
                <w:iCs w:val="1"/>
                <w:color w:val="auto"/>
              </w:rPr>
              <w:t>(a)</w:t>
            </w:r>
          </w:p>
        </w:tc>
        <w:tc>
          <w:tcPr>
            <w:tcW w:w="3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65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Fuel Adjustment Clause</w:t>
            </w:r>
          </w:p>
        </w:tc>
        <w:tc>
          <w:tcPr>
            <w:tcW w:w="3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$38.7</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Current Regulatory Assets</w:t>
            </w:r>
          </w:p>
        </w:tc>
        <w:tc>
          <w:tcPr>
            <w:tcW w:w="31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38.7</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Non-Current Regulatory Assets</w:t>
            </w:r>
          </w:p>
        </w:tc>
        <w:tc>
          <w:tcPr>
            <w:tcW w:w="3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Defined Benefit Pension and Other Postretirement Benefit Plans</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217.0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99.3</w:t>
            </w:r>
          </w:p>
        </w:tc>
        <w:tc>
          <w:tcPr>
            <w:tcW w:w="1460" w:type="dxa"/>
            <w:vAlign w:val="bottom"/>
          </w:tcPr>
          <w:p>
            <w:pPr>
              <w:jc w:val="right"/>
              <w:spacing w:after="0"/>
              <w:rPr>
                <w:sz w:val="20"/>
                <w:szCs w:val="20"/>
                <w:color w:val="auto"/>
              </w:rPr>
            </w:pPr>
            <w:r>
              <w:rPr>
                <w:rFonts w:ascii="Arial" w:cs="Arial" w:eastAsia="Arial" w:hAnsi="Arial"/>
                <w:sz w:val="18"/>
                <w:szCs w:val="18"/>
                <w:color w:val="auto"/>
              </w:rPr>
              <w:t>104.7</w:t>
            </w: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Recovery Riders</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39.6</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Asset Retirement Obligations</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34.9</w:t>
            </w:r>
          </w:p>
        </w:tc>
        <w:tc>
          <w:tcPr>
            <w:tcW w:w="146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Fuel Adjustment Clause</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22.9</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Manufactured Gas Plant</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17.7</w:t>
            </w:r>
          </w:p>
        </w:tc>
        <w:tc>
          <w:tcPr>
            <w:tcW w:w="14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PPACA Income Tax Deferral</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Residential Customer Interim Rate Adjustment</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5.9</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1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65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 Non-Current Regulatory Assets</w:t>
            </w:r>
          </w:p>
        </w:tc>
        <w:tc>
          <w:tcPr>
            <w:tcW w:w="3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447.1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w:t>
            </w:r>
          </w:p>
        </w:tc>
      </w:tr>
      <w:tr>
        <w:trPr>
          <w:trHeight w:val="223"/>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Regulatory Assets</w:t>
            </w:r>
          </w:p>
        </w:tc>
        <w:tc>
          <w:tcPr>
            <w:tcW w:w="31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$485.8</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$511.8</w:t>
            </w:r>
          </w:p>
        </w:tc>
      </w:tr>
      <w:tr>
        <w:trPr>
          <w:trHeight w:val="196"/>
        </w:trPr>
        <w:tc>
          <w:tcPr>
            <w:tcW w:w="65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Current Regulatory Liabilities </w:t>
            </w:r>
            <w:r>
              <w:rPr>
                <w:rFonts w:ascii="Arial" w:cs="Arial" w:eastAsia="Arial" w:hAnsi="Arial"/>
                <w:sz w:val="16"/>
                <w:szCs w:val="16"/>
                <w:i w:val="1"/>
                <w:iCs w:val="1"/>
                <w:color w:val="auto"/>
              </w:rPr>
              <w:t>(b)</w:t>
            </w:r>
          </w:p>
        </w:tc>
        <w:tc>
          <w:tcPr>
            <w:tcW w:w="3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Fuel Adjustment Clause</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Transmission Formula Rates Refund</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65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0.1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65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Current Regulatory Liabilities</w:t>
            </w:r>
          </w:p>
        </w:tc>
        <w:tc>
          <w:tcPr>
            <w:tcW w:w="31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Non-Current Regulatory Liabilities</w:t>
            </w:r>
          </w:p>
        </w:tc>
        <w:tc>
          <w:tcPr>
            <w:tcW w:w="3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338.0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w:t>
            </w: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Wholesale and Retail Contra AFUDC</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81.5</w:t>
            </w:r>
          </w:p>
        </w:tc>
        <w:tc>
          <w:tcPr>
            <w:tcW w:w="1460" w:type="dxa"/>
            <w:vAlign w:val="bottom"/>
          </w:tcPr>
          <w:p>
            <w:pPr>
              <w:jc w:val="right"/>
              <w:spacing w:after="0"/>
              <w:rPr>
                <w:sz w:val="20"/>
                <w:szCs w:val="20"/>
                <w:color w:val="auto"/>
              </w:rPr>
            </w:pPr>
            <w:r>
              <w:rPr>
                <w:rFonts w:ascii="Arial" w:cs="Arial" w:eastAsia="Arial" w:hAnsi="Arial"/>
                <w:sz w:val="18"/>
                <w:szCs w:val="18"/>
                <w:color w:val="auto"/>
              </w:rPr>
              <w:t>83.7</w:t>
            </w: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Plant Removal Obligations</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58.8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North Dakota Investment Tax Credits</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13.4</w:t>
            </w:r>
          </w:p>
        </w:tc>
        <w:tc>
          <w:tcPr>
            <w:tcW w:w="14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Defined Benefit Pension and Other Postretirement Benefit Plans</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23.5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Boswell Units 1 and 2 Net Plant and Equipment</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5.1</w:t>
            </w:r>
          </w:p>
        </w:tc>
        <w:tc>
          <w:tcPr>
            <w:tcW w:w="14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Regulated Land Sales</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4.9</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65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Non-Current Regulatory Liabilities</w:t>
            </w:r>
          </w:p>
        </w:tc>
        <w:tc>
          <w:tcPr>
            <w:tcW w:w="31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527.4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536.1</w:t>
            </w:r>
          </w:p>
        </w:tc>
      </w:tr>
      <w:tr>
        <w:trPr>
          <w:trHeight w:val="22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Regulatory Liabilities</w:t>
            </w:r>
          </w:p>
        </w:tc>
        <w:tc>
          <w:tcPr>
            <w:tcW w:w="3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$532.6</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$544.7</w:t>
            </w:r>
          </w:p>
        </w:tc>
      </w:tr>
    </w:tbl>
    <w:p>
      <w:pPr>
        <w:spacing w:after="0" w:line="8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assets are presented within Prepayments and Other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liabilities are presented within Other Current Liabilities on the Consolidated Balance Sheet.</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ALLETE, Inc. Third Quarter 2022 Form 10-Q</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3.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Activity</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New Energy. </w:t>
      </w:r>
      <w:r>
        <w:rPr>
          <w:rFonts w:ascii="Arial" w:cs="Arial" w:eastAsia="Arial" w:hAnsi="Arial"/>
          <w:sz w:val="17"/>
          <w:szCs w:val="17"/>
          <w:color w:val="auto"/>
        </w:rPr>
        <w:t>On April 15, 2022, a wholly-owned subsidiary of ALLETE acquired 100 percent of the membership interests of New Energy for a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price of $165.5 million. Total consideration of approximately $158.8 million was paid in cash on the acquisition date, which is net of cash acquired and debt assumed. New Energy, which is headquartered in Annapolis, Maryland, is a renewable energy development company with a primary focus on solar and storage facilities while also offering comprehensive operations, maintenance and asset management services. The acquisition of New Energy is consistent with ALLETE’s stated strategy of additional investment in renewable energy and related infrastructure across North America to support the Company’s sustainability-in-action strategy while providing potential long-term earnings growth.</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preliminary estimated fair values of the assets acquired and the liabilities assumed at the date of acquisition, as shown in the following table. The allocation of the purchase price is subject to judgment and the preliminary estimated fair value of the assets acquired and the liabilities assumed may be adjusted when the valuation analysis is complete in subsequent periods. Preliminary estimates subject to adjustment in subsequent periods relate primarily to working capital; subsequent adjustments could impact the amount of goodwill recorded. Fair value measurements were valued primarily using the discounted cash flow method and replacement cost basis. The goodwill recorded is primarily attributable to the highly skilled workforce of New Energy and synergies expected to arise as a result of the acquisition.</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the acquisition in April 2022, aggregate revenue was $39.9 million. The Company has not presented separate results of operations since closing or combined pro forma financial information of the Company and New Energy since the beginning of 2021, as the results of operations for New Energy are not material to the Company's consolidated financials.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Millions</w:t>
            </w:r>
          </w:p>
        </w:tc>
        <w:tc>
          <w:tcPr>
            <w:tcW w:w="4360" w:type="dxa"/>
            <w:vAlign w:val="bottom"/>
            <w:tcBorders>
              <w:top w:val="single" w:sz="8" w:color="auto"/>
            </w:tcBorders>
          </w:tcPr>
          <w:p>
            <w:pPr>
              <w:spacing w:after="0"/>
              <w:rPr>
                <w:sz w:val="21"/>
                <w:szCs w:val="2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 Acquired</w:t>
            </w:r>
          </w:p>
        </w:tc>
        <w:tc>
          <w:tcPr>
            <w:tcW w:w="4360" w:type="dxa"/>
            <w:vAlign w:val="bottom"/>
            <w:shd w:val="clear" w:color="auto" w:fill="CCEEFF"/>
          </w:tcPr>
          <w:p>
            <w:pPr>
              <w:spacing w:after="0"/>
              <w:rPr>
                <w:sz w:val="19"/>
                <w:szCs w:val="19"/>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4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 xml:space="preserve">Inventory </w:t>
            </w:r>
            <w:r>
              <w:rPr>
                <w:rFonts w:ascii="Arial" w:cs="Arial" w:eastAsia="Arial" w:hAnsi="Arial"/>
                <w:sz w:val="16"/>
                <w:szCs w:val="16"/>
                <w:i w:val="1"/>
                <w:iCs w:val="1"/>
                <w:color w:val="auto"/>
              </w:rPr>
              <w:t>(a)</w:t>
            </w:r>
          </w:p>
        </w:tc>
        <w:tc>
          <w:tcPr>
            <w:tcW w:w="436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436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6"/>
                <w:szCs w:val="16"/>
                <w:i w:val="1"/>
                <w:iCs w:val="1"/>
                <w:color w:val="auto"/>
              </w:rPr>
              <w:t>(b)</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r>
      <w:tr>
        <w:trPr>
          <w:trHeight w:val="230"/>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Assets</w:t>
            </w:r>
          </w:p>
        </w:tc>
        <w:tc>
          <w:tcPr>
            <w:tcW w:w="4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6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Assets Acquired</w:t>
            </w:r>
          </w:p>
        </w:tc>
        <w:tc>
          <w:tcPr>
            <w:tcW w:w="4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w:t>
            </w: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4360" w:type="dxa"/>
            <w:vAlign w:val="bottom"/>
          </w:tcPr>
          <w:p>
            <w:pPr>
              <w:spacing w:after="0"/>
              <w:rPr>
                <w:sz w:val="19"/>
                <w:szCs w:val="19"/>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Long-Term Debt Due Within One Year</w:t>
            </w:r>
          </w:p>
        </w:tc>
        <w:tc>
          <w:tcPr>
            <w:tcW w:w="436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4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6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Liabilities Assumed</w:t>
            </w:r>
          </w:p>
        </w:tc>
        <w:tc>
          <w:tcPr>
            <w:tcW w:w="4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r>
      <w:tr>
        <w:trPr>
          <w:trHeight w:val="223"/>
        </w:trPr>
        <w:tc>
          <w:tcPr>
            <w:tcW w:w="678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Net Identifiable Assets Acquired</w:t>
            </w:r>
          </w:p>
        </w:tc>
        <w:tc>
          <w:tcPr>
            <w:tcW w:w="4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w:t>
            </w:r>
          </w:p>
        </w:tc>
      </w:tr>
    </w:tbl>
    <w:p>
      <w:pPr>
        <w:spacing w:after="0" w:line="9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$11.6 million of purchase price accounting for certain projects under development at the time of acquisition.</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For tax purpose, the purchase price allocation resulted in $155.1 million of deductible goodwill.</w:t>
      </w:r>
    </w:p>
    <w:p>
      <w:pPr>
        <w:spacing w:after="0" w:line="2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third quarter of 2022, the Company recorded purchase accounting adjustments related to the acquisition of New Energy which resulted in an increase to net liabilities of $6.2 million, current assets increased by $1.4 million and goodwill increased by $4.8 million.</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Acquisition-related costs were $2.6 million after-tax, expensed as incurred during 2022 and recorded in Operating and Maintenance on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4. EQUITY INVESTMENTS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Investment in ATC</w:t>
      </w:r>
      <w:r>
        <w:rPr>
          <w:rFonts w:ascii="Arial" w:cs="Arial" w:eastAsia="Arial" w:hAnsi="Arial"/>
          <w:sz w:val="18"/>
          <w:szCs w:val="18"/>
          <w:color w:val="auto"/>
        </w:rPr>
        <w:t>. Our wholly-owned subsidiary, ALLETE Transmission Holdings, owns approximately 8 percent of ATC, a Wisconsin-based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that owns and maintains electric transmission assets in portions of Wisconsin, Michigan, Minnesota and Illinois. We account for our investment in ATC under the equity method of accounting.</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ALLETE’s Investment in ATC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Millions</w:t>
            </w:r>
          </w:p>
        </w:tc>
        <w:tc>
          <w:tcPr>
            <w:tcW w:w="3600" w:type="dxa"/>
            <w:vAlign w:val="bottom"/>
            <w:tcBorders>
              <w:top w:val="single" w:sz="8" w:color="auto"/>
            </w:tcBorders>
          </w:tcPr>
          <w:p>
            <w:pPr>
              <w:spacing w:after="0"/>
              <w:rPr>
                <w:sz w:val="19"/>
                <w:szCs w:val="19"/>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Balance as of December 31, 2021</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Cash Investments</w:t>
            </w:r>
          </w:p>
        </w:tc>
        <w:tc>
          <w:tcPr>
            <w:tcW w:w="36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ATC Earnings</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Distributed ATC Earnings</w:t>
            </w:r>
          </w:p>
        </w:tc>
        <w:tc>
          <w:tcPr>
            <w:tcW w:w="36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of the Remeasurement of Deferred Income Taxes</w:t>
            </w:r>
          </w:p>
        </w:tc>
        <w:tc>
          <w:tcPr>
            <w:tcW w:w="3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Investment Balance as of September 30, 2022</w:t>
            </w:r>
          </w:p>
        </w:tc>
        <w:tc>
          <w:tcPr>
            <w:tcW w:w="3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r>
    </w:tbl>
    <w:p>
      <w:pPr>
        <w:spacing w:after="0" w:line="3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ATC’s authorized return on equity was 10.02 percent, or 10.52 percent including an incentive adder for participation in a regional transmission organization, based on a 2020 FERC order which was subject to various outstanding legal challenges related to the return on equity calculation and refund period ordered by the FERC. On August 9, 2022, the U.S. Court of Appeals for the District of Columbia Circuit vacated and remanded the 2020 FERC order back to FERC. As a result of this decision, ATC recorded a reserve in the third quarter of 2022 for anticipated refunds to its customers for approximately $31 million of which our share was $2.4 million pre-tax. We cannot predict the return on equity FERC will ultimately authorize in the remanded proceeding.</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FERC issued a Notice of Proposed Rulemaking in April 2021 proposing to limit the 50 basis point incentive adder for participation in a regional transmission organization to only the first three years of membership in such an organization. If this proposal is adopted, our equity in earnings from ATC would be reduced by approximately $1 million pre-tax annually.</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 in Nobles 2. </w:t>
      </w:r>
      <w:r>
        <w:rPr>
          <w:rFonts w:ascii="Arial" w:cs="Arial" w:eastAsia="Arial" w:hAnsi="Arial"/>
          <w:sz w:val="18"/>
          <w:szCs w:val="18"/>
          <w:color w:val="auto"/>
        </w:rPr>
        <w:t>Our subsidiary, ALLETE South Wind, owns 49 percent of Nobles 2, the entity that owns and operates a 250 MW wind energy</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in southwestern Minnesota pursuant to a 20-year PPA with Minnesota Power. We account for our investment in Nobles 2 under the equity method of accounting.</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ALLETE’s Investment in Nobles 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Millions</w:t>
            </w:r>
          </w:p>
        </w:tc>
        <w:tc>
          <w:tcPr>
            <w:tcW w:w="3980" w:type="dxa"/>
            <w:vAlign w:val="bottom"/>
            <w:tcBorders>
              <w:top w:val="single" w:sz="8" w:color="auto"/>
            </w:tcBorders>
          </w:tcPr>
          <w:p>
            <w:pPr>
              <w:spacing w:after="0"/>
              <w:rPr>
                <w:sz w:val="19"/>
                <w:szCs w:val="19"/>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Balance as of December 31, 2021</w:t>
            </w: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 xml:space="preserve">Equity in Nobles 2 Earnings </w:t>
            </w:r>
            <w:r>
              <w:rPr>
                <w:rFonts w:ascii="Arial" w:cs="Arial" w:eastAsia="Arial" w:hAnsi="Arial"/>
                <w:sz w:val="16"/>
                <w:szCs w:val="16"/>
                <w:i w:val="1"/>
                <w:iCs w:val="1"/>
                <w:color w:val="auto"/>
              </w:rPr>
              <w:t>(a)</w:t>
            </w:r>
          </w:p>
        </w:tc>
        <w:tc>
          <w:tcPr>
            <w:tcW w:w="39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7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Distributed Nobles 2 Earnings</w:t>
            </w:r>
          </w:p>
        </w:tc>
        <w:tc>
          <w:tcPr>
            <w:tcW w:w="3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7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Investment Balance as of September 30, 2022</w:t>
            </w:r>
          </w:p>
        </w:tc>
        <w:tc>
          <w:tcPr>
            <w:tcW w:w="3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r>
    </w:tbl>
    <w:p>
      <w:pPr>
        <w:spacing w:after="0" w:line="7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Company also recorded net loss attributable to non-controlling interest of $7.5 million related to its investment in Nobles 2.</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6. Fair Value to the Consolidated Financial Statements in our 2021 Form 10-K.</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ALLETE, Inc. Third Quarter 2022 Form 10-Q</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5. FAIR VALUE (Continued)</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September 30, 2022, and December 31, 2021.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on the Consolidated Balance Sheet approximates the carrying amount and therefore is excluded from the recurring fair value measures in the following tables.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spacing w:after="0"/>
              <w:rPr>
                <w:sz w:val="19"/>
                <w:szCs w:val="19"/>
                <w:color w:val="auto"/>
              </w:rPr>
            </w:pPr>
          </w:p>
        </w:tc>
        <w:tc>
          <w:tcPr>
            <w:tcW w:w="4340" w:type="dxa"/>
            <w:vAlign w:val="bottom"/>
            <w:gridSpan w:val="3"/>
          </w:tcPr>
          <w:p>
            <w:pPr>
              <w:ind w:left="1420"/>
              <w:spacing w:after="0"/>
              <w:rPr>
                <w:sz w:val="20"/>
                <w:szCs w:val="20"/>
                <w:color w:val="auto"/>
              </w:rPr>
            </w:pPr>
            <w:r>
              <w:rPr>
                <w:rFonts w:ascii="Arial" w:cs="Arial" w:eastAsia="Arial" w:hAnsi="Arial"/>
                <w:sz w:val="18"/>
                <w:szCs w:val="18"/>
                <w:b w:val="1"/>
                <w:bCs w:val="1"/>
                <w:color w:val="auto"/>
                <w:w w:val="94"/>
              </w:rPr>
              <w:t>Fair Value as of September 30, 2022</w:t>
            </w:r>
          </w:p>
        </w:tc>
        <w:tc>
          <w:tcPr>
            <w:tcW w:w="660" w:type="dxa"/>
            <w:vAlign w:val="bottom"/>
          </w:tcPr>
          <w:p>
            <w:pPr>
              <w:spacing w:after="0"/>
              <w:rPr>
                <w:sz w:val="19"/>
                <w:szCs w:val="19"/>
                <w:color w:val="auto"/>
              </w:rPr>
            </w:pPr>
          </w:p>
        </w:tc>
      </w:tr>
      <w:tr>
        <w:trPr>
          <w:trHeight w:val="234"/>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13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Level 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 Equity Securities</w:t>
            </w:r>
          </w:p>
        </w:tc>
        <w:tc>
          <w:tcPr>
            <w:tcW w:w="18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$6.9</w:t>
            </w: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6220" w:type="dxa"/>
            <w:vAlign w:val="bottom"/>
          </w:tcPr>
          <w:p>
            <w:pPr>
              <w:ind w:left="220"/>
              <w:spacing w:after="0"/>
              <w:rPr>
                <w:sz w:val="20"/>
                <w:szCs w:val="20"/>
                <w:color w:val="auto"/>
              </w:rPr>
            </w:pPr>
            <w:r>
              <w:rPr>
                <w:rFonts w:ascii="Arial" w:cs="Arial" w:eastAsia="Arial" w:hAnsi="Arial"/>
                <w:sz w:val="18"/>
                <w:szCs w:val="18"/>
                <w:color w:val="auto"/>
              </w:rPr>
              <w:t xml:space="preserve">Available-for-sale – Corporate and Governmental Debt Securities </w:t>
            </w:r>
            <w:r>
              <w:rPr>
                <w:rFonts w:ascii="Arial" w:cs="Arial" w:eastAsia="Arial" w:hAnsi="Arial"/>
                <w:sz w:val="16"/>
                <w:szCs w:val="16"/>
                <w:i w:val="1"/>
                <w:iCs w:val="1"/>
                <w:color w:val="auto"/>
              </w:rPr>
              <w:t>(b)</w:t>
            </w:r>
          </w:p>
        </w:tc>
        <w:tc>
          <w:tcPr>
            <w:tcW w:w="18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$5.4</w:t>
            </w:r>
          </w:p>
        </w:tc>
        <w:tc>
          <w:tcPr>
            <w:tcW w:w="1300" w:type="dxa"/>
            <w:vAlign w:val="bottom"/>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62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18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3.4</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1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$10.3</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$5.4</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196"/>
        </w:trPr>
        <w:tc>
          <w:tcPr>
            <w:tcW w:w="6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(c)</w:t>
            </w:r>
          </w:p>
        </w:tc>
        <w:tc>
          <w:tcPr>
            <w:tcW w:w="18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$14.8</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Liabilities</w:t>
            </w:r>
          </w:p>
        </w:tc>
        <w:tc>
          <w:tcPr>
            <w:tcW w:w="1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$14.8</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19"/>
                <w:szCs w:val="19"/>
                <w:color w:val="auto"/>
              </w:rPr>
            </w:pPr>
          </w:p>
        </w:tc>
        <w:tc>
          <w:tcPr>
            <w:tcW w:w="4460" w:type="dxa"/>
            <w:vAlign w:val="bottom"/>
            <w:gridSpan w:val="3"/>
          </w:tcPr>
          <w:p>
            <w:pPr>
              <w:ind w:left="1560"/>
              <w:spacing w:after="0"/>
              <w:rPr>
                <w:sz w:val="20"/>
                <w:szCs w:val="20"/>
                <w:color w:val="auto"/>
              </w:rPr>
            </w:pPr>
            <w:r>
              <w:rPr>
                <w:rFonts w:ascii="Arial" w:cs="Arial" w:eastAsia="Arial" w:hAnsi="Arial"/>
                <w:sz w:val="18"/>
                <w:szCs w:val="18"/>
                <w:b w:val="1"/>
                <w:bCs w:val="1"/>
                <w:color w:val="auto"/>
                <w:w w:val="95"/>
              </w:rPr>
              <w:t>Fair Value as of December 31, 2021</w:t>
            </w:r>
          </w:p>
        </w:tc>
        <w:tc>
          <w:tcPr>
            <w:tcW w:w="660" w:type="dxa"/>
            <w:vAlign w:val="bottom"/>
          </w:tcPr>
          <w:p>
            <w:pPr>
              <w:spacing w:after="0"/>
              <w:rPr>
                <w:sz w:val="19"/>
                <w:szCs w:val="19"/>
                <w:color w:val="auto"/>
              </w:rPr>
            </w:pPr>
          </w:p>
        </w:tc>
      </w:tr>
      <w:tr>
        <w:trPr>
          <w:trHeight w:val="234"/>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2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13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Level 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 Equity Securities</w:t>
            </w:r>
          </w:p>
        </w:tc>
        <w:tc>
          <w:tcPr>
            <w:tcW w:w="2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$8.9</w:t>
            </w: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Available-for-sale – Corporate and Governmental Debt Securities</w:t>
            </w:r>
          </w:p>
        </w:tc>
        <w:tc>
          <w:tcPr>
            <w:tcW w:w="20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$6.2</w:t>
            </w:r>
          </w:p>
        </w:tc>
        <w:tc>
          <w:tcPr>
            <w:tcW w:w="1300" w:type="dxa"/>
            <w:vAlign w:val="bottom"/>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6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20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2.5</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2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$11.4</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$6.2</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r>
      <w:tr>
        <w:trPr>
          <w:trHeight w:val="196"/>
        </w:trPr>
        <w:tc>
          <w:tcPr>
            <w:tcW w:w="61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(c)</w:t>
            </w:r>
          </w:p>
        </w:tc>
        <w:tc>
          <w:tcPr>
            <w:tcW w:w="20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$18.0</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2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Liabilities</w:t>
            </w:r>
          </w:p>
        </w:tc>
        <w:tc>
          <w:tcPr>
            <w:tcW w:w="2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$18.0</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bl>
    <w:p>
      <w:pPr>
        <w:spacing w:after="0" w:line="7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on the Consolidated Balance Sheet.</w:t>
      </w:r>
    </w:p>
    <w:p>
      <w:pPr>
        <w:spacing w:after="0" w:line="19" w:lineRule="exact"/>
        <w:rPr>
          <w:rFonts w:ascii="Arial" w:cs="Arial" w:eastAsia="Arial" w:hAnsi="Arial"/>
          <w:sz w:val="16"/>
          <w:szCs w:val="16"/>
          <w:i w:val="1"/>
          <w:iCs w:val="1"/>
          <w:color w:val="auto"/>
        </w:rPr>
      </w:pPr>
    </w:p>
    <w:p>
      <w:pPr>
        <w:ind w:left="340" w:hanging="332"/>
        <w:spacing w:after="0" w:line="265" w:lineRule="auto"/>
        <w:tabs>
          <w:tab w:leader="none" w:pos="340" w:val="left"/>
        </w:tabs>
        <w:numPr>
          <w:ilvl w:val="0"/>
          <w:numId w:val="12"/>
        </w:numPr>
        <w:rPr>
          <w:rFonts w:ascii="Arial" w:cs="Arial" w:eastAsia="Arial" w:hAnsi="Arial"/>
          <w:sz w:val="15"/>
          <w:szCs w:val="15"/>
          <w:i w:val="1"/>
          <w:iCs w:val="1"/>
          <w:color w:val="auto"/>
        </w:rPr>
      </w:pPr>
      <w:r>
        <w:rPr>
          <w:rFonts w:ascii="Arial" w:cs="Arial" w:eastAsia="Arial" w:hAnsi="Arial"/>
          <w:sz w:val="15"/>
          <w:szCs w:val="15"/>
          <w:i w:val="1"/>
          <w:iCs w:val="1"/>
          <w:color w:val="auto"/>
        </w:rPr>
        <w:t>As of September 30, 2022, the aggregate amount of available-for-sale corporate and governmental debt securities maturing in one year or less was $0.7 million, in one year to less than three years was $2.6 million, in three years to less than five years was $1.4 million and in five or more years was $0.6 million.</w:t>
      </w:r>
    </w:p>
    <w:p>
      <w:pPr>
        <w:ind w:left="320" w:hanging="312"/>
        <w:spacing w:after="0"/>
        <w:tabs>
          <w:tab w:leader="none" w:pos="32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3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With the exception of the item listed in the following table, the estimated fair value of all 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the carrying amount. The fair value of the item listed in the following table was based on quoted market prices for the same or similar instruments (Level 2).</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Financial Instruments</w:t>
            </w:r>
          </w:p>
        </w:tc>
        <w:tc>
          <w:tcPr>
            <w:tcW w:w="4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Carrying Amount</w:t>
            </w:r>
          </w:p>
        </w:tc>
        <w:tc>
          <w:tcPr>
            <w:tcW w:w="16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4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Short-Term and Long-Term Debt </w:t>
            </w:r>
            <w:r>
              <w:rPr>
                <w:rFonts w:ascii="Arial" w:cs="Arial" w:eastAsia="Arial" w:hAnsi="Arial"/>
                <w:sz w:val="16"/>
                <w:szCs w:val="16"/>
                <w:i w:val="1"/>
                <w:iCs w:val="1"/>
                <w:color w:val="auto"/>
              </w:rPr>
              <w:t>(a)</w:t>
            </w:r>
          </w:p>
        </w:tc>
        <w:tc>
          <w:tcPr>
            <w:tcW w:w="4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5120" w:type="dxa"/>
            <w:vAlign w:val="bottom"/>
          </w:tcPr>
          <w:p>
            <w:pPr>
              <w:ind w:left="220"/>
              <w:spacing w:after="0"/>
              <w:rPr>
                <w:sz w:val="20"/>
                <w:szCs w:val="20"/>
                <w:color w:val="auto"/>
              </w:rPr>
            </w:pPr>
            <w:r>
              <w:rPr>
                <w:rFonts w:ascii="Arial" w:cs="Arial" w:eastAsia="Arial" w:hAnsi="Arial"/>
                <w:sz w:val="18"/>
                <w:szCs w:val="18"/>
                <w:color w:val="auto"/>
              </w:rPr>
              <w:t>September 30, 2022</w:t>
            </w:r>
          </w:p>
        </w:tc>
        <w:tc>
          <w:tcPr>
            <w:tcW w:w="4420" w:type="dxa"/>
            <w:vAlign w:val="bottom"/>
          </w:tcPr>
          <w:p>
            <w:pPr>
              <w:jc w:val="right"/>
              <w:ind w:right="230"/>
              <w:spacing w:after="0"/>
              <w:rPr>
                <w:sz w:val="20"/>
                <w:szCs w:val="20"/>
                <w:color w:val="auto"/>
              </w:rPr>
            </w:pPr>
            <w:r>
              <w:rPr>
                <w:rFonts w:ascii="Arial" w:cs="Arial" w:eastAsia="Arial" w:hAnsi="Arial"/>
                <w:sz w:val="18"/>
                <w:szCs w:val="18"/>
                <w:color w:val="auto"/>
              </w:rPr>
              <w:t>$1,970.2</w:t>
            </w:r>
          </w:p>
        </w:tc>
        <w:tc>
          <w:tcPr>
            <w:tcW w:w="1660" w:type="dxa"/>
            <w:vAlign w:val="bottom"/>
          </w:tcPr>
          <w:p>
            <w:pPr>
              <w:jc w:val="right"/>
              <w:spacing w:after="0"/>
              <w:rPr>
                <w:sz w:val="20"/>
                <w:szCs w:val="20"/>
                <w:color w:val="auto"/>
              </w:rPr>
            </w:pPr>
            <w:r>
              <w:rPr>
                <w:rFonts w:ascii="Arial" w:cs="Arial" w:eastAsia="Arial" w:hAnsi="Arial"/>
                <w:sz w:val="18"/>
                <w:szCs w:val="18"/>
                <w:color w:val="auto"/>
              </w:rPr>
              <w:t>$1,804.1</w:t>
            </w:r>
          </w:p>
        </w:tc>
      </w:tr>
      <w:tr>
        <w:trPr>
          <w:trHeight w:val="230"/>
        </w:trPr>
        <w:tc>
          <w:tcPr>
            <w:tcW w:w="5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December 31, 2021</w:t>
            </w:r>
          </w:p>
        </w:tc>
        <w:tc>
          <w:tcPr>
            <w:tcW w:w="4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$1,986.4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$2,192.6</w:t>
            </w: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Excludes unamortized debt issuance costs.</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land inventory,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plant and equipment are measured at fair value when there is an indicator of impairment and recorded at fair value only when an impairment is recognized. For the quarter and nine months ended September 30, 2022, and the year ended December 31, 2021, there were no indicators of impairment for these non-financial assets.</w:t>
      </w:r>
    </w:p>
    <w:p>
      <w:pPr>
        <w:sectPr>
          <w:pgSz w:w="11900" w:h="16838" w:orient="portrait"/>
          <w:cols w:equalWidth="0" w:num="1">
            <w:col w:w="11240"/>
          </w:cols>
          <w:pgMar w:left="320" w:top="891" w:right="33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ALLETE, Inc. Third Quarter 2022 Form 10-Q</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5. FAIR VALUE (Continued)</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monitor changes in the broader energy markets along with wind resource expectations that could indicate impairment at ALLETE Clean Energy wind energy facilities upon contract expirations. A continued decline in energy prices or lower wind resource expectations could result in a future impairment.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SHORT-TERM AND 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short-term and long-term debt as of September 30, 2022, and December 31, 2021: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360" w:type="dxa"/>
            <w:vAlign w:val="bottom"/>
          </w:tcPr>
          <w:p>
            <w:pPr>
              <w:spacing w:after="0"/>
              <w:rPr>
                <w:sz w:val="17"/>
                <w:szCs w:val="17"/>
                <w:color w:val="auto"/>
              </w:rPr>
            </w:pPr>
          </w:p>
        </w:tc>
      </w:tr>
      <w:tr>
        <w:trPr>
          <w:trHeight w:val="243"/>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September 30, 2022</w:t>
            </w:r>
          </w:p>
        </w:tc>
        <w:tc>
          <w:tcPr>
            <w:tcW w:w="3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Principal</w:t>
            </w: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5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3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$308.8</w:t>
            </w:r>
          </w:p>
        </w:tc>
        <w:tc>
          <w:tcPr>
            <w:tcW w:w="23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w:t>
            </w:r>
          </w:p>
        </w:tc>
      </w:tr>
      <w:tr>
        <w:trPr>
          <w:trHeight w:val="23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w:t>
            </w:r>
          </w:p>
        </w:tc>
        <w:tc>
          <w:tcPr>
            <w:tcW w:w="3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1,661.4</w:t>
            </w: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(8.4)</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1,653.0</w:t>
            </w:r>
          </w:p>
        </w:tc>
      </w:tr>
      <w:tr>
        <w:trPr>
          <w:trHeight w:val="223"/>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35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$1,970.2</w:t>
            </w:r>
          </w:p>
        </w:tc>
        <w:tc>
          <w:tcPr>
            <w:tcW w:w="23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$(8.6)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$1,961.6</w:t>
            </w: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360" w:type="dxa"/>
            <w:vAlign w:val="bottom"/>
          </w:tcPr>
          <w:p>
            <w:pPr>
              <w:spacing w:after="0"/>
              <w:rPr>
                <w:sz w:val="17"/>
                <w:szCs w:val="17"/>
                <w:color w:val="auto"/>
              </w:rPr>
            </w:pPr>
          </w:p>
        </w:tc>
      </w:tr>
      <w:tr>
        <w:trPr>
          <w:trHeight w:val="24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 2021</w:t>
            </w:r>
          </w:p>
        </w:tc>
        <w:tc>
          <w:tcPr>
            <w:tcW w:w="3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Principal</w:t>
            </w: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5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3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$214.4</w:t>
            </w:r>
          </w:p>
        </w:tc>
        <w:tc>
          <w:tcPr>
            <w:tcW w:w="23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r>
      <w:tr>
        <w:trPr>
          <w:trHeight w:val="229"/>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w:t>
            </w:r>
          </w:p>
        </w:tc>
        <w:tc>
          <w:tcPr>
            <w:tcW w:w="3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1,772.0</w:t>
            </w: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(8.8)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1,763.2</w:t>
            </w:r>
          </w:p>
        </w:tc>
      </w:tr>
      <w:tr>
        <w:trPr>
          <w:trHeight w:val="223"/>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3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$1,986.4</w:t>
            </w:r>
          </w:p>
        </w:tc>
        <w:tc>
          <w:tcPr>
            <w:tcW w:w="23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$(9.0)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$1,977.4</w:t>
            </w:r>
          </w:p>
        </w:tc>
      </w:tr>
    </w:tbl>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had $33.2 million outstanding in standby letters of credit and $92.0 million outstanding draws under our lines of credit as of September 30, 2022 ($31.5 million in standby letters of credit and $159.7 million outstanding draws as of December 31, 2021).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28, 2022, ALLETE entered into an unsecured term loan agreement (February Term Loan) to borrow up to $175 million. No draws were made on the February Term Loan, which was subsequently terminated in April 2022.</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24, 2022, ALLETE entered into a $170 million unsecured term loan agreement (March Term Loan). The Term Loan is due March 23, 2023, and may be repaid at any time. Interest is payable monthly at a rate per annum equal to SOFR plus 0.75 percent. Proceeds from the Term Loan were used for general corporate purposes.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9, 2022, ALLETE issued $75 million of its First Mortgage Bonds (Bonds) to certain institutional buyers in the private placement market. The Bonds, which bear interest at 4.54 percent, will mature in August 2032 and pay interest semi-annually in February and August of each year, commencing on February 9, 2023. ALLETE has the option to prepay all or a portion of the Bonds at its discretion, subject to a make-whole provision. The Bonds are subject to additional terms and conditions which are customary for these types of transactions. Proceeds from the sale of the Bonds were used to fund utility capital investment and for general corporate purposes. The Bonds were sold in reliance on an exemption from registration under Section 4(a)(2) of the Securities Act of 1933, as amended, to institutional accredited investors.</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September 30, 2022, our ratio was approximately 0.39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As of September 30, 2022, ALLETE was in compliance with its financial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7. COMMITMENTS, GUARANTEES AND CONTINGENCIES</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Power Purchase and Sale Agreements. </w:t>
      </w:r>
      <w:r>
        <w:rPr>
          <w:rFonts w:ascii="Arial" w:cs="Arial" w:eastAsia="Arial" w:hAnsi="Arial"/>
          <w:sz w:val="18"/>
          <w:szCs w:val="18"/>
          <w:color w:val="auto"/>
        </w:rPr>
        <w:t>Our long-term PPAs have been evaluated under the accounting guidance for variable interest entities.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that 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PPAs are summarized in Note 8. Commitments, Guarantees and Contingencies to the Consolidated Financial Statements in our 2021 Form 10-K, with additional disclosure provided in the following paragraphs.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Square Butte PPA. </w:t>
      </w:r>
      <w:r>
        <w:rPr>
          <w:rFonts w:ascii="Arial" w:cs="Arial" w:eastAsia="Arial" w:hAnsi="Arial"/>
          <w:sz w:val="17"/>
          <w:szCs w:val="17"/>
          <w:color w:val="auto"/>
        </w:rPr>
        <w:t>As of September 30, 2022, Square Butte had total debt outstanding of $192.7 million. Fuel expenses are recoverable through Minnesota</w:t>
      </w:r>
      <w:r>
        <w:rPr>
          <w:rFonts w:ascii="Arial" w:cs="Arial" w:eastAsia="Arial" w:hAnsi="Arial"/>
          <w:sz w:val="17"/>
          <w:szCs w:val="17"/>
          <w:i w:val="1"/>
          <w:iCs w:val="1"/>
          <w:color w:val="auto"/>
        </w:rPr>
        <w:t xml:space="preserve"> </w:t>
      </w:r>
      <w:r>
        <w:rPr>
          <w:rFonts w:ascii="Arial" w:cs="Arial" w:eastAsia="Arial" w:hAnsi="Arial"/>
          <w:sz w:val="17"/>
          <w:szCs w:val="17"/>
          <w:color w:val="auto"/>
        </w:rPr>
        <w:t>Power’s fuel adjustment clause and include the cost of coal purchased from BNI Energy under a long-term contract. Minnesota Power’s cost of power purchased from Square Butte during the nine months ended September 30, 2022, was $63.8 million ($60.3 million for the same period in 2021). This reflects Minnesota Power’s pro rata share of total Square Butte costs based on the 50 percent output entitlement. Included in this amount was Minnesota Power’s pro rata share of interest expense of $3.7 million ($4.3 million for the same period in 2021). Minnesota Power’s payments to Square Butte are approved as a purchased power expense for ratemaking purposes by both the MPUC and the FERC.</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PSA. </w:t>
      </w:r>
      <w:r>
        <w:rPr>
          <w:rFonts w:ascii="Arial" w:cs="Arial" w:eastAsia="Arial" w:hAnsi="Arial"/>
          <w:sz w:val="18"/>
          <w:szCs w:val="18"/>
          <w:color w:val="auto"/>
        </w:rPr>
        <w:t>Minnesota Power has a PSA with Minnkota Power, which commenced in 2014. Under the PSA, Minnesota Power is selling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its entitlement from Square Butte to Minnkota Power, resulting in Minnkota Power’s net entitlement increasing and Minnesota Power’s net entitlement decreasing until Minnesota Power’s share is eliminated at the end of 2025. Of Minnesota Power’s 50 percent output entitlement, Minnesota Power sold to Minnkota Power approximately 32 percent in 2022 and 28 percent in 2021.</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Coal, Rail and Shipping Contracts. </w:t>
      </w:r>
      <w:r>
        <w:rPr>
          <w:rFonts w:ascii="Arial" w:cs="Arial" w:eastAsia="Arial" w:hAnsi="Arial"/>
          <w:sz w:val="18"/>
          <w:szCs w:val="18"/>
          <w:color w:val="auto"/>
        </w:rPr>
        <w:t>Minnesota Power has coal supply agreements providing for the purchase of a significant portion of its coal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through December 2025. Minnesota Power also has coal transportation agreements in place for the delivery of a significant portion of its coal requirements through December 2024. The costs of fuel and related transportation costs for Minnesota Power’s generation are recoverable from Minnesota Power’s retail and municipal utility customers through the fuel adjustment clause.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thermal generating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mainly burn low-sulfur western sub-bituminous coal. All of Minnesota Power’s coal-fired generating facilities are equipped with pollution control equipment such as scrubbers, baghouses and low NO</w:t>
      </w:r>
      <w:r>
        <w:rPr>
          <w:rFonts w:ascii="Arial" w:cs="Arial" w:eastAsia="Arial" w:hAnsi="Arial"/>
          <w:sz w:val="23"/>
          <w:szCs w:val="23"/>
          <w:color w:val="auto"/>
          <w:vertAlign w:val="subscript"/>
        </w:rPr>
        <w:t>X</w:t>
      </w:r>
      <w:r>
        <w:rPr>
          <w:rFonts w:ascii="Arial" w:cs="Arial" w:eastAsia="Arial" w:hAnsi="Arial"/>
          <w:sz w:val="18"/>
          <w:szCs w:val="18"/>
          <w:color w:val="auto"/>
        </w:rPr>
        <w:t xml:space="preserve"> technologies. Under currently applicable environmental regulations, these facilities are substantially compliant with emission requirements.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7.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i w:val="1"/>
          <w:iCs w:val="1"/>
          <w:color w:val="auto"/>
        </w:rPr>
        <w:t xml:space="preserve">Cross-State Air Pollution Rule (CSAPR). </w:t>
      </w:r>
      <w:r>
        <w:rPr>
          <w:rFonts w:ascii="Arial" w:cs="Arial" w:eastAsia="Arial" w:hAnsi="Arial"/>
          <w:sz w:val="17"/>
          <w:szCs w:val="17"/>
          <w:color w:val="auto"/>
        </w:rPr>
        <w:t>The CSAPR requires certain states in the eastern half of the U.S., including Minnesota, to reduce power plant</w:t>
      </w:r>
      <w:r>
        <w:rPr>
          <w:rFonts w:ascii="Arial" w:cs="Arial" w:eastAsia="Arial" w:hAnsi="Arial"/>
          <w:sz w:val="17"/>
          <w:szCs w:val="17"/>
          <w:i w:val="1"/>
          <w:iCs w:val="1"/>
          <w:color w:val="auto"/>
        </w:rPr>
        <w:t xml:space="preserve"> </w:t>
      </w:r>
      <w:r>
        <w:rPr>
          <w:rFonts w:ascii="Arial" w:cs="Arial" w:eastAsia="Arial" w:hAnsi="Arial"/>
          <w:sz w:val="17"/>
          <w:szCs w:val="17"/>
          <w:color w:val="auto"/>
        </w:rPr>
        <w:t>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Based on our review of the NO</w:t>
      </w:r>
      <w:r>
        <w:rPr>
          <w:rFonts w:ascii="Arial" w:cs="Arial" w:eastAsia="Arial" w:hAnsi="Arial"/>
          <w:sz w:val="22"/>
          <w:szCs w:val="22"/>
          <w:color w:val="auto"/>
          <w:vertAlign w:val="subscript"/>
        </w:rPr>
        <w:t>X</w:t>
      </w:r>
      <w:r>
        <w:rPr>
          <w:rFonts w:ascii="Arial" w:cs="Arial" w:eastAsia="Arial" w:hAnsi="Arial"/>
          <w:sz w:val="17"/>
          <w:szCs w:val="17"/>
          <w:color w:val="auto"/>
        </w:rPr>
        <w:t xml:space="preserve"> and SO</w:t>
      </w:r>
      <w:r>
        <w:rPr>
          <w:rFonts w:ascii="Arial" w:cs="Arial" w:eastAsia="Arial" w:hAnsi="Arial"/>
          <w:sz w:val="22"/>
          <w:szCs w:val="22"/>
          <w:color w:val="auto"/>
          <w:vertAlign w:val="subscript"/>
        </w:rPr>
        <w:t>2</w:t>
      </w:r>
      <w:r>
        <w:rPr>
          <w:rFonts w:ascii="Arial" w:cs="Arial" w:eastAsia="Arial" w:hAnsi="Arial"/>
          <w:sz w:val="17"/>
          <w:szCs w:val="17"/>
          <w:color w:val="auto"/>
        </w:rPr>
        <w:t xml:space="preserve"> allowances issued and pending issuance, we currently expect generation levels and emission rates will result in continued compliance with the CSAPR. The EPA’s CSAPR Update Rule issued in March 2021 revising the 2016 CSAPR Update does not apply to the state of Minnesota and is therefore not currently projected to affect Minnesota Power’s CSAPR compliance. Minnesota Power will continue to monitor ongoing CSAPR rulemakings and compliance implementation, including the EPA’s Good Neighbor Rule proposed on April 6, 2022, to modify certain aspects of the CSAPR’s program scope and extent.</w:t>
      </w:r>
    </w:p>
    <w:p>
      <w:pPr>
        <w:spacing w:after="0" w:line="22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color w:val="auto"/>
        </w:rPr>
        <w:t xml:space="preserve">National Ambient Air Quality Standards (NAAQS). </w:t>
      </w:r>
      <w:r>
        <w:rPr>
          <w:rFonts w:ascii="Arial" w:cs="Arial" w:eastAsia="Arial" w:hAnsi="Arial"/>
          <w:sz w:val="17"/>
          <w:szCs w:val="17"/>
          <w:color w:val="auto"/>
        </w:rPr>
        <w:t>The EPA is required to review the NAAQS every five years. If the EPA determines that a state’s air</w:t>
      </w:r>
      <w:r>
        <w:rPr>
          <w:rFonts w:ascii="Arial" w:cs="Arial" w:eastAsia="Arial" w:hAnsi="Arial"/>
          <w:sz w:val="17"/>
          <w:szCs w:val="17"/>
          <w:i w:val="1"/>
          <w:iCs w:val="1"/>
          <w:color w:val="auto"/>
        </w:rPr>
        <w:t xml:space="preserve"> </w:t>
      </w:r>
      <w:r>
        <w:rPr>
          <w:rFonts w:ascii="Arial" w:cs="Arial" w:eastAsia="Arial" w:hAnsi="Arial"/>
          <w:sz w:val="17"/>
          <w:szCs w:val="17"/>
          <w:color w:val="auto"/>
        </w:rPr>
        <w:t>quality is not in compliance with the NAAQS, the state is required to adopt plans describing how it will reduce emissions to attain the NAAQS. Minnesota Power actively monitors NAAQS developments and compliance costs for existing standards or proposed NAAQS revisions are not currently expected to be material. The EPA is currently reviewing the secondary NAAQS for NO</w:t>
      </w:r>
      <w:r>
        <w:rPr>
          <w:rFonts w:ascii="Arial" w:cs="Arial" w:eastAsia="Arial" w:hAnsi="Arial"/>
          <w:sz w:val="22"/>
          <w:szCs w:val="22"/>
          <w:color w:val="auto"/>
          <w:vertAlign w:val="subscript"/>
        </w:rPr>
        <w:t>x</w:t>
      </w:r>
      <w:r>
        <w:rPr>
          <w:rFonts w:ascii="Arial" w:cs="Arial" w:eastAsia="Arial" w:hAnsi="Arial"/>
          <w:sz w:val="17"/>
          <w:szCs w:val="17"/>
          <w:color w:val="auto"/>
        </w:rPr>
        <w:t xml:space="preserve"> and SO</w:t>
      </w:r>
      <w:r>
        <w:rPr>
          <w:rFonts w:ascii="Arial" w:cs="Arial" w:eastAsia="Arial" w:hAnsi="Arial"/>
          <w:sz w:val="22"/>
          <w:szCs w:val="22"/>
          <w:color w:val="auto"/>
          <w:vertAlign w:val="subscript"/>
        </w:rPr>
        <w:t>2</w:t>
      </w:r>
      <w:r>
        <w:rPr>
          <w:rFonts w:ascii="Arial" w:cs="Arial" w:eastAsia="Arial" w:hAnsi="Arial"/>
          <w:sz w:val="17"/>
          <w:szCs w:val="17"/>
          <w:color w:val="auto"/>
        </w:rPr>
        <w:t>, as well as particulate matter. In June 2021, the EPA announced it will reconsider the December 2020 final rule retaining the 2012 particulate matter NAAQS. A proposed rulemaking was anticipated in August 2022, with a final rule in March 2023, but none has been issued at this time. The EPA also announced in October 2021 that it was reconsidering the 2020 Ozone NAAQS rule finalized in December 2020, and issued a policy assessment on April 28, 2022, recommending retention of the current standard. A proposed Ozone NAAQS rule is expected in the first half of 2023.</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EPA Good Neighbor Plan for 2015 Ozone NAAQS</w:t>
      </w:r>
      <w:r>
        <w:rPr>
          <w:rFonts w:ascii="Arial" w:cs="Arial" w:eastAsia="Arial" w:hAnsi="Arial"/>
          <w:sz w:val="16"/>
          <w:szCs w:val="16"/>
          <w:color w:val="auto"/>
        </w:rPr>
        <w:t>. On April 6, 2022, the EPA published a proposed rule, the Good Neighbor Plan, to address regional</w:t>
      </w:r>
      <w:r>
        <w:rPr>
          <w:rFonts w:ascii="Arial" w:cs="Arial" w:eastAsia="Arial" w:hAnsi="Arial"/>
          <w:sz w:val="16"/>
          <w:szCs w:val="16"/>
          <w:i w:val="1"/>
          <w:iCs w:val="1"/>
          <w:color w:val="auto"/>
        </w:rPr>
        <w:t xml:space="preserve"> </w:t>
      </w:r>
      <w:r>
        <w:rPr>
          <w:rFonts w:ascii="Arial" w:cs="Arial" w:eastAsia="Arial" w:hAnsi="Arial"/>
          <w:sz w:val="16"/>
          <w:szCs w:val="16"/>
          <w:color w:val="auto"/>
        </w:rPr>
        <w:t>ozone transport for the 2015 Ozone NAAQS by reducing NO</w:t>
      </w:r>
      <w:r>
        <w:rPr>
          <w:rFonts w:ascii="Arial" w:cs="Arial" w:eastAsia="Arial" w:hAnsi="Arial"/>
          <w:sz w:val="20"/>
          <w:szCs w:val="20"/>
          <w:color w:val="auto"/>
          <w:vertAlign w:val="subscript"/>
        </w:rPr>
        <w:t>x</w:t>
      </w:r>
      <w:r>
        <w:rPr>
          <w:rFonts w:ascii="Arial" w:cs="Arial" w:eastAsia="Arial" w:hAnsi="Arial"/>
          <w:sz w:val="16"/>
          <w:szCs w:val="16"/>
          <w:color w:val="auto"/>
        </w:rPr>
        <w:t xml:space="preserve"> emissions during the period of May 1 through September 30 (ozone season). This rule is intended to address certain good neighbor or interstate transport provisions of the Clean Air Act relative to the 2015 Ozone NAAQS. In the justification for the proposed rule, the EPA asserted that 26 states, including Minnesota, are modeled as significant contributors to downwind states’ challenges in attaining or maintaining ozone NAAQS compliance within their state borders. The Good Neighbor Plan proposes to resolve this interstate transport issue by implementing a variety of NO</w:t>
      </w:r>
      <w:r>
        <w:rPr>
          <w:rFonts w:ascii="Arial" w:cs="Arial" w:eastAsia="Arial" w:hAnsi="Arial"/>
          <w:sz w:val="20"/>
          <w:szCs w:val="20"/>
          <w:color w:val="auto"/>
          <w:vertAlign w:val="subscript"/>
        </w:rPr>
        <w:t>x</w:t>
      </w:r>
      <w:r>
        <w:rPr>
          <w:rFonts w:ascii="Arial" w:cs="Arial" w:eastAsia="Arial" w:hAnsi="Arial"/>
          <w:sz w:val="16"/>
          <w:szCs w:val="16"/>
          <w:color w:val="auto"/>
        </w:rPr>
        <w:t xml:space="preserve"> reduction strategies, including federal implementation plan requirements, NO</w:t>
      </w:r>
      <w:r>
        <w:rPr>
          <w:rFonts w:ascii="Arial" w:cs="Arial" w:eastAsia="Arial" w:hAnsi="Arial"/>
          <w:sz w:val="20"/>
          <w:szCs w:val="20"/>
          <w:color w:val="auto"/>
          <w:vertAlign w:val="subscript"/>
        </w:rPr>
        <w:t>x</w:t>
      </w:r>
      <w:r>
        <w:rPr>
          <w:rFonts w:ascii="Arial" w:cs="Arial" w:eastAsia="Arial" w:hAnsi="Arial"/>
          <w:sz w:val="16"/>
          <w:szCs w:val="16"/>
          <w:color w:val="auto"/>
        </w:rPr>
        <w:t xml:space="preserve"> emission limitations, and ozone season allowance program requirements, beginning with the 2023 ozone season. The proposed rule would apply to fossil-fuel fired power plants in 25 states and certain other industrial sources in 23 states. Implementation of the rule would occur in part through changes to the existing CSAPR program.</w:t>
      </w:r>
    </w:p>
    <w:p>
      <w:pPr>
        <w:spacing w:after="0" w:line="20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Minnesota Power reviewed the proposed rule, assessed its potential impacts and submitted public comments to the EPA on June 21, 2022. Concerns noted by Minnesota Power and other entities included the technical accuracy of the EPA’s assumptions and methods used to identify Minnesota as a significant contributor state, as well as the proposed rule’s intended timeline. Anticipated compliance costs related to the Good Neighbor Plan cannot yet be estimated; however, the costs could be material, including costs of additional NO</w:t>
      </w:r>
      <w:r>
        <w:rPr>
          <w:rFonts w:ascii="Arial" w:cs="Arial" w:eastAsia="Arial" w:hAnsi="Arial"/>
          <w:sz w:val="20"/>
          <w:szCs w:val="20"/>
          <w:color w:val="auto"/>
          <w:vertAlign w:val="subscript"/>
        </w:rPr>
        <w:t>x</w:t>
      </w:r>
      <w:r>
        <w:rPr>
          <w:rFonts w:ascii="Arial" w:cs="Arial" w:eastAsia="Arial" w:hAnsi="Arial"/>
          <w:sz w:val="16"/>
          <w:szCs w:val="16"/>
          <w:color w:val="auto"/>
        </w:rPr>
        <w:t xml:space="preserve"> controls, emission allowance program participation, or operational changes, if any are required. Minnesota Power would seek recovery of additional costs through a rate proceeding. The EPA intends to issue a final rule in early 2023.</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EPA National Emission Standards for Hazardous Air Pollutants for Major Sources: Industrial, Commercial and Institutional Boilers and Process Heaters (Industrial Boiler MACT) Rule</w:t>
      </w:r>
      <w:r>
        <w:rPr>
          <w:rFonts w:ascii="Arial" w:cs="Arial" w:eastAsia="Arial" w:hAnsi="Arial"/>
          <w:sz w:val="17"/>
          <w:szCs w:val="17"/>
          <w:color w:val="auto"/>
        </w:rPr>
        <w:t>. A final rule issued by the EPA for Industrial Boiler MACT became effective in 2012 with compliance required at major</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sources in 2016. Minnesota Power’s Hibbard Renewable Energy Center and Rapids Energy Center are subject to this rule. Compliance with the Industrial Boiler MACT Rule consisted largely of adjustments to fuels and operating practices and compliance costs were not material. Subsequent to this initial rulemaking, litigation from 2016 through 2018 resulted in court orders directing that the EPA reconsider certain aspects of the regulation including the basis for and numerical value of several different emission limits. On October 6, 2022, the EPA published a final rule in the Federal Register incorporating these changes. The rule will become effective on December 5, 2022 and impose a 3-year compliance deadline of December 5, 2025. Minnesota Power is actively reviewing this new regulation to assess if any changes are needed to achieve compliance. Compliance costs associated with the new Industrial Boiler MACT Rule cannot yet be estimated; however, the costs could be material. Minnesota Power would seek recovery of additional costs through a rate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7.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risks. Physical risks could include, but are not limited to: increased or decreased precipitation and water levels in lakes and rivers; increased or other changes in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21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renewable power supply for both our operations and the operations of others;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management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Improving efficiency of our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generating facilities and carbon sequestration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Evaluating and developing less carbon intensive future generating assets such as efficient and flexible natural gas-fired generating facilities;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Managing vegetation on right-of-way corridors to reduce potential wildfire or storm damage risks; and</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Practicing sound forestry management in our service territories to create landscapes more resilient to disruption from climate-related changes, including planting and managing long-lived conifer species.</w:t>
      </w:r>
    </w:p>
    <w:p>
      <w:pPr>
        <w:spacing w:after="0" w:line="21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EPA Regulation of GHG Emissions. </w:t>
      </w:r>
      <w:r>
        <w:rPr>
          <w:rFonts w:ascii="Arial" w:cs="Arial" w:eastAsia="Arial" w:hAnsi="Arial"/>
          <w:sz w:val="16"/>
          <w:szCs w:val="16"/>
          <w:color w:val="auto"/>
        </w:rPr>
        <w:t>In 2019, the EPA finalized several separate rulemakings regarding regulating carbon emissions from electric utility</w:t>
      </w:r>
      <w:r>
        <w:rPr>
          <w:rFonts w:ascii="Arial" w:cs="Arial" w:eastAsia="Arial" w:hAnsi="Arial"/>
          <w:sz w:val="16"/>
          <w:szCs w:val="16"/>
          <w:i w:val="1"/>
          <w:iCs w:val="1"/>
          <w:color w:val="auto"/>
        </w:rPr>
        <w:t xml:space="preserve"> </w:t>
      </w:r>
      <w:r>
        <w:rPr>
          <w:rFonts w:ascii="Arial" w:cs="Arial" w:eastAsia="Arial" w:hAnsi="Arial"/>
          <w:sz w:val="16"/>
          <w:szCs w:val="16"/>
          <w:color w:val="auto"/>
        </w:rPr>
        <w:t>generating units. These rulemakings included repealing the Clean Power Plan (CPP) and adopting the Affordable Clean Energy Rule under Section 111(d) of the Clean Air Act (CAA) to regulate CO2 emissions at existing coal-fired power plants. The CPP was first announced as a proposed rule under Section 111(d) of the CAA for existing power plants entitled “Carbon Pollution Emission Guidelines for Existing Stationary Sources: Electric Generating Units”. The Affordable Clean Energy Rule established emissions guidelines for states to use when developing plans to limit CO2 coal-fired power plants. The EPA also published regulations for the state implementation of the Affordable Clean Energy Rule and other Section 111(d) rules. Affected facilities for Minnesota Power included Boswell Units 3 and 4, and Taconite Harbor Units 1 and 2, which are currently economically idled.</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On January 19, 2021, the D.C. Circuit issued an opinion vacating the Affordable Clean Energy Rule and remanded the Affordable Clean Energy Rule back to the EPA for further consideration, consistent with the D.C. Circuit’s finding that the EPA erred in interpreting the CAA, pending rehearing or appeal. Four petitions for review of the D.C. Circuit’s opinion were subsequently granted by the U.S. Supreme Court on October 29, 2021, consolidated under West Virginia v. EPA et al. On June 30, 2022, the U.S. Supreme Court released its opinion in favor of West Virginia and aligned parties. The Supreme Court found the EPA’s CPP structure of generation shifting to be disallowed under Section 111(d) of the CCA on grounds of the major questions doctrine. The court did not opine upon the regulatory approach the EPA proposed in the Affordable Clean Energy Rule. The petitions were remanded to the D.C. Circuit. The EPA has indicated that it intends to issue a proposed rule in early 2023 with a new set of emission guidelines for states to follow in submitting state plans to establish and implement standards of performance for GHG emissions from existing fossil fuel-fired electric generating units. Minnesota Power will continue to monitor any related guidelines and rulemakings issued by the EPA or state regulatory authorities.</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22, 2021, the Biden Administration announced a goal to reach 100 percent carbon pollution-free electricity by 2035 as part of the Nationally Determined Contributions pledge, which is part of an international effort to limit global warming. At this time, no specific regulatory pathway to achieve these reductions has been proposed. Minnesota Power will continue to monitor these developments.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Minnesota had already initiated several measures consistent with those called for under the now repealed CPP and vacated Affordable Clean Energy Rule. Minnesota Power continues implementing its EnergyForward strategic plan that provides for significant emission reductions and diversifying its electricity generation mix to include more renewable and natural gas energy. We are unable to predict the GHG emission compliance costs we might incur as a result of a replacement for the Affordable Clean Energy Rule or other future laws, regulations or administrative policies; however, the costs could be material. Minnesota Power would seek recovery of additional costs through a rate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7.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Additionally on January 13, 2021, the EPA issued a rulemaking to apply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 New Source Performance Standards (NSPS) to new, modified and reconstructed fossil fuel-fired electric generating units under Section 111(b) of the CAA. Currently, the EPA is a performing a comprehensive review of the Section 111(b) GHG NSPS for electric generating units, with a notice of proposed rulemaking expected in early 2023. Minnesota Power is monitoring the NSPS final rule and any further Section 111(b) developments including their potential impact to the Company. The proposed combined-cycle natural gas-fired generating facility, NTEC, is expected to meet these NSPS requirements.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wastewater discharged into navigable waters. We have obtained all necessary NPDES permits, including NPDES storm water permits for applicable facilities, to conduct our operations.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Steam Electric Power Generating Effluent Limitations Guidelines. </w:t>
      </w:r>
      <w:r>
        <w:rPr>
          <w:rFonts w:ascii="Arial" w:cs="Arial" w:eastAsia="Arial" w:hAnsi="Arial"/>
          <w:sz w:val="17"/>
          <w:szCs w:val="17"/>
          <w:color w:val="auto"/>
        </w:rPr>
        <w:t>In 2015, the EPA issued revised federal effluent limitation guidelines (ELG) for steam</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 power generating stations under the Clean Water Act. It set effluent limits and prescribed BACT for several wastewater streams, including flue gas desulphurization (FGD) water, bottom ash transport water and coal combustion landfill leachate. In 2017, the EPA announced a two-year postponement of the ELG compliance date of November 1, 2018, to November 1, 2020, while the agency reconsidered the bottom ash transport water (BATW) and FGD wastewater provisions. On April 12, 2019, the U.S. Court of Appeals for the Fifth Circuit vacated and remanded back to the EPA portions of the ELG that allowed for continued discharge of legacy wastewater and leachate. On October 13, 2020, the EPA published a final ELG Rule allowing re-use of bottom ash transport water in FGD scrubber systems with limited discharges related to maintaining system water balance. The rule sets technology standards and numerical pollutant limits for discharges of bottom ash transport water and FGD wastewater. Compliance deadlines depend on subcategory, with compliance generally required as soon as possible, beginning after October 13, 2021, but no later than December 31, 2025, or December 31, 2028, in some specific cases. The rule also established new subcategories for retiring high-flow and low-utilization units, and established a voluntary incentives program for FGD wastewater. In accordance with the January 2021 Executive Order 13990, the EPA was mandated to conduct a review of actions and polices taken during the prior administration, including the 2020 ELG Rule. On September 14, 2021, the EPA published a notice of availability for preliminary effluent guidelines program plan. In the plan, the EPA confirmed the agency is initiating a rulemaking process to strengthen wastewater pollution limitations from FGD and bottom ash transport water discharges while the 2020 ELG Rule remains in effect. The EPA is expected to publish a proposed rule in November 2022.</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2020 ELG rule, most bottom ash transport water discharge to surface waters must cease no later than December 31, 2025, except for small discharges needed to retain water balance. The majority of bottom ash transport will either need to be re-used in a closed-loop process or routed to a FGD scrubber. FGD wastewater is required to meet stringent water quality standards for discharge to surface water.</w:t>
      </w:r>
    </w:p>
    <w:p>
      <w:pPr>
        <w:spacing w:after="0" w:line="20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Bottom ash transport and FGD wastewater ELG’s are not currently expected to have a significant impact on Minnesota Power operations. Boswell Energy Center, where ELG’s are primarily applicable, completed conversion to dry bottom ash handling and installed a FGD dewatering system in September 2022. The dry conversion projects eliminated bottom ash transport water and minimized wastewater from the FGD system. Re-use and onsite consumption is planned for the remaining FGD waste stream and for dewatering legacy wastewater from Boswell’s existing impoundments. Water re-use and consumption activities are expected to eliminate the need for surface water discharges prior to the current ELG Rule deadline of December 31, 2025.</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EPA’s additional reconsideration of legacy wastewater and leachate discharge requirements has the potential to impact leachate discharges associated with the closed impoundment at the Laskin and Taconite Harbor Energy Center Dry Ash Landfill. In its spring 2022 Unified Agenda, the EPA announced it intends to consolidate consideration of legacy wastewater and leachate with the ELG/FGD and BATW proposed rulemaking expected in November 2022. It is unknown at this time if the rule revisions will include new requirements for these waste streams.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this time, we estimate no additional material compliance costs for ELG bottom ash water and FGD requirements. Compliance costs we might incur related to other ELG waste streams (e.g., leachate) or other potential future water discharge regulations at Minnesota Power facilities cannot be estimated; however, the costs could be material, including costs associated with wastewater treatment and re-use. Minnesota Power would seek recovery of additional costs through a rate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7.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Permitted Water Discharges – Sulfate</w:t>
      </w:r>
      <w:r>
        <w:rPr>
          <w:rFonts w:ascii="Arial" w:cs="Arial" w:eastAsia="Arial" w:hAnsi="Arial"/>
          <w:sz w:val="16"/>
          <w:szCs w:val="16"/>
          <w:color w:val="auto"/>
        </w:rPr>
        <w:t>. In 2017, the MPCA released a draft water quality standard in an attempt to update Minnesota’s existing 10 mg/L</w:t>
      </w:r>
      <w:r>
        <w:rPr>
          <w:rFonts w:ascii="Arial" w:cs="Arial" w:eastAsia="Arial" w:hAnsi="Arial"/>
          <w:sz w:val="16"/>
          <w:szCs w:val="16"/>
          <w:i w:val="1"/>
          <w:iCs w:val="1"/>
          <w:color w:val="auto"/>
        </w:rPr>
        <w:t xml:space="preserve"> </w:t>
      </w:r>
      <w:r>
        <w:rPr>
          <w:rFonts w:ascii="Arial" w:cs="Arial" w:eastAsia="Arial" w:hAnsi="Arial"/>
          <w:sz w:val="16"/>
          <w:szCs w:val="16"/>
          <w:color w:val="auto"/>
        </w:rPr>
        <w:t>sulfate limit for waters used for the production of wild rice with the proposed rulemaking heard before an administrative law judge (ALJ). In 2018, the ALJ rejected significant portions of the proposed rulemaking and the MPCA subsequently withdrew the rulemaking. The existing 10 mg/L limit remains in place, but the MPCA is currently prohibited under state law from listing wild rice waters as impaired or requiring sulfate reduction technology.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April 2021, the MPCA’s proposed list of impaired waters submitted pursuant to the Clean Water Act was partially rejected by the EPA due to the absence of wild rice waters listed for sulfate impairment. The EPA transmitted a final list of 32 EPA-added wild rice waters to the MPCA on November 5, 2021. This list could subsequently be used to set sulfate limits in discharge permits for power generation facilities and municipal and industrial customers, including paper and pulp facilities, and mining operations. At this time we are unable to determine the specific impacts these developments may have on Minnesota Power operations, if any. Minnesota Power would seek recovery of additional costs through a rate proceeding.</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reports to the EPA.</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Coal Ash Management Facilities. </w:t>
      </w:r>
      <w:r>
        <w:rPr>
          <w:rFonts w:ascii="Arial" w:cs="Arial" w:eastAsia="Arial" w:hAnsi="Arial"/>
          <w:sz w:val="17"/>
          <w:szCs w:val="17"/>
          <w:color w:val="auto"/>
        </w:rPr>
        <w:t>Minnesota Power produces the majority of its coal ash at Boswell, with small amounts of ash generated at Hibbard</w:t>
      </w:r>
      <w:r>
        <w:rPr>
          <w:rFonts w:ascii="Arial" w:cs="Arial" w:eastAsia="Arial" w:hAnsi="Arial"/>
          <w:sz w:val="17"/>
          <w:szCs w:val="17"/>
          <w:i w:val="1"/>
          <w:iCs w:val="1"/>
          <w:color w:val="auto"/>
        </w:rPr>
        <w:t xml:space="preserve"> </w:t>
      </w:r>
      <w:r>
        <w:rPr>
          <w:rFonts w:ascii="Arial" w:cs="Arial" w:eastAsia="Arial" w:hAnsi="Arial"/>
          <w:sz w:val="17"/>
          <w:szCs w:val="17"/>
          <w:color w:val="auto"/>
        </w:rPr>
        <w:t>Renewable Energy Center. Ash storage and disposal methods include storing ash in clay-lined onsite impoundments (ash ponds), disposing of dry ash in a lined dry ash landfill, applying ash to land as an approved beneficial use, and trucking ash to state permitted landfills.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Coal Combustion Residuals from Electric Utilities (CCR). </w:t>
      </w:r>
      <w:r>
        <w:rPr>
          <w:rFonts w:ascii="Arial" w:cs="Arial" w:eastAsia="Arial" w:hAnsi="Arial"/>
          <w:sz w:val="17"/>
          <w:szCs w:val="17"/>
          <w:color w:val="auto"/>
        </w:rPr>
        <w:t>In 2015, the EPA published the final rule regulating CCR as nonhazardous waste under Subtitle</w:t>
      </w:r>
      <w:r>
        <w:rPr>
          <w:rFonts w:ascii="Arial" w:cs="Arial" w:eastAsia="Arial" w:hAnsi="Arial"/>
          <w:sz w:val="17"/>
          <w:szCs w:val="17"/>
          <w:i w:val="1"/>
          <w:iCs w:val="1"/>
          <w:color w:val="auto"/>
        </w:rPr>
        <w:t xml:space="preserve"> </w:t>
      </w:r>
      <w:r>
        <w:rPr>
          <w:rFonts w:ascii="Arial" w:cs="Arial" w:eastAsia="Arial" w:hAnsi="Arial"/>
          <w:sz w:val="17"/>
          <w:szCs w:val="17"/>
          <w:color w:val="auto"/>
        </w:rPr>
        <w:t>D of the Resource Conservation and Recovery Act (RCRA) in the Federal Register. The rule includes additional requirements for new landfill and impoundment construction as well as closure activities related to certain existing impoundments. Costs of compliance for Boswell and Laskin are expected to be incurred primarily over the next 15 years and be between approximately $65 million and $120 million. Compliance costs for CCR at Taconite Harbor are not expected to be material. Minnesota Power would seek recovery of additional costs through a rate proceeding.</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Minnesota Power continues to work on minimizing costs through evaluation of beneficial re-use and recycling of CCR and CCR-related waters. In 2017, the EPA announced its intention to formally reconsider the CCR rule under Subtitle D of the RCRA. In March 2018, the EPA published the first phase of the proposed rule revisions in the Federal Register. In 2018, the EPA finalized revisions to elements of the CCR rule, including extending certain deadlines by two years, the establishment of alternative groundwater protection standards for certain constituents and the potential for risk-based management options at facilities based on site characteristics. In 2018, a U.S. District Court for the District of Columbia decision vacated specific provisions of the CCR rule. The court decision resulted in a change to the status of three existing clay-lined impoundments at Boswell that must now be considered unlined. The EPA proposed additional rule revisions in 2019 to address outstanding issues from litigation and closure timelines for unlined impoundments, respectively. The first of these rules, CCR Part A Rule, was finalized in September 2020. The Part A Rule revision requires unlined impoundments to cease disposal of waste as soon as technically feasible but no later than April 11, 2021. Minnesota Power sought EPA approval under the Part A Rule to extend the closure date for two active Boswell impoundments in November 2020. Upon completion of dry ash conversion activities, Boswell ceased disposal in both impoundments on September 17, 2022 and formally withdrew the CCR Part A Application. The EPA acknowledged the Part A variance application withdrawal on September 20, 2022, and indicated it has updated the webpage to show Boswell has ceased waste disposal in impoundments. The EPA also indicated that no further EPA review of Boswell’s Part A variance application will occur. Both impoundments are now inactive and have initiated closure.</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the EPA released a proposed Part B rulemaking in February 2020 addressing options for beneficial reuse of CCR materials, alternative liner demonstrations, and other CCR regulatory revisions. Portions of the Part B Rule addressing alternative liner equivalency standards were finalized in November 2020. According to the EPA’s spring 2022 regulatory agenda, finalization of the remainder of the proposed Part B Rule is expected in early 2023. Expected compliance costs at Boswell due to the court decision and subsequent rule revisions are reflected in our estimate of compliance costs for the CCR rule noted previously. Minnesota Power would seek recovery of additional costs through a rate proceeding.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7.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Environmental Matters.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Manufactured Gas Plant Site. </w:t>
      </w:r>
      <w:r>
        <w:rPr>
          <w:rFonts w:ascii="Arial" w:cs="Arial" w:eastAsia="Arial" w:hAnsi="Arial"/>
          <w:sz w:val="17"/>
          <w:szCs w:val="17"/>
          <w:color w:val="auto"/>
        </w:rPr>
        <w:t>We are reviewing and addressing environmental conditions at a former manufactured gas plant site located in Superior,</w:t>
      </w:r>
      <w:r>
        <w:rPr>
          <w:rFonts w:ascii="Arial" w:cs="Arial" w:eastAsia="Arial" w:hAnsi="Arial"/>
          <w:sz w:val="17"/>
          <w:szCs w:val="17"/>
          <w:i w:val="1"/>
          <w:iCs w:val="1"/>
          <w:color w:val="auto"/>
        </w:rPr>
        <w:t xml:space="preserve"> </w:t>
      </w:r>
      <w:r>
        <w:rPr>
          <w:rFonts w:ascii="Arial" w:cs="Arial" w:eastAsia="Arial" w:hAnsi="Arial"/>
          <w:sz w:val="17"/>
          <w:szCs w:val="17"/>
          <w:color w:val="auto"/>
        </w:rPr>
        <w:t>Wisconsin, and formerly operated by SWL&amp;P. SWL&amp;P has been working with the Wisconsin Department of Natural Resources (WDNR) in determining the extent and location of contamination at the site and surrounding properties. As of September 30, 2022, we have recorded a liability of approximately $18 million for remediation costs at this site. SWL&amp;P has recorded the site as an associated regulatory asset as we expect recovery of these remediation costs to be allowed by the PSCW. Remediation costs are expected to be incurred through 2024.</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 and Surety Bonds.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multiple credit facility agreements in place that provide the ability to issue standby letters of credit to satisfy contractual security requirements across our businesses. As of September 30, 2022, we had $227.6 million of outstanding letters of credit issued, including those issued under our revolving credit facility.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Regulated Operations. </w:t>
      </w:r>
      <w:r>
        <w:rPr>
          <w:rFonts w:ascii="Arial" w:cs="Arial" w:eastAsia="Arial" w:hAnsi="Arial"/>
          <w:sz w:val="18"/>
          <w:szCs w:val="18"/>
          <w:color w:val="auto"/>
        </w:rPr>
        <w:t>As of September 30, 2022, we had $18.1 million outstanding in standby letters of credit at our Regulated Operations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pledged as security to MISO and a state agency.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ALLETE Clean Energy. </w:t>
      </w:r>
      <w:r>
        <w:rPr>
          <w:rFonts w:ascii="Arial" w:cs="Arial" w:eastAsia="Arial" w:hAnsi="Arial"/>
          <w:sz w:val="18"/>
          <w:szCs w:val="18"/>
          <w:color w:val="auto"/>
        </w:rPr>
        <w:t>ALLETE Clean Energy’s wind energy facilities have various PSAs in place for some or all of their output that expire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years between 2024 and 2039. As of September 30, 2022, ALLETE Clean Energy has $173.8 million outstanding in standby letters of credit, the majority of which are pledged as security under these PSAs and PSAs for wind energy facilities under development. ALLETE Clean Energy does not believe it is likely that any of these outstanding letters of credit will be drawn upon.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BNI Energy</w:t>
      </w:r>
      <w:r>
        <w:rPr>
          <w:rFonts w:ascii="Arial" w:cs="Arial" w:eastAsia="Arial" w:hAnsi="Arial"/>
          <w:sz w:val="18"/>
          <w:szCs w:val="18"/>
          <w:color w:val="auto"/>
        </w:rPr>
        <w:t>. As of September 30, 2022, BNI Energy had surety bonds outstanding of $82.4 million related to the reclamation liability for closing costs associated with its mine and mine facilities. Although its coal supply agreements obligate the customers to provide for the closing costs, additional assurance is required by federal and state regulations. BNI Energy’s total reclamation liability is currently estimated at $82.1 million. BNI Energy does not believe it is likely that any of these outstanding surety bonds will be drawn upon.</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Investment in Nobles 2</w:t>
      </w:r>
      <w:r>
        <w:rPr>
          <w:rFonts w:ascii="Arial" w:cs="Arial" w:eastAsia="Arial" w:hAnsi="Arial"/>
          <w:sz w:val="17"/>
          <w:szCs w:val="17"/>
          <w:color w:val="auto"/>
        </w:rPr>
        <w:t>. The Nobles 2 wind energy facility requires standby letters of credit as security for certain contractual obligations. As of September 30, 2022, ALLETE South Wind has $11.8 million outstanding in standby letters of credit, related to its portion of the security requirements relative to its ownership in Nobles 2. We do not believe it is likely that any of these outstanding letters of credit will be drawn upon.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South Shore Energy</w:t>
      </w:r>
      <w:r>
        <w:rPr>
          <w:rFonts w:ascii="Arial" w:cs="Arial" w:eastAsia="Arial" w:hAnsi="Arial"/>
          <w:sz w:val="18"/>
          <w:szCs w:val="18"/>
          <w:color w:val="auto"/>
        </w:rPr>
        <w:t>. As of September 30, 2022, South Shore Energy had $23.9 million outstanding in standby letters of credit pledged as security in connection with the development of NTEC. South Shore Energy does not believe it is likely that any of these outstanding letters of credit will be drawn upon.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Minnesota Power was named in a lawsuit where a contractor performing work at one of its facilities experienced an injury and subsequently filed a lawsuit seeking compensatory damages. In the second quarter of 2022, Minnesota Power reached an agreement to settle the lawsuit with the plaintiff. The settlement was covered by the Company’s insurance coverage, subject to a deductible which has been previously expensed. The settlement, which was recorded in the financial statements for the quarter ended March 31, 2022, did not have a material impact on our financial position or results of operations.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8. EARNINGS PER SHARE AND COMMON STOCK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compute basic earnings per share using the weighted average number of shares of common stock outstanding during each period. The difference between basic and diluted earnings per share, if any, arises from non-vested restricted stock units and performance share awards granted under our Executive Long-Term Incentive Compensation Plan.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Reconciliation of Basic and Diluted</w:t>
            </w:r>
          </w:p>
        </w:tc>
        <w:tc>
          <w:tcPr>
            <w:tcW w:w="1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0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08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Dilutive</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Dilutive</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Basic</w:t>
            </w: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2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Diluted</w:t>
            </w: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Basic</w:t>
            </w: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Securities</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Diluted</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$33.7</w:t>
            </w:r>
          </w:p>
        </w:tc>
        <w:tc>
          <w:tcPr>
            <w:tcW w:w="1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$33.7</w:t>
            </w:r>
          </w:p>
        </w:tc>
        <w:tc>
          <w:tcPr>
            <w:tcW w:w="14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$27.6</w:t>
            </w:r>
          </w:p>
        </w:tc>
        <w:tc>
          <w:tcPr>
            <w:tcW w:w="1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Common Shares</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57.1</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52.4</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Per Share</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$0.59</w:t>
            </w: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$0.53</w:t>
            </w:r>
          </w:p>
        </w:tc>
        <w:tc>
          <w:tcPr>
            <w:tcW w:w="1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$137.6</w:t>
            </w:r>
          </w:p>
        </w:tc>
        <w:tc>
          <w:tcPr>
            <w:tcW w:w="1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$137.6</w:t>
            </w:r>
          </w:p>
        </w:tc>
        <w:tc>
          <w:tcPr>
            <w:tcW w:w="14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$107.3</w:t>
            </w:r>
          </w:p>
        </w:tc>
        <w:tc>
          <w:tcPr>
            <w:tcW w:w="1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Common Shares</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55.5</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52.3</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Per Share</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$2.48</w:t>
            </w: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$2.05</w:t>
            </w:r>
          </w:p>
        </w:tc>
        <w:tc>
          <w:tcPr>
            <w:tcW w:w="1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5, 2022, ALLETE issued and sold approximately 3.7 million shares of ALLETE common stock. Net proceeds of approximately $224 million were received from the sale of shares. Proceeds were used primarily to fund the acquisition of New Energy and capital investments at ALLETE Clean Energy.</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Arial" w:cs="Arial" w:eastAsia="Arial" w:hAnsi="Arial"/>
                <w:sz w:val="18"/>
                <w:szCs w:val="18"/>
                <w:b w:val="1"/>
                <w:bCs w:val="1"/>
                <w:color w:val="auto"/>
              </w:rPr>
              <w:t>NOTE 9. INCOME TAX EXPENSE</w:t>
            </w:r>
          </w:p>
        </w:tc>
        <w:tc>
          <w:tcPr>
            <w:tcW w:w="2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3"/>
        </w:trPr>
        <w:tc>
          <w:tcPr>
            <w:tcW w:w="5020" w:type="dxa"/>
            <w:vAlign w:val="bottom"/>
          </w:tcPr>
          <w:p>
            <w:pPr>
              <w:spacing w:after="0"/>
              <w:rPr>
                <w:sz w:val="24"/>
                <w:szCs w:val="24"/>
                <w:color w:val="auto"/>
              </w:rPr>
            </w:pPr>
          </w:p>
        </w:tc>
        <w:tc>
          <w:tcPr>
            <w:tcW w:w="402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Quarter Ended</w:t>
            </w:r>
          </w:p>
        </w:tc>
        <w:tc>
          <w:tcPr>
            <w:tcW w:w="22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5020" w:type="dxa"/>
            <w:vAlign w:val="bottom"/>
          </w:tcPr>
          <w:p>
            <w:pPr>
              <w:spacing w:after="0"/>
              <w:rPr>
                <w:sz w:val="19"/>
                <w:szCs w:val="19"/>
                <w:color w:val="auto"/>
              </w:rPr>
            </w:pPr>
          </w:p>
        </w:tc>
        <w:tc>
          <w:tcPr>
            <w:tcW w:w="402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220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0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Current Income Tax Expense </w:t>
            </w:r>
            <w:r>
              <w:rPr>
                <w:rFonts w:ascii="Arial" w:cs="Arial" w:eastAsia="Arial" w:hAnsi="Arial"/>
                <w:sz w:val="16"/>
                <w:szCs w:val="16"/>
                <w:i w:val="1"/>
                <w:iCs w:val="1"/>
                <w:color w:val="auto"/>
              </w:rPr>
              <w:t>(a)</w:t>
            </w:r>
          </w:p>
        </w:tc>
        <w:tc>
          <w:tcPr>
            <w:tcW w:w="29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Federal</w:t>
            </w:r>
          </w:p>
        </w:tc>
        <w:tc>
          <w:tcPr>
            <w:tcW w:w="29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29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12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50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Current Income Tax Expense</w:t>
            </w:r>
          </w:p>
        </w:tc>
        <w:tc>
          <w:tcPr>
            <w:tcW w:w="2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$0.2</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$0.1</w:t>
            </w: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Expense (Benefit)</w:t>
            </w:r>
          </w:p>
        </w:tc>
        <w:tc>
          <w:tcPr>
            <w:tcW w:w="29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6"/>
                <w:szCs w:val="16"/>
                <w:i w:val="1"/>
                <w:iCs w:val="1"/>
                <w:color w:val="auto"/>
              </w:rPr>
              <w:t>(b)</w:t>
            </w:r>
          </w:p>
        </w:tc>
        <w:tc>
          <w:tcPr>
            <w:tcW w:w="2900" w:type="dxa"/>
            <w:vAlign w:val="bottom"/>
          </w:tcPr>
          <w:p>
            <w:pPr>
              <w:jc w:val="right"/>
              <w:ind w:right="130"/>
              <w:spacing w:after="0"/>
              <w:rPr>
                <w:sz w:val="20"/>
                <w:szCs w:val="20"/>
                <w:color w:val="auto"/>
              </w:rPr>
            </w:pPr>
            <w:r>
              <w:rPr>
                <w:rFonts w:ascii="Arial" w:cs="Arial" w:eastAsia="Arial" w:hAnsi="Arial"/>
                <w:sz w:val="18"/>
                <w:szCs w:val="18"/>
                <w:color w:val="auto"/>
              </w:rPr>
              <w:t>$(8.4)</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$(5.8)</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$(20.7)</w:t>
            </w:r>
          </w:p>
        </w:tc>
        <w:tc>
          <w:tcPr>
            <w:tcW w:w="98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(c)</w:t>
            </w:r>
          </w:p>
        </w:tc>
        <w:tc>
          <w:tcPr>
            <w:tcW w:w="29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1.1</w:t>
            </w:r>
          </w:p>
        </w:tc>
        <w:tc>
          <w:tcPr>
            <w:tcW w:w="11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0.9</w:t>
            </w:r>
          </w:p>
        </w:tc>
        <w:tc>
          <w:tcPr>
            <w:tcW w:w="12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7.3</w:t>
            </w:r>
          </w:p>
        </w:tc>
      </w:tr>
      <w:tr>
        <w:trPr>
          <w:trHeight w:val="230"/>
        </w:trPr>
        <w:tc>
          <w:tcPr>
            <w:tcW w:w="5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Investment Tax Credit Amortization</w:t>
            </w:r>
          </w:p>
        </w:tc>
        <w:tc>
          <w:tcPr>
            <w:tcW w:w="2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(0.1)</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50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Deferred Income Tax Benefit</w:t>
            </w:r>
          </w:p>
        </w:tc>
        <w:tc>
          <w:tcPr>
            <w:tcW w:w="2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$(7.4)</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12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$(19.7)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Income Tax Benefit</w:t>
            </w:r>
          </w:p>
        </w:tc>
        <w:tc>
          <w:tcPr>
            <w:tcW w:w="2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$(7.2)</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$(4.9)</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$(19.4)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r>
    </w:tbl>
    <w:p>
      <w:pPr>
        <w:spacing w:after="0" w:line="98" w:lineRule="exact"/>
        <w:rPr>
          <w:sz w:val="20"/>
          <w:szCs w:val="20"/>
          <w:color w:val="auto"/>
        </w:rPr>
      </w:pPr>
    </w:p>
    <w:p>
      <w:pPr>
        <w:ind w:left="340" w:hanging="332"/>
        <w:spacing w:after="0" w:line="282" w:lineRule="auto"/>
        <w:tabs>
          <w:tab w:leader="none" w:pos="340" w:val="left"/>
        </w:tabs>
        <w:numPr>
          <w:ilvl w:val="0"/>
          <w:numId w:val="14"/>
        </w:numPr>
        <w:rPr>
          <w:rFonts w:ascii="Arial" w:cs="Arial" w:eastAsia="Arial" w:hAnsi="Arial"/>
          <w:sz w:val="15"/>
          <w:szCs w:val="15"/>
          <w:i w:val="1"/>
          <w:iCs w:val="1"/>
          <w:color w:val="auto"/>
        </w:rPr>
      </w:pPr>
      <w:r>
        <w:rPr>
          <w:rFonts w:ascii="Arial" w:cs="Arial" w:eastAsia="Arial" w:hAnsi="Arial"/>
          <w:sz w:val="15"/>
          <w:szCs w:val="15"/>
          <w:i w:val="1"/>
          <w:iCs w:val="1"/>
          <w:color w:val="auto"/>
        </w:rPr>
        <w:t>For the three and nine months ended September 30, 2022 and 2021, the federal and state current tax expense was minimal due to NOLs which resulted from the bonus depreciation provisions of certain tax legislation. Federal and state NOLs are being carried forward to offset current and future taxable income.</w:t>
      </w:r>
    </w:p>
    <w:p>
      <w:pPr>
        <w:ind w:left="340" w:hanging="332"/>
        <w:spacing w:after="0"/>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For the three and nine months ended September 30, 2022 and 2021, the federal income tax benefit is primarily due to production tax credits.</w:t>
      </w:r>
    </w:p>
    <w:p>
      <w:pPr>
        <w:spacing w:after="0" w:line="5" w:lineRule="exact"/>
        <w:rPr>
          <w:rFonts w:ascii="Arial" w:cs="Arial" w:eastAsia="Arial" w:hAnsi="Arial"/>
          <w:sz w:val="16"/>
          <w:szCs w:val="16"/>
          <w:i w:val="1"/>
          <w:iCs w:val="1"/>
          <w:color w:val="auto"/>
        </w:rPr>
      </w:pPr>
    </w:p>
    <w:p>
      <w:pPr>
        <w:ind w:left="320" w:hanging="312"/>
        <w:spacing w:after="0"/>
        <w:tabs>
          <w:tab w:leader="none" w:pos="32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For the nine months ended September 30, 2022, the state impact includes the benefit of deferred repricing as a result of the New Energy acquisition.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9. INCOME TAX EXPENSE (Continued)</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40" w:type="dxa"/>
            <w:vAlign w:val="bottom"/>
          </w:tcPr>
          <w:p>
            <w:pPr>
              <w:spacing w:after="0"/>
              <w:rPr>
                <w:sz w:val="19"/>
                <w:szCs w:val="19"/>
                <w:color w:val="auto"/>
              </w:rPr>
            </w:pPr>
          </w:p>
        </w:tc>
        <w:tc>
          <w:tcPr>
            <w:tcW w:w="3040" w:type="dxa"/>
            <w:vAlign w:val="bottom"/>
            <w:gridSpan w:val="2"/>
          </w:tcPr>
          <w:p>
            <w:pPr>
              <w:ind w:left="1100"/>
              <w:spacing w:after="0"/>
              <w:rPr>
                <w:sz w:val="20"/>
                <w:szCs w:val="20"/>
                <w:color w:val="auto"/>
              </w:rPr>
            </w:pPr>
            <w:r>
              <w:rPr>
                <w:rFonts w:ascii="Arial" w:cs="Arial" w:eastAsia="Arial" w:hAnsi="Arial"/>
                <w:sz w:val="18"/>
                <w:szCs w:val="18"/>
                <w:b w:val="1"/>
                <w:bCs w:val="1"/>
                <w:color w:val="auto"/>
              </w:rPr>
              <w:t>Quarter Ended</w:t>
            </w:r>
          </w:p>
        </w:tc>
        <w:tc>
          <w:tcPr>
            <w:tcW w:w="23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304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236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Rate to Total Income Tax Expense</w:t>
            </w:r>
          </w:p>
        </w:tc>
        <w:tc>
          <w:tcPr>
            <w:tcW w:w="18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8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$19.6</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$19.2</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$74.7</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$69.9</w:t>
            </w:r>
          </w:p>
        </w:tc>
      </w:tr>
      <w:tr>
        <w:trPr>
          <w:trHeight w:val="229"/>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Statutory Federal Income Tax Rate</w:t>
            </w:r>
          </w:p>
        </w:tc>
        <w:tc>
          <w:tcPr>
            <w:tcW w:w="1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21 %</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21 %</w:t>
            </w: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21 %</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Computed at Statutory Federal Rate</w:t>
            </w:r>
          </w:p>
        </w:tc>
        <w:tc>
          <w:tcPr>
            <w:tcW w:w="18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$4.1</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$4.0</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$15.7</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$14.7</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Increase (Decrease) in Income Tax Due to:</w:t>
            </w:r>
          </w:p>
        </w:tc>
        <w:tc>
          <w:tcPr>
            <w:tcW w:w="1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Income Taxes (Credit) – Net of Federal Income Tax Benefit</w:t>
            </w:r>
          </w:p>
        </w:tc>
        <w:tc>
          <w:tcPr>
            <w:tcW w:w="18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1.1</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0.7</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6.6</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w:t>
            </w:r>
          </w:p>
        </w:tc>
      </w:tr>
      <w:tr>
        <w:trPr>
          <w:trHeight w:val="230"/>
        </w:trPr>
        <w:tc>
          <w:tcPr>
            <w:tcW w:w="5840" w:type="dxa"/>
            <w:vAlign w:val="bottom"/>
          </w:tcPr>
          <w:p>
            <w:pPr>
              <w:ind w:left="220"/>
              <w:spacing w:after="0"/>
              <w:rPr>
                <w:sz w:val="20"/>
                <w:szCs w:val="20"/>
                <w:color w:val="auto"/>
              </w:rPr>
            </w:pPr>
            <w:r>
              <w:rPr>
                <w:rFonts w:ascii="Arial" w:cs="Arial" w:eastAsia="Arial" w:hAnsi="Arial"/>
                <w:sz w:val="18"/>
                <w:szCs w:val="18"/>
                <w:color w:val="auto"/>
              </w:rPr>
              <w:t>Deferred Revaluation – Net of Federal Income Tax Benefit</w:t>
            </w:r>
          </w:p>
        </w:tc>
        <w:tc>
          <w:tcPr>
            <w:tcW w:w="18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(5.2)</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Production Tax Credits</w:t>
            </w:r>
          </w:p>
        </w:tc>
        <w:tc>
          <w:tcPr>
            <w:tcW w:w="18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(9.7)</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(9.5)</w:t>
            </w:r>
          </w:p>
        </w:tc>
        <w:tc>
          <w:tcPr>
            <w:tcW w:w="1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(34.4)</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(36.6)</w:t>
            </w:r>
          </w:p>
        </w:tc>
      </w:tr>
      <w:tr>
        <w:trPr>
          <w:trHeight w:val="229"/>
        </w:trPr>
        <w:tc>
          <w:tcPr>
            <w:tcW w:w="5840" w:type="dxa"/>
            <w:vAlign w:val="bottom"/>
          </w:tcPr>
          <w:p>
            <w:pPr>
              <w:ind w:left="220"/>
              <w:spacing w:after="0"/>
              <w:rPr>
                <w:sz w:val="20"/>
                <w:szCs w:val="20"/>
                <w:color w:val="auto"/>
              </w:rPr>
            </w:pPr>
            <w:r>
              <w:rPr>
                <w:rFonts w:ascii="Arial" w:cs="Arial" w:eastAsia="Arial" w:hAnsi="Arial"/>
                <w:sz w:val="18"/>
                <w:szCs w:val="18"/>
                <w:color w:val="auto"/>
              </w:rPr>
              <w:t>Investment Tax Credits</w:t>
            </w:r>
          </w:p>
        </w:tc>
        <w:tc>
          <w:tcPr>
            <w:tcW w:w="1860" w:type="dxa"/>
            <w:vAlign w:val="bottom"/>
          </w:tcPr>
          <w:p>
            <w:pPr>
              <w:ind w:left="1100"/>
              <w:spacing w:after="0"/>
              <w:rPr>
                <w:sz w:val="20"/>
                <w:szCs w:val="20"/>
                <w:color w:val="auto"/>
              </w:rPr>
            </w:pPr>
            <w:r>
              <w:rPr>
                <w:rFonts w:ascii="Arial" w:cs="Arial" w:eastAsia="Arial" w:hAnsi="Arial"/>
                <w:sz w:val="18"/>
                <w:szCs w:val="18"/>
                <w:color w:val="auto"/>
              </w:rPr>
              <w:t>(3.2)</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(3.2)</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Regulatory Differences – Excess Deferred Tax</w:t>
            </w:r>
          </w:p>
        </w:tc>
        <w:tc>
          <w:tcPr>
            <w:tcW w:w="18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(1.5)</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w:t>
            </w:r>
          </w:p>
        </w:tc>
        <w:tc>
          <w:tcPr>
            <w:tcW w:w="1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(6.7)</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(6.7)</w:t>
            </w:r>
          </w:p>
        </w:tc>
      </w:tr>
      <w:tr>
        <w:trPr>
          <w:trHeight w:val="229"/>
        </w:trPr>
        <w:tc>
          <w:tcPr>
            <w:tcW w:w="5840" w:type="dxa"/>
            <w:vAlign w:val="bottom"/>
          </w:tcPr>
          <w:p>
            <w:pPr>
              <w:ind w:left="220"/>
              <w:spacing w:after="0"/>
              <w:rPr>
                <w:sz w:val="20"/>
                <w:szCs w:val="20"/>
                <w:color w:val="auto"/>
              </w:rPr>
            </w:pPr>
            <w:r>
              <w:rPr>
                <w:rFonts w:ascii="Arial" w:cs="Arial" w:eastAsia="Arial" w:hAnsi="Arial"/>
                <w:sz w:val="18"/>
                <w:szCs w:val="18"/>
                <w:color w:val="auto"/>
              </w:rPr>
              <w:t>Non-Controlling Interest in Subsidiaries</w:t>
            </w:r>
          </w:p>
        </w:tc>
        <w:tc>
          <w:tcPr>
            <w:tcW w:w="1860" w:type="dxa"/>
            <w:vAlign w:val="bottom"/>
          </w:tcPr>
          <w:p>
            <w:pPr>
              <w:jc w:val="right"/>
              <w:ind w:right="370"/>
              <w:spacing w:after="0"/>
              <w:rPr>
                <w:sz w:val="20"/>
                <w:szCs w:val="20"/>
                <w:color w:val="auto"/>
              </w:rPr>
            </w:pPr>
            <w:r>
              <w:rPr>
                <w:rFonts w:ascii="Arial" w:cs="Arial" w:eastAsia="Arial" w:hAnsi="Arial"/>
                <w:sz w:val="18"/>
                <w:szCs w:val="18"/>
                <w:color w:val="auto"/>
              </w:rPr>
              <w:t>1.4</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0.8</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8.4</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3.9</w:t>
            </w:r>
          </w:p>
        </w:tc>
      </w:tr>
      <w:tr>
        <w:trPr>
          <w:trHeight w:val="230"/>
        </w:trPr>
        <w:tc>
          <w:tcPr>
            <w:tcW w:w="5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8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0.6</w:t>
            </w:r>
          </w:p>
        </w:tc>
        <w:tc>
          <w:tcPr>
            <w:tcW w:w="11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1.2</w:t>
            </w:r>
          </w:p>
        </w:tc>
        <w:tc>
          <w:tcPr>
            <w:tcW w:w="12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(0.6)</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r>
      <w:tr>
        <w:trPr>
          <w:trHeight w:val="223"/>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Income Tax Benefit</w:t>
            </w:r>
          </w:p>
        </w:tc>
        <w:tc>
          <w:tcPr>
            <w:tcW w:w="1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$(7.2)</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$(4.9)</w:t>
            </w: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$(19.4)</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$(19.3)</w:t>
            </w:r>
          </w:p>
        </w:tc>
      </w:tr>
    </w:tbl>
    <w:p>
      <w:pPr>
        <w:spacing w:after="0" w:line="31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the nine months ended September 30, 2022, the effective tax rate was a benefit of 26.0 percent (benefit of 27.6 percent for the nine months ended September 30, 2021). The effective tax rate for 2022 and 2021 was primarily impacted by production tax credits.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September 30, 2022, we had gross unrecognized tax benefits of $1.3 million ($1.3 million as of December 31, 2021). Of</w:t>
      </w:r>
      <w:r>
        <w:rPr>
          <w:rFonts w:ascii="Arial" w:cs="Arial" w:eastAsia="Arial" w:hAnsi="Arial"/>
          <w:sz w:val="18"/>
          <w:szCs w:val="18"/>
          <w:b w:val="1"/>
          <w:bCs w:val="1"/>
          <w:color w:val="auto"/>
        </w:rPr>
        <w:t xml:space="preserve"> </w:t>
      </w:r>
      <w:r>
        <w:rPr>
          <w:rFonts w:ascii="Arial" w:cs="Arial" w:eastAsia="Arial" w:hAnsi="Arial"/>
          <w:sz w:val="18"/>
          <w:szCs w:val="18"/>
          <w:color w:val="auto"/>
        </w:rPr>
        <w:t>the total gross unrecognized tax benefits, $0.6 million represents the amount of unrecognized tax benefits included on the Consolidated Balance Sheet that, if recognized, would favorably impact the effective income tax rate. The unrecognized tax benefit amounts have been presented as reductions to the tax benefits associated with NOL and tax credit carryforwards on the Consolidated Balance Sheet.</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ALLETE and its subsidiaries file a consolidated federal income tax return as well as combined and separate state income tax returns in various jurisdictions. ALLETE has no open federal or state audits, and is no longer subject to federal examination for years before 2018, or state examination for years before 2017. Additionally, the statute of limitations related to the federal tax credit carryforwards will remain open until those credits are utilized in subsequent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r>
              <w:rPr>
                <w:rFonts w:ascii="Arial" w:cs="Arial" w:eastAsia="Arial" w:hAnsi="Arial"/>
                <w:sz w:val="18"/>
                <w:szCs w:val="18"/>
                <w:b w:val="1"/>
                <w:bCs w:val="1"/>
                <w:color w:val="auto"/>
              </w:rPr>
              <w:t>NOTE 10. PENSION AND OTHER POSTRETIREMENT BENEFIT PLANS</w:t>
            </w:r>
          </w:p>
        </w:tc>
        <w:tc>
          <w:tcPr>
            <w:tcW w:w="1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97"/>
        </w:trPr>
        <w:tc>
          <w:tcPr>
            <w:tcW w:w="6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740" w:type="dxa"/>
            <w:vAlign w:val="bottom"/>
          </w:tcPr>
          <w:p>
            <w:pPr>
              <w:spacing w:after="0"/>
              <w:rPr>
                <w:sz w:val="24"/>
                <w:szCs w:val="24"/>
                <w:color w:val="auto"/>
              </w:rPr>
            </w:pPr>
          </w:p>
        </w:tc>
      </w:tr>
      <w:tr>
        <w:trPr>
          <w:trHeight w:val="238"/>
        </w:trPr>
        <w:tc>
          <w:tcPr>
            <w:tcW w:w="66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900" w:type="dxa"/>
            <w:vAlign w:val="bottom"/>
          </w:tcPr>
          <w:p>
            <w:pPr>
              <w:spacing w:after="0"/>
              <w:rPr>
                <w:sz w:val="20"/>
                <w:szCs w:val="20"/>
                <w:color w:val="auto"/>
              </w:rPr>
            </w:pPr>
          </w:p>
        </w:tc>
        <w:tc>
          <w:tcPr>
            <w:tcW w:w="20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Postretirement</w:t>
            </w:r>
          </w:p>
        </w:tc>
      </w:tr>
      <w:tr>
        <w:trPr>
          <w:trHeight w:val="234"/>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6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2021</w:t>
            </w: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16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$2.1</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$2.7</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$0.8</w:t>
            </w:r>
          </w:p>
        </w:tc>
        <w:tc>
          <w:tcPr>
            <w:tcW w:w="7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6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6.9</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6.1</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1.1</w:t>
            </w: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Return on Plan Assets</w:t>
            </w:r>
          </w:p>
        </w:tc>
        <w:tc>
          <w:tcPr>
            <w:tcW w:w="1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(10.4)</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(10.8)</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Amortization of Prior Service Credits</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(1.8)</w:t>
            </w: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66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Amortization of Net Loss</w:t>
            </w:r>
          </w:p>
        </w:tc>
        <w:tc>
          <w:tcPr>
            <w:tcW w:w="16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2.8</w:t>
            </w: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4.7</w:t>
            </w: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Periodic Benefit Cost (Credit)</w:t>
            </w:r>
          </w:p>
        </w:tc>
        <w:tc>
          <w:tcPr>
            <w:tcW w:w="1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$1.4</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$2.7</w:t>
            </w: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196"/>
        </w:trPr>
        <w:tc>
          <w:tcPr>
            <w:tcW w:w="66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1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$6.9</w:t>
            </w:r>
          </w:p>
        </w:tc>
        <w:tc>
          <w:tcPr>
            <w:tcW w:w="9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$8.2</w:t>
            </w:r>
          </w:p>
        </w:tc>
        <w:tc>
          <w:tcPr>
            <w:tcW w:w="1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1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20.4</w:t>
            </w:r>
          </w:p>
        </w:tc>
        <w:tc>
          <w:tcPr>
            <w:tcW w:w="9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18.4</w:t>
            </w:r>
          </w:p>
        </w:tc>
        <w:tc>
          <w:tcPr>
            <w:tcW w:w="1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Expected Return on Plan Assets</w:t>
            </w:r>
          </w:p>
        </w:tc>
        <w:tc>
          <w:tcPr>
            <w:tcW w:w="1680" w:type="dxa"/>
            <w:vAlign w:val="bottom"/>
          </w:tcPr>
          <w:p>
            <w:pPr>
              <w:jc w:val="right"/>
              <w:ind w:right="310"/>
              <w:spacing w:after="0"/>
              <w:rPr>
                <w:sz w:val="20"/>
                <w:szCs w:val="20"/>
                <w:color w:val="auto"/>
              </w:rPr>
            </w:pPr>
            <w:r>
              <w:rPr>
                <w:rFonts w:ascii="Arial" w:cs="Arial" w:eastAsia="Arial" w:hAnsi="Arial"/>
                <w:sz w:val="18"/>
                <w:szCs w:val="18"/>
                <w:color w:val="auto"/>
              </w:rPr>
              <w:t>(31.1)</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(32.5)</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(7.2)</w:t>
            </w:r>
          </w:p>
        </w:tc>
        <w:tc>
          <w:tcPr>
            <w:tcW w:w="7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Prior Service Credits</w:t>
            </w:r>
          </w:p>
        </w:tc>
        <w:tc>
          <w:tcPr>
            <w:tcW w:w="1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(0.1)</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6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Amortization of Net Loss</w:t>
            </w:r>
          </w:p>
        </w:tc>
        <w:tc>
          <w:tcPr>
            <w:tcW w:w="1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8.6</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14.1</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 (Credit)</w:t>
            </w:r>
          </w:p>
        </w:tc>
        <w:tc>
          <w:tcPr>
            <w:tcW w:w="16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$4.7</w:t>
            </w: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$8.1</w:t>
            </w:r>
          </w:p>
        </w:tc>
        <w:tc>
          <w:tcPr>
            <w:tcW w:w="12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$(6.9)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These components of net periodic benefit cost (credit) are included in the line item “Other” under Other Income (Expense) on the Consolidated Statement of Income.</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For the nine months ended September 30, 2022, we made no contributions to the defined benefit pension plans ($10.3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nine months ended September 30, 2021); we do not expect to make any contributions to our defined benefit pension plans in 2022. For the nine months ended September 30, 2022 and 2021, we made no contributions to our other postretirement benefit plans; we do not expect to make any contributions to our other postretirement benefit plans in 2022.</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BUSINESS SEGMENTS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present two reportable segments: Regulated Operations and ALLETE Clean Energy. We measure performance of our operations through budgeting and monitoring of contributions to consolidated net income by each business segment.</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We also present Corporate and Other which includes BNI Energy, our coal mining operations in North Dakota, New Energy, a renewable energy development company, ALLETE Properties, our legacy Florida real estate investment, along with our investment in Nobles 2, South Shore Energy, our non-rate regulated, Wisconsin subsidiary developing NTEC, other business development and corporate expenditures, unallocated interest expense, a small amount of non-rate base generation, land holdings in Minnesota, and earnings on cash and investments.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Arial" w:cs="Arial" w:eastAsia="Arial" w:hAnsi="Arial"/>
                <w:sz w:val="18"/>
                <w:szCs w:val="18"/>
                <w:b w:val="1"/>
                <w:bCs w:val="1"/>
                <w:color w:val="auto"/>
              </w:rPr>
              <w:t>NOTE 11. BUSINESS SEGMENTS (Continued)</w:t>
            </w:r>
          </w:p>
        </w:tc>
        <w:tc>
          <w:tcPr>
            <w:tcW w:w="2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95"/>
        </w:trPr>
        <w:tc>
          <w:tcPr>
            <w:tcW w:w="5480" w:type="dxa"/>
            <w:vAlign w:val="bottom"/>
          </w:tcPr>
          <w:p>
            <w:pPr>
              <w:spacing w:after="0"/>
              <w:rPr>
                <w:sz w:val="24"/>
                <w:szCs w:val="24"/>
                <w:color w:val="auto"/>
              </w:rPr>
            </w:pPr>
          </w:p>
        </w:tc>
        <w:tc>
          <w:tcPr>
            <w:tcW w:w="362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Quarter Ended</w:t>
            </w:r>
          </w:p>
        </w:tc>
        <w:tc>
          <w:tcPr>
            <w:tcW w:w="21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5480" w:type="dxa"/>
            <w:vAlign w:val="bottom"/>
          </w:tcPr>
          <w:p>
            <w:pPr>
              <w:spacing w:after="0"/>
              <w:rPr>
                <w:sz w:val="19"/>
                <w:szCs w:val="19"/>
                <w:color w:val="auto"/>
              </w:rPr>
            </w:pPr>
          </w:p>
        </w:tc>
        <w:tc>
          <w:tcPr>
            <w:tcW w:w="362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September 30,</w:t>
            </w:r>
          </w:p>
        </w:tc>
        <w:tc>
          <w:tcPr>
            <w:tcW w:w="214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4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2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Regulated Operations</w:t>
            </w:r>
          </w:p>
        </w:tc>
        <w:tc>
          <w:tcPr>
            <w:tcW w:w="2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w:t>
            </w:r>
          </w:p>
        </w:tc>
        <w:tc>
          <w:tcPr>
            <w:tcW w:w="2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$40.1</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$37.0</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$136.7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r>
      <w:tr>
        <w:trPr>
          <w:trHeight w:val="230"/>
        </w:trPr>
        <w:tc>
          <w:tcPr>
            <w:tcW w:w="5480" w:type="dxa"/>
            <w:vAlign w:val="bottom"/>
          </w:tcPr>
          <w:p>
            <w:pPr>
              <w:ind w:left="220"/>
              <w:spacing w:after="0"/>
              <w:rPr>
                <w:sz w:val="20"/>
                <w:szCs w:val="20"/>
                <w:color w:val="auto"/>
              </w:rPr>
            </w:pPr>
            <w:r>
              <w:rPr>
                <w:rFonts w:ascii="Arial" w:cs="Arial" w:eastAsia="Arial" w:hAnsi="Arial"/>
                <w:sz w:val="18"/>
                <w:szCs w:val="18"/>
                <w:color w:val="auto"/>
              </w:rPr>
              <w:t>Commercial</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49.0</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44.3</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141.7</w:t>
            </w:r>
          </w:p>
        </w:tc>
        <w:tc>
          <w:tcPr>
            <w:tcW w:w="920" w:type="dxa"/>
            <w:vAlign w:val="bottom"/>
          </w:tcPr>
          <w:p>
            <w:pPr>
              <w:jc w:val="right"/>
              <w:spacing w:after="0"/>
              <w:rPr>
                <w:sz w:val="20"/>
                <w:szCs w:val="20"/>
                <w:color w:val="auto"/>
              </w:rPr>
            </w:pPr>
            <w:r>
              <w:rPr>
                <w:rFonts w:ascii="Arial" w:cs="Arial" w:eastAsia="Arial" w:hAnsi="Arial"/>
                <w:sz w:val="18"/>
                <w:szCs w:val="18"/>
                <w:color w:val="auto"/>
              </w:rPr>
              <w:t>124.7</w:t>
            </w:r>
          </w:p>
        </w:tc>
      </w:tr>
      <w:tr>
        <w:trPr>
          <w:trHeight w:val="229"/>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w:t>
            </w:r>
          </w:p>
        </w:tc>
        <w:tc>
          <w:tcPr>
            <w:tcW w:w="2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9.8</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14.4</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29"/>
        </w:trPr>
        <w:tc>
          <w:tcPr>
            <w:tcW w:w="5480" w:type="dxa"/>
            <w:vAlign w:val="bottom"/>
          </w:tcPr>
          <w:p>
            <w:pPr>
              <w:ind w:left="220"/>
              <w:spacing w:after="0"/>
              <w:rPr>
                <w:sz w:val="20"/>
                <w:szCs w:val="20"/>
                <w:color w:val="auto"/>
              </w:rPr>
            </w:pPr>
            <w:r>
              <w:rPr>
                <w:rFonts w:ascii="Arial" w:cs="Arial" w:eastAsia="Arial" w:hAnsi="Arial"/>
                <w:sz w:val="18"/>
                <w:szCs w:val="18"/>
                <w:color w:val="auto"/>
              </w:rPr>
              <w:t>Industrial</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147.3</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139.7</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445.7</w:t>
            </w:r>
          </w:p>
        </w:tc>
        <w:tc>
          <w:tcPr>
            <w:tcW w:w="920" w:type="dxa"/>
            <w:vAlign w:val="bottom"/>
          </w:tcPr>
          <w:p>
            <w:pPr>
              <w:jc w:val="right"/>
              <w:spacing w:after="0"/>
              <w:rPr>
                <w:sz w:val="20"/>
                <w:szCs w:val="20"/>
                <w:color w:val="auto"/>
              </w:rPr>
            </w:pPr>
            <w:r>
              <w:rPr>
                <w:rFonts w:ascii="Arial" w:cs="Arial" w:eastAsia="Arial" w:hAnsi="Arial"/>
                <w:sz w:val="18"/>
                <w:szCs w:val="18"/>
                <w:color w:val="auto"/>
              </w:rPr>
              <w:t>407.8</w:t>
            </w:r>
          </w:p>
        </w:tc>
      </w:tr>
      <w:tr>
        <w:trPr>
          <w:trHeight w:val="230"/>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Power Suppliers</w:t>
            </w:r>
          </w:p>
        </w:tc>
        <w:tc>
          <w:tcPr>
            <w:tcW w:w="2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46.7</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41.2</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124.6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r>
      <w:tr>
        <w:trPr>
          <w:trHeight w:val="229"/>
        </w:trPr>
        <w:tc>
          <w:tcPr>
            <w:tcW w:w="5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29.7</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28.2</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79.7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r>
      <w:tr>
        <w:trPr>
          <w:trHeight w:val="223"/>
        </w:trPr>
        <w:tc>
          <w:tcPr>
            <w:tcW w:w="5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Regulated Operations</w:t>
            </w:r>
          </w:p>
        </w:tc>
        <w:tc>
          <w:tcPr>
            <w:tcW w:w="2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322.6</w:t>
            </w: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304.8</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960.3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888.2</w:t>
            </w:r>
          </w:p>
        </w:tc>
      </w:tr>
      <w:tr>
        <w:trPr>
          <w:trHeight w:val="196"/>
        </w:trPr>
        <w:tc>
          <w:tcPr>
            <w:tcW w:w="54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ALLETE Clean Energy</w:t>
            </w:r>
          </w:p>
        </w:tc>
        <w:tc>
          <w:tcPr>
            <w:tcW w:w="2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480" w:type="dxa"/>
            <w:vAlign w:val="bottom"/>
          </w:tcPr>
          <w:p>
            <w:pPr>
              <w:ind w:left="220"/>
              <w:spacing w:after="0"/>
              <w:rPr>
                <w:sz w:val="20"/>
                <w:szCs w:val="20"/>
                <w:color w:val="auto"/>
              </w:rPr>
            </w:pPr>
            <w:r>
              <w:rPr>
                <w:rFonts w:ascii="Arial" w:cs="Arial" w:eastAsia="Arial" w:hAnsi="Arial"/>
                <w:sz w:val="18"/>
                <w:szCs w:val="18"/>
                <w:color w:val="auto"/>
              </w:rPr>
              <w:t>Long-term PSA</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14.4</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14.0</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58.7</w:t>
            </w:r>
          </w:p>
        </w:tc>
        <w:tc>
          <w:tcPr>
            <w:tcW w:w="92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29"/>
        </w:trPr>
        <w:tc>
          <w:tcPr>
            <w:tcW w:w="5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2.9</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54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ALLETE Clean Energy</w:t>
            </w:r>
          </w:p>
        </w:tc>
        <w:tc>
          <w:tcPr>
            <w:tcW w:w="2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15.6</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16.9</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65.0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r>
      <w:tr>
        <w:trPr>
          <w:trHeight w:val="196"/>
        </w:trPr>
        <w:tc>
          <w:tcPr>
            <w:tcW w:w="548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Corporate and Other</w:t>
            </w:r>
          </w:p>
        </w:tc>
        <w:tc>
          <w:tcPr>
            <w:tcW w:w="2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Contract</w:t>
            </w:r>
          </w:p>
        </w:tc>
        <w:tc>
          <w:tcPr>
            <w:tcW w:w="2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23.5</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20.3</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r>
      <w:tr>
        <w:trPr>
          <w:trHeight w:val="229"/>
        </w:trPr>
        <w:tc>
          <w:tcPr>
            <w:tcW w:w="5480" w:type="dxa"/>
            <w:vAlign w:val="bottom"/>
          </w:tcPr>
          <w:p>
            <w:pPr>
              <w:ind w:left="220"/>
              <w:spacing w:after="0"/>
              <w:rPr>
                <w:sz w:val="20"/>
                <w:szCs w:val="20"/>
                <w:color w:val="auto"/>
              </w:rPr>
            </w:pPr>
            <w:r>
              <w:rPr>
                <w:rFonts w:ascii="Arial" w:cs="Arial" w:eastAsia="Arial" w:hAnsi="Arial"/>
                <w:sz w:val="18"/>
                <w:szCs w:val="18"/>
                <w:color w:val="auto"/>
              </w:rPr>
              <w:t>Sale of Renewable Development Projects</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22.1</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36.6</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4.5</w:t>
            </w: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3.4</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3"/>
        </w:trPr>
        <w:tc>
          <w:tcPr>
            <w:tcW w:w="54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Corporate and Other</w:t>
            </w:r>
          </w:p>
        </w:tc>
        <w:tc>
          <w:tcPr>
            <w:tcW w:w="2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50.1</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23.7</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119.6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r>
      <w:tr>
        <w:trPr>
          <w:trHeight w:val="223"/>
        </w:trPr>
        <w:tc>
          <w:tcPr>
            <w:tcW w:w="54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Operating Revenue</w:t>
            </w:r>
          </w:p>
        </w:tc>
        <w:tc>
          <w:tcPr>
            <w:tcW w:w="2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$388.3</w:t>
            </w: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$345.4</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$1,144.9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$1,020.2</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ALLETE</w:t>
            </w:r>
          </w:p>
        </w:tc>
        <w:tc>
          <w:tcPr>
            <w:tcW w:w="2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Regulated Operations</w:t>
            </w:r>
          </w:p>
        </w:tc>
        <w:tc>
          <w:tcPr>
            <w:tcW w:w="2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$38.3</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$32.9</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$119.4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r>
      <w:tr>
        <w:trPr>
          <w:trHeight w:val="216"/>
        </w:trPr>
        <w:tc>
          <w:tcPr>
            <w:tcW w:w="54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ALLETE Clean Energy</w:t>
            </w:r>
          </w:p>
        </w:tc>
        <w:tc>
          <w:tcPr>
            <w:tcW w:w="25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(7.3)</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(0.8)</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54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6"/>
                <w:szCs w:val="16"/>
                <w:i w:val="1"/>
                <w:iCs w:val="1"/>
                <w:color w:val="auto"/>
              </w:rPr>
              <w:t>(a)</w:t>
            </w:r>
          </w:p>
        </w:tc>
        <w:tc>
          <w:tcPr>
            <w:tcW w:w="2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2.7</w:t>
            </w: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(4.5)</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54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Total Net Income Attributable to ALLETE</w:t>
            </w:r>
          </w:p>
        </w:tc>
        <w:tc>
          <w:tcPr>
            <w:tcW w:w="2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$33.7</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$27.6</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$137.6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r>
    </w:tbl>
    <w:p>
      <w:pPr>
        <w:spacing w:after="0" w:line="71" w:lineRule="exact"/>
        <w:rPr>
          <w:sz w:val="20"/>
          <w:szCs w:val="20"/>
          <w:color w:val="auto"/>
        </w:rPr>
      </w:pPr>
    </w:p>
    <w:p>
      <w:pPr>
        <w:ind w:left="340" w:hanging="332"/>
        <w:spacing w:after="0" w:line="275" w:lineRule="auto"/>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Net Income in 2022 includes a $5.7 million after-tax expense as a result of purchase price accounting related to projects under development at the time of acquisition and $2.6 million after-tax of transaction costs related to the acquisition of New Energy.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spacing w:after="0"/>
              <w:rPr>
                <w:sz w:val="18"/>
                <w:szCs w:val="18"/>
                <w:color w:val="auto"/>
              </w:rPr>
            </w:pPr>
          </w:p>
        </w:tc>
        <w:tc>
          <w:tcPr>
            <w:tcW w:w="4640" w:type="dxa"/>
            <w:vAlign w:val="bottom"/>
          </w:tcPr>
          <w:p>
            <w:pPr>
              <w:jc w:val="right"/>
              <w:ind w:right="110"/>
              <w:spacing w:after="0"/>
              <w:rPr>
                <w:sz w:val="20"/>
                <w:szCs w:val="20"/>
                <w:color w:val="auto"/>
              </w:rPr>
            </w:pPr>
            <w:r>
              <w:rPr>
                <w:rFonts w:ascii="Arial" w:cs="Arial" w:eastAsia="Arial" w:hAnsi="Arial"/>
                <w:sz w:val="18"/>
                <w:szCs w:val="18"/>
                <w:b w:val="1"/>
                <w:bCs w:val="1"/>
                <w:color w:val="auto"/>
              </w:rPr>
              <w:t>September 30,</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28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6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6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280" w:type="dxa"/>
            <w:vAlign w:val="bottom"/>
          </w:tcPr>
          <w:p>
            <w:pPr>
              <w:ind w:left="220"/>
              <w:spacing w:after="0"/>
              <w:rPr>
                <w:sz w:val="20"/>
                <w:szCs w:val="20"/>
                <w:color w:val="auto"/>
              </w:rPr>
            </w:pPr>
            <w:r>
              <w:rPr>
                <w:rFonts w:ascii="Arial" w:cs="Arial" w:eastAsia="Arial" w:hAnsi="Arial"/>
                <w:sz w:val="18"/>
                <w:szCs w:val="18"/>
                <w:color w:val="auto"/>
              </w:rPr>
              <w:t>Regulated Operations</w:t>
            </w:r>
          </w:p>
        </w:tc>
        <w:tc>
          <w:tcPr>
            <w:tcW w:w="4640" w:type="dxa"/>
            <w:vAlign w:val="bottom"/>
          </w:tcPr>
          <w:p>
            <w:pPr>
              <w:jc w:val="right"/>
              <w:ind w:right="170"/>
              <w:spacing w:after="0"/>
              <w:rPr>
                <w:sz w:val="20"/>
                <w:szCs w:val="20"/>
                <w:color w:val="auto"/>
              </w:rPr>
            </w:pPr>
            <w:r>
              <w:rPr>
                <w:rFonts w:ascii="Arial" w:cs="Arial" w:eastAsia="Arial" w:hAnsi="Arial"/>
                <w:sz w:val="18"/>
                <w:szCs w:val="18"/>
                <w:color w:val="auto"/>
              </w:rPr>
              <w:t>$4,307.3</w:t>
            </w:r>
          </w:p>
        </w:tc>
        <w:tc>
          <w:tcPr>
            <w:tcW w:w="1280" w:type="dxa"/>
            <w:vAlign w:val="bottom"/>
          </w:tcPr>
          <w:p>
            <w:pPr>
              <w:jc w:val="right"/>
              <w:spacing w:after="0"/>
              <w:rPr>
                <w:sz w:val="20"/>
                <w:szCs w:val="20"/>
                <w:color w:val="auto"/>
              </w:rPr>
            </w:pPr>
            <w:r>
              <w:rPr>
                <w:rFonts w:ascii="Arial" w:cs="Arial" w:eastAsia="Arial" w:hAnsi="Arial"/>
                <w:sz w:val="18"/>
                <w:szCs w:val="18"/>
                <w:color w:val="auto"/>
              </w:rPr>
              <w:t>$4,289.4</w:t>
            </w:r>
          </w:p>
        </w:tc>
      </w:tr>
      <w:tr>
        <w:trPr>
          <w:trHeight w:val="216"/>
        </w:trPr>
        <w:tc>
          <w:tcPr>
            <w:tcW w:w="528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5280" w:type="dxa"/>
            <w:vAlign w:val="bottom"/>
          </w:tcPr>
          <w:p>
            <w:pPr>
              <w:ind w:left="220"/>
              <w:spacing w:after="0"/>
              <w:rPr>
                <w:sz w:val="20"/>
                <w:szCs w:val="20"/>
                <w:color w:val="auto"/>
              </w:rPr>
            </w:pPr>
            <w:r>
              <w:rPr>
                <w:rFonts w:ascii="Arial" w:cs="Arial" w:eastAsia="Arial" w:hAnsi="Arial"/>
                <w:sz w:val="18"/>
                <w:szCs w:val="18"/>
                <w:color w:val="auto"/>
              </w:rPr>
              <w:t>ALLETE Clean Energy</w:t>
            </w:r>
          </w:p>
        </w:tc>
        <w:tc>
          <w:tcPr>
            <w:tcW w:w="4640" w:type="dxa"/>
            <w:vAlign w:val="bottom"/>
          </w:tcPr>
          <w:p>
            <w:pPr>
              <w:jc w:val="right"/>
              <w:ind w:right="170"/>
              <w:spacing w:after="0"/>
              <w:rPr>
                <w:sz w:val="20"/>
                <w:szCs w:val="20"/>
                <w:color w:val="auto"/>
              </w:rPr>
            </w:pPr>
            <w:r>
              <w:rPr>
                <w:rFonts w:ascii="Arial" w:cs="Arial" w:eastAsia="Arial" w:hAnsi="Arial"/>
                <w:sz w:val="18"/>
                <w:szCs w:val="18"/>
                <w:color w:val="auto"/>
              </w:rPr>
              <w:t>1,893.2</w:t>
            </w:r>
          </w:p>
        </w:tc>
        <w:tc>
          <w:tcPr>
            <w:tcW w:w="1280" w:type="dxa"/>
            <w:vAlign w:val="bottom"/>
          </w:tcPr>
          <w:p>
            <w:pPr>
              <w:jc w:val="right"/>
              <w:spacing w:after="0"/>
              <w:rPr>
                <w:sz w:val="20"/>
                <w:szCs w:val="20"/>
                <w:color w:val="auto"/>
              </w:rPr>
            </w:pPr>
            <w:r>
              <w:rPr>
                <w:rFonts w:ascii="Arial" w:cs="Arial" w:eastAsia="Arial" w:hAnsi="Arial"/>
                <w:sz w:val="18"/>
                <w:szCs w:val="18"/>
                <w:color w:val="auto"/>
              </w:rPr>
              <w:t>1,719.4</w:t>
            </w:r>
          </w:p>
        </w:tc>
      </w:tr>
      <w:tr>
        <w:trPr>
          <w:trHeight w:val="216"/>
        </w:trPr>
        <w:tc>
          <w:tcPr>
            <w:tcW w:w="528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52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Corporate and Other</w:t>
            </w:r>
          </w:p>
        </w:tc>
        <w:tc>
          <w:tcPr>
            <w:tcW w:w="4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657.5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w:t>
            </w:r>
          </w:p>
        </w:tc>
      </w:tr>
      <w:tr>
        <w:trPr>
          <w:trHeight w:val="223"/>
        </w:trPr>
        <w:tc>
          <w:tcPr>
            <w:tcW w:w="52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46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$6,858.0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$6,435.0</w:t>
            </w: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discussion should be read in conjunction with our Consolidated Financial Statements and notes to those statements, Management’s Discussion and Analysis of Financial Condition and Results of Operations from our 2021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including Part II, Item 1A Risk Factors, and our 2021 Form 10-K under the headings: “Forward-Looking Statements” located on page 6 and “Risk Factors” located in Part I, Item 1A, beginning on page 24 of our 2021 Form 10-K. The risks and uncertainties described in this Form 10-Q and our 2021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includes our regulated utilities, Minnesota Power and SWL&amp;P, as well as our investment in ATC, a Wisconsin-based regulated</w:t>
      </w:r>
      <w:r>
        <w:rPr>
          <w:rFonts w:ascii="Arial" w:cs="Arial" w:eastAsia="Arial" w:hAnsi="Arial"/>
          <w:sz w:val="18"/>
          <w:szCs w:val="18"/>
          <w:b w:val="1"/>
          <w:bCs w:val="1"/>
          <w:color w:val="auto"/>
        </w:rPr>
        <w:t xml:space="preserve"> </w:t>
      </w:r>
      <w:r>
        <w:rPr>
          <w:rFonts w:ascii="Arial" w:cs="Arial" w:eastAsia="Arial" w:hAnsi="Arial"/>
          <w:sz w:val="18"/>
          <w:szCs w:val="18"/>
          <w:color w:val="auto"/>
        </w:rPr>
        <w:t>utility that owns and maintains electric transmission assets in portions of Wisconsin, Michigan, Minnesota and Illinois. Minnesota Power provides regulated utility electric service in northeastern Minnesota to approximately 150,000 retail customers. Minnesota Power also has 14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8"/>
          <w:szCs w:val="18"/>
          <w:i w:val="1"/>
          <w:iCs w:val="1"/>
          <w:color w:val="auto"/>
        </w:rPr>
        <w:t>.</w:t>
      </w:r>
      <w:r>
        <w:rPr>
          <w:rFonts w:ascii="Arial" w:cs="Arial" w:eastAsia="Arial" w:hAnsi="Arial"/>
          <w:sz w:val="18"/>
          <w:szCs w:val="18"/>
          <w:color w:val="auto"/>
        </w:rPr>
        <w:t xml:space="preserve"> (See Note 2. Regulatory Matters.)</w:t>
      </w:r>
    </w:p>
    <w:p>
      <w:pPr>
        <w:spacing w:after="0" w:line="21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ALLETE Clean Energy </w:t>
      </w:r>
      <w:r>
        <w:rPr>
          <w:rFonts w:ascii="Arial" w:cs="Arial" w:eastAsia="Arial" w:hAnsi="Arial"/>
          <w:sz w:val="17"/>
          <w:szCs w:val="17"/>
          <w:color w:val="auto"/>
        </w:rPr>
        <w:t>focuses on developing, acquiring, and operating clean and renewable energy projects. ALLETE Clean Energy currently owns and</w:t>
      </w:r>
      <w:r>
        <w:rPr>
          <w:rFonts w:ascii="Arial" w:cs="Arial" w:eastAsia="Arial" w:hAnsi="Arial"/>
          <w:sz w:val="17"/>
          <w:szCs w:val="17"/>
          <w:b w:val="1"/>
          <w:bCs w:val="1"/>
          <w:color w:val="auto"/>
        </w:rPr>
        <w:t xml:space="preserve"> </w:t>
      </w:r>
      <w:r>
        <w:rPr>
          <w:rFonts w:ascii="Arial" w:cs="Arial" w:eastAsia="Arial" w:hAnsi="Arial"/>
          <w:sz w:val="17"/>
          <w:szCs w:val="17"/>
          <w:color w:val="auto"/>
        </w:rPr>
        <w:t>operates, in seven states, more than 1,300 MW of nameplate capacity wind energy generation that is contracted under PSAs of various durations. In addition, ALLETE Clean Energy also engages in the development of wind energy facilities to operate under long-term PSAs or for sale to others upon completion. ALLETE Clean Energy currently has approximately 200 MW wind energy facilities under contract to be sold to others.</w:t>
      </w:r>
    </w:p>
    <w:p>
      <w:pPr>
        <w:spacing w:after="0" w:line="20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Corporate and Other </w:t>
      </w:r>
      <w:r>
        <w:rPr>
          <w:rFonts w:ascii="Arial" w:cs="Arial" w:eastAsia="Arial" w:hAnsi="Arial"/>
          <w:sz w:val="17"/>
          <w:szCs w:val="17"/>
          <w:color w:val="auto"/>
        </w:rPr>
        <w:t>is comprised of BNI Energy, our coal mining operations in North Dakota; New Energy, a renewable development company; our</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in Nobles 2, an entity that owns and operates a 250 MW wind energy facility in southwestern Minnesota; South Shore Energy, our non-rate regulated, Wisconsin subsidiary developing NTEC, an approximately 600 MW proposed combined-cycle natural gas-fired generating facility; ALLETE Properties, our legacy Florida real estate investment; other business development and corporate expenditures; unallocated interest expense; a small amount of non-rate base generation; land holdings in Minnesota; and earnings on cash and investments.</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September 30, 2022, unless otherwise indicated. All subsidiaries are wholly-owned unless otherwise specifically indicated. References in this report to “we,” “us” and “our” are to ALLETE and its subsidiaries, collectively.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net income discussion summarizes a comparison of the nine months ended September 30, 2022, to the nine months ended September 30, 2021.</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Net income attributable to ALLETE for the nine months ended September 30, 2022, was $137.6 million, or $2.48 per diluted share, compared to $107.3 million, or $2.05 per diluted share, for the same period in 2021. Net income in 2022 included transaction costs of $2.6 million after-tax, or $0.05 per share, related to the acquisition of New Energy. Net income in 2021 included an approximately $5 million after-tax, or $0.10 per share, negative impact related to ALLETE Clean Energy’s Diamond Spring wind energy facility due to an extreme winter storm event in the southwest United States in February 2021. Earnings per share dilution in 2022 was $0.15 due to additional shares of common stock outstanding as of September 30, 2022.</w:t>
      </w:r>
    </w:p>
    <w:p>
      <w:pPr>
        <w:spacing w:after="0" w:line="1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net income attributable to ALLETE was $119.4 million for the nine months ended September 30, 2022, compared to $99.4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same period in 2021. Net income at Minnesota Power was higher than 2021 primarily due to the implementation of interim rates on January 1, 2022. These increases were partially offset by higher costs under a PPA with Manitoba Hydro, higher operating and maintenance expense, and lower kWh sales to industrial customers. Our after-tax equity earnings in ATC were lower than 2021 primarily due to period over period changes in ATC’s estimate of a refund liability related to the appeals court decision on MISO return on equity complaints. (See Note 5. Equity Investments.)</w:t>
      </w:r>
    </w:p>
    <w:p>
      <w:pPr>
        <w:spacing w:after="0" w:line="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net income attributable to ALLETE was $15.0 million for the nine months ended September 30, 2022, compared to $11.7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same period in 2021. Net income in 2022 reflected higher wind resources compared to 2021, partially offset by lower realized pricing under the Caddo and Diamond Spring wind energy facilities’ power sales agreements resulting from extreme market volatility and transmission congestion in the Southwest Power Pool. Net income in 2022 also included a reserve for an anticipated loss on sale of ALLETE Clean Energy’s project to repower and sell its Northern Wind project. Net income in 2021 included an approximately $5 million after-tax negative impact related to ALLETE Clean Energy’s Diamond Spring wind energy facility due to an extreme winter storm event in the southwest United States in February 2021. This winter storm event caused volatility in power prices in the regional power market resulting in losses being incurred under the facility’s power sales agreements during portions of the winter storm event.</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net income attributable to ALLETE was $3.2 million for the nine months ended September 30, 2022, compared to a net loss of</w:t>
      </w:r>
      <w:r>
        <w:rPr>
          <w:rFonts w:ascii="Arial" w:cs="Arial" w:eastAsia="Arial" w:hAnsi="Arial"/>
          <w:sz w:val="18"/>
          <w:szCs w:val="18"/>
          <w:b w:val="1"/>
          <w:bCs w:val="1"/>
          <w:color w:val="auto"/>
        </w:rPr>
        <w:t xml:space="preserve"> </w:t>
      </w:r>
      <w:r>
        <w:rPr>
          <w:rFonts w:ascii="Arial" w:cs="Arial" w:eastAsia="Arial" w:hAnsi="Arial"/>
          <w:sz w:val="18"/>
          <w:szCs w:val="18"/>
          <w:color w:val="auto"/>
        </w:rPr>
        <w:t>$3.8 million for the same period in 2021. Net income in 2022 reflects higher earnings from our investment in Nobles 2 due to higher wind resources in 2022, higher land sales at ALLETE Properties, higher tons sold at BNI Energy, and lower income taxes. Net income in 2022 also reflects net income from New Energy of $0.2 million, which included a $5.7 million after-tax expense as a result of purchase price accounting related to projects under development at the time of acquisition. These increases were partially offset by transaction costs of $2.6 million after-tax related to the acquisition of New Energy, and higher other expenses compared to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QUARTER ENDED SEPTEMBER 30, 2022 AND 2021</w:t>
            </w:r>
          </w:p>
        </w:tc>
        <w:tc>
          <w:tcPr>
            <w:tcW w:w="24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7920" w:type="dxa"/>
            <w:vAlign w:val="bottom"/>
            <w:gridSpan w:val="2"/>
          </w:tcPr>
          <w:p>
            <w:pPr>
              <w:spacing w:after="0"/>
              <w:rPr>
                <w:sz w:val="20"/>
                <w:szCs w:val="20"/>
                <w:color w:val="auto"/>
              </w:rPr>
            </w:pPr>
            <w:r>
              <w:rPr>
                <w:rFonts w:ascii="Arial" w:cs="Arial" w:eastAsia="Arial" w:hAnsi="Arial"/>
                <w:sz w:val="18"/>
                <w:szCs w:val="18"/>
                <w:color w:val="auto"/>
              </w:rPr>
              <w:t>(See Note 11. Business Segments for financial results by segment.)</w:t>
            </w: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59"/>
        </w:trPr>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440" w:type="dxa"/>
            <w:vAlign w:val="bottom"/>
          </w:tcPr>
          <w:p>
            <w:pPr>
              <w:spacing w:after="0"/>
              <w:rPr>
                <w:sz w:val="24"/>
                <w:szCs w:val="24"/>
                <w:color w:val="auto"/>
              </w:rPr>
            </w:pP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2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440" w:type="dxa"/>
            <w:vAlign w:val="bottom"/>
          </w:tcPr>
          <w:p>
            <w:pPr>
              <w:spacing w:after="0"/>
              <w:rPr>
                <w:sz w:val="19"/>
                <w:szCs w:val="19"/>
                <w:color w:val="auto"/>
              </w:rPr>
            </w:pPr>
          </w:p>
        </w:tc>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$322.6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r>
      <w:tr>
        <w:trPr>
          <w:trHeight w:val="229"/>
        </w:trPr>
        <w:tc>
          <w:tcPr>
            <w:tcW w:w="440" w:type="dxa"/>
            <w:vAlign w:val="bottom"/>
          </w:tcPr>
          <w:p>
            <w:pPr>
              <w:spacing w:after="0"/>
              <w:rPr>
                <w:sz w:val="19"/>
                <w:szCs w:val="19"/>
                <w:color w:val="auto"/>
              </w:rPr>
            </w:pPr>
          </w:p>
        </w:tc>
        <w:tc>
          <w:tcPr>
            <w:tcW w:w="748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480" w:type="dxa"/>
            <w:vAlign w:val="bottom"/>
          </w:tcPr>
          <w:p>
            <w:pPr>
              <w:jc w:val="right"/>
              <w:ind w:right="230"/>
              <w:spacing w:after="0"/>
              <w:rPr>
                <w:sz w:val="20"/>
                <w:szCs w:val="20"/>
                <w:color w:val="auto"/>
              </w:rPr>
            </w:pPr>
            <w:r>
              <w:rPr>
                <w:rFonts w:ascii="Arial" w:cs="Arial" w:eastAsia="Arial" w:hAnsi="Arial"/>
                <w:sz w:val="18"/>
                <w:szCs w:val="18"/>
                <w:color w:val="auto"/>
              </w:rPr>
              <w:t>136.8</w:t>
            </w:r>
          </w:p>
        </w:tc>
        <w:tc>
          <w:tcPr>
            <w:tcW w:w="840" w:type="dxa"/>
            <w:vAlign w:val="bottom"/>
          </w:tcPr>
          <w:p>
            <w:pPr>
              <w:jc w:val="right"/>
              <w:spacing w:after="0"/>
              <w:rPr>
                <w:sz w:val="20"/>
                <w:szCs w:val="20"/>
                <w:color w:val="auto"/>
              </w:rPr>
            </w:pPr>
            <w:r>
              <w:rPr>
                <w:rFonts w:ascii="Arial" w:cs="Arial" w:eastAsia="Arial" w:hAnsi="Arial"/>
                <w:sz w:val="18"/>
                <w:szCs w:val="18"/>
                <w:color w:val="auto"/>
              </w:rPr>
              <w:t>140.1</w:t>
            </w:r>
          </w:p>
        </w:tc>
      </w:tr>
      <w:tr>
        <w:trPr>
          <w:trHeight w:val="230"/>
        </w:trPr>
        <w:tc>
          <w:tcPr>
            <w:tcW w:w="440" w:type="dxa"/>
            <w:vAlign w:val="bottom"/>
          </w:tcPr>
          <w:p>
            <w:pPr>
              <w:spacing w:after="0"/>
              <w:rPr>
                <w:sz w:val="19"/>
                <w:szCs w:val="19"/>
                <w:color w:val="auto"/>
              </w:rPr>
            </w:pP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29"/>
        </w:trPr>
        <w:tc>
          <w:tcPr>
            <w:tcW w:w="440" w:type="dxa"/>
            <w:vAlign w:val="bottom"/>
          </w:tcPr>
          <w:p>
            <w:pPr>
              <w:spacing w:after="0"/>
              <w:rPr>
                <w:sz w:val="19"/>
                <w:szCs w:val="19"/>
                <w:color w:val="auto"/>
              </w:rPr>
            </w:pPr>
          </w:p>
        </w:tc>
        <w:tc>
          <w:tcPr>
            <w:tcW w:w="748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480" w:type="dxa"/>
            <w:vAlign w:val="bottom"/>
          </w:tcPr>
          <w:p>
            <w:pPr>
              <w:jc w:val="right"/>
              <w:ind w:right="230"/>
              <w:spacing w:after="0"/>
              <w:rPr>
                <w:sz w:val="20"/>
                <w:szCs w:val="20"/>
                <w:color w:val="auto"/>
              </w:rPr>
            </w:pPr>
            <w:r>
              <w:rPr>
                <w:rFonts w:ascii="Arial" w:cs="Arial" w:eastAsia="Arial" w:hAnsi="Arial"/>
                <w:sz w:val="18"/>
                <w:szCs w:val="18"/>
                <w:color w:val="auto"/>
              </w:rPr>
              <w:t>62.2</w:t>
            </w:r>
          </w:p>
        </w:tc>
        <w:tc>
          <w:tcPr>
            <w:tcW w:w="840" w:type="dxa"/>
            <w:vAlign w:val="bottom"/>
          </w:tcPr>
          <w:p>
            <w:pPr>
              <w:jc w:val="right"/>
              <w:spacing w:after="0"/>
              <w:rPr>
                <w:sz w:val="20"/>
                <w:szCs w:val="20"/>
                <w:color w:val="auto"/>
              </w:rPr>
            </w:pPr>
            <w:r>
              <w:rPr>
                <w:rFonts w:ascii="Arial" w:cs="Arial" w:eastAsia="Arial" w:hAnsi="Arial"/>
                <w:sz w:val="18"/>
                <w:szCs w:val="18"/>
                <w:color w:val="auto"/>
              </w:rPr>
              <w:t>53.2</w:t>
            </w:r>
          </w:p>
        </w:tc>
      </w:tr>
      <w:tr>
        <w:trPr>
          <w:trHeight w:val="229"/>
        </w:trPr>
        <w:tc>
          <w:tcPr>
            <w:tcW w:w="440" w:type="dxa"/>
            <w:vAlign w:val="bottom"/>
          </w:tcPr>
          <w:p>
            <w:pPr>
              <w:spacing w:after="0"/>
              <w:rPr>
                <w:sz w:val="19"/>
                <w:szCs w:val="19"/>
                <w:color w:val="auto"/>
              </w:rPr>
            </w:pP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30"/>
        </w:trPr>
        <w:tc>
          <w:tcPr>
            <w:tcW w:w="440" w:type="dxa"/>
            <w:vAlign w:val="bottom"/>
          </w:tcPr>
          <w:p>
            <w:pPr>
              <w:spacing w:after="0"/>
              <w:rPr>
                <w:sz w:val="19"/>
                <w:szCs w:val="19"/>
                <w:color w:val="auto"/>
              </w:rPr>
            </w:pP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Taxes</w:t>
            </w:r>
          </w:p>
        </w:tc>
        <w:tc>
          <w:tcPr>
            <w:tcW w:w="2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15.1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23"/>
        </w:trPr>
        <w:tc>
          <w:tcPr>
            <w:tcW w:w="440" w:type="dxa"/>
            <w:vAlign w:val="bottom"/>
          </w:tcPr>
          <w:p>
            <w:pPr>
              <w:spacing w:after="0"/>
              <w:rPr>
                <w:sz w:val="19"/>
                <w:szCs w:val="19"/>
                <w:color w:val="auto"/>
              </w:rPr>
            </w:pPr>
          </w:p>
        </w:tc>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2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47.7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30"/>
        </w:trPr>
        <w:tc>
          <w:tcPr>
            <w:tcW w:w="440" w:type="dxa"/>
            <w:vAlign w:val="bottom"/>
          </w:tcPr>
          <w:p>
            <w:pPr>
              <w:spacing w:after="0"/>
              <w:rPr>
                <w:sz w:val="19"/>
                <w:szCs w:val="19"/>
                <w:color w:val="auto"/>
              </w:rPr>
            </w:pPr>
          </w:p>
        </w:tc>
        <w:tc>
          <w:tcPr>
            <w:tcW w:w="74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80" w:type="dxa"/>
            <w:vAlign w:val="bottom"/>
          </w:tcPr>
          <w:p>
            <w:pPr>
              <w:jc w:val="right"/>
              <w:ind w:right="170"/>
              <w:spacing w:after="0"/>
              <w:rPr>
                <w:sz w:val="20"/>
                <w:szCs w:val="20"/>
                <w:color w:val="auto"/>
              </w:rPr>
            </w:pPr>
            <w:r>
              <w:rPr>
                <w:rFonts w:ascii="Arial" w:cs="Arial" w:eastAsia="Arial" w:hAnsi="Arial"/>
                <w:sz w:val="18"/>
                <w:szCs w:val="18"/>
                <w:color w:val="auto"/>
              </w:rPr>
              <w:t>(14.3)</w:t>
            </w:r>
          </w:p>
        </w:tc>
        <w:tc>
          <w:tcPr>
            <w:tcW w:w="84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29"/>
        </w:trPr>
        <w:tc>
          <w:tcPr>
            <w:tcW w:w="440" w:type="dxa"/>
            <w:vAlign w:val="bottom"/>
          </w:tcPr>
          <w:p>
            <w:pPr>
              <w:spacing w:after="0"/>
              <w:rPr>
                <w:sz w:val="19"/>
                <w:szCs w:val="19"/>
                <w:color w:val="auto"/>
              </w:rPr>
            </w:pP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w:t>
            </w:r>
          </w:p>
        </w:tc>
        <w:tc>
          <w:tcPr>
            <w:tcW w:w="2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440" w:type="dxa"/>
            <w:vAlign w:val="bottom"/>
          </w:tcPr>
          <w:p>
            <w:pPr>
              <w:spacing w:after="0"/>
              <w:rPr>
                <w:sz w:val="19"/>
                <w:szCs w:val="19"/>
                <w:color w:val="auto"/>
              </w:rPr>
            </w:pP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w:t>
            </w:r>
          </w:p>
        </w:tc>
        <w:tc>
          <w:tcPr>
            <w:tcW w:w="2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440" w:type="dxa"/>
            <w:vAlign w:val="bottom"/>
          </w:tcPr>
          <w:p>
            <w:pPr>
              <w:spacing w:after="0"/>
              <w:rPr>
                <w:sz w:val="19"/>
                <w:szCs w:val="19"/>
                <w:color w:val="auto"/>
              </w:rPr>
            </w:pPr>
          </w:p>
        </w:tc>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2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38.8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29"/>
        </w:trPr>
        <w:tc>
          <w:tcPr>
            <w:tcW w:w="440" w:type="dxa"/>
            <w:vAlign w:val="bottom"/>
          </w:tcPr>
          <w:p>
            <w:pPr>
              <w:spacing w:after="0"/>
              <w:rPr>
                <w:sz w:val="19"/>
                <w:szCs w:val="19"/>
                <w:color w:val="auto"/>
              </w:rPr>
            </w:pP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 (Expense)</w:t>
            </w:r>
          </w:p>
        </w:tc>
        <w:tc>
          <w:tcPr>
            <w:tcW w:w="2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440" w:type="dxa"/>
            <w:vAlign w:val="bottom"/>
          </w:tcPr>
          <w:p>
            <w:pPr>
              <w:spacing w:after="0"/>
              <w:rPr>
                <w:sz w:val="19"/>
                <w:szCs w:val="19"/>
                <w:color w:val="auto"/>
              </w:rPr>
            </w:pPr>
          </w:p>
        </w:tc>
        <w:tc>
          <w:tcPr>
            <w:tcW w:w="7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Attributable to ALLETE</w:t>
            </w:r>
          </w:p>
        </w:tc>
        <w:tc>
          <w:tcPr>
            <w:tcW w:w="2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$38.3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r>
    </w:tbl>
    <w:p>
      <w:pPr>
        <w:spacing w:after="0" w:line="333"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Utility </w:t>
      </w:r>
      <w:r>
        <w:rPr>
          <w:rFonts w:ascii="Arial" w:cs="Arial" w:eastAsia="Arial" w:hAnsi="Arial"/>
          <w:sz w:val="18"/>
          <w:szCs w:val="18"/>
          <w:color w:val="auto"/>
        </w:rPr>
        <w:t>increased $17.8 million from 2021 primarily due to the implementation of interim rates at Minnesota Power on January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as well as increased recoveries under the Minnesota conservation improvement program. These increases were partially offset by lower fuel adjustment clause recoveries, lower revenue from kWh sales and the timing of financial incentives.</w:t>
      </w:r>
    </w:p>
    <w:p>
      <w:pPr>
        <w:spacing w:after="0" w:line="20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Interim retail rates for Minnesota Power, subject to refund, were approved by the MPUC and became effective January 1, 2022, resulting in revenue of $24.9 million. (See Note 2. Regulatory Matters.)</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Conservation improvement program recoveries increased $1.9 million from 2021 primarily due to an increase in related expenditures.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 Operating and Maintenance</w:t>
      </w:r>
      <w:r>
        <w:rPr>
          <w:rFonts w:ascii="Arial" w:cs="Arial" w:eastAsia="Arial" w:hAnsi="Arial"/>
          <w:sz w:val="18"/>
          <w:szCs w:val="18"/>
          <w:color w:val="auto"/>
        </w:rPr>
        <w:t>.)</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Fuel adjustment clause revenue decreased $6.6 million due to lower fuel and purchased power costs attributable to retail and municipal customers, and lower kWh sales to retail and municipal customers. (See </w:t>
      </w:r>
      <w:r>
        <w:rPr>
          <w:rFonts w:ascii="Arial" w:cs="Arial" w:eastAsia="Arial" w:hAnsi="Arial"/>
          <w:sz w:val="18"/>
          <w:szCs w:val="18"/>
          <w:i w:val="1"/>
          <w:iCs w:val="1"/>
          <w:color w:val="auto"/>
        </w:rPr>
        <w:t>Fuel, Purchased Power and Gas – Utility.</w:t>
      </w:r>
      <w:r>
        <w:rPr>
          <w:rFonts w:ascii="Arial" w:cs="Arial" w:eastAsia="Arial" w:hAnsi="Arial"/>
          <w:sz w:val="18"/>
          <w:szCs w:val="18"/>
          <w:color w:val="auto"/>
        </w:rPr>
        <w:t>)</w:t>
      </w:r>
    </w:p>
    <w:p>
      <w:pPr>
        <w:spacing w:after="0" w:line="19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 xml:space="preserve">Lower kWh sales reduced revenue $4.1 million from 2021 reflecting lower sales to retail and municipal customers as well as other power suppliers. Sales to industrial customers decreased primarily due to lower sales to taconite customers resulting from less taconite production in 2022 compared to 2021, reflecting Cliffs’ Northshore mine being temporarily idled in 2022. (See </w:t>
      </w:r>
      <w:r>
        <w:rPr>
          <w:rFonts w:ascii="Arial" w:cs="Arial" w:eastAsia="Arial" w:hAnsi="Arial"/>
          <w:sz w:val="18"/>
          <w:szCs w:val="18"/>
          <w:i w:val="1"/>
          <w:iCs w:val="1"/>
          <w:color w:val="auto"/>
        </w:rPr>
        <w:t>Outlook - Customers - Northshore Mining.</w:t>
      </w:r>
      <w:r>
        <w:rPr>
          <w:rFonts w:ascii="Arial" w:cs="Arial" w:eastAsia="Arial" w:hAnsi="Arial"/>
          <w:sz w:val="18"/>
          <w:szCs w:val="18"/>
          <w:color w:val="auto"/>
        </w:rPr>
        <w:t>) Sales to residential, commercial and municipal customers decreased from 2021 primarily due to milder weather in the third quarter of 2022 compared to 2021. Sales to other power suppliers, which are sold at market-based prices into the MISO market on a daily basis or through PSAs of various durations, decreased in 2022 compared to 2021 primarily due to additional kWh sales made in 2021 to mitigate the uncertainty of customers’ energy needs and potential load loss due to the COVID-19 pandemic.</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ALLETE, Inc. Third Quarter 2022 Form 10-Q</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COMPARISON OF THE QUARTER ENDED SEPTEMBER 30, 2022 AND 2021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Variance</w:t>
            </w:r>
          </w:p>
        </w:tc>
        <w:tc>
          <w:tcPr>
            <w:tcW w:w="680" w:type="dxa"/>
            <w:vAlign w:val="bottom"/>
          </w:tcPr>
          <w:p>
            <w:pPr>
              <w:spacing w:after="0"/>
              <w:rPr>
                <w:sz w:val="19"/>
                <w:szCs w:val="19"/>
                <w:color w:val="auto"/>
              </w:rPr>
            </w:pPr>
          </w:p>
        </w:tc>
      </w:tr>
      <w:tr>
        <w:trPr>
          <w:trHeight w:val="234"/>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2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Quantity</w:t>
            </w:r>
          </w:p>
        </w:tc>
        <w:tc>
          <w:tcPr>
            <w:tcW w:w="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4920" w:type="dxa"/>
            <w:vAlign w:val="bottom"/>
          </w:tcPr>
          <w:p>
            <w:pPr>
              <w:ind w:left="220"/>
              <w:spacing w:after="0"/>
              <w:rPr>
                <w:sz w:val="20"/>
                <w:szCs w:val="20"/>
                <w:color w:val="auto"/>
              </w:rPr>
            </w:pPr>
            <w:r>
              <w:rPr>
                <w:rFonts w:ascii="Arial" w:cs="Arial" w:eastAsia="Arial" w:hAnsi="Arial"/>
                <w:sz w:val="18"/>
                <w:szCs w:val="18"/>
                <w:color w:val="auto"/>
              </w:rPr>
              <w:t>Retail and Municipal</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Residential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251</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268</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4920" w:type="dxa"/>
            <w:vAlign w:val="bottom"/>
          </w:tcPr>
          <w:p>
            <w:pPr>
              <w:ind w:left="460"/>
              <w:spacing w:after="0"/>
              <w:rPr>
                <w:sz w:val="20"/>
                <w:szCs w:val="20"/>
                <w:color w:val="auto"/>
              </w:rPr>
            </w:pPr>
            <w:r>
              <w:rPr>
                <w:rFonts w:ascii="Arial" w:cs="Arial" w:eastAsia="Arial" w:hAnsi="Arial"/>
                <w:sz w:val="18"/>
                <w:szCs w:val="18"/>
                <w:color w:val="auto"/>
              </w:rPr>
              <w:t>Commercial</w:t>
            </w:r>
          </w:p>
        </w:tc>
        <w:tc>
          <w:tcPr>
            <w:tcW w:w="2520" w:type="dxa"/>
            <w:vAlign w:val="bottom"/>
          </w:tcPr>
          <w:p>
            <w:pPr>
              <w:jc w:val="right"/>
              <w:ind w:right="270"/>
              <w:spacing w:after="0"/>
              <w:rPr>
                <w:sz w:val="20"/>
                <w:szCs w:val="20"/>
                <w:color w:val="auto"/>
              </w:rPr>
            </w:pPr>
            <w:r>
              <w:rPr>
                <w:rFonts w:ascii="Arial" w:cs="Arial" w:eastAsia="Arial" w:hAnsi="Arial"/>
                <w:sz w:val="18"/>
                <w:szCs w:val="18"/>
                <w:color w:val="auto"/>
              </w:rPr>
              <w:t>353</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360</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(7)</w:t>
            </w: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4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Industrial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1,665</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1,778</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49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Municipal</w:t>
            </w:r>
          </w:p>
        </w:tc>
        <w:tc>
          <w:tcPr>
            <w:tcW w:w="2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130</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147</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4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Retail and Municipal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2,399</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2,553</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4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Power Suppliers</w:t>
            </w:r>
          </w:p>
        </w:tc>
        <w:tc>
          <w:tcPr>
            <w:tcW w:w="2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769</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1,253</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(484)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r>
      <w:tr>
        <w:trPr>
          <w:trHeight w:val="223"/>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3,168</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3,806</w:t>
            </w:r>
          </w:p>
        </w:tc>
        <w:tc>
          <w:tcPr>
            <w:tcW w:w="14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(638)</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electric sales to taconite customers accounted for 31 percent of regulated operating revenue in 2022 (32 percent in 2021). Revenue from electric sales to paper, pulp and secondary wood product customers accounted for 6 percent of regulated operating revenue in 2022 (5 percent in 2021). Revenue from electric sales to pipelines and other industrial customers accounted for 9 percent of regulated operating revenue in 2022 (8 percent in 2021).</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Financial incentives under the Minnesota conservation improvement program were $2.4 million lower than 2021 due to the timing of MPUC approval, which was received in the second quarter in 2022 compared to the third quarter in 2021. (See Note 2. Regulatory Matters.)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$6.3 million, or 2 percent, from 2021.</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decreased $3.3 million, or 2 percent, from 2021 primarily due to lower kWh sales, partially offset by</w:t>
      </w:r>
      <w:r>
        <w:rPr>
          <w:rFonts w:ascii="Arial" w:cs="Arial" w:eastAsia="Arial" w:hAnsi="Arial"/>
          <w:sz w:val="18"/>
          <w:szCs w:val="18"/>
          <w:i w:val="1"/>
          <w:iCs w:val="1"/>
          <w:color w:val="auto"/>
        </w:rPr>
        <w:t xml:space="preserve"> </w:t>
      </w:r>
      <w:r>
        <w:rPr>
          <w:rFonts w:ascii="Arial" w:cs="Arial" w:eastAsia="Arial" w:hAnsi="Arial"/>
          <w:sz w:val="18"/>
          <w:szCs w:val="18"/>
          <w:color w:val="auto"/>
        </w:rPr>
        <w:t>higher purchased power prices and fuel costs. Fuel and purchased power expense related to our retail and municipal customers is recovered through the fuel adjustment clause.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increased $9.0 million, or 17 percent, from 2021 primarily due to more professional services and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for generation facilities as well as higher conservation improvement program expenses and labor expenses. In addition, 2022 included rate case-related expenses for Minnesota Power’s ongoing rate case. (See Note 2. Regulatory Matters.)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$1.6 million, or 12 percent from 2021 primarily due to higher property tax expense resulting from the impact</w:t>
      </w:r>
      <w:r>
        <w:rPr>
          <w:rFonts w:ascii="Arial" w:cs="Arial" w:eastAsia="Arial" w:hAnsi="Arial"/>
          <w:sz w:val="18"/>
          <w:szCs w:val="18"/>
          <w:i w:val="1"/>
          <w:iCs w:val="1"/>
          <w:color w:val="auto"/>
        </w:rPr>
        <w:t xml:space="preserve"> </w:t>
      </w:r>
      <w:r>
        <w:rPr>
          <w:rFonts w:ascii="Arial" w:cs="Arial" w:eastAsia="Arial" w:hAnsi="Arial"/>
          <w:sz w:val="18"/>
          <w:szCs w:val="18"/>
          <w:color w:val="auto"/>
        </w:rPr>
        <w:t>of an updated estimate of taxable market values and rates recorded in 2021.</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Equity Earnings </w:t>
      </w:r>
      <w:r>
        <w:rPr>
          <w:rFonts w:ascii="Arial" w:cs="Arial" w:eastAsia="Arial" w:hAnsi="Arial"/>
          <w:sz w:val="18"/>
          <w:szCs w:val="18"/>
          <w:color w:val="auto"/>
        </w:rPr>
        <w:t>decreased $2.2 million, or 42 percent, from 2021 primarily due to period over period changes in ATC’s estimate of a refund liability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the appeals court decision on MISO return on equity complaints. (See Note 4. Equity Investments.)</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was lower than 2021 due to higher pre-tax income and lower production tax credits. We expect our annual effective tax rate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to be a lower income tax benefit than in 2021 primarily due to higher pre-tax income and lower production tax credits.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64135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134"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QUARTER ENDED SEPTEMBER 30, 2022 AND 2021 (Continued)</w:t>
            </w:r>
          </w:p>
        </w:tc>
        <w:tc>
          <w:tcPr>
            <w:tcW w:w="20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59"/>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2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4"/>
        </w:trPr>
        <w:tc>
          <w:tcPr>
            <w:tcW w:w="440" w:type="dxa"/>
            <w:vAlign w:val="bottom"/>
          </w:tcPr>
          <w:p>
            <w:pPr>
              <w:spacing w:after="0"/>
              <w:rPr>
                <w:sz w:val="24"/>
                <w:szCs w:val="24"/>
                <w:color w:val="auto"/>
              </w:rPr>
            </w:pPr>
          </w:p>
        </w:tc>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2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440" w:type="dxa"/>
            <w:vAlign w:val="bottom"/>
          </w:tcPr>
          <w:p>
            <w:pPr>
              <w:spacing w:after="0"/>
              <w:rPr>
                <w:sz w:val="19"/>
                <w:szCs w:val="19"/>
                <w:color w:val="auto"/>
              </w:rPr>
            </w:pPr>
          </w:p>
        </w:tc>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440" w:type="dxa"/>
            <w:vAlign w:val="bottom"/>
          </w:tcPr>
          <w:p>
            <w:pPr>
              <w:spacing w:after="0"/>
              <w:rPr>
                <w:sz w:val="19"/>
                <w:szCs w:val="19"/>
                <w:color w:val="auto"/>
              </w:rPr>
            </w:pPr>
          </w:p>
        </w:tc>
        <w:tc>
          <w:tcPr>
            <w:tcW w:w="8020" w:type="dxa"/>
            <w:vAlign w:val="bottom"/>
          </w:tcPr>
          <w:p>
            <w:pPr>
              <w:ind w:left="220"/>
              <w:spacing w:after="0"/>
              <w:rPr>
                <w:sz w:val="20"/>
                <w:szCs w:val="20"/>
                <w:color w:val="auto"/>
              </w:rPr>
            </w:pPr>
            <w:r>
              <w:rPr>
                <w:rFonts w:ascii="Arial" w:cs="Arial" w:eastAsia="Arial" w:hAnsi="Arial"/>
                <w:sz w:val="18"/>
                <w:szCs w:val="18"/>
                <w:color w:val="auto"/>
              </w:rPr>
              <w:t>Contracts with Customers – Non-utility</w:t>
            </w:r>
          </w:p>
        </w:tc>
        <w:tc>
          <w:tcPr>
            <w:tcW w:w="2000" w:type="dxa"/>
            <w:vAlign w:val="bottom"/>
          </w:tcPr>
          <w:p>
            <w:pPr>
              <w:jc w:val="right"/>
              <w:ind w:right="290"/>
              <w:spacing w:after="0"/>
              <w:rPr>
                <w:sz w:val="20"/>
                <w:szCs w:val="20"/>
                <w:color w:val="auto"/>
              </w:rPr>
            </w:pPr>
            <w:r>
              <w:rPr>
                <w:rFonts w:ascii="Arial" w:cs="Arial" w:eastAsia="Arial" w:hAnsi="Arial"/>
                <w:sz w:val="18"/>
                <w:szCs w:val="18"/>
                <w:color w:val="auto"/>
              </w:rPr>
              <w:t>$14.4</w:t>
            </w:r>
          </w:p>
        </w:tc>
        <w:tc>
          <w:tcPr>
            <w:tcW w:w="7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440" w:type="dxa"/>
            <w:vAlign w:val="bottom"/>
          </w:tcPr>
          <w:p>
            <w:pPr>
              <w:spacing w:after="0"/>
              <w:rPr>
                <w:sz w:val="19"/>
                <w:szCs w:val="19"/>
                <w:color w:val="auto"/>
              </w:rPr>
            </w:pPr>
          </w:p>
        </w:tc>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Other – Non-utility </w:t>
            </w:r>
            <w:r>
              <w:rPr>
                <w:rFonts w:ascii="Arial" w:cs="Arial" w:eastAsia="Arial" w:hAnsi="Arial"/>
                <w:sz w:val="16"/>
                <w:szCs w:val="16"/>
                <w:i w:val="1"/>
                <w:iCs w:val="1"/>
                <w:color w:val="auto"/>
              </w:rPr>
              <w:t>(a)</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440" w:type="dxa"/>
            <w:vAlign w:val="bottom"/>
          </w:tcPr>
          <w:p>
            <w:pPr>
              <w:spacing w:after="0"/>
              <w:rPr>
                <w:sz w:val="19"/>
                <w:szCs w:val="19"/>
                <w:color w:val="auto"/>
              </w:rPr>
            </w:pPr>
          </w:p>
        </w:tc>
        <w:tc>
          <w:tcPr>
            <w:tcW w:w="8020" w:type="dxa"/>
            <w:vAlign w:val="bottom"/>
          </w:tcPr>
          <w:p>
            <w:pPr>
              <w:ind w:left="20"/>
              <w:spacing w:after="0"/>
              <w:rPr>
                <w:sz w:val="20"/>
                <w:szCs w:val="20"/>
                <w:color w:val="auto"/>
              </w:rPr>
            </w:pPr>
            <w:r>
              <w:rPr>
                <w:rFonts w:ascii="Arial" w:cs="Arial" w:eastAsia="Arial" w:hAnsi="Arial"/>
                <w:sz w:val="18"/>
                <w:szCs w:val="18"/>
                <w:color w:val="auto"/>
              </w:rPr>
              <w:t>Cost of Sales – Non-utility</w:t>
            </w:r>
          </w:p>
        </w:tc>
        <w:tc>
          <w:tcPr>
            <w:tcW w:w="2000" w:type="dxa"/>
            <w:vAlign w:val="bottom"/>
          </w:tcPr>
          <w:p>
            <w:pPr>
              <w:jc w:val="right"/>
              <w:ind w:right="290"/>
              <w:spacing w:after="0"/>
              <w:rPr>
                <w:sz w:val="20"/>
                <w:szCs w:val="20"/>
                <w:color w:val="auto"/>
              </w:rPr>
            </w:pPr>
            <w:r>
              <w:rPr>
                <w:rFonts w:ascii="Arial" w:cs="Arial" w:eastAsia="Arial" w:hAnsi="Arial"/>
                <w:sz w:val="18"/>
                <w:szCs w:val="18"/>
                <w:color w:val="auto"/>
              </w:rPr>
              <w:t>4.0</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0" w:type="dxa"/>
            <w:vAlign w:val="bottom"/>
          </w:tcPr>
          <w:p>
            <w:pPr>
              <w:spacing w:after="0"/>
              <w:rPr>
                <w:sz w:val="19"/>
                <w:szCs w:val="19"/>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440" w:type="dxa"/>
            <w:vAlign w:val="bottom"/>
          </w:tcPr>
          <w:p>
            <w:pPr>
              <w:spacing w:after="0"/>
              <w:rPr>
                <w:sz w:val="19"/>
                <w:szCs w:val="19"/>
                <w:color w:val="auto"/>
              </w:rPr>
            </w:pPr>
          </w:p>
        </w:tc>
        <w:tc>
          <w:tcPr>
            <w:tcW w:w="80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0" w:type="dxa"/>
            <w:vAlign w:val="bottom"/>
          </w:tcPr>
          <w:p>
            <w:pPr>
              <w:jc w:val="right"/>
              <w:ind w:right="290"/>
              <w:spacing w:after="0"/>
              <w:rPr>
                <w:sz w:val="20"/>
                <w:szCs w:val="20"/>
                <w:color w:val="auto"/>
              </w:rPr>
            </w:pPr>
            <w:r>
              <w:rPr>
                <w:rFonts w:ascii="Arial" w:cs="Arial" w:eastAsia="Arial" w:hAnsi="Arial"/>
                <w:sz w:val="18"/>
                <w:szCs w:val="18"/>
                <w:color w:val="auto"/>
              </w:rPr>
              <w:t>14.3</w:t>
            </w:r>
          </w:p>
        </w:tc>
        <w:tc>
          <w:tcPr>
            <w:tcW w:w="7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440" w:type="dxa"/>
            <w:vAlign w:val="bottom"/>
          </w:tcPr>
          <w:p>
            <w:pPr>
              <w:spacing w:after="0"/>
              <w:rPr>
                <w:sz w:val="19"/>
                <w:szCs w:val="19"/>
                <w:color w:val="auto"/>
              </w:rPr>
            </w:pPr>
          </w:p>
        </w:tc>
        <w:tc>
          <w:tcPr>
            <w:tcW w:w="8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Taxes</w:t>
            </w:r>
          </w:p>
        </w:tc>
        <w:tc>
          <w:tcPr>
            <w:tcW w:w="20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440" w:type="dxa"/>
            <w:vAlign w:val="bottom"/>
          </w:tcPr>
          <w:p>
            <w:pPr>
              <w:spacing w:after="0"/>
              <w:rPr>
                <w:sz w:val="19"/>
                <w:szCs w:val="19"/>
                <w:color w:val="auto"/>
              </w:rPr>
            </w:pPr>
          </w:p>
        </w:tc>
        <w:tc>
          <w:tcPr>
            <w:tcW w:w="8020" w:type="dxa"/>
            <w:vAlign w:val="bottom"/>
          </w:tcPr>
          <w:p>
            <w:pPr>
              <w:ind w:left="220"/>
              <w:spacing w:after="0"/>
              <w:rPr>
                <w:sz w:val="20"/>
                <w:szCs w:val="20"/>
                <w:color w:val="auto"/>
              </w:rPr>
            </w:pPr>
            <w:r>
              <w:rPr>
                <w:rFonts w:ascii="Arial" w:cs="Arial" w:eastAsia="Arial" w:hAnsi="Arial"/>
                <w:sz w:val="18"/>
                <w:szCs w:val="18"/>
                <w:color w:val="auto"/>
              </w:rPr>
              <w:t>Operating Loss</w:t>
            </w:r>
          </w:p>
        </w:tc>
        <w:tc>
          <w:tcPr>
            <w:tcW w:w="2000" w:type="dxa"/>
            <w:vAlign w:val="bottom"/>
          </w:tcPr>
          <w:p>
            <w:pPr>
              <w:jc w:val="right"/>
              <w:ind w:right="230"/>
              <w:spacing w:after="0"/>
              <w:rPr>
                <w:sz w:val="20"/>
                <w:szCs w:val="20"/>
                <w:color w:val="auto"/>
              </w:rPr>
            </w:pPr>
            <w:r>
              <w:rPr>
                <w:rFonts w:ascii="Arial" w:cs="Arial" w:eastAsia="Arial" w:hAnsi="Arial"/>
                <w:sz w:val="18"/>
                <w:szCs w:val="18"/>
                <w:color w:val="auto"/>
              </w:rPr>
              <w:t>(18.3)</w:t>
            </w:r>
          </w:p>
        </w:tc>
        <w:tc>
          <w:tcPr>
            <w:tcW w:w="780" w:type="dxa"/>
            <w:vAlign w:val="bottom"/>
          </w:tcPr>
          <w:p>
            <w:pPr>
              <w:ind w:left="400"/>
              <w:spacing w:after="0"/>
              <w:rPr>
                <w:sz w:val="20"/>
                <w:szCs w:val="20"/>
                <w:color w:val="auto"/>
              </w:rPr>
            </w:pPr>
            <w:r>
              <w:rPr>
                <w:rFonts w:ascii="Arial" w:cs="Arial" w:eastAsia="Arial" w:hAnsi="Arial"/>
                <w:sz w:val="18"/>
                <w:szCs w:val="18"/>
                <w:color w:val="auto"/>
                <w:w w:val="97"/>
              </w:rPr>
              <w:t>(7.3)</w:t>
            </w:r>
          </w:p>
        </w:tc>
      </w:tr>
      <w:tr>
        <w:trPr>
          <w:trHeight w:val="229"/>
        </w:trPr>
        <w:tc>
          <w:tcPr>
            <w:tcW w:w="440" w:type="dxa"/>
            <w:vAlign w:val="bottom"/>
          </w:tcPr>
          <w:p>
            <w:pPr>
              <w:spacing w:after="0"/>
              <w:rPr>
                <w:sz w:val="19"/>
                <w:szCs w:val="19"/>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(0.2)</w:t>
            </w:r>
          </w:p>
        </w:tc>
        <w:tc>
          <w:tcPr>
            <w:tcW w:w="7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(0.3)</w:t>
            </w:r>
          </w:p>
        </w:tc>
      </w:tr>
      <w:tr>
        <w:trPr>
          <w:trHeight w:val="229"/>
        </w:trPr>
        <w:tc>
          <w:tcPr>
            <w:tcW w:w="440" w:type="dxa"/>
            <w:vAlign w:val="bottom"/>
          </w:tcPr>
          <w:p>
            <w:pPr>
              <w:spacing w:after="0"/>
              <w:rPr>
                <w:sz w:val="19"/>
                <w:szCs w:val="19"/>
                <w:color w:val="auto"/>
              </w:rPr>
            </w:pPr>
          </w:p>
        </w:tc>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w:t>
            </w:r>
          </w:p>
        </w:tc>
        <w:tc>
          <w:tcPr>
            <w:tcW w:w="2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0.2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0" w:type="dxa"/>
            <w:vAlign w:val="bottom"/>
          </w:tcPr>
          <w:p>
            <w:pPr>
              <w:spacing w:after="0"/>
              <w:rPr>
                <w:sz w:val="19"/>
                <w:szCs w:val="19"/>
                <w:color w:val="auto"/>
              </w:rPr>
            </w:pPr>
          </w:p>
        </w:tc>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Before Income Taxes</w:t>
            </w:r>
          </w:p>
        </w:tc>
        <w:tc>
          <w:tcPr>
            <w:tcW w:w="2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(18.3)</w:t>
            </w:r>
          </w:p>
        </w:tc>
        <w:tc>
          <w:tcPr>
            <w:tcW w:w="7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(7.6)</w:t>
            </w:r>
          </w:p>
        </w:tc>
      </w:tr>
      <w:tr>
        <w:trPr>
          <w:trHeight w:val="229"/>
        </w:trPr>
        <w:tc>
          <w:tcPr>
            <w:tcW w:w="440" w:type="dxa"/>
            <w:vAlign w:val="bottom"/>
          </w:tcPr>
          <w:p>
            <w:pPr>
              <w:spacing w:after="0"/>
              <w:rPr>
                <w:sz w:val="19"/>
                <w:szCs w:val="19"/>
                <w:color w:val="auto"/>
              </w:rPr>
            </w:pPr>
          </w:p>
        </w:tc>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2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(5.4)</w:t>
            </w: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7"/>
              </w:rPr>
              <w:t>(4.2)</w:t>
            </w:r>
          </w:p>
        </w:tc>
      </w:tr>
      <w:tr>
        <w:trPr>
          <w:trHeight w:val="223"/>
        </w:trPr>
        <w:tc>
          <w:tcPr>
            <w:tcW w:w="440" w:type="dxa"/>
            <w:vAlign w:val="bottom"/>
          </w:tcPr>
          <w:p>
            <w:pPr>
              <w:spacing w:after="0"/>
              <w:rPr>
                <w:sz w:val="19"/>
                <w:szCs w:val="19"/>
                <w:color w:val="auto"/>
              </w:rPr>
            </w:pPr>
          </w:p>
        </w:tc>
        <w:tc>
          <w:tcPr>
            <w:tcW w:w="8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20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(12.9)</w:t>
            </w:r>
          </w:p>
        </w:tc>
        <w:tc>
          <w:tcPr>
            <w:tcW w:w="7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7"/>
              </w:rPr>
              <w:t>(3.4)</w:t>
            </w:r>
          </w:p>
        </w:tc>
      </w:tr>
      <w:tr>
        <w:trPr>
          <w:trHeight w:val="223"/>
        </w:trPr>
        <w:tc>
          <w:tcPr>
            <w:tcW w:w="440" w:type="dxa"/>
            <w:vAlign w:val="bottom"/>
          </w:tcPr>
          <w:p>
            <w:pPr>
              <w:spacing w:after="0"/>
              <w:rPr>
                <w:sz w:val="19"/>
                <w:szCs w:val="19"/>
                <w:color w:val="auto"/>
              </w:rPr>
            </w:pPr>
          </w:p>
        </w:tc>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2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(5.6)</w:t>
            </w: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7"/>
              </w:rPr>
              <w:t>(2.6)</w:t>
            </w:r>
          </w:p>
        </w:tc>
      </w:tr>
      <w:tr>
        <w:trPr>
          <w:trHeight w:val="223"/>
        </w:trPr>
        <w:tc>
          <w:tcPr>
            <w:tcW w:w="440" w:type="dxa"/>
            <w:vAlign w:val="bottom"/>
          </w:tcPr>
          <w:p>
            <w:pPr>
              <w:spacing w:after="0"/>
              <w:rPr>
                <w:sz w:val="19"/>
                <w:szCs w:val="19"/>
                <w:color w:val="auto"/>
              </w:rPr>
            </w:pPr>
          </w:p>
        </w:tc>
        <w:tc>
          <w:tcPr>
            <w:tcW w:w="8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Loss Attributable to ALLETE</w:t>
            </w:r>
          </w:p>
        </w:tc>
        <w:tc>
          <w:tcPr>
            <w:tcW w:w="20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$(7.3)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bl>
    <w:p>
      <w:pPr>
        <w:spacing w:after="0" w:line="9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Represents non-cash amortization of differences between contract prices and estimated market prices on assumed PSAs.</w:t>
      </w:r>
    </w:p>
    <w:p>
      <w:pPr>
        <w:spacing w:after="0" w:line="25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$1.3 million, or 8 percent compared to 2021. Operating revenue reflected the absence of revenue from Northern Wind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ALLETE Clean Energy’s project to repower and sell the wind energy facilities. Operating revenue in 2022 was also impacted by lower realized pricing under the Caddo and Diamond Spring wind energy facilities’ power sales agreements resulting from extreme market volatility and transmission congestion in the Southwest Power Pool.</w:t>
      </w:r>
    </w:p>
    <w:p>
      <w:pPr>
        <w:spacing w:after="0" w:line="25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w w:val="93"/>
              </w:rPr>
              <w:t>Quarter Ended September 30,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2780" w:type="dxa"/>
            <w:vAlign w:val="bottom"/>
            <w:tcBorders>
              <w:bottom w:val="single" w:sz="8" w:color="auto"/>
            </w:tcBorders>
            <w:gridSpan w:val="2"/>
          </w:tcPr>
          <w:p>
            <w:pPr>
              <w:jc w:val="right"/>
              <w:ind w:right="1330"/>
              <w:spacing w:after="0"/>
              <w:rPr>
                <w:sz w:val="20"/>
                <w:szCs w:val="20"/>
                <w:color w:val="auto"/>
              </w:rPr>
            </w:pPr>
            <w:r>
              <w:rPr>
                <w:rFonts w:ascii="Arial" w:cs="Arial" w:eastAsia="Arial" w:hAnsi="Arial"/>
                <w:sz w:val="18"/>
                <w:szCs w:val="18"/>
                <w:b w:val="1"/>
                <w:bCs w:val="1"/>
                <w:color w:val="auto"/>
              </w:rPr>
              <w:t>2022</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kWh</w:t>
            </w:r>
          </w:p>
        </w:tc>
        <w:tc>
          <w:tcPr>
            <w:tcW w:w="1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Revenue</w:t>
            </w: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kWh</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Wind Energy Regions</w:t>
            </w:r>
          </w:p>
        </w:tc>
        <w:tc>
          <w:tcPr>
            <w:tcW w:w="1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East</w:t>
            </w:r>
          </w:p>
        </w:tc>
        <w:tc>
          <w:tcPr>
            <w:tcW w:w="1260" w:type="dxa"/>
            <w:vAlign w:val="bottom"/>
          </w:tcPr>
          <w:p>
            <w:pPr>
              <w:jc w:val="right"/>
              <w:spacing w:after="0"/>
              <w:rPr>
                <w:sz w:val="20"/>
                <w:szCs w:val="20"/>
                <w:color w:val="auto"/>
              </w:rPr>
            </w:pPr>
            <w:r>
              <w:rPr>
                <w:rFonts w:ascii="Arial" w:cs="Arial" w:eastAsia="Arial" w:hAnsi="Arial"/>
                <w:sz w:val="18"/>
                <w:szCs w:val="18"/>
                <w:color w:val="auto"/>
              </w:rPr>
              <w:t>38.8</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$3.5</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39.8</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Midwest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4.3</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148.7</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South</w:t>
            </w:r>
          </w:p>
        </w:tc>
        <w:tc>
          <w:tcPr>
            <w:tcW w:w="1260" w:type="dxa"/>
            <w:vAlign w:val="bottom"/>
          </w:tcPr>
          <w:p>
            <w:pPr>
              <w:jc w:val="right"/>
              <w:spacing w:after="0"/>
              <w:rPr>
                <w:sz w:val="20"/>
                <w:szCs w:val="20"/>
                <w:color w:val="auto"/>
              </w:rPr>
            </w:pPr>
            <w:r>
              <w:rPr>
                <w:rFonts w:ascii="Arial" w:cs="Arial" w:eastAsia="Arial" w:hAnsi="Arial"/>
                <w:sz w:val="18"/>
                <w:szCs w:val="18"/>
                <w:color w:val="auto"/>
              </w:rPr>
              <w:t>373.3</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4.4</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152.6</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West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3.4</w:t>
            </w: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180.0</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Production and Operating Revenue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664.7</w:t>
            </w: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$15.6</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521.1</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 xml:space="preserve">Cost of Sales – Non-utility </w:t>
      </w:r>
      <w:r>
        <w:rPr>
          <w:rFonts w:ascii="Arial" w:cs="Arial" w:eastAsia="Arial" w:hAnsi="Arial"/>
          <w:sz w:val="18"/>
          <w:szCs w:val="18"/>
          <w:color w:val="auto"/>
        </w:rPr>
        <w:t>increased $4.0 million from 2021 reflecting a reserve for an anticipated loss on sale of ALLETE Clean Energy’s project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repower and sell its Northern Wind project.</w:t>
      </w:r>
    </w:p>
    <w:p>
      <w:pPr>
        <w:spacing w:after="0" w:line="197"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and Maintenance </w:t>
      </w:r>
      <w:r>
        <w:rPr>
          <w:rFonts w:ascii="Arial" w:cs="Arial" w:eastAsia="Arial" w:hAnsi="Arial"/>
          <w:sz w:val="18"/>
          <w:szCs w:val="18"/>
          <w:color w:val="auto"/>
        </w:rPr>
        <w:t>expense increased $2.5 million, or 25 percent, from 2021 primarily due to operating and maintenance expenses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Caddo wind energy facility, which commenced operations in December 2021.</w:t>
      </w:r>
    </w:p>
    <w:p>
      <w:pPr>
        <w:spacing w:after="0" w:line="197"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expense increased $2.1 million, or 17 percent, from 2021 primarily due to additional property, plant and equipment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related to the Caddo wind energy facility.</w:t>
      </w:r>
    </w:p>
    <w:p>
      <w:pPr>
        <w:spacing w:after="0" w:line="197"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Taxes Other than Income Taxes </w:t>
      </w:r>
      <w:r>
        <w:rPr>
          <w:rFonts w:ascii="Arial" w:cs="Arial" w:eastAsia="Arial" w:hAnsi="Arial"/>
          <w:sz w:val="18"/>
          <w:szCs w:val="18"/>
          <w:color w:val="auto"/>
        </w:rPr>
        <w:t>increased $1.1 million from 2021 primarily due to higher property tax expense related to the Caddo wind energy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facility.</w:t>
      </w:r>
    </w:p>
    <w:p>
      <w:pPr>
        <w:spacing w:after="0" w:line="184"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increased $1.2 million from 2021 primarily due to higher pre-tax loss, partially offset by higher production tax credits and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loss attributable to non-controlling interest.</w:t>
      </w:r>
    </w:p>
    <w:p>
      <w:pPr>
        <w:sectPr>
          <w:pgSz w:w="11900" w:h="16838" w:orient="portrait"/>
          <w:cols w:equalWidth="0" w:num="1">
            <w:col w:w="11240"/>
          </w:cols>
          <w:pgMar w:left="320" w:top="1134" w:right="339"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ALLETE, Inc. Third Quarter 2022 Form 10-Q</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COMPARISON OF THE QUARTER ENDED SEPTEMBER 30, 2022 AND 2021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Net Loss Attributable to Non-Controlling Interest </w:t>
      </w:r>
      <w:r>
        <w:rPr>
          <w:rFonts w:ascii="Arial" w:cs="Arial" w:eastAsia="Arial" w:hAnsi="Arial"/>
          <w:sz w:val="18"/>
          <w:szCs w:val="18"/>
          <w:color w:val="auto"/>
        </w:rPr>
        <w:t>increased $3.0 million from 2021 reflecting higher net losses attributable to non-controlling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Diamond Spring wind energy facility resulting from a higher PTC value in 2022 compared to 2021 as well as net losses attributable to non-controlling interest for the Caddo wind energy facility.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6"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increased $26.4 million from 2021 reflecting revenue from New Energy, which was acquired in April 2022, and higher revenue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BNI Energy, which operates under cost-plus fixed fee contracts, as a result of higher expenses in 2022 compared to 2021.</w:t>
      </w:r>
    </w:p>
    <w:p>
      <w:pPr>
        <w:spacing w:after="0" w:line="17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of $2.7 million in 2022 compared to a net loss of $4.5 million in 2021. Net income in 2022 reflects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from our investment in Nobles 2 due to higher wind resources in 2022, net income from New Energy of $1.3 million, which included a $1.7 million after-tax expense as a result of purchase price accounting related to projects under development at the time of acquisition, and a benefit from the timing of income taxes.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43"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color w:val="auto"/>
        </w:rPr>
        <w:t>For the quarter ended September 30, 2022, the effective tax rate was a benefit of 36.7 percent (benefit of 25.5 percent for the quarter ended September 30, 2021). The effective tax rate for 2022 was a higher benefit primarily due to the timing of income taxes.</w:t>
      </w:r>
    </w:p>
    <w:p>
      <w:pPr>
        <w:spacing w:after="0" w:line="198" w:lineRule="exact"/>
        <w:rPr>
          <w:sz w:val="20"/>
          <w:szCs w:val="20"/>
          <w:color w:val="auto"/>
        </w:rPr>
      </w:pPr>
    </w:p>
    <w:p>
      <w:pPr>
        <w:jc w:val="both"/>
        <w:ind w:left="340" w:right="20"/>
        <w:spacing w:after="0" w:line="243" w:lineRule="auto"/>
        <w:rPr>
          <w:sz w:val="20"/>
          <w:szCs w:val="20"/>
          <w:color w:val="auto"/>
        </w:rPr>
      </w:pPr>
      <w:r>
        <w:rPr>
          <w:rFonts w:ascii="Arial" w:cs="Arial" w:eastAsia="Arial" w:hAnsi="Arial"/>
          <w:sz w:val="18"/>
          <w:szCs w:val="18"/>
          <w:color w:val="auto"/>
        </w:rPr>
        <w:t>We expect our annual effective tax rate in 2022 to be a lower income tax benefit than in 2021 primarily due to higher non-controlling interests in subsidiaries, higher pre-tax income, and lower production tax credits, partially offset by investment tax credits. The estimated annual effective tax rate can differ from what a quarterly effective tax rate would otherwise be on a standalone basis, and this may cause quarter to quarter differences in the timing of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NINE MONTHS ENDED SEPTEMBER 30, 2022 AND 2021</w:t>
            </w:r>
          </w:p>
        </w:tc>
        <w:tc>
          <w:tcPr>
            <w:tcW w:w="2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8120" w:type="dxa"/>
            <w:vAlign w:val="bottom"/>
            <w:gridSpan w:val="2"/>
          </w:tcPr>
          <w:p>
            <w:pPr>
              <w:spacing w:after="0"/>
              <w:rPr>
                <w:sz w:val="20"/>
                <w:szCs w:val="20"/>
                <w:color w:val="auto"/>
              </w:rPr>
            </w:pPr>
            <w:r>
              <w:rPr>
                <w:rFonts w:ascii="Arial" w:cs="Arial" w:eastAsia="Arial" w:hAnsi="Arial"/>
                <w:sz w:val="18"/>
                <w:szCs w:val="18"/>
                <w:color w:val="auto"/>
              </w:rPr>
              <w:t>(See Note 11. Business Segments for financial results by segment.)</w:t>
            </w:r>
          </w:p>
        </w:tc>
        <w:tc>
          <w:tcPr>
            <w:tcW w:w="2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59"/>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1"/>
        </w:trPr>
        <w:tc>
          <w:tcPr>
            <w:tcW w:w="440" w:type="dxa"/>
            <w:vAlign w:val="bottom"/>
          </w:tcPr>
          <w:p>
            <w:pPr>
              <w:spacing w:after="0"/>
              <w:rPr>
                <w:sz w:val="24"/>
                <w:szCs w:val="24"/>
                <w:color w:val="auto"/>
              </w:rPr>
            </w:pPr>
          </w:p>
        </w:tc>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2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440" w:type="dxa"/>
            <w:vAlign w:val="bottom"/>
          </w:tcPr>
          <w:p>
            <w:pPr>
              <w:spacing w:after="0"/>
              <w:rPr>
                <w:sz w:val="19"/>
                <w:szCs w:val="19"/>
                <w:color w:val="auto"/>
              </w:rPr>
            </w:pPr>
          </w:p>
        </w:tc>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40" w:type="dxa"/>
            <w:vAlign w:val="bottom"/>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$960.3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$888.2</w:t>
            </w:r>
          </w:p>
        </w:tc>
      </w:tr>
      <w:tr>
        <w:trPr>
          <w:trHeight w:val="230"/>
        </w:trPr>
        <w:tc>
          <w:tcPr>
            <w:tcW w:w="440" w:type="dxa"/>
            <w:vAlign w:val="bottom"/>
          </w:tcPr>
          <w:p>
            <w:pPr>
              <w:spacing w:after="0"/>
              <w:rPr>
                <w:sz w:val="19"/>
                <w:szCs w:val="19"/>
                <w:color w:val="auto"/>
              </w:rPr>
            </w:pPr>
          </w:p>
        </w:tc>
        <w:tc>
          <w:tcPr>
            <w:tcW w:w="768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280" w:type="dxa"/>
            <w:vAlign w:val="bottom"/>
          </w:tcPr>
          <w:p>
            <w:pPr>
              <w:jc w:val="right"/>
              <w:ind w:right="230"/>
              <w:spacing w:after="0"/>
              <w:rPr>
                <w:sz w:val="20"/>
                <w:szCs w:val="20"/>
                <w:color w:val="auto"/>
              </w:rPr>
            </w:pPr>
            <w:r>
              <w:rPr>
                <w:rFonts w:ascii="Arial" w:cs="Arial" w:eastAsia="Arial" w:hAnsi="Arial"/>
                <w:sz w:val="18"/>
                <w:szCs w:val="18"/>
                <w:color w:val="auto"/>
              </w:rPr>
              <w:t>417.4</w:t>
            </w:r>
          </w:p>
        </w:tc>
        <w:tc>
          <w:tcPr>
            <w:tcW w:w="840" w:type="dxa"/>
            <w:vAlign w:val="bottom"/>
          </w:tcPr>
          <w:p>
            <w:pPr>
              <w:jc w:val="right"/>
              <w:spacing w:after="0"/>
              <w:rPr>
                <w:sz w:val="20"/>
                <w:szCs w:val="20"/>
                <w:color w:val="auto"/>
              </w:rPr>
            </w:pPr>
            <w:r>
              <w:rPr>
                <w:rFonts w:ascii="Arial" w:cs="Arial" w:eastAsia="Arial" w:hAnsi="Arial"/>
                <w:sz w:val="18"/>
                <w:szCs w:val="18"/>
                <w:color w:val="auto"/>
              </w:rPr>
              <w:t>389.4</w:t>
            </w:r>
          </w:p>
        </w:tc>
      </w:tr>
      <w:tr>
        <w:trPr>
          <w:trHeight w:val="229"/>
        </w:trPr>
        <w:tc>
          <w:tcPr>
            <w:tcW w:w="440" w:type="dxa"/>
            <w:vAlign w:val="bottom"/>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57.5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29"/>
        </w:trPr>
        <w:tc>
          <w:tcPr>
            <w:tcW w:w="440" w:type="dxa"/>
            <w:vAlign w:val="bottom"/>
          </w:tcPr>
          <w:p>
            <w:pPr>
              <w:spacing w:after="0"/>
              <w:rPr>
                <w:sz w:val="19"/>
                <w:szCs w:val="19"/>
                <w:color w:val="auto"/>
              </w:rPr>
            </w:pPr>
          </w:p>
        </w:tc>
        <w:tc>
          <w:tcPr>
            <w:tcW w:w="768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280" w:type="dxa"/>
            <w:vAlign w:val="bottom"/>
          </w:tcPr>
          <w:p>
            <w:pPr>
              <w:jc w:val="right"/>
              <w:ind w:right="230"/>
              <w:spacing w:after="0"/>
              <w:rPr>
                <w:sz w:val="20"/>
                <w:szCs w:val="20"/>
                <w:color w:val="auto"/>
              </w:rPr>
            </w:pPr>
            <w:r>
              <w:rPr>
                <w:rFonts w:ascii="Arial" w:cs="Arial" w:eastAsia="Arial" w:hAnsi="Arial"/>
                <w:sz w:val="18"/>
                <w:szCs w:val="18"/>
                <w:color w:val="auto"/>
              </w:rPr>
              <w:t>177.7</w:t>
            </w:r>
          </w:p>
        </w:tc>
        <w:tc>
          <w:tcPr>
            <w:tcW w:w="840" w:type="dxa"/>
            <w:vAlign w:val="bottom"/>
          </w:tcPr>
          <w:p>
            <w:pPr>
              <w:jc w:val="right"/>
              <w:spacing w:after="0"/>
              <w:rPr>
                <w:sz w:val="20"/>
                <w:szCs w:val="20"/>
                <w:color w:val="auto"/>
              </w:rPr>
            </w:pPr>
            <w:r>
              <w:rPr>
                <w:rFonts w:ascii="Arial" w:cs="Arial" w:eastAsia="Arial" w:hAnsi="Arial"/>
                <w:sz w:val="18"/>
                <w:szCs w:val="18"/>
                <w:color w:val="auto"/>
              </w:rPr>
              <w:t>158.9</w:t>
            </w:r>
          </w:p>
        </w:tc>
      </w:tr>
      <w:tr>
        <w:trPr>
          <w:trHeight w:val="230"/>
        </w:trPr>
        <w:tc>
          <w:tcPr>
            <w:tcW w:w="440" w:type="dxa"/>
            <w:vAlign w:val="bottom"/>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128.5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r>
      <w:tr>
        <w:trPr>
          <w:trHeight w:val="229"/>
        </w:trPr>
        <w:tc>
          <w:tcPr>
            <w:tcW w:w="440" w:type="dxa"/>
            <w:vAlign w:val="bottom"/>
          </w:tcPr>
          <w:p>
            <w:pPr>
              <w:spacing w:after="0"/>
              <w:rPr>
                <w:sz w:val="19"/>
                <w:szCs w:val="19"/>
                <w:color w:val="auto"/>
              </w:rPr>
            </w:pPr>
          </w:p>
        </w:tc>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Taxes</w:t>
            </w:r>
          </w:p>
        </w:tc>
        <w:tc>
          <w:tcPr>
            <w:tcW w:w="2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42.2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r>
      <w:tr>
        <w:trPr>
          <w:trHeight w:val="223"/>
        </w:trPr>
        <w:tc>
          <w:tcPr>
            <w:tcW w:w="440" w:type="dxa"/>
            <w:vAlign w:val="bottom"/>
          </w:tcPr>
          <w:p>
            <w:pPr>
              <w:spacing w:after="0"/>
              <w:rPr>
                <w:sz w:val="19"/>
                <w:szCs w:val="19"/>
                <w:color w:val="auto"/>
              </w:rPr>
            </w:pPr>
          </w:p>
        </w:tc>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2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137.0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r>
      <w:tr>
        <w:trPr>
          <w:trHeight w:val="229"/>
        </w:trPr>
        <w:tc>
          <w:tcPr>
            <w:tcW w:w="440" w:type="dxa"/>
            <w:vAlign w:val="bottom"/>
          </w:tcPr>
          <w:p>
            <w:pPr>
              <w:spacing w:after="0"/>
              <w:rPr>
                <w:sz w:val="19"/>
                <w:szCs w:val="19"/>
                <w:color w:val="auto"/>
              </w:rPr>
            </w:pPr>
          </w:p>
        </w:tc>
        <w:tc>
          <w:tcPr>
            <w:tcW w:w="76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80" w:type="dxa"/>
            <w:vAlign w:val="bottom"/>
          </w:tcPr>
          <w:p>
            <w:pPr>
              <w:jc w:val="right"/>
              <w:ind w:right="170"/>
              <w:spacing w:after="0"/>
              <w:rPr>
                <w:sz w:val="20"/>
                <w:szCs w:val="20"/>
                <w:color w:val="auto"/>
              </w:rPr>
            </w:pPr>
            <w:r>
              <w:rPr>
                <w:rFonts w:ascii="Arial" w:cs="Arial" w:eastAsia="Arial" w:hAnsi="Arial"/>
                <w:sz w:val="18"/>
                <w:szCs w:val="18"/>
                <w:color w:val="auto"/>
              </w:rPr>
              <w:t>(42.6)</w:t>
            </w:r>
          </w:p>
        </w:tc>
        <w:tc>
          <w:tcPr>
            <w:tcW w:w="84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230"/>
        </w:trPr>
        <w:tc>
          <w:tcPr>
            <w:tcW w:w="440" w:type="dxa"/>
            <w:vAlign w:val="bottom"/>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w:t>
            </w:r>
          </w:p>
        </w:tc>
        <w:tc>
          <w:tcPr>
            <w:tcW w:w="2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9"/>
        </w:trPr>
        <w:tc>
          <w:tcPr>
            <w:tcW w:w="440" w:type="dxa"/>
            <w:vAlign w:val="bottom"/>
          </w:tcPr>
          <w:p>
            <w:pPr>
              <w:spacing w:after="0"/>
              <w:rPr>
                <w:sz w:val="19"/>
                <w:szCs w:val="19"/>
                <w:color w:val="auto"/>
              </w:rPr>
            </w:pPr>
          </w:p>
        </w:tc>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w:t>
            </w:r>
          </w:p>
        </w:tc>
        <w:tc>
          <w:tcPr>
            <w:tcW w:w="2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440" w:type="dxa"/>
            <w:vAlign w:val="bottom"/>
          </w:tcPr>
          <w:p>
            <w:pPr>
              <w:spacing w:after="0"/>
              <w:rPr>
                <w:sz w:val="19"/>
                <w:szCs w:val="19"/>
                <w:color w:val="auto"/>
              </w:rPr>
            </w:pPr>
          </w:p>
        </w:tc>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2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115.1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229"/>
        </w:trPr>
        <w:tc>
          <w:tcPr>
            <w:tcW w:w="440" w:type="dxa"/>
            <w:vAlign w:val="bottom"/>
          </w:tcPr>
          <w:p>
            <w:pPr>
              <w:spacing w:after="0"/>
              <w:rPr>
                <w:sz w:val="19"/>
                <w:szCs w:val="19"/>
                <w:color w:val="auto"/>
              </w:rPr>
            </w:pPr>
          </w:p>
        </w:tc>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2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23"/>
        </w:trPr>
        <w:tc>
          <w:tcPr>
            <w:tcW w:w="440" w:type="dxa"/>
            <w:vAlign w:val="bottom"/>
          </w:tcPr>
          <w:p>
            <w:pPr>
              <w:spacing w:after="0"/>
              <w:rPr>
                <w:sz w:val="19"/>
                <w:szCs w:val="19"/>
                <w:color w:val="auto"/>
              </w:rPr>
            </w:pPr>
          </w:p>
        </w:tc>
        <w:tc>
          <w:tcPr>
            <w:tcW w:w="76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Attributable to ALLETE</w:t>
            </w:r>
          </w:p>
        </w:tc>
        <w:tc>
          <w:tcPr>
            <w:tcW w:w="22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$119.4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r>
    </w:tbl>
    <w:p>
      <w:pPr>
        <w:spacing w:after="0" w:line="333"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Utility </w:t>
      </w:r>
      <w:r>
        <w:rPr>
          <w:rFonts w:ascii="Arial" w:cs="Arial" w:eastAsia="Arial" w:hAnsi="Arial"/>
          <w:sz w:val="18"/>
          <w:szCs w:val="18"/>
          <w:color w:val="auto"/>
        </w:rPr>
        <w:t>increased $72.1 million from 2021 primarily due to the implementation of interim rates at Minnesota Power on January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increased conservation improvement program recoveries, increased gas sales and higher fuel adjustment clause recoveries. These increases were partially offset by lower cost recovery rider revenue and lower revenue from kWh sales.</w:t>
      </w:r>
    </w:p>
    <w:p>
      <w:pPr>
        <w:spacing w:after="0" w:line="20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Interim retail rates for Minnesota Power, subject to refund, were approved by the MPUC and became effective January 1, 2022, resulting in revenue of $70.5 million. (See Note 2. Regulatory Matters.)</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Conservation improvement program recoveries increased $5.6 million from 2021 primarily due to an increase in related expenditures.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 Operating and Maintenance</w:t>
      </w:r>
      <w:r>
        <w:rPr>
          <w:rFonts w:ascii="Arial" w:cs="Arial" w:eastAsia="Arial" w:hAnsi="Arial"/>
          <w:sz w:val="18"/>
          <w:szCs w:val="18"/>
          <w:color w:val="auto"/>
        </w:rPr>
        <w:t>.)</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Gas sales at SWL&amp;P increased $3.4 million as a result of colder weather and higher gas prices in 2022 compared to 2021. (See </w:t>
      </w:r>
      <w:r>
        <w:rPr>
          <w:rFonts w:ascii="Arial" w:cs="Arial" w:eastAsia="Arial" w:hAnsi="Arial"/>
          <w:sz w:val="18"/>
          <w:szCs w:val="18"/>
          <w:i w:val="1"/>
          <w:iCs w:val="1"/>
          <w:color w:val="auto"/>
        </w:rPr>
        <w:t>Fuel, Purchased Power</w:t>
      </w:r>
      <w:r>
        <w:rPr>
          <w:rFonts w:ascii="Arial" w:cs="Arial" w:eastAsia="Arial" w:hAnsi="Arial"/>
          <w:sz w:val="18"/>
          <w:szCs w:val="18"/>
          <w:color w:val="auto"/>
        </w:rPr>
        <w:t xml:space="preserve"> </w:t>
      </w:r>
      <w:r>
        <w:rPr>
          <w:rFonts w:ascii="Arial" w:cs="Arial" w:eastAsia="Arial" w:hAnsi="Arial"/>
          <w:sz w:val="18"/>
          <w:szCs w:val="18"/>
          <w:i w:val="1"/>
          <w:iCs w:val="1"/>
          <w:color w:val="auto"/>
        </w:rPr>
        <w:t>and Gas – Utility</w:t>
      </w:r>
      <w:r>
        <w:rPr>
          <w:rFonts w:ascii="Arial" w:cs="Arial" w:eastAsia="Arial" w:hAnsi="Arial"/>
          <w:sz w:val="18"/>
          <w:szCs w:val="18"/>
          <w:color w:val="auto"/>
        </w:rPr>
        <w:t>.)</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Fuel adjustment clause revenue increased $3.2 million due to higher fuel and purchased power costs attributable to retail and municipal customers. (See </w:t>
      </w:r>
      <w:r>
        <w:rPr>
          <w:rFonts w:ascii="Arial" w:cs="Arial" w:eastAsia="Arial" w:hAnsi="Arial"/>
          <w:sz w:val="18"/>
          <w:szCs w:val="18"/>
          <w:i w:val="1"/>
          <w:iCs w:val="1"/>
          <w:color w:val="auto"/>
        </w:rPr>
        <w:t>Fuel, Purchased Power and Gas – Utility.</w:t>
      </w:r>
      <w:r>
        <w:rPr>
          <w:rFonts w:ascii="Arial" w:cs="Arial" w:eastAsia="Arial" w:hAnsi="Arial"/>
          <w:sz w:val="18"/>
          <w:szCs w:val="18"/>
          <w:color w:val="auto"/>
        </w:rPr>
        <w:t>)</w:t>
      </w:r>
    </w:p>
    <w:p>
      <w:pPr>
        <w:spacing w:after="0" w:line="19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Cost recovery rider revenue decreased $9.6 million primarily due to additional production tax credits recognized by Minnesota Power. If production tax credits are recognized at a level above those assumed in Minnesota Power’s retail rates, a decrease in cost recovery rider revenue is recognized to offset the impact of higher production tax credits on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COMPARISON OF THE NINE MONTHS ENDED SEPTEMBER 30, 2022 AND 2021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8"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 xml:space="preserve">Lower kWh sales reduced revenue $4.7 million from 2021 reflecting lower sales to industrial customers and other power suppliers, partially offset by higher sales to residential and commercial customers as well as higher pricing on sales to other power suppliers. Sales to residential and commercial customers increased from 2021 primarily due to colder weather in 2022 compared to 2021. Sales to industrial customers decreased primarily due to lower sales to taconite customers resulting from less taconite production in 2022 compared to 2021, reflecting Cliffs’ Northshore mine being temporarily idled in 2022. (See </w:t>
      </w:r>
      <w:r>
        <w:rPr>
          <w:rFonts w:ascii="Arial" w:cs="Arial" w:eastAsia="Arial" w:hAnsi="Arial"/>
          <w:sz w:val="16"/>
          <w:szCs w:val="16"/>
          <w:i w:val="1"/>
          <w:iCs w:val="1"/>
          <w:color w:val="auto"/>
        </w:rPr>
        <w:t>Outlook - Customers - Northshore Mining.</w:t>
      </w:r>
      <w:r>
        <w:rPr>
          <w:rFonts w:ascii="Arial" w:cs="Arial" w:eastAsia="Arial" w:hAnsi="Arial"/>
          <w:sz w:val="16"/>
          <w:szCs w:val="16"/>
          <w:color w:val="auto"/>
        </w:rPr>
        <w:t>) Sales to other power suppliers, which are sold at market-based prices into the MISO market on a daily basis or through PSAs of various durations, decreased in 2022 compared to 2021 primarily due to additional kWh sales made in 2021 to mitigate the uncertainty of customers’ energy needs and potential load loss due to the COVID-19 pandemic.</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Variance</w:t>
            </w:r>
          </w:p>
        </w:tc>
        <w:tc>
          <w:tcPr>
            <w:tcW w:w="680" w:type="dxa"/>
            <w:vAlign w:val="bottom"/>
          </w:tcPr>
          <w:p>
            <w:pPr>
              <w:spacing w:after="0"/>
              <w:rPr>
                <w:sz w:val="19"/>
                <w:szCs w:val="19"/>
                <w:color w:val="auto"/>
              </w:rPr>
            </w:pPr>
          </w:p>
        </w:tc>
      </w:tr>
      <w:tr>
        <w:trPr>
          <w:trHeight w:val="234"/>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2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Quantity</w:t>
            </w:r>
          </w:p>
        </w:tc>
        <w:tc>
          <w:tcPr>
            <w:tcW w:w="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4920" w:type="dxa"/>
            <w:vAlign w:val="bottom"/>
          </w:tcPr>
          <w:p>
            <w:pPr>
              <w:ind w:left="220"/>
              <w:spacing w:after="0"/>
              <w:rPr>
                <w:sz w:val="20"/>
                <w:szCs w:val="20"/>
                <w:color w:val="auto"/>
              </w:rPr>
            </w:pPr>
            <w:r>
              <w:rPr>
                <w:rFonts w:ascii="Arial" w:cs="Arial" w:eastAsia="Arial" w:hAnsi="Arial"/>
                <w:sz w:val="18"/>
                <w:szCs w:val="18"/>
                <w:color w:val="auto"/>
              </w:rPr>
              <w:t>Retail and Municipal</w:t>
            </w:r>
          </w:p>
        </w:tc>
        <w:tc>
          <w:tcPr>
            <w:tcW w:w="2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4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Residential</w:t>
            </w:r>
          </w:p>
        </w:tc>
        <w:tc>
          <w:tcPr>
            <w:tcW w:w="2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851</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846</w:t>
            </w:r>
          </w:p>
        </w:tc>
        <w:tc>
          <w:tcPr>
            <w:tcW w:w="14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30"/>
        </w:trPr>
        <w:tc>
          <w:tcPr>
            <w:tcW w:w="4920" w:type="dxa"/>
            <w:vAlign w:val="bottom"/>
          </w:tcPr>
          <w:p>
            <w:pPr>
              <w:ind w:left="460"/>
              <w:spacing w:after="0"/>
              <w:rPr>
                <w:sz w:val="20"/>
                <w:szCs w:val="20"/>
                <w:color w:val="auto"/>
              </w:rPr>
            </w:pPr>
            <w:r>
              <w:rPr>
                <w:rFonts w:ascii="Arial" w:cs="Arial" w:eastAsia="Arial" w:hAnsi="Arial"/>
                <w:sz w:val="18"/>
                <w:szCs w:val="18"/>
                <w:color w:val="auto"/>
              </w:rPr>
              <w:t>Commercial</w:t>
            </w:r>
          </w:p>
        </w:tc>
        <w:tc>
          <w:tcPr>
            <w:tcW w:w="2480" w:type="dxa"/>
            <w:vAlign w:val="bottom"/>
          </w:tcPr>
          <w:p>
            <w:pPr>
              <w:jc w:val="right"/>
              <w:ind w:right="230"/>
              <w:spacing w:after="0"/>
              <w:rPr>
                <w:sz w:val="20"/>
                <w:szCs w:val="20"/>
                <w:color w:val="auto"/>
              </w:rPr>
            </w:pPr>
            <w:r>
              <w:rPr>
                <w:rFonts w:ascii="Arial" w:cs="Arial" w:eastAsia="Arial" w:hAnsi="Arial"/>
                <w:sz w:val="18"/>
                <w:szCs w:val="18"/>
                <w:color w:val="auto"/>
              </w:rPr>
              <w:t>1,027</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1,018</w:t>
            </w:r>
          </w:p>
        </w:tc>
        <w:tc>
          <w:tcPr>
            <w:tcW w:w="1480" w:type="dxa"/>
            <w:vAlign w:val="bottom"/>
          </w:tcPr>
          <w:p>
            <w:pPr>
              <w:jc w:val="right"/>
              <w:ind w:right="510"/>
              <w:spacing w:after="0"/>
              <w:rPr>
                <w:sz w:val="20"/>
                <w:szCs w:val="20"/>
                <w:color w:val="auto"/>
              </w:rPr>
            </w:pPr>
            <w:r>
              <w:rPr>
                <w:rFonts w:ascii="Arial" w:cs="Arial" w:eastAsia="Arial" w:hAnsi="Arial"/>
                <w:sz w:val="18"/>
                <w:szCs w:val="18"/>
                <w:color w:val="auto"/>
              </w:rPr>
              <w:t>9</w:t>
            </w:r>
          </w:p>
        </w:tc>
        <w:tc>
          <w:tcPr>
            <w:tcW w:w="680" w:type="dxa"/>
            <w:vAlign w:val="bottom"/>
          </w:tcPr>
          <w:p>
            <w:pPr>
              <w:jc w:val="right"/>
              <w:spacing w:after="0"/>
              <w:rPr>
                <w:sz w:val="20"/>
                <w:szCs w:val="20"/>
                <w:color w:val="auto"/>
              </w:rPr>
            </w:pPr>
            <w:r>
              <w:rPr>
                <w:rFonts w:ascii="Arial" w:cs="Arial" w:eastAsia="Arial" w:hAnsi="Arial"/>
                <w:sz w:val="18"/>
                <w:szCs w:val="18"/>
                <w:color w:val="auto"/>
              </w:rPr>
              <w:t>0.9 %</w:t>
            </w:r>
          </w:p>
        </w:tc>
      </w:tr>
      <w:tr>
        <w:trPr>
          <w:trHeight w:val="229"/>
        </w:trPr>
        <w:tc>
          <w:tcPr>
            <w:tcW w:w="4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Industrial</w:t>
            </w:r>
          </w:p>
        </w:tc>
        <w:tc>
          <w:tcPr>
            <w:tcW w:w="2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5,047</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5,351</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49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Municipal</w:t>
            </w:r>
          </w:p>
        </w:tc>
        <w:tc>
          <w:tcPr>
            <w:tcW w:w="2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419</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445</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4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Retail and Municipal</w:t>
            </w:r>
          </w:p>
        </w:tc>
        <w:tc>
          <w:tcPr>
            <w:tcW w:w="2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7,344</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7,660</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(316)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4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Power Suppliers</w:t>
            </w:r>
          </w:p>
        </w:tc>
        <w:tc>
          <w:tcPr>
            <w:tcW w:w="2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2,544</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3,695</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(1,151)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r>
      <w:tr>
        <w:trPr>
          <w:trHeight w:val="223"/>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9,888</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11,355</w:t>
            </w:r>
          </w:p>
        </w:tc>
        <w:tc>
          <w:tcPr>
            <w:tcW w:w="14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(1,467)</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bl>
    <w:p>
      <w:pPr>
        <w:spacing w:after="0" w:line="32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customers accounted for 32 percent of regulated operating revenue in 2022 (32 percent in 2021). Revenue from electric sales to paper, pulp and secondary wood product customers accounted for 5 percent of regulated operating revenue in 2022 (5 percent in 2021). Revenue from electric sales to pipelines and other industrial customers accounted for 9 percent of regulated operating revenue in 2022 (9 percent in 2021).</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$45.6 million, or 6 percent, from 2021.</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increased $28.0 million, or 7 percent, from 2021 primarily due to higher purchased power prices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fuel costs as well as increased gas prices and sales, partially offset by lower kWh sales. Fuel and purchased power expense related to our retail and municipal customers is recovered through the fuel adjustment clause.</w:t>
      </w:r>
    </w:p>
    <w:p>
      <w:pPr>
        <w:spacing w:after="0" w:line="21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increased $18.8 million, or 12 percent, from 2021 primarily due to higher conservation improvement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professional services and materials purchased for generation facilities, labor expenses and higher vegetation management expenses. These increases were partially offset by lower pension and other postretirement benefit expenses. In addition, 2022 included rate case-related expenses for Minnesota Power’s ongoing rate case. (See Note 2. Regulatory Matters.)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Transmission Services – Utility </w:t>
      </w:r>
      <w:r>
        <w:rPr>
          <w:rFonts w:ascii="Arial" w:cs="Arial" w:eastAsia="Arial" w:hAnsi="Arial"/>
          <w:sz w:val="18"/>
          <w:szCs w:val="18"/>
          <w:color w:val="auto"/>
        </w:rPr>
        <w:t>expense increased $1.4 million, or 2 percent, from 2021 primarily due to higher MISO-related expense.</w:t>
      </w:r>
    </w:p>
    <w:p>
      <w:pPr>
        <w:spacing w:after="0" w:line="239" w:lineRule="exact"/>
        <w:rPr>
          <w:sz w:val="20"/>
          <w:szCs w:val="20"/>
          <w:color w:val="auto"/>
        </w:rPr>
      </w:pPr>
    </w:p>
    <w:p>
      <w:pPr>
        <w:jc w:val="both"/>
        <w:ind w:left="340" w:right="20"/>
        <w:spacing w:after="0" w:line="261"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decreased $2.9 million, or 6 percent, from 2021 primarily due to lower property tax expense resulting from an updated</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of taxable market values and rates in 2022.</w:t>
      </w:r>
    </w:p>
    <w:p>
      <w:pPr>
        <w:spacing w:after="0" w:line="198" w:lineRule="exact"/>
        <w:rPr>
          <w:sz w:val="20"/>
          <w:szCs w:val="20"/>
          <w:color w:val="auto"/>
        </w:rPr>
      </w:pPr>
    </w:p>
    <w:p>
      <w:pPr>
        <w:jc w:val="both"/>
        <w:ind w:left="340"/>
        <w:spacing w:after="0" w:line="246" w:lineRule="auto"/>
        <w:rPr>
          <w:sz w:val="20"/>
          <w:szCs w:val="20"/>
          <w:color w:val="auto"/>
        </w:rPr>
      </w:pPr>
      <w:r>
        <w:rPr>
          <w:rFonts w:ascii="Arial" w:cs="Arial" w:eastAsia="Arial" w:hAnsi="Arial"/>
          <w:sz w:val="18"/>
          <w:szCs w:val="18"/>
          <w:b w:val="1"/>
          <w:bCs w:val="1"/>
          <w:i w:val="1"/>
          <w:iCs w:val="1"/>
          <w:color w:val="auto"/>
        </w:rPr>
        <w:t xml:space="preserve">Equity Earnings </w:t>
      </w:r>
      <w:r>
        <w:rPr>
          <w:rFonts w:ascii="Arial" w:cs="Arial" w:eastAsia="Arial" w:hAnsi="Arial"/>
          <w:sz w:val="18"/>
          <w:szCs w:val="18"/>
          <w:color w:val="auto"/>
        </w:rPr>
        <w:t>decreased $2.0 million, or 13 percent, from 2021 primarily due to period over period changes in ATC’s estimate of a refund liability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the appeals court decision on MISO return on equity complaints. (See Note 4. Equity Investments.)</w:t>
      </w:r>
    </w:p>
    <w:p>
      <w:pPr>
        <w:spacing w:after="0" w:line="210" w:lineRule="exact"/>
        <w:rPr>
          <w:sz w:val="20"/>
          <w:szCs w:val="20"/>
          <w:color w:val="auto"/>
        </w:rPr>
      </w:pPr>
    </w:p>
    <w:p>
      <w:pPr>
        <w:jc w:val="both"/>
        <w:ind w:left="340"/>
        <w:spacing w:after="0" w:line="291" w:lineRule="auto"/>
        <w:rPr>
          <w:sz w:val="20"/>
          <w:szCs w:val="20"/>
          <w:color w:val="auto"/>
        </w:rPr>
      </w:pPr>
      <w:r>
        <w:rPr>
          <w:rFonts w:ascii="Arial" w:cs="Arial" w:eastAsia="Arial" w:hAnsi="Arial"/>
          <w:sz w:val="17"/>
          <w:szCs w:val="17"/>
          <w:b w:val="1"/>
          <w:bCs w:val="1"/>
          <w:i w:val="1"/>
          <w:iCs w:val="1"/>
          <w:color w:val="auto"/>
        </w:rPr>
        <w:t xml:space="preserve">Income Tax Benefit </w:t>
      </w:r>
      <w:r>
        <w:rPr>
          <w:rFonts w:ascii="Arial" w:cs="Arial" w:eastAsia="Arial" w:hAnsi="Arial"/>
          <w:sz w:val="17"/>
          <w:szCs w:val="17"/>
          <w:color w:val="auto"/>
        </w:rPr>
        <w:t>decreased $7.4 million from 2021 due to higher pre-tax income and lower production tax credits. We expect our annual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 rate in 2022 to be a lower income tax benefit than in 2021 primarily due to higher pre-tax income and lower production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NINE MONTHS ENDED SEPTEMBER 30, 2022 AND 2021 (Continued)</w:t>
            </w:r>
          </w:p>
        </w:tc>
        <w:tc>
          <w:tcPr>
            <w:tcW w:w="18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59"/>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18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1"/>
        </w:trPr>
        <w:tc>
          <w:tcPr>
            <w:tcW w:w="760" w:type="dxa"/>
            <w:vAlign w:val="bottom"/>
          </w:tcPr>
          <w:p>
            <w:pPr>
              <w:spacing w:after="0"/>
              <w:rPr>
                <w:sz w:val="24"/>
                <w:szCs w:val="24"/>
                <w:color w:val="auto"/>
              </w:rPr>
            </w:pPr>
          </w:p>
        </w:tc>
        <w:tc>
          <w:tcPr>
            <w:tcW w:w="7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Nine Months Ended September 30,</w:t>
            </w:r>
          </w:p>
        </w:tc>
        <w:tc>
          <w:tcPr>
            <w:tcW w:w="1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76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18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60" w:type="dxa"/>
            <w:vAlign w:val="bottom"/>
          </w:tcPr>
          <w:p>
            <w:pPr>
              <w:spacing w:after="0"/>
              <w:rPr>
                <w:sz w:val="19"/>
                <w:szCs w:val="19"/>
                <w:color w:val="auto"/>
              </w:rPr>
            </w:pPr>
          </w:p>
        </w:tc>
        <w:tc>
          <w:tcPr>
            <w:tcW w:w="7920" w:type="dxa"/>
            <w:vAlign w:val="bottom"/>
          </w:tcPr>
          <w:p>
            <w:pPr>
              <w:ind w:left="220"/>
              <w:spacing w:after="0"/>
              <w:rPr>
                <w:sz w:val="20"/>
                <w:szCs w:val="20"/>
                <w:color w:val="auto"/>
              </w:rPr>
            </w:pPr>
            <w:r>
              <w:rPr>
                <w:rFonts w:ascii="Arial" w:cs="Arial" w:eastAsia="Arial" w:hAnsi="Arial"/>
                <w:sz w:val="18"/>
                <w:szCs w:val="18"/>
                <w:color w:val="auto"/>
              </w:rPr>
              <w:t>Contracts with Customers – Non-utility</w:t>
            </w:r>
          </w:p>
        </w:tc>
        <w:tc>
          <w:tcPr>
            <w:tcW w:w="1800" w:type="dxa"/>
            <w:vAlign w:val="bottom"/>
          </w:tcPr>
          <w:p>
            <w:pPr>
              <w:jc w:val="right"/>
              <w:ind w:right="210"/>
              <w:spacing w:after="0"/>
              <w:rPr>
                <w:sz w:val="20"/>
                <w:szCs w:val="20"/>
                <w:color w:val="auto"/>
              </w:rPr>
            </w:pPr>
            <w:r>
              <w:rPr>
                <w:rFonts w:ascii="Arial" w:cs="Arial" w:eastAsia="Arial" w:hAnsi="Arial"/>
                <w:sz w:val="18"/>
                <w:szCs w:val="18"/>
                <w:color w:val="auto"/>
              </w:rPr>
              <w:t>$58.7</w:t>
            </w:r>
          </w:p>
        </w:tc>
        <w:tc>
          <w:tcPr>
            <w:tcW w:w="76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29"/>
        </w:trPr>
        <w:tc>
          <w:tcPr>
            <w:tcW w:w="760" w:type="dxa"/>
            <w:vAlign w:val="bottom"/>
          </w:tcPr>
          <w:p>
            <w:pPr>
              <w:spacing w:after="0"/>
              <w:rPr>
                <w:sz w:val="19"/>
                <w:szCs w:val="19"/>
                <w:color w:val="auto"/>
              </w:rPr>
            </w:pPr>
          </w:p>
        </w:tc>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Other – Non-utility </w:t>
            </w:r>
            <w:r>
              <w:rPr>
                <w:rFonts w:ascii="Arial" w:cs="Arial" w:eastAsia="Arial" w:hAnsi="Arial"/>
                <w:sz w:val="16"/>
                <w:szCs w:val="16"/>
                <w:i w:val="1"/>
                <w:iCs w:val="1"/>
                <w:color w:val="auto"/>
              </w:rPr>
              <w:t>(a)</w:t>
            </w:r>
          </w:p>
        </w:tc>
        <w:tc>
          <w:tcPr>
            <w:tcW w:w="18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76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Cost of Sales – Non-utility</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14.2</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0" w:type="dxa"/>
            <w:vAlign w:val="bottom"/>
          </w:tcPr>
          <w:p>
            <w:pPr>
              <w:spacing w:after="0"/>
              <w:rPr>
                <w:sz w:val="19"/>
                <w:szCs w:val="19"/>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Operating and Maintenance</w:t>
            </w:r>
          </w:p>
        </w:tc>
        <w:tc>
          <w:tcPr>
            <w:tcW w:w="18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36.6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30"/>
        </w:trPr>
        <w:tc>
          <w:tcPr>
            <w:tcW w:w="76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44.2</w:t>
            </w:r>
          </w:p>
        </w:tc>
        <w:tc>
          <w:tcPr>
            <w:tcW w:w="760" w:type="dxa"/>
            <w:vAlign w:val="bottom"/>
          </w:tcPr>
          <w:p>
            <w:pPr>
              <w:jc w:val="right"/>
              <w:spacing w:after="0"/>
              <w:rPr>
                <w:sz w:val="20"/>
                <w:szCs w:val="20"/>
                <w:color w:val="auto"/>
              </w:rPr>
            </w:pPr>
            <w:r>
              <w:rPr>
                <w:rFonts w:ascii="Arial" w:cs="Arial" w:eastAsia="Arial" w:hAnsi="Arial"/>
                <w:sz w:val="18"/>
                <w:szCs w:val="18"/>
                <w:color w:val="auto"/>
              </w:rPr>
              <w:t>36.5</w:t>
            </w:r>
          </w:p>
        </w:tc>
      </w:tr>
      <w:tr>
        <w:trPr>
          <w:trHeight w:val="229"/>
        </w:trPr>
        <w:tc>
          <w:tcPr>
            <w:tcW w:w="760" w:type="dxa"/>
            <w:vAlign w:val="bottom"/>
          </w:tcPr>
          <w:p>
            <w:pPr>
              <w:spacing w:after="0"/>
              <w:rPr>
                <w:sz w:val="19"/>
                <w:szCs w:val="19"/>
                <w:color w:val="auto"/>
              </w:rPr>
            </w:pPr>
          </w:p>
        </w:tc>
        <w:tc>
          <w:tcPr>
            <w:tcW w:w="7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Taxes Other than Income Taxes</w:t>
            </w:r>
          </w:p>
        </w:tc>
        <w:tc>
          <w:tcPr>
            <w:tcW w:w="18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9.0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760" w:type="dxa"/>
            <w:vAlign w:val="bottom"/>
          </w:tcPr>
          <w:p>
            <w:pPr>
              <w:spacing w:after="0"/>
              <w:rPr>
                <w:sz w:val="19"/>
                <w:szCs w:val="19"/>
                <w:color w:val="auto"/>
              </w:rPr>
            </w:pPr>
          </w:p>
        </w:tc>
        <w:tc>
          <w:tcPr>
            <w:tcW w:w="7920" w:type="dxa"/>
            <w:vAlign w:val="bottom"/>
          </w:tcPr>
          <w:p>
            <w:pPr>
              <w:ind w:left="220"/>
              <w:spacing w:after="0"/>
              <w:rPr>
                <w:sz w:val="20"/>
                <w:szCs w:val="20"/>
                <w:color w:val="auto"/>
              </w:rPr>
            </w:pPr>
            <w:r>
              <w:rPr>
                <w:rFonts w:ascii="Arial" w:cs="Arial" w:eastAsia="Arial" w:hAnsi="Arial"/>
                <w:sz w:val="18"/>
                <w:szCs w:val="18"/>
                <w:color w:val="auto"/>
              </w:rPr>
              <w:t>Operating Loss</w:t>
            </w:r>
          </w:p>
        </w:tc>
        <w:tc>
          <w:tcPr>
            <w:tcW w:w="1800" w:type="dxa"/>
            <w:vAlign w:val="bottom"/>
          </w:tcPr>
          <w:p>
            <w:pPr>
              <w:jc w:val="right"/>
              <w:ind w:right="210"/>
              <w:spacing w:after="0"/>
              <w:rPr>
                <w:sz w:val="20"/>
                <w:szCs w:val="20"/>
                <w:color w:val="auto"/>
              </w:rPr>
            </w:pPr>
            <w:r>
              <w:rPr>
                <w:rFonts w:ascii="Arial" w:cs="Arial" w:eastAsia="Arial" w:hAnsi="Arial"/>
                <w:sz w:val="18"/>
                <w:szCs w:val="18"/>
                <w:color w:val="auto"/>
              </w:rPr>
              <w:t>(39.0)</w:t>
            </w:r>
          </w:p>
        </w:tc>
        <w:tc>
          <w:tcPr>
            <w:tcW w:w="7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760" w:type="dxa"/>
            <w:vAlign w:val="bottom"/>
          </w:tcPr>
          <w:p>
            <w:pPr>
              <w:spacing w:after="0"/>
              <w:rPr>
                <w:sz w:val="19"/>
                <w:szCs w:val="19"/>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60" w:type="dxa"/>
            <w:vAlign w:val="bottom"/>
          </w:tcPr>
          <w:p>
            <w:pPr>
              <w:spacing w:after="0"/>
              <w:rPr>
                <w:sz w:val="19"/>
                <w:szCs w:val="19"/>
                <w:color w:val="auto"/>
              </w:rPr>
            </w:pPr>
          </w:p>
        </w:tc>
        <w:tc>
          <w:tcPr>
            <w:tcW w:w="7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w:t>
            </w:r>
          </w:p>
        </w:tc>
        <w:tc>
          <w:tcPr>
            <w:tcW w:w="1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760" w:type="dxa"/>
            <w:vAlign w:val="bottom"/>
          </w:tcPr>
          <w:p>
            <w:pPr>
              <w:spacing w:after="0"/>
              <w:rPr>
                <w:sz w:val="19"/>
                <w:szCs w:val="19"/>
                <w:color w:val="auto"/>
              </w:rPr>
            </w:pPr>
          </w:p>
        </w:tc>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Before Income Taxes</w:t>
            </w:r>
          </w:p>
        </w:tc>
        <w:tc>
          <w:tcPr>
            <w:tcW w:w="1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(30.4)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9"/>
        </w:trPr>
        <w:tc>
          <w:tcPr>
            <w:tcW w:w="760" w:type="dxa"/>
            <w:vAlign w:val="bottom"/>
          </w:tcPr>
          <w:p>
            <w:pPr>
              <w:spacing w:after="0"/>
              <w:rPr>
                <w:sz w:val="19"/>
                <w:szCs w:val="19"/>
                <w:color w:val="auto"/>
              </w:rPr>
            </w:pPr>
          </w:p>
        </w:tc>
        <w:tc>
          <w:tcPr>
            <w:tcW w:w="7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Benefit</w:t>
            </w:r>
          </w:p>
        </w:tc>
        <w:tc>
          <w:tcPr>
            <w:tcW w:w="1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23"/>
        </w:trPr>
        <w:tc>
          <w:tcPr>
            <w:tcW w:w="760" w:type="dxa"/>
            <w:vAlign w:val="bottom"/>
          </w:tcPr>
          <w:p>
            <w:pPr>
              <w:spacing w:after="0"/>
              <w:rPr>
                <w:sz w:val="19"/>
                <w:szCs w:val="19"/>
                <w:color w:val="auto"/>
              </w:rPr>
            </w:pPr>
          </w:p>
        </w:tc>
        <w:tc>
          <w:tcPr>
            <w:tcW w:w="79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8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(21.0)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760" w:type="dxa"/>
            <w:vAlign w:val="bottom"/>
          </w:tcPr>
          <w:p>
            <w:pPr>
              <w:spacing w:after="0"/>
              <w:rPr>
                <w:sz w:val="19"/>
                <w:szCs w:val="19"/>
                <w:color w:val="auto"/>
              </w:rPr>
            </w:pPr>
          </w:p>
        </w:tc>
        <w:tc>
          <w:tcPr>
            <w:tcW w:w="7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Loss Attributable to Non-Controlling Interest</w:t>
            </w:r>
          </w:p>
        </w:tc>
        <w:tc>
          <w:tcPr>
            <w:tcW w:w="1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(36.0)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23"/>
        </w:trPr>
        <w:tc>
          <w:tcPr>
            <w:tcW w:w="760" w:type="dxa"/>
            <w:vAlign w:val="bottom"/>
          </w:tcPr>
          <w:p>
            <w:pPr>
              <w:spacing w:after="0"/>
              <w:rPr>
                <w:sz w:val="19"/>
                <w:szCs w:val="19"/>
                <w:color w:val="auto"/>
              </w:rPr>
            </w:pPr>
          </w:p>
        </w:tc>
        <w:tc>
          <w:tcPr>
            <w:tcW w:w="79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Attributable to ALLETE</w:t>
            </w:r>
          </w:p>
        </w:tc>
        <w:tc>
          <w:tcPr>
            <w:tcW w:w="18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$15.0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bl>
    <w:p>
      <w:pPr>
        <w:spacing w:after="0" w:line="9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Represents non-cash amortization of differences between contract prices and estimated market prices on assumed PSAs.</w:t>
      </w:r>
    </w:p>
    <w:p>
      <w:pPr>
        <w:spacing w:after="0" w:line="24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$5.6 million, or 9 percent, from 2021 primarily due to the absence of the negative impact related to ALLETE Clean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Energy’s Diamond Spring wind energy facility resulting from an extreme winter storm event in the southwest United States in February 2021 as well as higher wind resources at other wind energy facilities. Operating revenue in 2022 was also impacted by lower realized pricing under the Caddo and Diamond Spring wind energy facilities’ power sales agreements resulting from extreme market volatility and transmission congestion in the Southwest Power Pool.</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0"/>
              </w:rPr>
              <w:t>Nine Months Ended September 30,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2780" w:type="dxa"/>
            <w:vAlign w:val="bottom"/>
            <w:tcBorders>
              <w:bottom w:val="single" w:sz="8" w:color="auto"/>
            </w:tcBorders>
            <w:gridSpan w:val="2"/>
          </w:tcPr>
          <w:p>
            <w:pPr>
              <w:jc w:val="right"/>
              <w:ind w:right="1330"/>
              <w:spacing w:after="0"/>
              <w:rPr>
                <w:sz w:val="20"/>
                <w:szCs w:val="20"/>
                <w:color w:val="auto"/>
              </w:rPr>
            </w:pPr>
            <w:r>
              <w:rPr>
                <w:rFonts w:ascii="Arial" w:cs="Arial" w:eastAsia="Arial" w:hAnsi="Arial"/>
                <w:sz w:val="18"/>
                <w:szCs w:val="18"/>
                <w:b w:val="1"/>
                <w:bCs w:val="1"/>
                <w:color w:val="auto"/>
              </w:rPr>
              <w:t>2022</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kWh</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Revenue</w:t>
            </w: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kWh</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Wind Energy Regions</w:t>
            </w:r>
          </w:p>
        </w:tc>
        <w:tc>
          <w:tcPr>
            <w:tcW w:w="1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East</w:t>
            </w:r>
          </w:p>
        </w:tc>
        <w:tc>
          <w:tcPr>
            <w:tcW w:w="1200" w:type="dxa"/>
            <w:vAlign w:val="bottom"/>
          </w:tcPr>
          <w:p>
            <w:pPr>
              <w:jc w:val="right"/>
              <w:spacing w:after="0"/>
              <w:rPr>
                <w:sz w:val="20"/>
                <w:szCs w:val="20"/>
                <w:color w:val="auto"/>
              </w:rPr>
            </w:pPr>
            <w:r>
              <w:rPr>
                <w:rFonts w:ascii="Arial" w:cs="Arial" w:eastAsia="Arial" w:hAnsi="Arial"/>
                <w:sz w:val="18"/>
                <w:szCs w:val="18"/>
                <w:color w:val="auto"/>
              </w:rPr>
              <w:t>184.1</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$16.7</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167.1</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Midwest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21.2</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610.3</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South</w:t>
            </w:r>
          </w:p>
        </w:tc>
        <w:tc>
          <w:tcPr>
            <w:tcW w:w="1200" w:type="dxa"/>
            <w:vAlign w:val="bottom"/>
          </w:tcPr>
          <w:p>
            <w:pPr>
              <w:jc w:val="right"/>
              <w:spacing w:after="0"/>
              <w:rPr>
                <w:sz w:val="20"/>
                <w:szCs w:val="20"/>
                <w:color w:val="auto"/>
              </w:rPr>
            </w:pPr>
            <w:r>
              <w:rPr>
                <w:rFonts w:ascii="Arial" w:cs="Arial" w:eastAsia="Arial" w:hAnsi="Arial"/>
                <w:sz w:val="18"/>
                <w:szCs w:val="18"/>
                <w:color w:val="auto"/>
              </w:rPr>
              <w:t>1,550.9</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12.9</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666.4</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West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15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14.2</w:t>
            </w: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569.5</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Production and Operating Revenue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2,951.4</w:t>
            </w:r>
          </w:p>
        </w:tc>
        <w:tc>
          <w:tcPr>
            <w:tcW w:w="1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$65.0</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2,013.3</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b w:val="1"/>
          <w:bCs w:val="1"/>
          <w:i w:val="1"/>
          <w:iCs w:val="1"/>
          <w:color w:val="auto"/>
        </w:rPr>
        <w:t xml:space="preserve">Cost of Sales – Non-utility </w:t>
      </w:r>
      <w:r>
        <w:rPr>
          <w:rFonts w:ascii="Arial" w:cs="Arial" w:eastAsia="Arial" w:hAnsi="Arial"/>
          <w:sz w:val="17"/>
          <w:szCs w:val="17"/>
          <w:color w:val="auto"/>
        </w:rPr>
        <w:t>increased $14.2 million from 2021 reflecting a $10.2 million reserve in the second quarter of 2022 related to the sale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ALLETE Clean Energy’s project to repower and sell its Northern Wind project, which was fully offset by a gain on removal of the PSA liability for the Northern Wind project upon decommissioning of the wind energy facilities. (See </w:t>
      </w:r>
      <w:r>
        <w:rPr>
          <w:rFonts w:ascii="Arial" w:cs="Arial" w:eastAsia="Arial" w:hAnsi="Arial"/>
          <w:sz w:val="17"/>
          <w:szCs w:val="17"/>
          <w:i w:val="1"/>
          <w:iCs w:val="1"/>
          <w:color w:val="auto"/>
        </w:rPr>
        <w:t>Other Income</w:t>
      </w:r>
      <w:r>
        <w:rPr>
          <w:rFonts w:ascii="Arial" w:cs="Arial" w:eastAsia="Arial" w:hAnsi="Arial"/>
          <w:sz w:val="17"/>
          <w:szCs w:val="17"/>
          <w:color w:val="auto"/>
        </w:rPr>
        <w:t xml:space="preserve"> and Outlook – ALLETE Clean Energy.) In addition, Cost of Sales </w:t>
      </w:r>
      <w:r>
        <w:rPr>
          <w:rFonts w:ascii="Arial" w:cs="Arial" w:eastAsia="Arial" w:hAnsi="Arial"/>
          <w:sz w:val="17"/>
          <w:szCs w:val="17"/>
          <w:i w:val="1"/>
          <w:iCs w:val="1"/>
          <w:color w:val="auto"/>
        </w:rPr>
        <w:t>–</w:t>
      </w:r>
      <w:r>
        <w:rPr>
          <w:rFonts w:ascii="Arial" w:cs="Arial" w:eastAsia="Arial" w:hAnsi="Arial"/>
          <w:sz w:val="17"/>
          <w:szCs w:val="17"/>
          <w:color w:val="auto"/>
        </w:rPr>
        <w:t xml:space="preserve"> Non-utility in 2022 reflected an additional $4.0 million reserve in the third quarter of 2022 for an anticipated loss on sale of ALLETE Clean Energy’s Northern Wind project resulting from inflationary increases and significant cost pressures.</w:t>
      </w:r>
    </w:p>
    <w:p>
      <w:pPr>
        <w:spacing w:after="0" w:line="20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and Maintenance </w:t>
      </w:r>
      <w:r>
        <w:rPr>
          <w:rFonts w:ascii="Arial" w:cs="Arial" w:eastAsia="Arial" w:hAnsi="Arial"/>
          <w:sz w:val="18"/>
          <w:szCs w:val="18"/>
          <w:color w:val="auto"/>
        </w:rPr>
        <w:t>expense increased $5.0 million, or 16 percent, from 2021 primarily due to operating and maintenance expenses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Caddo wind energy facility, which commenced operations in December 2021.</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expense increased $7.7 million, or 21 percent, from 2021 primarily due to additional property, plant and equipment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related to the Caddo wind energy facility.</w:t>
      </w:r>
    </w:p>
    <w:p>
      <w:pPr>
        <w:spacing w:after="0" w:line="19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Taxes Other than Income Taxes </w:t>
      </w:r>
      <w:r>
        <w:rPr>
          <w:rFonts w:ascii="Arial" w:cs="Arial" w:eastAsia="Arial" w:hAnsi="Arial"/>
          <w:sz w:val="18"/>
          <w:szCs w:val="18"/>
          <w:color w:val="auto"/>
        </w:rPr>
        <w:t>increased $3.7 million from 2021 primarily due to higher property tax expense related to the Caddo wind energy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facility.</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ALLETE, Inc. Third Quarter 2022 Form 10-Q</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COMPARISON OF THE NINE MONTHS ENDED SEPTEMBER 30, 2022 AND 2021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increased $10.3 million from 2021 primarily due to a gain on removal of the PSA liability for the Northern Wind project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decommissioning of the wind energy facilities. (See </w:t>
      </w:r>
      <w:r>
        <w:rPr>
          <w:rFonts w:ascii="Arial" w:cs="Arial" w:eastAsia="Arial" w:hAnsi="Arial"/>
          <w:sz w:val="18"/>
          <w:szCs w:val="18"/>
          <w:i w:val="1"/>
          <w:iCs w:val="1"/>
          <w:color w:val="auto"/>
        </w:rPr>
        <w:t>Cost of Sales – Non-utility</w:t>
      </w:r>
      <w:r>
        <w:rPr>
          <w:rFonts w:ascii="Arial" w:cs="Arial" w:eastAsia="Arial" w:hAnsi="Arial"/>
          <w:sz w:val="18"/>
          <w:szCs w:val="18"/>
          <w:color w:val="auto"/>
        </w:rPr>
        <w:t xml:space="preserve"> and Outlook – ALLETE Clean Energy.)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decreased $3.3 million from 2021 primarily due to higher net loss attributable to non-controlling interest.</w:t>
      </w:r>
    </w:p>
    <w:p>
      <w:pPr>
        <w:spacing w:after="0" w:line="252"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b w:val="1"/>
          <w:bCs w:val="1"/>
          <w:i w:val="1"/>
          <w:iCs w:val="1"/>
          <w:color w:val="auto"/>
        </w:rPr>
        <w:t xml:space="preserve">Net Loss Attributable to Non-Controlling Interest </w:t>
      </w:r>
      <w:r>
        <w:rPr>
          <w:rFonts w:ascii="Arial" w:cs="Arial" w:eastAsia="Arial" w:hAnsi="Arial"/>
          <w:sz w:val="17"/>
          <w:szCs w:val="17"/>
          <w:color w:val="auto"/>
        </w:rPr>
        <w:t>increased $22.2 million from 2021 reflecting net losses attributable to non-controlling interest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Caddo wind energy facility as well as higher net losses attributable to non-controlling interests for the Glen Ullin, South Peak and Diamond Spring wind energy facilities resulting from higher wind resources and a higher PTC value in 2022 compared to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$47.0 million, or 65 percent, from 2021 reflecting revenue from New Energy, which was acquired in April 2022,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land sales at ALLETE Properties compared to 2021 and higher revenue at BNI Energy, which operates under cost-plus fixed fee contracts, as a result of higher expenses and more tons sold in 2022 compared to 2021.</w:t>
      </w:r>
    </w:p>
    <w:p>
      <w:pPr>
        <w:spacing w:after="0" w:line="211"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b w:val="1"/>
          <w:bCs w:val="1"/>
          <w:i w:val="1"/>
          <w:iCs w:val="1"/>
          <w:color w:val="auto"/>
        </w:rPr>
        <w:t xml:space="preserve">Net Income Attributable to ALLETE </w:t>
      </w:r>
      <w:r>
        <w:rPr>
          <w:rFonts w:ascii="Arial" w:cs="Arial" w:eastAsia="Arial" w:hAnsi="Arial"/>
          <w:sz w:val="16"/>
          <w:szCs w:val="16"/>
          <w:color w:val="auto"/>
        </w:rPr>
        <w:t>was $3.2 million in 2022 compared to a net loss of $3.8 million in 2021. Net income in 2022 reflects higher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earnings from our investment in Nobles 2 due to higher wind resources in 2022, higher land sales at ALLETE Properties, higher tons sold at BNI Energy, and lower income taxes. Net income in 2022 also reflects net income from New Energy of $0.2 million, which included a $5.7 million after-tax expense as a result of purchase price accounting related to projects under development at the time of acquisition. These increases were partially offset by transaction costs of $2.6 million after-tax related to the acquisition of New Energy, and higher other expenses compared to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43" w:lineRule="exact"/>
        <w:rPr>
          <w:sz w:val="20"/>
          <w:szCs w:val="20"/>
          <w:color w:val="auto"/>
        </w:rPr>
      </w:pPr>
    </w:p>
    <w:p>
      <w:pPr>
        <w:jc w:val="both"/>
        <w:ind w:left="340"/>
        <w:spacing w:after="0" w:line="248" w:lineRule="auto"/>
        <w:rPr>
          <w:sz w:val="20"/>
          <w:szCs w:val="20"/>
          <w:color w:val="auto"/>
        </w:rPr>
      </w:pPr>
      <w:r>
        <w:rPr>
          <w:rFonts w:ascii="Arial" w:cs="Arial" w:eastAsia="Arial" w:hAnsi="Arial"/>
          <w:sz w:val="18"/>
          <w:szCs w:val="18"/>
          <w:color w:val="auto"/>
        </w:rPr>
        <w:t>For the nine months ended September 30, 2022, the effective tax rate was a benefit of 26.0 percent (benefit of 27.6 percent for the nine months ended September 30, 2021). The effective tax rate for 2022 was a lower benefit primarily due to higher pre-tax income and higher net losses attributable to non-controlling interests in subsidiaries.</w:t>
      </w:r>
    </w:p>
    <w:p>
      <w:pPr>
        <w:spacing w:after="0" w:line="209" w:lineRule="exact"/>
        <w:rPr>
          <w:sz w:val="20"/>
          <w:szCs w:val="20"/>
          <w:color w:val="auto"/>
        </w:rPr>
      </w:pPr>
    </w:p>
    <w:p>
      <w:pPr>
        <w:jc w:val="both"/>
        <w:ind w:left="340"/>
        <w:spacing w:after="0" w:line="243" w:lineRule="auto"/>
        <w:rPr>
          <w:sz w:val="20"/>
          <w:szCs w:val="20"/>
          <w:color w:val="auto"/>
        </w:rPr>
      </w:pPr>
      <w:r>
        <w:rPr>
          <w:rFonts w:ascii="Arial" w:cs="Arial" w:eastAsia="Arial" w:hAnsi="Arial"/>
          <w:sz w:val="18"/>
          <w:szCs w:val="18"/>
          <w:color w:val="auto"/>
        </w:rPr>
        <w:t>We expect our annual effective tax rate in 2022 to be a lower income tax benefit than in 2021 primarily due to higher net losses attributable to non-controlling interests in subsidiaries, higher pre-tax income and lower production tax credits, partially offset by investment tax credits. The estimated annual effective tax rate can differ from what a quarterly effective tax rate would otherwise be on a standalone basis, and this may cause quarter to quarter differences in the timing of income taxes. (See Note 9. Income Tax Expense.)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valuation of business combinations and resulting goodwill, impairment of long-lived assets, and taxation. These policies are reviewed with the Audit Committee of our Board of Directors on a regular basis and summarized in Part II, Item 7. Management’s Discussion and Analysis of Financial Condition and Results of Operations of our 2021 Form 10-K. As a result of our acquisition of New Energy on April 15, 2022, the valuation of business combination and resulting goodwill is considered a critical accounting policy.</w:t>
      </w:r>
    </w:p>
    <w:p>
      <w:pPr>
        <w:spacing w:after="0" w:line="18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Valuation of Business Combinations and Resulting Goodwill. </w:t>
      </w:r>
      <w:r>
        <w:rPr>
          <w:rFonts w:ascii="Arial" w:cs="Arial" w:eastAsia="Arial" w:hAnsi="Arial"/>
          <w:sz w:val="16"/>
          <w:szCs w:val="16"/>
          <w:color w:val="auto"/>
        </w:rPr>
        <w:t>When we acquire a business, the assets acquired and liabilities assumed are recorded at</w:t>
      </w:r>
      <w:r>
        <w:rPr>
          <w:rFonts w:ascii="Arial" w:cs="Arial" w:eastAsia="Arial" w:hAnsi="Arial"/>
          <w:sz w:val="16"/>
          <w:szCs w:val="16"/>
          <w:b w:val="1"/>
          <w:bCs w:val="1"/>
          <w:color w:val="auto"/>
        </w:rPr>
        <w:t xml:space="preserve"> </w:t>
      </w:r>
      <w:r>
        <w:rPr>
          <w:rFonts w:ascii="Arial" w:cs="Arial" w:eastAsia="Arial" w:hAnsi="Arial"/>
          <w:sz w:val="16"/>
          <w:szCs w:val="16"/>
          <w:color w:val="auto"/>
        </w:rPr>
        <w:t>their respective fair values as of the acquisition date. Determining the fair value of intangible assets acquired as part of a business combination requires us to make significant estimates. These estimates may include the amount and timing of projected future cash flows, the discount rate used to discount those cash flows to present value, the assessment of the asset’s life cycle, and the consideration of legal, technical, regulatory, economic and competitive risks.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CRITICAL ACCOUNTING POLICIES (Continued)</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Goodwill</w:t>
      </w:r>
      <w:r>
        <w:rPr>
          <w:rFonts w:ascii="Arial" w:cs="Arial" w:eastAsia="Arial" w:hAnsi="Arial"/>
          <w:sz w:val="17"/>
          <w:szCs w:val="17"/>
          <w:color w:val="auto"/>
        </w:rPr>
        <w:t>. Goodwill is the excess of the purchase price (consideration transferred) over the estimated fair value of net assets of acquired businesses.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GAAP, goodwill is not amortized. The Company assesses whether there has been an impairment of goodwill annually in the fourth quarter and whenever an event occurs or circumstances change that would indicate the carrying amount may be impaired. Impairment testing for goodwill is done at the reporting unit level. An impairment loss is recognized when the carrying amount of the reporting unit’s net assets exceeds the estimated fair value of the reporting unit. The test for impairment requires us to make several estimates about fair value, most of which are based on projected future cash flows. Our estimates associated with the goodwill impairment test are considered critical due to the amount of goodwill recorded on our Consolidated Balance Sheet and the judgment required in determining fair value, including projected future cash flows.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2021 Form 10-K.</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ALLETE is an energy company committed to earning a financial return that rewards our shareholders, allows for reinvestment in our businesses, and sustains growth. The Company has a long-term objective of achieving consolidated earnings per share growth within a range of 5 percent to 7 percent.</w:t>
      </w:r>
    </w:p>
    <w:p>
      <w:pPr>
        <w:spacing w:after="0" w:line="13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ALLETE is predominately a regulated utility through Minnesota Power, SWL&amp;P, and an investment in ATC. ALLETE’s strategy is to remain predominately a regulated utility while investing in ALLETE Clean Energy and New Energy and its Corporate and Other businesses to complement its regulated businesses, balance exposure to the utility’s industrial customers, and provide potential long-term earnings growth. ALLETE expects net income from Regulated Operations to be approximately 80 percent of total consolidated net income in 2022. Over the next several years, ALLETE expects increased contributions to net income from ALLETE Clean Energy, New Energy, and its Corporate and Other businesses as ALLETE grows these operations. ALLETE expects its businesses to generally provide regulated, contracted or recurring revenues, and to support sustained growth in net income and cash flow.</w:t>
      </w:r>
    </w:p>
    <w:p>
      <w:pPr>
        <w:spacing w:after="0" w:line="20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August 16, 2022, the Inflation Reduction Act was signed into law. We believe our businesses will benefit from certain provisions of the legislation including from the extension and transferability of production tax credits and investment tax credits, among others. We do not anticipate any impact from the new alternative minimum tax. We will continue to assess the impact of the legislation as additional implementation guidance becomes available.</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Minnesota Power’s long-term strategy is to be the leading electric energy provider in northeastern Minnesota by providing safe,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Minnesota Power has a goal of delivering 100 percent carbon-free energy by 2050. (See </w:t>
      </w:r>
      <w:r>
        <w:rPr>
          <w:rFonts w:ascii="Arial" w:cs="Arial" w:eastAsia="Arial" w:hAnsi="Arial"/>
          <w:sz w:val="16"/>
          <w:szCs w:val="16"/>
          <w:i w:val="1"/>
          <w:iCs w:val="1"/>
          <w:color w:val="auto"/>
        </w:rPr>
        <w:t>EnergyForward</w:t>
      </w:r>
      <w:r>
        <w:rPr>
          <w:rFonts w:ascii="Arial" w:cs="Arial" w:eastAsia="Arial" w:hAnsi="Arial"/>
          <w:sz w:val="16"/>
          <w:szCs w:val="16"/>
          <w:color w:val="auto"/>
        </w:rPr>
        <w:t>.)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2022 Minnesota General Rate Case. </w:t>
      </w:r>
      <w:r>
        <w:rPr>
          <w:rFonts w:ascii="Arial" w:cs="Arial" w:eastAsia="Arial" w:hAnsi="Arial"/>
          <w:sz w:val="18"/>
          <w:szCs w:val="18"/>
          <w:color w:val="auto"/>
        </w:rPr>
        <w:t>On November 1, 2021, Minnesota Power filed a retail rate increase request with the MPUC seeking an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approximately 18 percent for retail customers. The rate filing seeks a return on equity of 10.25 percent and a 53.81 percent equity ratio. On an annualized basis, the requested final rate increase would generate approximately $108 million in additional revenue. In orders dated December 30, 2021, the MPUC accepted the filing as complete and authorized an annual interim rate increase beginning January 1, 2022, with approximately $80 million expected to be collected in cash and approximately $8 million of interim rates for residential customers deferred with a final determination on recovery at the end of the rate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OUTLOOK (Continued)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 September 1, 2022, the administrative law judge (ALJ) issued a report containing recommendations that if adopted in whole by the MPUC would result in an increase in rates of approximately $76 million on an annualized basis. On September 23, 2022, Minnesota Power filed exceptions totaling approximately $30 million to the ALJ’s report contesting certain recommendations. A final decision by the MPUC is expected in early 2023. Management has evaluated the need for a reserve for interim rate refunds and concluded that a reserve is not necessary as of September 30, 2022. We cannot predict the level of final rates that may be authorized by the MPUC.</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2022 Wisconsin General Rate Case</w:t>
      </w:r>
      <w:r>
        <w:rPr>
          <w:rFonts w:ascii="Arial" w:cs="Arial" w:eastAsia="Arial" w:hAnsi="Arial"/>
          <w:sz w:val="18"/>
          <w:szCs w:val="18"/>
          <w:color w:val="auto"/>
        </w:rPr>
        <w:t>. On June 1, 2022, SWL&amp;P refiled its rate increase request with the PSCW seeking an average increase of 3.6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for retail customers. The filing seeks an overall return on equity of 10.4 percent and a 55 percent equity ratio. On an annualized basis, the requested final rate increase would generate approximately $4.3 million in additional revenue.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and Municipal Customers and Prospective Additional Load.</w:t>
      </w:r>
    </w:p>
    <w:p>
      <w:pPr>
        <w:spacing w:after="0" w:line="25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Industrial Customers. </w:t>
      </w:r>
      <w:r>
        <w:rPr>
          <w:rFonts w:ascii="Arial" w:cs="Arial" w:eastAsia="Arial" w:hAnsi="Arial"/>
          <w:sz w:val="18"/>
          <w:szCs w:val="18"/>
          <w:color w:val="auto"/>
        </w:rPr>
        <w:t>Electric power is one of several key inputs in the taconite mining, paper, pulp and secondary wood products, pipeline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Approximately 51 percent of our regulated utility kWh sales in the nine months ended September 30, 2022, were made to our industrial customers (47 percent in the nine months ended September 30, 2021).</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Cliffs</w:t>
      </w:r>
      <w:r>
        <w:rPr>
          <w:rFonts w:ascii="Arial" w:cs="Arial" w:eastAsia="Arial" w:hAnsi="Arial"/>
          <w:sz w:val="18"/>
          <w:szCs w:val="18"/>
          <w:color w:val="auto"/>
        </w:rPr>
        <w:t>. In 2020, Cliffs announced that it had completed the previously announced acquisition of substantially all of the operations of ArcelorMittal USA</w:t>
      </w:r>
      <w:r>
        <w:rPr>
          <w:rFonts w:ascii="Arial" w:cs="Arial" w:eastAsia="Arial" w:hAnsi="Arial"/>
          <w:sz w:val="18"/>
          <w:szCs w:val="18"/>
          <w:i w:val="1"/>
          <w:iCs w:val="1"/>
          <w:color w:val="auto"/>
        </w:rPr>
        <w:t xml:space="preserve"> </w:t>
      </w:r>
      <w:r>
        <w:rPr>
          <w:rFonts w:ascii="Arial" w:cs="Arial" w:eastAsia="Arial" w:hAnsi="Arial"/>
          <w:sz w:val="18"/>
          <w:szCs w:val="18"/>
          <w:color w:val="auto"/>
        </w:rPr>
        <w:t>LLC and its subsidiaries. Cliffs had stated that upon closure of the acquisition Cliffs would be the largest flat-rolled steel producer and the largest iron ore pellet producer in North America. The acquisition included ArcelorMittal’s Minorca mine in Virginia, Minnesota, and its ownership share of Hibbing Taconite in Hibbing, Minnesota, which are both large industrial customers of Minnesota Power. Cliffs is Minnesota Power’s largest customer. The acquisition has increased customer concentration risk for the Company and could lead to further capacity consolidation for both steel blast furnaces and related Minnesota iron ore production.</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Cliffs completed construction of a hot briquetted iron production plant in Toledo, Ohio, in 2020, which has utilized direct reduced-grade pellets from Northshore Mining. In October 2021, Cliffs indicated it plans to move direct reduced-grade pellet production to its Minorca mine and that Northshore Mining would become a “swing facility” due to the higher royalty rates at that mine. (See </w:t>
      </w:r>
      <w:r>
        <w:rPr>
          <w:rFonts w:ascii="Arial" w:cs="Arial" w:eastAsia="Arial" w:hAnsi="Arial"/>
          <w:sz w:val="18"/>
          <w:szCs w:val="18"/>
          <w:i w:val="1"/>
          <w:iCs w:val="1"/>
          <w:color w:val="auto"/>
        </w:rPr>
        <w:t>Northshore Mining</w:t>
      </w:r>
      <w:r>
        <w:rPr>
          <w:rFonts w:ascii="Arial" w:cs="Arial" w:eastAsia="Arial" w:hAnsi="Arial"/>
          <w:sz w:val="18"/>
          <w:szCs w:val="18"/>
          <w:color w:val="auto"/>
        </w:rPr>
        <w: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Northshore Mining</w:t>
      </w:r>
      <w:r>
        <w:rPr>
          <w:rFonts w:ascii="Arial" w:cs="Arial" w:eastAsia="Arial" w:hAnsi="Arial"/>
          <w:sz w:val="18"/>
          <w:szCs w:val="18"/>
          <w:i w:val="1"/>
          <w:iCs w:val="1"/>
          <w:color w:val="auto"/>
        </w:rPr>
        <w:t xml:space="preserve">. </w:t>
      </w:r>
      <w:r>
        <w:rPr>
          <w:rFonts w:ascii="Arial" w:cs="Arial" w:eastAsia="Arial" w:hAnsi="Arial"/>
          <w:sz w:val="18"/>
          <w:szCs w:val="18"/>
          <w:color w:val="auto"/>
        </w:rPr>
        <w:t>On February 11, 2022, Cliffs announced that with the use of additional scrap in its basic oxygen furnaces, its iron ore needs are not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high as before. In determining where to adjust production, Cliffs decided to idle all production at its Northshore mine until at least April 2023. Cliffs has also indicated that going forward it will be limiting the tonnage of iron ore pellets sold to third parties. Northshore Mining has the capability to produce approximately 6 million tons annually. Minnesota Power has a PSA through 2031 with Silver Bay Power, which provides the majority of the electric service requirements for Northshore Mining. (See </w:t>
      </w:r>
      <w:r>
        <w:rPr>
          <w:rFonts w:ascii="Arial" w:cs="Arial" w:eastAsia="Arial" w:hAnsi="Arial"/>
          <w:sz w:val="18"/>
          <w:szCs w:val="18"/>
          <w:i w:val="1"/>
          <w:iCs w:val="1"/>
          <w:color w:val="auto"/>
        </w:rPr>
        <w:t>Cliffs</w:t>
      </w:r>
      <w:r>
        <w:rPr>
          <w:rFonts w:ascii="Arial" w:cs="Arial" w:eastAsia="Arial" w:hAnsi="Arial"/>
          <w:sz w:val="18"/>
          <w:szCs w:val="18"/>
          <w:color w:val="auto"/>
        </w:rPr>
        <w:t>.)</w:t>
      </w:r>
    </w:p>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i w:val="1"/>
          <w:iCs w:val="1"/>
          <w:u w:val="single" w:color="auto"/>
          <w:color w:val="auto"/>
        </w:rPr>
        <w:t>USS Corporation</w:t>
      </w:r>
      <w:r>
        <w:rPr>
          <w:rFonts w:ascii="Arial" w:cs="Arial" w:eastAsia="Arial" w:hAnsi="Arial"/>
          <w:sz w:val="16"/>
          <w:szCs w:val="16"/>
          <w:color w:val="auto"/>
        </w:rPr>
        <w:t>. USS Corporation has announced plans to invest approximately $150 million to construct a system dedicated to producing direct reduced-grade (DR-grade) pellets at its Keetac plant. USS Corporation broke ground on the project in the third quarter of 2022, which is expected to be completed and producing DR-grade pellets in 2024. This will enable the existing pelletizing plant to not only create DR-grade pellets for use as a feedstock for a direct reduced iron (DRI) or hot briquetted iron (HBI) process that ultimately supplies electric arc furnace steelmaking but also maintains the optionality to continue producing blast furnace-grade pellets. USS Corporation’s Minntac and Keetac plants are large power industrial customers of Minnesota Power. USS Corporation has the capability to produce approximately 15 million and 5 million tons annually at its Minntac and Keetac plants, respectively.</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ST Paper</w:t>
      </w:r>
      <w:r>
        <w:rPr>
          <w:rFonts w:ascii="Arial" w:cs="Arial" w:eastAsia="Arial" w:hAnsi="Arial"/>
          <w:sz w:val="18"/>
          <w:szCs w:val="18"/>
          <w:color w:val="auto"/>
        </w:rPr>
        <w:t>. In May 2021, ST Paper announced it had completed the purchase of the Duluth Mill from Verso Corporation. ST Paper has stated it plans to</w:t>
      </w:r>
      <w:r>
        <w:rPr>
          <w:rFonts w:ascii="Arial" w:cs="Arial" w:eastAsia="Arial" w:hAnsi="Arial"/>
          <w:sz w:val="18"/>
          <w:szCs w:val="18"/>
          <w:i w:val="1"/>
          <w:iCs w:val="1"/>
          <w:color w:val="auto"/>
        </w:rPr>
        <w:t xml:space="preserve"> </w:t>
      </w:r>
      <w:r>
        <w:rPr>
          <w:rFonts w:ascii="Arial" w:cs="Arial" w:eastAsia="Arial" w:hAnsi="Arial"/>
          <w:sz w:val="18"/>
          <w:szCs w:val="18"/>
          <w:color w:val="auto"/>
        </w:rPr>
        <w:t>convert the Duluth Mill to produce tissue. In January 2022, Minnesota Power entered into an electric service agreement with ST Paper that would begin Large Power customer service with a minimum term of six years upon start-up of operations, which is anticipated in 2023. A petition for approval of the electric service agreement was approved by the MPUC in February 2022. Upon start-up of operations, ST Paper will become a Large Power customer as we expect to serve requirements of at least 10 MW of customer load.</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Hibbing Public Utilities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 April 2022, Minnesota Power entered into a new long-term Power Purchase and Market Energy Service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Hibbing Public Utilities for the period of June 1, 2022, through May 31, 2027. The agreement replaces the 2015 Electric Services Agreement between Hibbing Public Utilities and Minnesota Power.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OUTLOOK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Transmission.</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MISO Long Range Transmission Plan. </w:t>
      </w:r>
      <w:r>
        <w:rPr>
          <w:rFonts w:ascii="Arial" w:cs="Arial" w:eastAsia="Arial" w:hAnsi="Arial"/>
          <w:sz w:val="17"/>
          <w:szCs w:val="17"/>
          <w:color w:val="auto"/>
        </w:rPr>
        <w:t>Minnesota Power and Great River Energy announced on July 25, 2022, their intent to build a 150-mile, 345-kV</w:t>
      </w:r>
      <w:r>
        <w:rPr>
          <w:rFonts w:ascii="Arial" w:cs="Arial" w:eastAsia="Arial" w:hAnsi="Arial"/>
          <w:sz w:val="17"/>
          <w:szCs w:val="17"/>
          <w:i w:val="1"/>
          <w:iCs w:val="1"/>
          <w:color w:val="auto"/>
        </w:rPr>
        <w:t xml:space="preserve"> </w:t>
      </w:r>
      <w:r>
        <w:rPr>
          <w:rFonts w:ascii="Arial" w:cs="Arial" w:eastAsia="Arial" w:hAnsi="Arial"/>
          <w:sz w:val="17"/>
          <w:szCs w:val="17"/>
          <w:color w:val="auto"/>
        </w:rPr>
        <w:t>transmission line, connecting northern Minnesota to central Minnesota to support continued reliability in the Upper Midwest. Great River Energy, a wholesale electric power cooperative, and Minnesota Power filed a Notice of Intent to Construct, Own and Maintain the transmission line with the MPUC on August 1, 2022. This joint project is part of a portfolio of transmission projects approved on July 25, 2022, by MISO, as part of the first phase of its Long Range Transmission Plan. Planning for the $970 million transmission line is in its early stages with the route anticipated to generally follow existing rights of way in an established power line corridor. The two utilities expect to seek a combined Certificate of Need and Route Permit from the MPUC. The MPUC will determine the final route as well as cost recovery for Minnesota Power’s approximately 50 percent estimated share of the project. Subject to regulatory approvals, the transmission line is expected to be in service in 2030.</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Investment in ATC. </w:t>
      </w:r>
      <w:r>
        <w:rPr>
          <w:rFonts w:ascii="Arial" w:cs="Arial" w:eastAsia="Arial" w:hAnsi="Arial"/>
          <w:sz w:val="18"/>
          <w:szCs w:val="18"/>
          <w:color w:val="auto"/>
        </w:rPr>
        <w:t>ATC’s 10-year transmission assessment, which covers the years 2022 through 2031, identifies a need for between $5.1 billion and $6.2</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ALLETE Clean Energy will pursue growth through acquisitions or project development. ALLETE Clean Energy is targeting acquisitions of existing operating portfolios which have a mix of long-term PSAs in place and/or available for repowering and recontracting. Further, ALLETE Clean Energy will evaluate actions that will lead to the addition of complimentary clean energy products and services. At this time, ALLETE Clean Energy is focused on actions that will optimize its clean energy project portfolio of operating and development projects, which may include recontracting, repowering, entering into partnerships and divestitures along with continued acquisitions or development of new projects including wind, solar, energy storage or storage ready facilities across North America.</w:t>
      </w:r>
    </w:p>
    <w:p>
      <w:pPr>
        <w:spacing w:after="0" w:line="21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July 2022, ALLETE Clean Energy entered into amended purchase and sale agreements with a subsidiary of Xcel Energy Inc. to sell two separate wind energy facilities for a combined total sales price of approximately $215 million. As part of the transaction, ALLETE Clean Energy will repower its Northern Wind project, consisting of its 98 MW Chanarambie and Viking wind energy facilities as well as develop and construct a new 22 MW facility, all of which are located in southwest Minnesota. Construction commenced in the second quarter of 2022 and is expected to be completed in late 2022. The amended purchase and sale agreements are subject to MPUC approval, and are expected to close in late 2022 and early 2023, respectively. ALLETE Clean Energy continues to experience inflationary increases and significant cost pressures related to this project and as a result now anticipates an additional loss on sale of the project, which resulted in an approximately $2.9 million after-tax charge in the third quarter of 2022.</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May 2021, ALLETE Clean Energy announced that it acquired the rights to the approximately 92 MW Red Barn wind development project and the approximately 68 MW Whitetail renewable development project in southwestern Wisconsin. ALLETE Clean Energy also signed an asset sale agreement for the completed Red Barn wind project with Wisconsin Public Service Corporation and Madison Gas and Electric Company. At a hearing in January 2022, the PSCW approved the sale of the Red Barn wind project, which is expected to close in 2023, subject to completion of construction.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Corporate and Other includes BNI Energy, our coal mining operations in North Dakota, New Energy, a renewable energy development company, and ALLETE Properties, our legacy Florida real estate investment, along with our investment in Nobles 2, South Shore Energy, our non-rate regulated, Wisconsin subsidiary developing NTEC, other business development and corporate expenditures, unallocated interest expense, a small amount of non-rate base generation, land in Minnesota, and earnings on cash and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(Continued)</w:t>
      </w:r>
    </w:p>
    <w:p>
      <w:pPr>
        <w:spacing w:after="0" w:line="23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New Energy</w:t>
      </w:r>
      <w:r>
        <w:rPr>
          <w:rFonts w:ascii="Arial" w:cs="Arial" w:eastAsia="Arial" w:hAnsi="Arial"/>
          <w:sz w:val="16"/>
          <w:szCs w:val="16"/>
          <w:color w:val="auto"/>
        </w:rPr>
        <w:t>. On April 15, 2022, a wholly-owned subsidiary of ALLETE acquired 100 percent of the membership interests of New Energy for a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of $165.5 million. New Energy, which is headquartered in Annapolis, Maryland, is a renewable energy development company with a primary focus on solar and storage facilities while also offering comprehensive operations, maintenance and asset management services. New Energy is a leading developer of community, commercial and industrial, and small utility-scale renewable energy projects that has completed more than 250 projects across the nation totaling more than 330 MW. New Energy currently has a robust project pipeline with greater than 2,000 MW of renewable projects in development across 26 different states. New Energy adds value through cost effective development and economies of scale on project implementation, bringing national capabilities to regional co-development partners. New Energy is involved in greenfield development as well as acquiring and completing mid-stage and late-stage renewable energy projects. The acquisition of New Energy is consistent with ALLETE’s stated strategy of additional investment in renewable energy and related infrastructure across North America to support the Company’s sustainability-in-action strategy while providing potential long-term earnings growth. New Energy will continue its current strategy of developing and operating renewable energy projects.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Liquidity Position. </w:t>
      </w:r>
      <w:r>
        <w:rPr>
          <w:rFonts w:ascii="Arial" w:cs="Arial" w:eastAsia="Arial" w:hAnsi="Arial"/>
          <w:sz w:val="17"/>
          <w:szCs w:val="17"/>
          <w:color w:val="auto"/>
        </w:rPr>
        <w:t>ALLETE is well-positioned to meet the Company’s liquidity needs. As of September 30, 2022, we had cash and cash equivalents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$42.1 million, $400.1 million in available consolidated lines of credit, 2.1 million original issue shares of common stock available for issuance through a distribution agreement with Lampert Capital Markets and a debt-to-capital ratio of 37 percent. (See </w:t>
      </w:r>
      <w:r>
        <w:rPr>
          <w:rFonts w:ascii="Arial" w:cs="Arial" w:eastAsia="Arial" w:hAnsi="Arial"/>
          <w:sz w:val="17"/>
          <w:szCs w:val="17"/>
          <w:i w:val="1"/>
          <w:iCs w:val="1"/>
          <w:color w:val="auto"/>
        </w:rPr>
        <w:t>Working Capital</w:t>
      </w:r>
      <w:r>
        <w:rPr>
          <w:rFonts w:ascii="Arial" w:cs="Arial" w:eastAsia="Arial" w:hAnsi="Arial"/>
          <w:sz w:val="17"/>
          <w:szCs w:val="17"/>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5720" w:type="dxa"/>
            <w:vAlign w:val="bottom"/>
          </w:tcPr>
          <w:p>
            <w:pPr>
              <w:spacing w:after="0"/>
              <w:rPr>
                <w:sz w:val="24"/>
                <w:szCs w:val="24"/>
                <w:color w:val="auto"/>
              </w:rPr>
            </w:pPr>
          </w:p>
        </w:tc>
        <w:tc>
          <w:tcPr>
            <w:tcW w:w="2220" w:type="dxa"/>
            <w:vAlign w:val="bottom"/>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4"/>
                <w:szCs w:val="24"/>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572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1"/>
                <w:szCs w:val="2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ALLETE Equity</w:t>
            </w:r>
          </w:p>
        </w:tc>
        <w:tc>
          <w:tcPr>
            <w:tcW w:w="2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$2,682.6</w:t>
            </w: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50</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$2,413.1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Non-Controlling Interest in Subsidiaries</w:t>
            </w:r>
          </w:p>
        </w:tc>
        <w:tc>
          <w:tcPr>
            <w:tcW w:w="2220" w:type="dxa"/>
            <w:vAlign w:val="bottom"/>
          </w:tcPr>
          <w:p>
            <w:pPr>
              <w:jc w:val="right"/>
              <w:ind w:right="250"/>
              <w:spacing w:after="0"/>
              <w:rPr>
                <w:sz w:val="20"/>
                <w:szCs w:val="20"/>
                <w:color w:val="auto"/>
              </w:rPr>
            </w:pPr>
            <w:r>
              <w:rPr>
                <w:rFonts w:ascii="Arial" w:cs="Arial" w:eastAsia="Arial" w:hAnsi="Arial"/>
                <w:sz w:val="18"/>
                <w:szCs w:val="18"/>
                <w:color w:val="auto"/>
              </w:rPr>
              <w:t>671.3</w:t>
            </w: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13</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533.2</w:t>
            </w: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r>
      <w:tr>
        <w:trPr>
          <w:trHeight w:val="230"/>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Short-Term and Long-Term Debt </w:t>
            </w:r>
            <w:r>
              <w:rPr>
                <w:rFonts w:ascii="Arial" w:cs="Arial" w:eastAsia="Arial" w:hAnsi="Arial"/>
                <w:sz w:val="16"/>
                <w:szCs w:val="16"/>
                <w:i w:val="1"/>
                <w:iCs w:val="1"/>
                <w:color w:val="auto"/>
              </w:rPr>
              <w:t>(a)</w:t>
            </w:r>
          </w:p>
        </w:tc>
        <w:tc>
          <w:tcPr>
            <w:tcW w:w="22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1,970.2</w:t>
            </w:r>
          </w:p>
        </w:tc>
        <w:tc>
          <w:tcPr>
            <w:tcW w:w="9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37</w:t>
            </w: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1,986.4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r>
      <w:tr>
        <w:trPr>
          <w:trHeight w:val="223"/>
        </w:trPr>
        <w:tc>
          <w:tcPr>
            <w:tcW w:w="57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$5,324.1</w:t>
            </w: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100</w:t>
            </w:r>
          </w:p>
        </w:tc>
        <w:tc>
          <w:tcPr>
            <w:tcW w:w="1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$4,932.7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r>
      <w:tr>
        <w:trPr>
          <w:trHeight w:val="298"/>
        </w:trPr>
        <w:tc>
          <w:tcPr>
            <w:tcW w:w="5720" w:type="dxa"/>
            <w:vAlign w:val="bottom"/>
          </w:tcPr>
          <w:p>
            <w:pPr>
              <w:spacing w:after="0"/>
              <w:rPr>
                <w:sz w:val="20"/>
                <w:szCs w:val="20"/>
                <w:color w:val="auto"/>
              </w:rPr>
            </w:pPr>
            <w:r>
              <w:rPr>
                <w:rFonts w:ascii="Arial" w:cs="Arial" w:eastAsia="Arial" w:hAnsi="Arial"/>
                <w:sz w:val="16"/>
                <w:szCs w:val="16"/>
                <w:i w:val="1"/>
                <w:iCs w:val="1"/>
                <w:color w:val="auto"/>
              </w:rPr>
              <w:t>(a)  Excludes unamortized debt issuance costs.</w:t>
            </w:r>
          </w:p>
        </w:tc>
        <w:tc>
          <w:tcPr>
            <w:tcW w:w="2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2"/>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the Consolidated Statement of Cash Flows is as follows:</w:t>
            </w: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Nine Months Ended September 30,</w:t>
            </w:r>
          </w:p>
        </w:tc>
        <w:tc>
          <w:tcPr>
            <w:tcW w:w="2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24"/>
                <w:szCs w:val="24"/>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$47.7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0" w:type="dxa"/>
            <w:vAlign w:val="bottom"/>
            <w:shd w:val="clear" w:color="auto" w:fill="CCEEFF"/>
          </w:tcPr>
          <w:p>
            <w:pPr>
              <w:spacing w:after="0"/>
              <w:rPr>
                <w:sz w:val="19"/>
                <w:szCs w:val="19"/>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Cash Flows provided by (used in)</w:t>
            </w: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2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81.2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20" w:type="dxa"/>
            <w:vAlign w:val="bottom"/>
            <w:shd w:val="clear" w:color="auto" w:fill="CCEEFF"/>
          </w:tcPr>
          <w:p>
            <w:pPr>
              <w:spacing w:after="0"/>
              <w:rPr>
                <w:sz w:val="19"/>
                <w:szCs w:val="19"/>
                <w:color w:val="auto"/>
              </w:rPr>
            </w:pPr>
          </w:p>
        </w:tc>
      </w:tr>
      <w:tr>
        <w:trPr>
          <w:trHeight w:val="230"/>
        </w:trPr>
        <w:tc>
          <w:tcPr>
            <w:tcW w:w="572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jc w:val="right"/>
              <w:ind w:right="610"/>
              <w:spacing w:after="0"/>
              <w:rPr>
                <w:sz w:val="20"/>
                <w:szCs w:val="20"/>
                <w:color w:val="auto"/>
              </w:rPr>
            </w:pPr>
            <w:r>
              <w:rPr>
                <w:rFonts w:ascii="Arial" w:cs="Arial" w:eastAsia="Arial" w:hAnsi="Arial"/>
                <w:sz w:val="18"/>
                <w:szCs w:val="18"/>
                <w:color w:val="auto"/>
              </w:rPr>
              <w:t>(311.1)</w:t>
            </w:r>
          </w:p>
        </w:tc>
        <w:tc>
          <w:tcPr>
            <w:tcW w:w="740" w:type="dxa"/>
            <w:vAlign w:val="bottom"/>
          </w:tcPr>
          <w:p>
            <w:pPr>
              <w:jc w:val="right"/>
              <w:spacing w:after="0"/>
              <w:rPr>
                <w:sz w:val="20"/>
                <w:szCs w:val="20"/>
                <w:color w:val="auto"/>
              </w:rPr>
            </w:pPr>
            <w:r>
              <w:rPr>
                <w:rFonts w:ascii="Arial" w:cs="Arial" w:eastAsia="Arial" w:hAnsi="Arial"/>
                <w:sz w:val="18"/>
                <w:szCs w:val="18"/>
                <w:color w:val="auto"/>
              </w:rPr>
              <w:t>(397.1)</w:t>
            </w:r>
          </w:p>
        </w:tc>
        <w:tc>
          <w:tcPr>
            <w:tcW w:w="20" w:type="dxa"/>
            <w:vAlign w:val="bottom"/>
          </w:tcPr>
          <w:p>
            <w:pPr>
              <w:spacing w:after="0"/>
              <w:rPr>
                <w:sz w:val="19"/>
                <w:szCs w:val="19"/>
                <w:color w:val="auto"/>
              </w:rPr>
            </w:pPr>
          </w:p>
        </w:tc>
      </w:tr>
      <w:tr>
        <w:trPr>
          <w:trHeight w:val="230"/>
        </w:trPr>
        <w:tc>
          <w:tcPr>
            <w:tcW w:w="5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Financing Activities</w:t>
            </w:r>
          </w:p>
        </w:tc>
        <w:tc>
          <w:tcPr>
            <w:tcW w:w="2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230.8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5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Change in Cash, Cash Equivalents and Restricted Cash</w:t>
            </w:r>
          </w:p>
        </w:tc>
        <w:tc>
          <w:tcPr>
            <w:tcW w:w="2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0.9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Borders>
              <w:bottom w:val="single" w:sz="8" w:color="auto"/>
            </w:tcBorders>
          </w:tcPr>
          <w:p>
            <w:pPr>
              <w:spacing w:after="0"/>
              <w:rPr>
                <w:sz w:val="19"/>
                <w:szCs w:val="19"/>
                <w:color w:val="auto"/>
              </w:rPr>
            </w:pPr>
          </w:p>
        </w:tc>
      </w:tr>
      <w:tr>
        <w:trPr>
          <w:trHeight w:val="223"/>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$48.6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0" w:type="dxa"/>
            <w:vAlign w:val="bottom"/>
            <w:tcBorders>
              <w:bottom w:val="single" w:sz="8" w:color="auto"/>
            </w:tcBorders>
            <w:shd w:val="clear" w:color="auto" w:fill="CCEEFF"/>
          </w:tcPr>
          <w:p>
            <w:pPr>
              <w:spacing w:after="0"/>
              <w:rPr>
                <w:sz w:val="19"/>
                <w:szCs w:val="19"/>
                <w:color w:val="auto"/>
              </w:rPr>
            </w:pP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provided by operating activities was lower in 2022 compared to 2021. Cash used in operating activities in 2022 reflected higher</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for inventories compared to 2021 primarily related to ALLETE Clean Energy’s Northern Wind and Red Barn projects which will be sold to third parties in late 2022 and early 2023, respectively.</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Cash used in investing activities was lower in 2022 compared to 2021. Cash used in investing activities in 2022 reflected lower cash</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for additions to property, plant and equipment compared to 2021, partially offset by cash payments for the acquisition of New Energy.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(Continued)</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provided by financing activities was higher in 2022 compared to 2021. 2022 reflected higher proceeds from the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proceeds from the issuance of short-term and long-term debt, and proceeds from non-controlling interest in subsidiaries compared to 2021. These were partially offset by higher repayments of short-term and long-term debt.</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Working Capital. </w:t>
      </w:r>
      <w:r>
        <w:rPr>
          <w:rFonts w:ascii="Arial" w:cs="Arial" w:eastAsia="Arial" w:hAnsi="Arial"/>
          <w:sz w:val="18"/>
          <w:szCs w:val="18"/>
          <w:color w:val="auto"/>
        </w:rPr>
        <w:t>Additional working capital, if and when needed, generally is provided by consolidated bank lines of credit and the issuance of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long-term debt, common stock and commercial paper. As of September 30, 2022, we had consolidated bank lines of credit aggregating $525.3 million ($432.0 million as of December 31, 2021), the majority of which expire in January 2026. We had $33.2 million outstanding in standby letters of credit and $92.0 million outstanding draws under our lines of credit as of September 30, 2022 ($31.5 million in standby letters of credit and $159.7 million outstanding draws as of December 31, 2021). We also have other credit facility agreements in place that provide the ability to issue up to $250.0 million in standby letters of credit. As of September 30, 2022, we had $182.4 million outstanding in standby letters of credit under these agreements.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as of September 30, 2022, we had 2.9 million original issue shares of our common stock available for issuance through Invest Direct, our direct stock purchase and dividend reinvestment plan, and 2.1 million original issue shares of common stock available for issuance through a distribution agreement with Lampert Capital Markets. (See Securities.) The amount and timing of future sales of our securities will depend upon market conditions and our specific needs.</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During the nine months ended September 30, 2022, we issued 0.2 million shares of common stock through Invest Direct, the Employee Stock</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Plan, and the Retirement Savings and Stock Ownership Plan, resulting in net proceeds of $12.6 million (0.3 million shares were issued for the nine months ended September 30, 2021, resulting in net proceeds of $14.6 million).</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5, 2022, ALLETE issued and sold approximately 3.7 million shares of ALLETE common stock. Net proceeds of approximately $224 million were received from the sale of shares. Proceeds were used primarily to fund the acquisition of New Energy and capital investments at ALLETE Clean Energy.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6. Short-Term and Long-Term Debt for information regarding our financial covenants.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Pension and Other Postretirement Benefit Plans. </w:t>
      </w:r>
      <w:r>
        <w:rPr>
          <w:rFonts w:ascii="Arial" w:cs="Arial" w:eastAsia="Arial" w:hAnsi="Arial"/>
          <w:sz w:val="18"/>
          <w:szCs w:val="18"/>
          <w:color w:val="auto"/>
        </w:rPr>
        <w:t>Management considers various factors when making funding decisions, such as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actuarially determined minimum contribution requirements and contributions required to avoid benefit restrictions for the defined benefit pension plans. (See Note 10. Pension and Other Postretirement Benefit Plans.)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Off-Balance Sheet Arrangements. </w:t>
      </w:r>
      <w:r>
        <w:rPr>
          <w:rFonts w:ascii="Arial" w:cs="Arial" w:eastAsia="Arial" w:hAnsi="Arial"/>
          <w:sz w:val="17"/>
          <w:szCs w:val="17"/>
          <w:color w:val="auto"/>
        </w:rPr>
        <w:t>Off-balance sheet arrangements are summarized in our 2021 Form 10-K, with additional disclosure in Note 7.</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Commitments, Guarantees and Contingencies.</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Credit Ratings</w:t>
      </w:r>
      <w:r>
        <w:rPr>
          <w:rFonts w:ascii="Arial" w:cs="Arial" w:eastAsia="Arial" w:hAnsi="Arial"/>
          <w:sz w:val="18"/>
          <w:szCs w:val="18"/>
          <w:color w:val="auto"/>
        </w:rPr>
        <w:t>. Access to reasonably priced capital markets is dependent in part on credit and ratings. Our securities have been rated by S&amp;P Global</w:t>
      </w:r>
      <w:r>
        <w:rPr>
          <w:rFonts w:ascii="Arial" w:cs="Arial" w:eastAsia="Arial" w:hAnsi="Arial"/>
          <w:sz w:val="18"/>
          <w:szCs w:val="18"/>
          <w:b w:val="1"/>
          <w:bCs w:val="1"/>
          <w:color w:val="auto"/>
        </w:rPr>
        <w:t xml:space="preserve"> </w:t>
      </w:r>
      <w:r>
        <w:rPr>
          <w:rFonts w:ascii="Arial" w:cs="Arial" w:eastAsia="Arial" w:hAnsi="Arial"/>
          <w:sz w:val="18"/>
          <w:szCs w:val="18"/>
          <w:color w:val="auto"/>
        </w:rPr>
        <w:t>Ratings 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tcPr>
          <w:p>
            <w:pPr>
              <w:spacing w:after="0"/>
              <w:rPr>
                <w:sz w:val="18"/>
                <w:szCs w:val="18"/>
                <w:color w:val="auto"/>
              </w:rPr>
            </w:pPr>
          </w:p>
        </w:tc>
        <w:tc>
          <w:tcPr>
            <w:tcW w:w="4280" w:type="dxa"/>
            <w:vAlign w:val="bottom"/>
          </w:tcPr>
          <w:p>
            <w:pPr>
              <w:jc w:val="center"/>
              <w:ind w:left="2732"/>
              <w:spacing w:after="0"/>
              <w:rPr>
                <w:sz w:val="20"/>
                <w:szCs w:val="20"/>
                <w:color w:val="auto"/>
              </w:rPr>
            </w:pPr>
            <w:r>
              <w:rPr>
                <w:rFonts w:ascii="Arial" w:cs="Arial" w:eastAsia="Arial" w:hAnsi="Arial"/>
                <w:sz w:val="18"/>
                <w:szCs w:val="18"/>
                <w:b w:val="1"/>
                <w:bCs w:val="1"/>
                <w:color w:val="auto"/>
                <w:w w:val="95"/>
              </w:rPr>
              <w:t>S&amp;P Global</w:t>
            </w:r>
          </w:p>
        </w:tc>
        <w:tc>
          <w:tcPr>
            <w:tcW w:w="1260" w:type="dxa"/>
            <w:vAlign w:val="bottom"/>
          </w:tcPr>
          <w:p>
            <w:pPr>
              <w:spacing w:after="0"/>
              <w:rPr>
                <w:sz w:val="18"/>
                <w:szCs w:val="18"/>
                <w:color w:val="auto"/>
              </w:rPr>
            </w:pPr>
          </w:p>
        </w:tc>
      </w:tr>
      <w:tr>
        <w:trPr>
          <w:trHeight w:val="243"/>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Credit Ratings</w:t>
            </w:r>
          </w:p>
        </w:tc>
        <w:tc>
          <w:tcPr>
            <w:tcW w:w="4280" w:type="dxa"/>
            <w:vAlign w:val="bottom"/>
            <w:tcBorders>
              <w:bottom w:val="single" w:sz="8" w:color="auto"/>
            </w:tcBorders>
          </w:tcPr>
          <w:p>
            <w:pPr>
              <w:jc w:val="center"/>
              <w:ind w:left="2732"/>
              <w:spacing w:after="0"/>
              <w:rPr>
                <w:sz w:val="20"/>
                <w:szCs w:val="20"/>
                <w:color w:val="auto"/>
              </w:rPr>
            </w:pPr>
            <w:r>
              <w:rPr>
                <w:rFonts w:ascii="Arial" w:cs="Arial" w:eastAsia="Arial" w:hAnsi="Arial"/>
                <w:sz w:val="18"/>
                <w:szCs w:val="18"/>
                <w:b w:val="1"/>
                <w:bCs w:val="1"/>
                <w:color w:val="auto"/>
                <w:w w:val="87"/>
              </w:rPr>
              <w:t>Ratings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Moody’s</w:t>
            </w:r>
          </w:p>
        </w:tc>
      </w:tr>
      <w:tr>
        <w:trPr>
          <w:trHeight w:val="22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Issuer Credit Rating</w:t>
            </w:r>
          </w:p>
        </w:tc>
        <w:tc>
          <w:tcPr>
            <w:tcW w:w="4280" w:type="dxa"/>
            <w:vAlign w:val="bottom"/>
            <w:shd w:val="clear" w:color="auto" w:fill="CCEEFF"/>
          </w:tcPr>
          <w:p>
            <w:pPr>
              <w:jc w:val="center"/>
              <w:ind w:left="2712"/>
              <w:spacing w:after="0"/>
              <w:rPr>
                <w:sz w:val="20"/>
                <w:szCs w:val="20"/>
                <w:color w:val="auto"/>
              </w:rPr>
            </w:pPr>
            <w:r>
              <w:rPr>
                <w:rFonts w:ascii="Arial" w:cs="Arial" w:eastAsia="Arial" w:hAnsi="Arial"/>
                <w:sz w:val="18"/>
                <w:szCs w:val="18"/>
                <w:color w:val="auto"/>
                <w:w w:val="99"/>
              </w:rPr>
              <w:t>BBB</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Baa1</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280" w:type="dxa"/>
            <w:vAlign w:val="bottom"/>
          </w:tcPr>
          <w:p>
            <w:pPr>
              <w:jc w:val="center"/>
              <w:ind w:left="2712"/>
              <w:spacing w:after="0"/>
              <w:rPr>
                <w:sz w:val="20"/>
                <w:szCs w:val="20"/>
                <w:color w:val="auto"/>
              </w:rPr>
            </w:pPr>
            <w:r>
              <w:rPr>
                <w:rFonts w:ascii="Arial" w:cs="Arial" w:eastAsia="Arial" w:hAnsi="Arial"/>
                <w:sz w:val="18"/>
                <w:szCs w:val="18"/>
                <w:color w:val="auto"/>
                <w:w w:val="99"/>
              </w:rPr>
              <w:t>A-2</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P-2</w:t>
            </w:r>
          </w:p>
        </w:tc>
      </w:tr>
      <w:tr>
        <w:trPr>
          <w:trHeight w:val="229"/>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First Mortgage Bonds</w:t>
            </w:r>
          </w:p>
        </w:tc>
        <w:tc>
          <w:tcPr>
            <w:tcW w:w="4280" w:type="dxa"/>
            <w:vAlign w:val="bottom"/>
            <w:tcBorders>
              <w:bottom w:val="single" w:sz="8" w:color="auto"/>
            </w:tcBorders>
            <w:shd w:val="clear" w:color="auto" w:fill="CCEEFF"/>
          </w:tcPr>
          <w:p>
            <w:pPr>
              <w:jc w:val="center"/>
              <w:ind w:left="2732"/>
              <w:spacing w:after="0"/>
              <w:rPr>
                <w:sz w:val="20"/>
                <w:szCs w:val="20"/>
                <w:color w:val="auto"/>
              </w:rPr>
            </w:pPr>
            <w:r>
              <w:rPr>
                <w:rFonts w:ascii="Arial" w:cs="Arial" w:eastAsia="Arial" w:hAnsi="Arial"/>
                <w:sz w:val="16"/>
                <w:szCs w:val="16"/>
                <w:i w:val="1"/>
                <w:iCs w:val="1"/>
                <w:color w:val="auto"/>
                <w:w w:val="91"/>
              </w:rPr>
              <w:t>(a)</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r>
      <w:tr>
        <w:trPr>
          <w:trHeight w:val="298"/>
        </w:trPr>
        <w:tc>
          <w:tcPr>
            <w:tcW w:w="5680" w:type="dxa"/>
            <w:vAlign w:val="bottom"/>
          </w:tcPr>
          <w:p>
            <w:pPr>
              <w:spacing w:after="0"/>
              <w:rPr>
                <w:sz w:val="20"/>
                <w:szCs w:val="20"/>
                <w:color w:val="auto"/>
              </w:rPr>
            </w:pPr>
            <w:r>
              <w:rPr>
                <w:rFonts w:ascii="Arial" w:cs="Arial" w:eastAsia="Arial" w:hAnsi="Arial"/>
                <w:sz w:val="16"/>
                <w:szCs w:val="16"/>
                <w:i w:val="1"/>
                <w:iCs w:val="1"/>
                <w:color w:val="auto"/>
              </w:rPr>
              <w:t>(a)  Not rated by S&amp;P Global Ratings.</w:t>
            </w:r>
          </w:p>
        </w:tc>
        <w:tc>
          <w:tcPr>
            <w:tcW w:w="428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Capital Requirements. </w:t>
      </w:r>
      <w:r>
        <w:rPr>
          <w:rFonts w:ascii="Arial" w:cs="Arial" w:eastAsia="Arial" w:hAnsi="Arial"/>
          <w:sz w:val="17"/>
          <w:szCs w:val="17"/>
          <w:color w:val="auto"/>
        </w:rPr>
        <w:t>For the nine months ended September 30, 2022, capital expenditures totaled $155.3 million ($378.1 million for the nine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September 30, 2021). The expenditures were primarily made in the Regulated Operations segment. Minnesota Power and Great River Energy announced on July 25, 2022, their intent to build a 150-mile, 345-kV transmission line from Itasca County in northern Minnesota to Benton County in central Minnesota, which is expected to be in service in 2030. As a result, Minnesota Power expects capital expenditures related to the project for its approximately 50 percent estimated share of the approximately $970 million project through 2030. (See Outlook – Regulated Operations – Transmission.) As a result of this project and other additional capital projects anticipated, ALLETE now expects capital expenditures of approximately $240 million in 2022, $290 million in 2023, $685 million in 2024, $725 million in 2025, $465 million in 2026 and $525 million in 2027.</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7. Commitments, Guarantees and Contingencies.)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ALLETE had 1,490 employees, of which 1,461 were full-time.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Minnesota Power and SWL&amp;P have an aggregate of 482 employees covered under collective bargaining agreements, of which most are members of International Brotherhood of Electrical Workers (IBEW) Local 31. The current labor agreements with IBEW Local 31 expire on April 30, 2023, for Minnesota Power and on January 31, 2024, for SWL&amp;P.</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BNI Energy has 174 employees, of which 126 are subject to a labor agreement with IBEW Local 1593. The current labor agreement with IBEW Local 1593 expires on March 31, 2023.</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pronouncements are discussed in Note 1. Operations and Significant Accounting Policies.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As of September 30, 2022, our available-for-sale securities portfolio consisted primarily of securities held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postretirement plans to fund employee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ALLETE, Inc. Third Quarter 2022 Form 10-Q</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3. QUANTITATIVE AND QUALITATIVE DISCLOSURES ABOUT MARKET RISK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as of September 30, 2022, an increase of 100 basis points in interest rates would impact the amount of pre-tax interest expense by $2.8 million. This amount was determined by considering the impact of a hypothetical 100 basis point increase to the average variable interest rate on the variable rate debt outstanding as of September 30, 2022.</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As of September 30, 2022, evaluations were performed, under the supervision and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of 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21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information regarding material legal and regulatory proceedings, see Note 4. Regulatory Matters and Note 8. Commitments, Guarantees and Contingencies to the Consolidated Financial Statements in our 2021 Form 10-K and Note 2. Regulatory Matters and Note 7. Commitments, Guarantees and Contingencies herein. Such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2021 Form 10-K includes a detailed discussion of our risk factors. The information presented below updates, and should be read in conjunction with, the risk factors disclosed in Part I, Item 1A. Risk Factors of our 2021 Form 10-K.</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price of electricity may be volatile, which may impact results of operations at ALLETE Clean Energy wind energy facilities under certain contracts with commercial and industrial (C&amp;I) customers.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Unusual, adverse weather conditions or other natural events and different settlement prices between hub and node can cause volatility in market prices for electricity and adversely affect our financial position, results of operations and cash flows. ALLETE Clean Energy’s power sales agreements with C&amp;I customers at its Diamond Spring and Caddo wind energy facilities are contracts for differences where power is delivered to the market, and a fixed price is paid by the customers to ALLETE Clean Energy, and differences between the market price and the fixed price are paid to or received from the customers. Certain contracts also settle with the market at the hub price whereas ALLETE Clean Energy settles with the customer at the node price which can vary significantly based on multiple factors. These settlement provisions can result in an adverse impact on our financial position, results of operations and cash flows when market prices are volatile.</w:t>
      </w:r>
    </w:p>
    <w:p>
      <w:pPr>
        <w:spacing w:after="0" w:line="218"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Our results of operations could be adversely affected by changes in governmental incentives or policies that support renewable energy or changes in taxes, tariffs, duties or other assessments on renewable energy or the equipment necessary to generate and deliver it.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reductions or modifications to, or the elimination of, governmental incentives or policies that support renewable energy, or the imposition of additional or increased sourcing of components subject to taxes, tariffs, duties or other assessments on renewable energy or the equipment necessary to generate and deliver it, could result in, among other items, the lack of a satisfactory market for the development or financing of new renewable energy projects and reduced project returns on current or future projects.</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U.S. government currently imposes antidumping and countervailing duties on certain imported photovoltaic (PV) cells and modules from China and Taiwan. Such duties can change over time pursuant to annual reviews conducted by the U.S. Department of Commerce (DOC). In March 2022, the U.S. DOC launched an investigation into alleged circumvention of these duties by imports of certain PV cells and modules assembled and completed in Cambodia, Malaysia, Thailand, and Vietnam. In June 2022, the U.S. President declared an emergency with respect to threats to electricity generation capacity and authorized the U.S. Secretary of Commerce to consider permitting the importation of certain PV products from those four countries free of antidumping and countervailing duties for 24 months, or until the emergency has terminated. The U.S. DOC has issued final regulations designed to implement that moratorium in the event that it finds circumvention in its ongoing inquiries. We cannot predict what further actions the U.S. DOC will take with respect to these circumvention inquiries. Our operating results could be adversely impacted if the U.S. DOC makes circumvention determinations that result in duties assessed on future purchases made by our businesses after the moratorium ends.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ALLETE, Inc. Third Quarter 2022 Form 10-Q</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214745" cy="265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14745" cy="265430"/>
                    </a:xfrm>
                    <a:prstGeom prst="rect">
                      <a:avLst/>
                    </a:prstGeom>
                    <a:noFill/>
                  </pic:spPr>
                </pic:pic>
              </a:graphicData>
            </a:graphic>
          </wp:anchor>
        </w:drawing>
      </w:r>
    </w:p>
    <w:p>
      <w:pPr>
        <w:ind w:left="1080" w:right="1480" w:hanging="1054"/>
        <w:spacing w:after="0" w:line="242" w:lineRule="auto"/>
        <w:tabs>
          <w:tab w:leader="none" w:pos="1080" w:val="left"/>
        </w:tabs>
        <w:numPr>
          <w:ilvl w:val="0"/>
          <w:numId w:val="1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Forty-Third Supplemental Indenture, dated as of August 1, 2022, between ALLETE, Inc. and The Bank of New York Mellon, as corporate trustee, and Janet Lee, as co-trustee..</w:t>
      </w:r>
    </w:p>
    <w:p>
      <w:pPr>
        <w:spacing w:after="0" w:line="1" w:lineRule="exact"/>
        <w:rPr>
          <w:sz w:val="20"/>
          <w:szCs w:val="20"/>
          <w:color w:val="auto"/>
        </w:rPr>
      </w:pPr>
    </w:p>
    <w:p>
      <w:pPr>
        <w:ind w:left="1080" w:right="1480" w:hanging="1059"/>
        <w:spacing w:after="0" w:line="242" w:lineRule="auto"/>
        <w:tabs>
          <w:tab w:leader="none" w:pos="1060" w:val="left"/>
        </w:tabs>
        <w:rPr>
          <w:sz w:val="20"/>
          <w:szCs w:val="20"/>
          <w:color w:val="auto"/>
        </w:rPr>
      </w:pPr>
      <w:r>
        <w:rPr>
          <w:rFonts w:ascii="Arial" w:cs="Arial" w:eastAsia="Arial" w:hAnsi="Arial"/>
          <w:sz w:val="18"/>
          <w:szCs w:val="18"/>
          <w:u w:val="single" w:color="auto"/>
          <w:color w:val="0000FF"/>
        </w:rPr>
        <w:t>31(a)</w:t>
      </w:r>
      <w:r>
        <w:rPr>
          <w:sz w:val="20"/>
          <w:szCs w:val="20"/>
          <w:color w:val="auto"/>
        </w:rPr>
        <w:tab/>
      </w:r>
      <w:r>
        <w:rPr>
          <w:rFonts w:ascii="Arial" w:cs="Arial" w:eastAsia="Arial" w:hAnsi="Arial"/>
          <w:sz w:val="18"/>
          <w:szCs w:val="18"/>
          <w:u w:val="single" w:color="auto"/>
          <w:color w:val="0000FF"/>
        </w:rPr>
        <w:t>Rule 13a-14(a)/15d-14(a) Certification by the Chief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214745" cy="265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14745" cy="265430"/>
                    </a:xfrm>
                    <a:prstGeom prst="rect">
                      <a:avLst/>
                    </a:prstGeom>
                    <a:noFill/>
                  </pic:spPr>
                </pic:pic>
              </a:graphicData>
            </a:graphic>
          </wp:anchor>
        </w:drawing>
      </w:r>
    </w:p>
    <w:p>
      <w:pPr>
        <w:ind w:left="1080" w:right="1460" w:hanging="1059"/>
        <w:spacing w:after="0" w:line="242" w:lineRule="auto"/>
        <w:tabs>
          <w:tab w:leader="none" w:pos="1060" w:val="left"/>
        </w:tabs>
        <w:rPr>
          <w:sz w:val="20"/>
          <w:szCs w:val="20"/>
          <w:color w:val="auto"/>
        </w:rPr>
      </w:pPr>
      <w:r>
        <w:rPr>
          <w:rFonts w:ascii="Arial" w:cs="Arial" w:eastAsia="Arial" w:hAnsi="Arial"/>
          <w:sz w:val="18"/>
          <w:szCs w:val="18"/>
          <w:u w:val="single" w:color="auto"/>
          <w:color w:val="0000FF"/>
        </w:rPr>
        <w:t>31(b)</w:t>
      </w:r>
      <w:r>
        <w:rPr>
          <w:sz w:val="20"/>
          <w:szCs w:val="20"/>
          <w:color w:val="auto"/>
        </w:rPr>
        <w:tab/>
      </w:r>
      <w:r>
        <w:rPr>
          <w:rFonts w:ascii="Arial" w:cs="Arial" w:eastAsia="Arial" w:hAnsi="Arial"/>
          <w:sz w:val="18"/>
          <w:szCs w:val="18"/>
          <w:u w:val="single" w:color="auto"/>
          <w:color w:val="0000FF"/>
        </w:rPr>
        <w:t>Rule 13a-14(a)/15d-14(a) Certification by the Chief Financial Officer Pursuant to Section 302 of the Sarbanes-Oxley Act of 2002.</w:t>
      </w:r>
    </w:p>
    <w:p>
      <w:pPr>
        <w:spacing w:after="0" w:line="1" w:lineRule="exact"/>
        <w:rPr>
          <w:sz w:val="20"/>
          <w:szCs w:val="20"/>
          <w:color w:val="auto"/>
        </w:rPr>
      </w:pPr>
    </w:p>
    <w:p>
      <w:pPr>
        <w:ind w:left="1080" w:right="1460" w:hanging="1054"/>
        <w:spacing w:after="0" w:line="242" w:lineRule="auto"/>
        <w:tabs>
          <w:tab w:leader="none" w:pos="1080" w:val="left"/>
        </w:tabs>
        <w:numPr>
          <w:ilvl w:val="0"/>
          <w:numId w:val="1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Section 1350 Certification of Periodic Report by the Chief Executive Officer and the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21474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14745" cy="146050"/>
                    </a:xfrm>
                    <a:prstGeom prst="rect">
                      <a:avLst/>
                    </a:prstGeom>
                    <a:noFill/>
                  </pic:spPr>
                </pic:pic>
              </a:graphicData>
            </a:graphic>
          </wp:anchor>
        </w:drawing>
      </w:r>
    </w:p>
    <w:p>
      <w:pPr>
        <w:ind w:left="20"/>
        <w:spacing w:after="0"/>
        <w:tabs>
          <w:tab w:leader="none" w:pos="1060" w:val="left"/>
        </w:tabs>
        <w:rPr>
          <w:sz w:val="20"/>
          <w:szCs w:val="20"/>
          <w:color w:val="auto"/>
        </w:rPr>
      </w:pPr>
      <w:r>
        <w:rPr>
          <w:rFonts w:ascii="Arial" w:cs="Arial" w:eastAsia="Arial" w:hAnsi="Arial"/>
          <w:sz w:val="18"/>
          <w:szCs w:val="18"/>
          <w:u w:val="single" w:color="auto"/>
          <w:color w:val="0000FF"/>
        </w:rPr>
        <w:t>95</w:t>
      </w:r>
      <w:r>
        <w:rPr>
          <w:sz w:val="20"/>
          <w:szCs w:val="20"/>
          <w:color w:val="auto"/>
        </w:rPr>
        <w:tab/>
      </w:r>
      <w:r>
        <w:rPr>
          <w:rFonts w:ascii="Arial" w:cs="Arial" w:eastAsia="Arial" w:hAnsi="Arial"/>
          <w:sz w:val="18"/>
          <w:szCs w:val="18"/>
          <w:u w:val="single" w:color="auto"/>
          <w:color w:val="0000FF"/>
        </w:rPr>
        <w:t>Mine Safety.</w:t>
      </w:r>
    </w:p>
    <w:p>
      <w:pPr>
        <w:spacing w:after="0" w:line="23" w:lineRule="exact"/>
        <w:rPr>
          <w:sz w:val="20"/>
          <w:szCs w:val="20"/>
          <w:color w:val="auto"/>
        </w:rPr>
      </w:pPr>
    </w:p>
    <w:p>
      <w:pPr>
        <w:jc w:val="both"/>
        <w:ind w:left="1080" w:right="1460" w:hanging="1054"/>
        <w:spacing w:after="0" w:line="223" w:lineRule="auto"/>
        <w:tabs>
          <w:tab w:leader="none" w:pos="1080" w:val="left"/>
        </w:tabs>
        <w:numPr>
          <w:ilvl w:val="0"/>
          <w:numId w:val="18"/>
        </w:numPr>
        <w:rPr>
          <w:rFonts w:ascii="Arial" w:cs="Arial" w:eastAsia="Arial" w:hAnsi="Arial"/>
          <w:sz w:val="18"/>
          <w:szCs w:val="18"/>
          <w:u w:val="single" w:color="auto"/>
          <w:color w:val="0000FF"/>
        </w:rPr>
      </w:pPr>
      <w:r>
        <w:rPr>
          <w:rFonts w:ascii="Arial" w:cs="Arial" w:eastAsia="Arial" w:hAnsi="Arial"/>
          <w:sz w:val="18"/>
          <w:szCs w:val="18"/>
          <w:b w:val="1"/>
          <w:bCs w:val="1"/>
          <w:u w:val="single" w:color="auto"/>
          <w:color w:val="0000FF"/>
        </w:rPr>
        <w:t>ALLETE News Release dated November 9, 2022, announcing 2022 third quarter earnings. (This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tbl>
      <w:tblPr>
        <w:tblLayout w:type="fixed"/>
        <w:tblInd w:w="0" w:type="dxa"/>
        <w:tblCellMar>
          <w:top w:w="0" w:type="dxa"/>
          <w:left w:w="0" w:type="dxa"/>
          <w:bottom w:w="0" w:type="dxa"/>
          <w:right w:w="0" w:type="dxa"/>
        </w:tblCellMar>
      </w:tblPr>
      <w:tr>
        <w:trPr>
          <w:trHeight w:val="188"/>
        </w:trPr>
        <w:tc>
          <w:tcPr>
            <w:tcW w:w="8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101.INS</w:t>
            </w:r>
          </w:p>
        </w:tc>
        <w:tc>
          <w:tcPr>
            <w:tcW w:w="892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w:t>
            </w:r>
          </w:p>
        </w:tc>
      </w:tr>
      <w:tr>
        <w:trPr>
          <w:trHeight w:val="230"/>
        </w:trPr>
        <w:tc>
          <w:tcPr>
            <w:tcW w:w="880" w:type="dxa"/>
            <w:vAlign w:val="bottom"/>
            <w:shd w:val="clear" w:color="auto" w:fill="CCEEFF"/>
          </w:tcPr>
          <w:p>
            <w:pPr>
              <w:spacing w:after="0"/>
              <w:rPr>
                <w:sz w:val="20"/>
                <w:szCs w:val="20"/>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are embedded within the Inline XBRL document.</w:t>
            </w: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101.SCH</w:t>
            </w:r>
          </w:p>
        </w:tc>
        <w:tc>
          <w:tcPr>
            <w:tcW w:w="8920" w:type="dxa"/>
            <w:vAlign w:val="bottom"/>
          </w:tcPr>
          <w:p>
            <w:pPr>
              <w:ind w:left="200"/>
              <w:spacing w:after="0"/>
              <w:rPr>
                <w:sz w:val="20"/>
                <w:szCs w:val="20"/>
                <w:color w:val="auto"/>
              </w:rPr>
            </w:pPr>
            <w:r>
              <w:rPr>
                <w:rFonts w:ascii="Arial" w:cs="Arial" w:eastAsia="Arial" w:hAnsi="Arial"/>
                <w:sz w:val="18"/>
                <w:szCs w:val="18"/>
                <w:color w:val="auto"/>
              </w:rPr>
              <w:t>XBRL Schema</w:t>
            </w:r>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Calculation</w:t>
            </w: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101.DEF</w:t>
            </w:r>
          </w:p>
        </w:tc>
        <w:tc>
          <w:tcPr>
            <w:tcW w:w="8920" w:type="dxa"/>
            <w:vAlign w:val="bottom"/>
          </w:tcPr>
          <w:p>
            <w:pPr>
              <w:ind w:left="200"/>
              <w:spacing w:after="0"/>
              <w:rPr>
                <w:sz w:val="20"/>
                <w:szCs w:val="20"/>
                <w:color w:val="auto"/>
              </w:rPr>
            </w:pPr>
            <w:r>
              <w:rPr>
                <w:rFonts w:ascii="Arial" w:cs="Arial" w:eastAsia="Arial" w:hAnsi="Arial"/>
                <w:sz w:val="18"/>
                <w:szCs w:val="18"/>
                <w:color w:val="auto"/>
              </w:rPr>
              <w:t>XBRL Definition</w:t>
            </w:r>
          </w:p>
        </w:tc>
      </w:tr>
      <w:tr>
        <w:trPr>
          <w:trHeight w:val="230"/>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Label</w:t>
            </w: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101.PRE</w:t>
            </w:r>
          </w:p>
        </w:tc>
        <w:tc>
          <w:tcPr>
            <w:tcW w:w="8920" w:type="dxa"/>
            <w:vAlign w:val="bottom"/>
          </w:tcPr>
          <w:p>
            <w:pPr>
              <w:ind w:left="200"/>
              <w:spacing w:after="0"/>
              <w:rPr>
                <w:sz w:val="20"/>
                <w:szCs w:val="20"/>
                <w:color w:val="auto"/>
              </w:rPr>
            </w:pPr>
            <w:r>
              <w:rPr>
                <w:rFonts w:ascii="Arial" w:cs="Arial" w:eastAsia="Arial" w:hAnsi="Arial"/>
                <w:sz w:val="18"/>
                <w:szCs w:val="18"/>
                <w:color w:val="auto"/>
              </w:rPr>
              <w:t>XBRL Presentation</w:t>
            </w:r>
          </w:p>
        </w:tc>
      </w:tr>
      <w:tr>
        <w:trPr>
          <w:trHeight w:val="230"/>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ALLETE agrees to furnish to the SEC upon request any instrument with respect to long-term debt that ALLETE has not filed as an exhibit pursuant to the exemption provided by Item 601(b)(4)(iii)(A) of Regulation S-K.</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November 9, 2022</w:t>
            </w: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Steven W. Morris</w:t>
            </w:r>
          </w:p>
        </w:tc>
      </w:tr>
      <w:tr>
        <w:trPr>
          <w:trHeight w:val="222"/>
        </w:trPr>
        <w:tc>
          <w:tcPr>
            <w:tcW w:w="55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Steven W. Morris</w:t>
            </w:r>
          </w:p>
        </w:tc>
      </w:tr>
      <w:tr>
        <w:trPr>
          <w:trHeight w:val="229"/>
        </w:trPr>
        <w:tc>
          <w:tcPr>
            <w:tcW w:w="55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30"/>
        </w:trPr>
        <w:tc>
          <w:tcPr>
            <w:tcW w:w="550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3"/>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Third Quarter 2022 Form 10-Q</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40"/>
          </w:cols>
          <w:pgMar w:left="320" w:top="89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color w:val="auto"/>
        </w:rPr>
        <w:t>Exhibit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2800985</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ALLETE, Inc</w:t>
      </w:r>
      <w:r>
        <w:rPr>
          <w:rFonts w:ascii="Arial" w:cs="Arial" w:eastAsia="Arial" w:hAnsi="Arial"/>
          <w:sz w:val="19"/>
          <w:szCs w:val="19"/>
          <w:b w:val="1"/>
          <w:bCs w:val="1"/>
          <w:color w:val="auto"/>
        </w:rPr>
        <w:t>.</w:t>
      </w:r>
    </w:p>
    <w:p>
      <w:pPr>
        <w:jc w:val="center"/>
        <w:spacing w:after="0" w:line="235" w:lineRule="auto"/>
        <w:rPr>
          <w:sz w:val="20"/>
          <w:szCs w:val="20"/>
          <w:color w:val="auto"/>
        </w:rPr>
      </w:pPr>
      <w:r>
        <w:rPr>
          <w:rFonts w:ascii="Arial" w:cs="Arial" w:eastAsia="Arial" w:hAnsi="Arial"/>
          <w:sz w:val="20"/>
          <w:szCs w:val="20"/>
          <w:b w:val="1"/>
          <w:bCs w:val="1"/>
          <w:color w:val="auto"/>
        </w:rPr>
        <w:t>(formerly Minnesota Power &amp; Light Company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formerly Minnesota Power, Inc.)</w:t>
      </w:r>
    </w:p>
    <w:p>
      <w:pPr>
        <w:spacing w:after="0" w:line="59"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auto"/>
        </w:rPr>
        <w:t>TO</w:t>
      </w:r>
    </w:p>
    <w:p>
      <w:pPr>
        <w:spacing w:after="0" w:line="6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THE BANK OF NEW YORK MELLON</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(formerly The Bank of New York</w:t>
      </w:r>
    </w:p>
    <w:p>
      <w:pPr>
        <w:ind w:left="4180"/>
        <w:spacing w:after="0"/>
        <w:rPr>
          <w:sz w:val="20"/>
          <w:szCs w:val="20"/>
          <w:color w:val="auto"/>
        </w:rPr>
      </w:pPr>
      <w:r>
        <w:rPr>
          <w:rFonts w:ascii="Arial" w:cs="Arial" w:eastAsia="Arial" w:hAnsi="Arial"/>
          <w:sz w:val="20"/>
          <w:szCs w:val="20"/>
          <w:b w:val="1"/>
          <w:bCs w:val="1"/>
          <w:color w:val="auto"/>
        </w:rPr>
        <w:t>(formerly Irving Trust Company))</w:t>
      </w:r>
    </w:p>
    <w:p>
      <w:pPr>
        <w:spacing w:after="0" w:line="45"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AND</w:t>
      </w:r>
    </w:p>
    <w:p>
      <w:pPr>
        <w:spacing w:after="0" w:line="108"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JANET LEE</w:t>
      </w:r>
    </w:p>
    <w:p>
      <w:pPr>
        <w:spacing w:after="0" w:line="8" w:lineRule="exact"/>
        <w:rPr>
          <w:sz w:val="20"/>
          <w:szCs w:val="20"/>
          <w:color w:val="auto"/>
        </w:rPr>
      </w:pPr>
    </w:p>
    <w:p>
      <w:pPr>
        <w:jc w:val="center"/>
        <w:ind w:left="340" w:right="1500"/>
        <w:spacing w:after="0" w:line="222" w:lineRule="auto"/>
        <w:rPr>
          <w:sz w:val="20"/>
          <w:szCs w:val="20"/>
          <w:color w:val="auto"/>
        </w:rPr>
      </w:pPr>
      <w:r>
        <w:rPr>
          <w:rFonts w:ascii="Arial" w:cs="Arial" w:eastAsia="Arial" w:hAnsi="Arial"/>
          <w:sz w:val="20"/>
          <w:szCs w:val="20"/>
          <w:b w:val="1"/>
          <w:bCs w:val="1"/>
          <w:color w:val="auto"/>
        </w:rPr>
        <w:t>(successor to Richard H. West, J. A. Austin, E. J. McCabe, D. W. May, J. A. Vaughan, W. T. Cunningham, Douglas J. MacInnes, Ming Ryan, Philip L. Watson, Andres Serrano and Eva Waite)</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 Trustees under ALLETE, Inc.’s Mortgage and Deed of Trust dated as of September 1, 1945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Forty-third Supplemental Indenture</w:t>
      </w:r>
    </w:p>
    <w:p>
      <w:pPr>
        <w:jc w:val="center"/>
        <w:spacing w:after="0"/>
        <w:rPr>
          <w:sz w:val="20"/>
          <w:szCs w:val="20"/>
          <w:color w:val="auto"/>
        </w:rPr>
      </w:pPr>
      <w:r>
        <w:rPr>
          <w:rFonts w:ascii="Arial" w:cs="Arial" w:eastAsia="Arial" w:hAnsi="Arial"/>
          <w:sz w:val="20"/>
          <w:szCs w:val="20"/>
          <w:b w:val="1"/>
          <w:bCs w:val="1"/>
          <w:color w:val="auto"/>
        </w:rPr>
        <w:t>Providing, among other things, for</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Mortgage Bonds, 4.54% Series due August 9, 2032</w:t>
      </w:r>
    </w:p>
    <w:p>
      <w:pPr>
        <w:jc w:val="center"/>
        <w:spacing w:after="0"/>
        <w:rPr>
          <w:sz w:val="20"/>
          <w:szCs w:val="20"/>
          <w:color w:val="auto"/>
        </w:rPr>
      </w:pPr>
      <w:r>
        <w:rPr>
          <w:rFonts w:ascii="Arial" w:cs="Arial" w:eastAsia="Arial" w:hAnsi="Arial"/>
          <w:sz w:val="20"/>
          <w:szCs w:val="20"/>
          <w:b w:val="1"/>
          <w:bCs w:val="1"/>
          <w:color w:val="auto"/>
        </w:rPr>
        <w:t>(Sixty-third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Dated as of August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06"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20"/>
          <w:szCs w:val="20"/>
          <w:b w:val="1"/>
          <w:bCs w:val="1"/>
          <w:color w:val="auto"/>
        </w:rPr>
        <w:t>FORTY-THIRD SUPPLEMENTAL INDENTURE</w:t>
      </w:r>
    </w:p>
    <w:p>
      <w:pPr>
        <w:spacing w:after="0" w:line="24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 xml:space="preserve">THIS INDENTURE, </w:t>
      </w:r>
      <w:r>
        <w:rPr>
          <w:rFonts w:ascii="Arial" w:cs="Arial" w:eastAsia="Arial" w:hAnsi="Arial"/>
          <w:sz w:val="19"/>
          <w:szCs w:val="19"/>
          <w:color w:val="auto"/>
        </w:rPr>
        <w:t>dated as of August 1, 2022, by and between ALLETE, Inc. (formerly Minnesota Power &amp; Light Company and</w:t>
      </w:r>
      <w:r>
        <w:rPr>
          <w:rFonts w:ascii="Arial" w:cs="Arial" w:eastAsia="Arial" w:hAnsi="Arial"/>
          <w:sz w:val="19"/>
          <w:szCs w:val="19"/>
          <w:b w:val="1"/>
          <w:bCs w:val="1"/>
          <w:color w:val="auto"/>
        </w:rPr>
        <w:t xml:space="preserve"> </w:t>
      </w:r>
      <w:r>
        <w:rPr>
          <w:rFonts w:ascii="Arial" w:cs="Arial" w:eastAsia="Arial" w:hAnsi="Arial"/>
          <w:sz w:val="19"/>
          <w:szCs w:val="19"/>
          <w:color w:val="auto"/>
        </w:rPr>
        <w:t>formerly Minnesota Power, Inc.), a corporation of the State of Minnesota, whose post office address is 30 West Superior Street, Duluth, Minnesota 55802 (hereinafter sometimes called the “Company”), and The Bank of New York Mellon (formerly The Bank of New York (formerly Irving Trust Company)), a corporation of the State of New York, whose post office address is 240 Greenwich Street, New York, New York 10286 (hereinafter sometimes called the “Corporate Trustee”), and Janet Lee (successor to Richard H. West, J. A. Austin, E. J. McCabe, D. W. May, J. A. Vaughan, W. T. Cunningham, Douglas J. MacInnes, Ming Ryan, Philip L. Watson, Andres Serrano and Eva Waite), whose post office address is c/o The Bank of New York Mellon, 240 Greenwich Street, New York, New York 10286 (said Janet Lee being hereinafter sometimes called the “Co-Trustee” and the Corporate Trustee and the Co-Trustee being hereinafter together sometimes called the “Trustees”), as Trustees under the Mortgage and Deed of Trust, dated as of September 1, 1945, between the Company and Irving Trust Company and Richard H. West, as Trustees, securing bonds issued and to be issued as provided therein (hereinafter sometimes called the “Mortgage”), reference to which Mortgage is hereby made, this indenture (hereinafter sometimes called the “Forty-third Supplemental Indenture”) being supplemental thereto:</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Mortgage was filed and recorded in various official records in the State of Minnesota; and</w:t>
      </w:r>
    </w:p>
    <w:p>
      <w:pPr>
        <w:spacing w:after="0" w:line="243" w:lineRule="exact"/>
        <w:rPr>
          <w:sz w:val="20"/>
          <w:szCs w:val="20"/>
          <w:color w:val="auto"/>
        </w:rPr>
      </w:pPr>
    </w:p>
    <w:p>
      <w:pPr>
        <w:jc w:val="both"/>
        <w:ind w:firstLine="648"/>
        <w:spacing w:after="0" w:line="403" w:lineRule="auto"/>
        <w:rPr>
          <w:sz w:val="20"/>
          <w:szCs w:val="20"/>
          <w:color w:val="auto"/>
        </w:rPr>
      </w:pPr>
      <w:r>
        <w:rPr>
          <w:rFonts w:ascii="Arial" w:cs="Arial" w:eastAsia="Arial" w:hAnsi="Arial"/>
          <w:sz w:val="16"/>
          <w:szCs w:val="16"/>
          <w:color w:val="auto"/>
        </w:rPr>
        <w:t>Whereas, an instrument, dated as of October 16, 1957, was executed and delivered under which J. A. Austin succeeded Richard H. West as Co-Trustee under the Mortgage, and such instrument was filed and recorded in various official records in the State of Minnesota; and</w:t>
      </w:r>
    </w:p>
    <w:p>
      <w:pPr>
        <w:spacing w:after="0" w:line="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Whereas, an instrument, dated as of April 4, 1967, was executed and delivered under which E. J. McCabe in turn succeeded J. A. Austin as Co-Trustee under the Mortgage, and such instrument was filed and recorded in various official records in the State of Minnesota; and</w:t>
      </w:r>
    </w:p>
    <w:p>
      <w:pPr>
        <w:spacing w:after="0" w:line="19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Whereas, under the Sixth Supplemental Indenture, dated as of August 1, 1975, to which reference is hereinafter made, D. W. May in turn succeeded E. J. McCabe as Co-Trustee under the Mortgage; and</w:t>
      </w:r>
    </w:p>
    <w:p>
      <w:pPr>
        <w:spacing w:after="0" w:line="164" w:lineRule="exact"/>
        <w:rPr>
          <w:sz w:val="20"/>
          <w:szCs w:val="20"/>
          <w:color w:val="auto"/>
        </w:rPr>
      </w:pPr>
    </w:p>
    <w:p>
      <w:pPr>
        <w:jc w:val="both"/>
        <w:ind w:firstLine="648"/>
        <w:spacing w:after="0" w:line="421" w:lineRule="auto"/>
        <w:rPr>
          <w:sz w:val="20"/>
          <w:szCs w:val="20"/>
          <w:color w:val="auto"/>
        </w:rPr>
      </w:pPr>
      <w:r>
        <w:rPr>
          <w:rFonts w:ascii="Arial" w:cs="Arial" w:eastAsia="Arial" w:hAnsi="Arial"/>
          <w:sz w:val="16"/>
          <w:szCs w:val="16"/>
          <w:color w:val="auto"/>
        </w:rPr>
        <w:t>Whereas, an instrument, dated as of June 25, 1984, was executed and delivered under which J. A. Vaughan in turn succeeded D. W. May as Co-Trustee under the Mortgage, and such instrument was filed and recorded in various official records in the State of Minnesota; and</w:t>
      </w:r>
    </w:p>
    <w:p>
      <w:pPr>
        <w:spacing w:after="0" w:line="7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Whereas, an instrument, dated as of July 27, 1988, was executed and delivered under which W. T. Cunningham in turn succeeded J. A. Vaughan as Co-Trustee under the Mortgage, and such instrument was filed and recorded in various official records in the State of Minnesota; and</w:t>
      </w:r>
    </w:p>
    <w:p>
      <w:pPr>
        <w:spacing w:after="0" w:line="173"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8"/>
          <w:szCs w:val="18"/>
          <w:color w:val="auto"/>
        </w:rPr>
        <w:t>Whereas, on May 12, 1998, the Company filed Amended and Restated Articles of Incorporation with the Secretary of State of the State of Minnesota changing its name from Minnesota Power &amp; Light Company to Minnesota Power, Inc. effective May 27, 1998;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6" w:right="339" w:bottom="1440" w:gutter="0" w:footer="0" w:header="0"/>
        </w:sectPr>
      </w:pPr>
    </w:p>
    <w:bookmarkStart w:id="51" w:name="page52"/>
    <w:bookmarkEnd w:id="51"/>
    <w:p>
      <w:pPr>
        <w:jc w:val="both"/>
        <w:ind w:firstLine="648"/>
        <w:spacing w:after="0" w:line="271" w:lineRule="auto"/>
        <w:rPr>
          <w:sz w:val="20"/>
          <w:szCs w:val="20"/>
          <w:color w:val="auto"/>
        </w:rPr>
      </w:pPr>
      <w:r>
        <w:rPr>
          <w:rFonts w:ascii="Arial" w:cs="Arial" w:eastAsia="Arial" w:hAnsi="Arial"/>
          <w:sz w:val="20"/>
          <w:szCs w:val="20"/>
          <w:color w:val="auto"/>
        </w:rPr>
        <w:t>Whereas, an instrument, dated as of April 15, 1999, was executed and delivered under which Douglas J. MacInnes in turn succeeded W. T. Cunningham as Co-Trustee under the Mortgage, and such instrument was filed and recorded in various official records in the State of Minnesota; and</w:t>
      </w:r>
    </w:p>
    <w:p>
      <w:pPr>
        <w:spacing w:after="0" w:line="19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Whereas, on May 8, 2001, the Company filed Amended and Restated Articles of Incorporation with the Secretary of State of the State of Minnesota changing its name from Minnesota Power, Inc. to ALLETE, Inc.; and</w:t>
      </w:r>
    </w:p>
    <w:p>
      <w:pPr>
        <w:spacing w:after="0" w:line="16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Whereas, under the Thirty-second Supplemental Indenture, dated as of August 1, 2010, to which reference is hereinafter made, Ming Ryan in turn succeeded Douglas J. MacInnes as Co-Trustee under the Mortgage; and</w:t>
      </w:r>
    </w:p>
    <w:p>
      <w:pPr>
        <w:spacing w:after="0" w:line="16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Whereas, an instrument, dated as of August 1, 2012, was executed and delivered under which Philip L. Watson in turn succeeded Ming Ryan as Co-Trustee under the Mortgage effective at the close of business on August 6, 2012, and such instrument was filed and recorded in various official records in the State of Minnesota and the State of North Dakota; and</w:t>
      </w:r>
    </w:p>
    <w:p>
      <w:pPr>
        <w:spacing w:after="0" w:line="17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Whereas, an instrument, dated as of July 31, 2015, was executed and delivered under which Andres Serrano in turn succeeded Philip L. Watson as Co-Trustee under the Mortgage effective at the close of business on August 14, 2015, and such instrument was filed and recorded in various official records in the State of Minnesota and the State of North Dakota; and</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Whereas, an instrument, dated as of July 29, 2021, was executed and delivered under which Eva Waite in turn succeeded Andres Serrano as Co-Trustee under the Mortgage effective at the close of business on July 29, 2021, and such instrument was filed and recorded in various official records in the State of Minnesota and the State of North Dakota; and</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Whereas, an instrument, dated as of April 27, 2022, was executed and delivered under which Janet Lee in turn succeeded Eva Waite as Co-Trustee under the Mortgage effective at the close of business on April 27, 2022, and such instrument was filed and recorded in various official records in the State of Minnesota and the State of North Dakota; and</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Whereas, by the Mortgage the Company covenanted, among other things, that it would execute and deliver such supplemental indenture or indentures and such further instruments and do such further acts as might be necessary or proper to carry out more effectually the purposes of the Mortgage and to make subject to the lien of the Mortgage any property thereafter acquired and intended to be subject to the lien thereof; and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for said purposes, among others, the Company executed and delivered the following indentures supplemental to the</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Mortgage: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32" w:right="339" w:bottom="1440" w:gutter="0" w:footer="0" w:header="0"/>
        </w:sectPr>
      </w:pPr>
    </w:p>
    <w:bookmarkStart w:id="52" w:name="page53"/>
    <w:bookmarkEnd w:id="52"/>
    <w:tbl>
      <w:tblPr>
        <w:tblLayout w:type="fixed"/>
        <w:tblInd w:w="700" w:type="dxa"/>
        <w:tblCellMar>
          <w:top w:w="0" w:type="dxa"/>
          <w:left w:w="0" w:type="dxa"/>
          <w:bottom w:w="0" w:type="dxa"/>
          <w:right w:w="0" w:type="dxa"/>
        </w:tblCellMar>
      </w:tblPr>
      <w:tr>
        <w:trPr>
          <w:trHeight w:val="230"/>
        </w:trPr>
        <w:tc>
          <w:tcPr>
            <w:tcW w:w="68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20"/>
                <w:szCs w:val="20"/>
                <w:b w:val="1"/>
                <w:bCs w:val="1"/>
                <w:color w:val="auto"/>
                <w:w w:val="85"/>
              </w:rPr>
              <w:t>Designation</w:t>
            </w:r>
          </w:p>
        </w:tc>
        <w:tc>
          <w:tcPr>
            <w:tcW w:w="3560" w:type="dxa"/>
            <w:vAlign w:val="bottom"/>
          </w:tcPr>
          <w:p>
            <w:pPr>
              <w:spacing w:after="0"/>
              <w:rPr>
                <w:sz w:val="19"/>
                <w:szCs w:val="19"/>
                <w:color w:val="auto"/>
              </w:rPr>
            </w:pPr>
          </w:p>
        </w:tc>
        <w:tc>
          <w:tcPr>
            <w:tcW w:w="3600" w:type="dxa"/>
            <w:vAlign w:val="bottom"/>
            <w:gridSpan w:val="3"/>
          </w:tcPr>
          <w:p>
            <w:pPr>
              <w:ind w:left="2060"/>
              <w:spacing w:after="0"/>
              <w:rPr>
                <w:sz w:val="20"/>
                <w:szCs w:val="20"/>
                <w:color w:val="auto"/>
              </w:rPr>
            </w:pPr>
            <w:r>
              <w:rPr>
                <w:rFonts w:ascii="Arial" w:cs="Arial" w:eastAsia="Arial" w:hAnsi="Arial"/>
                <w:sz w:val="20"/>
                <w:szCs w:val="20"/>
                <w:b w:val="1"/>
                <w:bCs w:val="1"/>
                <w:color w:val="auto"/>
              </w:rPr>
              <w:t>Dated as of</w:t>
            </w:r>
          </w:p>
        </w:tc>
      </w:tr>
      <w:tr>
        <w:trPr>
          <w:trHeight w:val="20"/>
        </w:trPr>
        <w:tc>
          <w:tcPr>
            <w:tcW w:w="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81"/>
        </w:trPr>
        <w:tc>
          <w:tcPr>
            <w:tcW w:w="5240" w:type="dxa"/>
            <w:vAlign w:val="bottom"/>
            <w:gridSpan w:val="3"/>
          </w:tcPr>
          <w:p>
            <w:pPr>
              <w:spacing w:after="0"/>
              <w:rPr>
                <w:sz w:val="20"/>
                <w:szCs w:val="20"/>
                <w:color w:val="auto"/>
              </w:rPr>
            </w:pPr>
            <w:r>
              <w:rPr>
                <w:rFonts w:ascii="Arial" w:cs="Arial" w:eastAsia="Arial" w:hAnsi="Arial"/>
                <w:sz w:val="20"/>
                <w:szCs w:val="20"/>
                <w:color w:val="auto"/>
              </w:rPr>
              <w:t>First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March 1, 1949</w:t>
            </w:r>
          </w:p>
        </w:tc>
      </w:tr>
      <w:tr>
        <w:trPr>
          <w:trHeight w:val="256"/>
        </w:trPr>
        <w:tc>
          <w:tcPr>
            <w:tcW w:w="5240" w:type="dxa"/>
            <w:vAlign w:val="bottom"/>
            <w:gridSpan w:val="3"/>
          </w:tcPr>
          <w:p>
            <w:pPr>
              <w:spacing w:after="0"/>
              <w:rPr>
                <w:sz w:val="20"/>
                <w:szCs w:val="20"/>
                <w:color w:val="auto"/>
              </w:rPr>
            </w:pPr>
            <w:r>
              <w:rPr>
                <w:rFonts w:ascii="Arial" w:cs="Arial" w:eastAsia="Arial" w:hAnsi="Arial"/>
                <w:sz w:val="20"/>
                <w:szCs w:val="20"/>
                <w:color w:val="auto"/>
              </w:rPr>
              <w:t>Second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July 1, 1951</w:t>
            </w: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Third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March 1, 1957</w:t>
            </w: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Fourth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January 1, 1968</w:t>
            </w: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Fifth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April 1, 1971</w:t>
            </w:r>
          </w:p>
        </w:tc>
      </w:tr>
      <w:tr>
        <w:trPr>
          <w:trHeight w:val="256"/>
        </w:trPr>
        <w:tc>
          <w:tcPr>
            <w:tcW w:w="5240" w:type="dxa"/>
            <w:vAlign w:val="bottom"/>
            <w:gridSpan w:val="3"/>
          </w:tcPr>
          <w:p>
            <w:pPr>
              <w:spacing w:after="0"/>
              <w:rPr>
                <w:sz w:val="20"/>
                <w:szCs w:val="20"/>
                <w:color w:val="auto"/>
              </w:rPr>
            </w:pPr>
            <w:r>
              <w:rPr>
                <w:rFonts w:ascii="Arial" w:cs="Arial" w:eastAsia="Arial" w:hAnsi="Arial"/>
                <w:sz w:val="20"/>
                <w:szCs w:val="20"/>
                <w:color w:val="auto"/>
              </w:rPr>
              <w:t>Sixth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August 1, 1975</w:t>
            </w: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Seventh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w w:val="89"/>
              </w:rPr>
              <w:t>September 1, 1976</w:t>
            </w: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Eighth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w w:val="89"/>
              </w:rPr>
              <w:t>September 1, 1977</w:t>
            </w: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Ninth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April 1, 1978</w:t>
            </w: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Tenth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August 1, 1978</w:t>
            </w:r>
          </w:p>
        </w:tc>
      </w:tr>
      <w:tr>
        <w:trPr>
          <w:trHeight w:val="256"/>
        </w:trPr>
        <w:tc>
          <w:tcPr>
            <w:tcW w:w="5240" w:type="dxa"/>
            <w:vAlign w:val="bottom"/>
            <w:gridSpan w:val="3"/>
          </w:tcPr>
          <w:p>
            <w:pPr>
              <w:spacing w:after="0"/>
              <w:rPr>
                <w:sz w:val="20"/>
                <w:szCs w:val="20"/>
                <w:color w:val="auto"/>
              </w:rPr>
            </w:pPr>
            <w:r>
              <w:rPr>
                <w:rFonts w:ascii="Arial" w:cs="Arial" w:eastAsia="Arial" w:hAnsi="Arial"/>
                <w:sz w:val="20"/>
                <w:szCs w:val="20"/>
                <w:color w:val="auto"/>
              </w:rPr>
              <w:t>Eleventh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w w:val="92"/>
              </w:rPr>
              <w:t>December 1, 1982</w:t>
            </w: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Twelfth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April 1, 1987</w:t>
            </w: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Thirteenth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March 1, 1992</w:t>
            </w: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Fourteenth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June 1, 1992</w:t>
            </w:r>
          </w:p>
        </w:tc>
      </w:tr>
      <w:tr>
        <w:trPr>
          <w:trHeight w:val="256"/>
        </w:trPr>
        <w:tc>
          <w:tcPr>
            <w:tcW w:w="5240" w:type="dxa"/>
            <w:vAlign w:val="bottom"/>
            <w:gridSpan w:val="3"/>
          </w:tcPr>
          <w:p>
            <w:pPr>
              <w:spacing w:after="0"/>
              <w:rPr>
                <w:sz w:val="20"/>
                <w:szCs w:val="20"/>
                <w:color w:val="auto"/>
              </w:rPr>
            </w:pPr>
            <w:r>
              <w:rPr>
                <w:rFonts w:ascii="Arial" w:cs="Arial" w:eastAsia="Arial" w:hAnsi="Arial"/>
                <w:sz w:val="20"/>
                <w:szCs w:val="20"/>
                <w:color w:val="auto"/>
              </w:rPr>
              <w:t>Fifteenth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July 1, 1992</w:t>
            </w: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Sixteenth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July 1, 1992</w:t>
            </w: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Seventeenth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w w:val="99"/>
              </w:rPr>
              <w:t>February 1, 1993</w:t>
            </w: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Eighteenth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July 1, 1993</w:t>
            </w: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Nineteenth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w w:val="99"/>
              </w:rPr>
              <w:t>February 1, 1997</w:t>
            </w:r>
          </w:p>
        </w:tc>
      </w:tr>
      <w:tr>
        <w:trPr>
          <w:trHeight w:val="256"/>
        </w:trPr>
        <w:tc>
          <w:tcPr>
            <w:tcW w:w="5240" w:type="dxa"/>
            <w:vAlign w:val="bottom"/>
            <w:gridSpan w:val="3"/>
          </w:tcPr>
          <w:p>
            <w:pPr>
              <w:spacing w:after="0"/>
              <w:rPr>
                <w:sz w:val="20"/>
                <w:szCs w:val="20"/>
                <w:color w:val="auto"/>
              </w:rPr>
            </w:pPr>
            <w:r>
              <w:rPr>
                <w:rFonts w:ascii="Arial" w:cs="Arial" w:eastAsia="Arial" w:hAnsi="Arial"/>
                <w:sz w:val="20"/>
                <w:szCs w:val="20"/>
                <w:color w:val="auto"/>
              </w:rPr>
              <w:t>Twentieth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w w:val="92"/>
              </w:rPr>
              <w:t>November 1, 1997</w:t>
            </w:r>
          </w:p>
        </w:tc>
      </w:tr>
      <w:tr>
        <w:trPr>
          <w:trHeight w:val="256"/>
        </w:trPr>
        <w:tc>
          <w:tcPr>
            <w:tcW w:w="5240" w:type="dxa"/>
            <w:vAlign w:val="bottom"/>
            <w:gridSpan w:val="3"/>
          </w:tcPr>
          <w:p>
            <w:pPr>
              <w:spacing w:after="0"/>
              <w:rPr>
                <w:sz w:val="20"/>
                <w:szCs w:val="20"/>
                <w:color w:val="auto"/>
              </w:rPr>
            </w:pPr>
            <w:r>
              <w:rPr>
                <w:rFonts w:ascii="Arial" w:cs="Arial" w:eastAsia="Arial" w:hAnsi="Arial"/>
                <w:sz w:val="20"/>
                <w:szCs w:val="20"/>
                <w:color w:val="auto"/>
              </w:rPr>
              <w:t>Twenty-first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October 1, 2000</w:t>
            </w: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Twenty-second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July 1, 2003</w:t>
            </w:r>
          </w:p>
        </w:tc>
      </w:tr>
      <w:tr>
        <w:trPr>
          <w:trHeight w:val="256"/>
        </w:trPr>
        <w:tc>
          <w:tcPr>
            <w:tcW w:w="5240" w:type="dxa"/>
            <w:vAlign w:val="bottom"/>
            <w:gridSpan w:val="3"/>
          </w:tcPr>
          <w:p>
            <w:pPr>
              <w:spacing w:after="0"/>
              <w:rPr>
                <w:sz w:val="20"/>
                <w:szCs w:val="20"/>
                <w:color w:val="auto"/>
              </w:rPr>
            </w:pPr>
            <w:r>
              <w:rPr>
                <w:rFonts w:ascii="Arial" w:cs="Arial" w:eastAsia="Arial" w:hAnsi="Arial"/>
                <w:sz w:val="20"/>
                <w:szCs w:val="20"/>
                <w:color w:val="auto"/>
              </w:rPr>
              <w:t>Twenty-third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August 1, 2004</w:t>
            </w: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Twenty-fourth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March 1, 2005</w:t>
            </w:r>
          </w:p>
        </w:tc>
      </w:tr>
      <w:tr>
        <w:trPr>
          <w:trHeight w:val="256"/>
        </w:trPr>
        <w:tc>
          <w:tcPr>
            <w:tcW w:w="5240" w:type="dxa"/>
            <w:vAlign w:val="bottom"/>
            <w:gridSpan w:val="3"/>
          </w:tcPr>
          <w:p>
            <w:pPr>
              <w:spacing w:after="0"/>
              <w:rPr>
                <w:sz w:val="20"/>
                <w:szCs w:val="20"/>
                <w:color w:val="auto"/>
              </w:rPr>
            </w:pPr>
            <w:r>
              <w:rPr>
                <w:rFonts w:ascii="Arial" w:cs="Arial" w:eastAsia="Arial" w:hAnsi="Arial"/>
                <w:sz w:val="20"/>
                <w:szCs w:val="20"/>
                <w:color w:val="auto"/>
              </w:rPr>
              <w:t>Twenty-fifth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w w:val="92"/>
              </w:rPr>
              <w:t>December 1, 2005</w:t>
            </w: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Twenty-sixth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October 1, 2006</w:t>
            </w: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Twenty-seventh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w w:val="99"/>
              </w:rPr>
              <w:t>February 1, 2008</w:t>
            </w:r>
          </w:p>
        </w:tc>
      </w:tr>
      <w:tr>
        <w:trPr>
          <w:trHeight w:val="256"/>
        </w:trPr>
        <w:tc>
          <w:tcPr>
            <w:tcW w:w="5240" w:type="dxa"/>
            <w:vAlign w:val="bottom"/>
            <w:gridSpan w:val="3"/>
          </w:tcPr>
          <w:p>
            <w:pPr>
              <w:spacing w:after="0"/>
              <w:rPr>
                <w:sz w:val="20"/>
                <w:szCs w:val="20"/>
                <w:color w:val="auto"/>
              </w:rPr>
            </w:pPr>
            <w:r>
              <w:rPr>
                <w:rFonts w:ascii="Arial" w:cs="Arial" w:eastAsia="Arial" w:hAnsi="Arial"/>
                <w:sz w:val="20"/>
                <w:szCs w:val="20"/>
                <w:color w:val="auto"/>
              </w:rPr>
              <w:t>Twenty-eighth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May 1, 2008</w:t>
            </w: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Twenty-ninth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w w:val="92"/>
              </w:rPr>
              <w:t>November 1, 2008</w:t>
            </w:r>
          </w:p>
        </w:tc>
      </w:tr>
      <w:tr>
        <w:trPr>
          <w:trHeight w:val="256"/>
        </w:trPr>
        <w:tc>
          <w:tcPr>
            <w:tcW w:w="5240" w:type="dxa"/>
            <w:vAlign w:val="bottom"/>
            <w:gridSpan w:val="3"/>
          </w:tcPr>
          <w:p>
            <w:pPr>
              <w:spacing w:after="0"/>
              <w:rPr>
                <w:sz w:val="20"/>
                <w:szCs w:val="20"/>
                <w:color w:val="auto"/>
              </w:rPr>
            </w:pPr>
            <w:r>
              <w:rPr>
                <w:rFonts w:ascii="Arial" w:cs="Arial" w:eastAsia="Arial" w:hAnsi="Arial"/>
                <w:sz w:val="20"/>
                <w:szCs w:val="20"/>
                <w:color w:val="auto"/>
              </w:rPr>
              <w:t>Thirtieth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January 1, 2009</w:t>
            </w: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Thirty-first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w w:val="99"/>
              </w:rPr>
              <w:t>February 1, 2010</w:t>
            </w:r>
          </w:p>
        </w:tc>
      </w:tr>
      <w:tr>
        <w:trPr>
          <w:trHeight w:val="256"/>
        </w:trPr>
        <w:tc>
          <w:tcPr>
            <w:tcW w:w="5240" w:type="dxa"/>
            <w:vAlign w:val="bottom"/>
            <w:gridSpan w:val="3"/>
          </w:tcPr>
          <w:p>
            <w:pPr>
              <w:spacing w:after="0"/>
              <w:rPr>
                <w:sz w:val="20"/>
                <w:szCs w:val="20"/>
                <w:color w:val="auto"/>
              </w:rPr>
            </w:pPr>
            <w:r>
              <w:rPr>
                <w:rFonts w:ascii="Arial" w:cs="Arial" w:eastAsia="Arial" w:hAnsi="Arial"/>
                <w:sz w:val="20"/>
                <w:szCs w:val="20"/>
                <w:color w:val="auto"/>
              </w:rPr>
              <w:t>Thirty-second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August 1, 2010</w:t>
            </w: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Thirty-third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July 1, 2012</w:t>
            </w:r>
          </w:p>
        </w:tc>
      </w:tr>
      <w:tr>
        <w:trPr>
          <w:trHeight w:val="256"/>
        </w:trPr>
        <w:tc>
          <w:tcPr>
            <w:tcW w:w="5240" w:type="dxa"/>
            <w:vAlign w:val="bottom"/>
            <w:gridSpan w:val="3"/>
          </w:tcPr>
          <w:p>
            <w:pPr>
              <w:spacing w:after="0"/>
              <w:rPr>
                <w:sz w:val="20"/>
                <w:szCs w:val="20"/>
                <w:color w:val="auto"/>
              </w:rPr>
            </w:pPr>
            <w:r>
              <w:rPr>
                <w:rFonts w:ascii="Arial" w:cs="Arial" w:eastAsia="Arial" w:hAnsi="Arial"/>
                <w:sz w:val="20"/>
                <w:szCs w:val="20"/>
                <w:color w:val="auto"/>
              </w:rPr>
              <w:t>Thirty-fourth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April 1, 2013</w:t>
            </w: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Thirty-fifth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March 1, 2014</w:t>
            </w: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Thirty-sixth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rPr>
              <w:t>June 1, 2014</w:t>
            </w:r>
          </w:p>
        </w:tc>
      </w:tr>
      <w:tr>
        <w:trPr>
          <w:trHeight w:val="256"/>
        </w:trPr>
        <w:tc>
          <w:tcPr>
            <w:tcW w:w="5240" w:type="dxa"/>
            <w:vAlign w:val="bottom"/>
            <w:gridSpan w:val="3"/>
          </w:tcPr>
          <w:p>
            <w:pPr>
              <w:spacing w:after="0"/>
              <w:rPr>
                <w:sz w:val="20"/>
                <w:szCs w:val="20"/>
                <w:color w:val="auto"/>
              </w:rPr>
            </w:pPr>
            <w:r>
              <w:rPr>
                <w:rFonts w:ascii="Arial" w:cs="Arial" w:eastAsia="Arial" w:hAnsi="Arial"/>
                <w:sz w:val="20"/>
                <w:szCs w:val="20"/>
                <w:color w:val="auto"/>
              </w:rPr>
              <w:t>Thirty-seventh Supplemental Indenture</w:t>
            </w:r>
          </w:p>
        </w:tc>
        <w:tc>
          <w:tcPr>
            <w:tcW w:w="3600" w:type="dxa"/>
            <w:vAlign w:val="bottom"/>
            <w:gridSpan w:val="3"/>
          </w:tcPr>
          <w:p>
            <w:pPr>
              <w:ind w:left="2060"/>
              <w:spacing w:after="0"/>
              <w:rPr>
                <w:sz w:val="20"/>
                <w:szCs w:val="20"/>
                <w:color w:val="auto"/>
              </w:rPr>
            </w:pPr>
            <w:r>
              <w:rPr>
                <w:rFonts w:ascii="Arial" w:cs="Arial" w:eastAsia="Arial" w:hAnsi="Arial"/>
                <w:sz w:val="20"/>
                <w:szCs w:val="20"/>
                <w:color w:val="auto"/>
                <w:w w:val="89"/>
              </w:rPr>
              <w:t>September 1, 2014</w:t>
            </w:r>
          </w:p>
        </w:tc>
      </w:tr>
      <w:tr>
        <w:trPr>
          <w:trHeight w:val="209"/>
        </w:trPr>
        <w:tc>
          <w:tcPr>
            <w:tcW w:w="5240" w:type="dxa"/>
            <w:vAlign w:val="bottom"/>
            <w:gridSpan w:val="3"/>
          </w:tcPr>
          <w:p>
            <w:pPr>
              <w:ind w:left="40"/>
              <w:spacing w:after="0" w:line="208" w:lineRule="exact"/>
              <w:rPr>
                <w:sz w:val="20"/>
                <w:szCs w:val="20"/>
                <w:color w:val="auto"/>
              </w:rPr>
            </w:pPr>
            <w:r>
              <w:rPr>
                <w:rFonts w:ascii="Arial" w:cs="Arial" w:eastAsia="Arial" w:hAnsi="Arial"/>
                <w:sz w:val="20"/>
                <w:szCs w:val="20"/>
                <w:color w:val="auto"/>
              </w:rPr>
              <w:t>Thirty-eighth Supplemental Indenture</w:t>
            </w:r>
          </w:p>
        </w:tc>
        <w:tc>
          <w:tcPr>
            <w:tcW w:w="2060" w:type="dxa"/>
            <w:vAlign w:val="bottom"/>
          </w:tcPr>
          <w:p>
            <w:pPr>
              <w:spacing w:after="0"/>
              <w:rPr>
                <w:sz w:val="18"/>
                <w:szCs w:val="18"/>
                <w:color w:val="auto"/>
              </w:rPr>
            </w:pPr>
          </w:p>
        </w:tc>
        <w:tc>
          <w:tcPr>
            <w:tcW w:w="1540" w:type="dxa"/>
            <w:vAlign w:val="bottom"/>
            <w:gridSpan w:val="2"/>
          </w:tcPr>
          <w:p>
            <w:pPr>
              <w:ind w:left="40"/>
              <w:spacing w:after="0" w:line="208" w:lineRule="exact"/>
              <w:rPr>
                <w:sz w:val="20"/>
                <w:szCs w:val="20"/>
                <w:color w:val="auto"/>
              </w:rPr>
            </w:pPr>
            <w:r>
              <w:rPr>
                <w:rFonts w:ascii="Arial" w:cs="Arial" w:eastAsia="Arial" w:hAnsi="Arial"/>
                <w:sz w:val="20"/>
                <w:szCs w:val="20"/>
                <w:color w:val="auto"/>
                <w:w w:val="86"/>
              </w:rPr>
              <w:t>September 1, 2015</w:t>
            </w:r>
          </w:p>
        </w:tc>
      </w:tr>
      <w:tr>
        <w:trPr>
          <w:trHeight w:val="192"/>
        </w:trPr>
        <w:tc>
          <w:tcPr>
            <w:tcW w:w="5240" w:type="dxa"/>
            <w:vAlign w:val="bottom"/>
            <w:gridSpan w:val="3"/>
          </w:tcPr>
          <w:p>
            <w:pPr>
              <w:ind w:left="40"/>
              <w:spacing w:after="0" w:line="192" w:lineRule="exact"/>
              <w:rPr>
                <w:sz w:val="20"/>
                <w:szCs w:val="20"/>
                <w:color w:val="auto"/>
              </w:rPr>
            </w:pPr>
            <w:r>
              <w:rPr>
                <w:rFonts w:ascii="Arial" w:cs="Arial" w:eastAsia="Arial" w:hAnsi="Arial"/>
                <w:sz w:val="20"/>
                <w:szCs w:val="20"/>
                <w:color w:val="auto"/>
              </w:rPr>
              <w:t>Thirty-ninth Supplemental Indenture</w:t>
            </w:r>
          </w:p>
        </w:tc>
        <w:tc>
          <w:tcPr>
            <w:tcW w:w="2060" w:type="dxa"/>
            <w:vAlign w:val="bottom"/>
          </w:tcPr>
          <w:p>
            <w:pPr>
              <w:spacing w:after="0"/>
              <w:rPr>
                <w:sz w:val="16"/>
                <w:szCs w:val="16"/>
                <w:color w:val="auto"/>
              </w:rPr>
            </w:pPr>
          </w:p>
        </w:tc>
        <w:tc>
          <w:tcPr>
            <w:tcW w:w="1540" w:type="dxa"/>
            <w:vAlign w:val="bottom"/>
            <w:gridSpan w:val="2"/>
          </w:tcPr>
          <w:p>
            <w:pPr>
              <w:ind w:left="40"/>
              <w:spacing w:after="0" w:line="192" w:lineRule="exact"/>
              <w:rPr>
                <w:sz w:val="20"/>
                <w:szCs w:val="20"/>
                <w:color w:val="auto"/>
              </w:rPr>
            </w:pPr>
            <w:r>
              <w:rPr>
                <w:rFonts w:ascii="Arial" w:cs="Arial" w:eastAsia="Arial" w:hAnsi="Arial"/>
                <w:sz w:val="20"/>
                <w:szCs w:val="20"/>
                <w:color w:val="auto"/>
              </w:rPr>
              <w:t>April 1, 2018</w:t>
            </w:r>
          </w:p>
        </w:tc>
      </w:tr>
      <w:tr>
        <w:trPr>
          <w:trHeight w:val="199"/>
        </w:trPr>
        <w:tc>
          <w:tcPr>
            <w:tcW w:w="5240" w:type="dxa"/>
            <w:vAlign w:val="bottom"/>
            <w:gridSpan w:val="3"/>
          </w:tcPr>
          <w:p>
            <w:pPr>
              <w:ind w:left="40"/>
              <w:spacing w:after="0" w:line="199" w:lineRule="exact"/>
              <w:rPr>
                <w:sz w:val="20"/>
                <w:szCs w:val="20"/>
                <w:color w:val="auto"/>
              </w:rPr>
            </w:pPr>
            <w:r>
              <w:rPr>
                <w:rFonts w:ascii="Arial" w:cs="Arial" w:eastAsia="Arial" w:hAnsi="Arial"/>
                <w:sz w:val="20"/>
                <w:szCs w:val="20"/>
                <w:color w:val="auto"/>
              </w:rPr>
              <w:t>Fortieth Supplemental Indenture</w:t>
            </w:r>
          </w:p>
        </w:tc>
        <w:tc>
          <w:tcPr>
            <w:tcW w:w="2060" w:type="dxa"/>
            <w:vAlign w:val="bottom"/>
          </w:tcPr>
          <w:p>
            <w:pPr>
              <w:spacing w:after="0"/>
              <w:rPr>
                <w:sz w:val="17"/>
                <w:szCs w:val="17"/>
                <w:color w:val="auto"/>
              </w:rPr>
            </w:pPr>
          </w:p>
        </w:tc>
        <w:tc>
          <w:tcPr>
            <w:tcW w:w="1540" w:type="dxa"/>
            <w:vAlign w:val="bottom"/>
            <w:gridSpan w:val="2"/>
          </w:tcPr>
          <w:p>
            <w:pPr>
              <w:ind w:left="40"/>
              <w:spacing w:after="0" w:line="199" w:lineRule="exact"/>
              <w:rPr>
                <w:sz w:val="20"/>
                <w:szCs w:val="20"/>
                <w:color w:val="auto"/>
              </w:rPr>
            </w:pPr>
            <w:r>
              <w:rPr>
                <w:rFonts w:ascii="Arial" w:cs="Arial" w:eastAsia="Arial" w:hAnsi="Arial"/>
                <w:sz w:val="20"/>
                <w:szCs w:val="20"/>
                <w:color w:val="auto"/>
              </w:rPr>
              <w:t>March 1, 2019</w:t>
            </w:r>
          </w:p>
        </w:tc>
      </w:tr>
      <w:tr>
        <w:trPr>
          <w:trHeight w:val="203"/>
        </w:trPr>
        <w:tc>
          <w:tcPr>
            <w:tcW w:w="5240" w:type="dxa"/>
            <w:vAlign w:val="bottom"/>
            <w:gridSpan w:val="3"/>
          </w:tcPr>
          <w:p>
            <w:pPr>
              <w:ind w:left="40"/>
              <w:spacing w:after="0" w:line="203" w:lineRule="exact"/>
              <w:rPr>
                <w:sz w:val="20"/>
                <w:szCs w:val="20"/>
                <w:color w:val="auto"/>
              </w:rPr>
            </w:pPr>
            <w:r>
              <w:rPr>
                <w:rFonts w:ascii="Arial" w:cs="Arial" w:eastAsia="Arial" w:hAnsi="Arial"/>
                <w:sz w:val="20"/>
                <w:szCs w:val="20"/>
                <w:color w:val="auto"/>
              </w:rPr>
              <w:t>Forty-first Supplemental Indenture</w:t>
            </w:r>
          </w:p>
        </w:tc>
        <w:tc>
          <w:tcPr>
            <w:tcW w:w="2060" w:type="dxa"/>
            <w:vAlign w:val="bottom"/>
          </w:tcPr>
          <w:p>
            <w:pPr>
              <w:spacing w:after="0"/>
              <w:rPr>
                <w:sz w:val="17"/>
                <w:szCs w:val="17"/>
                <w:color w:val="auto"/>
              </w:rPr>
            </w:pPr>
          </w:p>
        </w:tc>
        <w:tc>
          <w:tcPr>
            <w:tcW w:w="1540" w:type="dxa"/>
            <w:vAlign w:val="bottom"/>
            <w:gridSpan w:val="2"/>
          </w:tcPr>
          <w:p>
            <w:pPr>
              <w:ind w:left="40"/>
              <w:spacing w:after="0" w:line="203" w:lineRule="exact"/>
              <w:rPr>
                <w:sz w:val="20"/>
                <w:szCs w:val="20"/>
                <w:color w:val="auto"/>
              </w:rPr>
            </w:pPr>
            <w:r>
              <w:rPr>
                <w:rFonts w:ascii="Arial" w:cs="Arial" w:eastAsia="Arial" w:hAnsi="Arial"/>
                <w:sz w:val="20"/>
                <w:szCs w:val="20"/>
                <w:color w:val="auto"/>
              </w:rPr>
              <w:t>August 1, 2020</w:t>
            </w:r>
          </w:p>
        </w:tc>
      </w:tr>
      <w:tr>
        <w:trPr>
          <w:trHeight w:val="250"/>
        </w:trPr>
        <w:tc>
          <w:tcPr>
            <w:tcW w:w="5240" w:type="dxa"/>
            <w:vAlign w:val="bottom"/>
            <w:gridSpan w:val="3"/>
          </w:tcPr>
          <w:p>
            <w:pPr>
              <w:ind w:left="40"/>
              <w:spacing w:after="0"/>
              <w:rPr>
                <w:sz w:val="20"/>
                <w:szCs w:val="20"/>
                <w:color w:val="auto"/>
              </w:rPr>
            </w:pPr>
            <w:r>
              <w:rPr>
                <w:rFonts w:ascii="Arial" w:cs="Arial" w:eastAsia="Arial" w:hAnsi="Arial"/>
                <w:sz w:val="20"/>
                <w:szCs w:val="20"/>
                <w:color w:val="auto"/>
              </w:rPr>
              <w:t>Forty-second Supplemental Indenture</w:t>
            </w:r>
          </w:p>
        </w:tc>
        <w:tc>
          <w:tcPr>
            <w:tcW w:w="2060" w:type="dxa"/>
            <w:vAlign w:val="bottom"/>
          </w:tcPr>
          <w:p>
            <w:pPr>
              <w:spacing w:after="0"/>
              <w:rPr>
                <w:sz w:val="21"/>
                <w:szCs w:val="21"/>
                <w:color w:val="auto"/>
              </w:rPr>
            </w:pPr>
          </w:p>
        </w:tc>
        <w:tc>
          <w:tcPr>
            <w:tcW w:w="1540" w:type="dxa"/>
            <w:vAlign w:val="bottom"/>
            <w:gridSpan w:val="2"/>
          </w:tcPr>
          <w:p>
            <w:pPr>
              <w:ind w:left="40"/>
              <w:spacing w:after="0"/>
              <w:rPr>
                <w:sz w:val="20"/>
                <w:szCs w:val="20"/>
                <w:color w:val="auto"/>
              </w:rPr>
            </w:pPr>
            <w:r>
              <w:rPr>
                <w:rFonts w:ascii="Arial" w:cs="Arial" w:eastAsia="Arial" w:hAnsi="Arial"/>
                <w:sz w:val="20"/>
                <w:szCs w:val="20"/>
                <w:color w:val="auto"/>
                <w:w w:val="86"/>
              </w:rPr>
              <w:t>September 1, 2021</w:t>
            </w:r>
          </w:p>
        </w:tc>
      </w:tr>
    </w:tbl>
    <w:p>
      <w:pPr>
        <w:spacing w:after="0" w:line="87"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which supplemental indentures were filed and recorded in various official records in the State of Minnesota and the State of North Dakota; and</w:t>
      </w:r>
    </w:p>
    <w:p>
      <w:pPr>
        <w:sectPr>
          <w:pgSz w:w="11900" w:h="16838" w:orient="portrait"/>
          <w:cols w:equalWidth="0" w:num="1">
            <w:col w:w="11240"/>
          </w:cols>
          <w:pgMar w:left="320" w:top="14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435" w:right="339" w:bottom="1440" w:gutter="0" w:footer="0" w:header="0"/>
          <w:type w:val="continuous"/>
        </w:sectPr>
      </w:pPr>
    </w:p>
    <w:bookmarkStart w:id="53" w:name="page54"/>
    <w:bookmarkEnd w:id="53"/>
    <w:p>
      <w:pPr>
        <w:ind w:firstLine="648"/>
        <w:spacing w:after="0" w:line="288" w:lineRule="auto"/>
        <w:rPr>
          <w:sz w:val="20"/>
          <w:szCs w:val="20"/>
          <w:color w:val="auto"/>
        </w:rPr>
      </w:pPr>
      <w:r>
        <w:rPr>
          <w:rFonts w:ascii="Arial" w:cs="Arial" w:eastAsia="Arial" w:hAnsi="Arial"/>
          <w:sz w:val="20"/>
          <w:szCs w:val="20"/>
          <w:color w:val="auto"/>
        </w:rPr>
        <w:t>Whereas, the Company has heretofore issued, in accordance with the provisions of the Mortgage, as heretofore supplemented, the following series of First Mortgage Bonds: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880" w:type="dxa"/>
            <w:vAlign w:val="bottom"/>
            <w:gridSpan w:val="3"/>
          </w:tcPr>
          <w:p>
            <w:pPr>
              <w:jc w:val="center"/>
              <w:ind w:left="1841"/>
              <w:spacing w:after="0"/>
              <w:rPr>
                <w:sz w:val="20"/>
                <w:szCs w:val="20"/>
                <w:color w:val="auto"/>
              </w:rPr>
            </w:pPr>
            <w:r>
              <w:rPr>
                <w:rFonts w:ascii="Arial" w:cs="Arial" w:eastAsia="Arial" w:hAnsi="Arial"/>
                <w:sz w:val="20"/>
                <w:szCs w:val="20"/>
                <w:b w:val="1"/>
                <w:bCs w:val="1"/>
                <w:color w:val="auto"/>
                <w:w w:val="92"/>
              </w:rPr>
              <w:t>Principal</w:t>
            </w:r>
          </w:p>
        </w:tc>
        <w:tc>
          <w:tcPr>
            <w:tcW w:w="5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20"/>
                <w:szCs w:val="20"/>
                <w:b w:val="1"/>
                <w:bCs w:val="1"/>
                <w:color w:val="auto"/>
                <w:w w:val="92"/>
              </w:rPr>
              <w:t>Principal</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340" w:type="dxa"/>
            <w:vAlign w:val="bottom"/>
            <w:gridSpan w:val="2"/>
          </w:tcPr>
          <w:p>
            <w:pPr>
              <w:jc w:val="center"/>
              <w:ind w:right="600"/>
              <w:spacing w:after="0" w:line="203" w:lineRule="exact"/>
              <w:rPr>
                <w:sz w:val="20"/>
                <w:szCs w:val="20"/>
                <w:color w:val="auto"/>
              </w:rPr>
            </w:pPr>
            <w:r>
              <w:rPr>
                <w:rFonts w:ascii="Arial" w:cs="Arial" w:eastAsia="Arial" w:hAnsi="Arial"/>
                <w:sz w:val="20"/>
                <w:szCs w:val="20"/>
                <w:b w:val="1"/>
                <w:bCs w:val="1"/>
                <w:color w:val="auto"/>
                <w:w w:val="92"/>
              </w:rPr>
              <w:t>Amount</w:t>
            </w:r>
          </w:p>
        </w:tc>
        <w:tc>
          <w:tcPr>
            <w:tcW w:w="56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Arial" w:cs="Arial" w:eastAsia="Arial" w:hAnsi="Arial"/>
                <w:sz w:val="20"/>
                <w:szCs w:val="20"/>
                <w:b w:val="1"/>
                <w:bCs w:val="1"/>
                <w:color w:val="auto"/>
                <w:w w:val="92"/>
              </w:rPr>
              <w:t>Amount</w:t>
            </w:r>
          </w:p>
        </w:tc>
        <w:tc>
          <w:tcPr>
            <w:tcW w:w="0" w:type="dxa"/>
            <w:vAlign w:val="bottom"/>
          </w:tcPr>
          <w:p>
            <w:pPr>
              <w:spacing w:after="0"/>
              <w:rPr>
                <w:sz w:val="1"/>
                <w:szCs w:val="1"/>
                <w:color w:val="auto"/>
              </w:rPr>
            </w:pPr>
          </w:p>
        </w:tc>
      </w:tr>
      <w:tr>
        <w:trPr>
          <w:trHeight w:val="212"/>
        </w:trPr>
        <w:tc>
          <w:tcPr>
            <w:tcW w:w="520" w:type="dxa"/>
            <w:vAlign w:val="bottom"/>
            <w:vMerge w:val="restart"/>
          </w:tcPr>
          <w:p>
            <w:pPr>
              <w:spacing w:after="0"/>
              <w:rPr>
                <w:sz w:val="20"/>
                <w:szCs w:val="20"/>
                <w:color w:val="auto"/>
              </w:rPr>
            </w:pPr>
            <w:r>
              <w:rPr>
                <w:rFonts w:ascii="Arial" w:cs="Arial" w:eastAsia="Arial" w:hAnsi="Arial"/>
                <w:sz w:val="20"/>
                <w:szCs w:val="20"/>
                <w:b w:val="1"/>
                <w:bCs w:val="1"/>
                <w:color w:val="auto"/>
                <w:w w:val="83"/>
              </w:rPr>
              <w:t>Series</w:t>
            </w:r>
          </w:p>
        </w:tc>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40" w:type="dxa"/>
            <w:vAlign w:val="bottom"/>
            <w:gridSpan w:val="2"/>
          </w:tcPr>
          <w:p>
            <w:pPr>
              <w:jc w:val="center"/>
              <w:ind w:right="600"/>
              <w:spacing w:after="0" w:line="212" w:lineRule="exact"/>
              <w:rPr>
                <w:sz w:val="20"/>
                <w:szCs w:val="20"/>
                <w:color w:val="auto"/>
              </w:rPr>
            </w:pPr>
            <w:r>
              <w:rPr>
                <w:rFonts w:ascii="Arial" w:cs="Arial" w:eastAsia="Arial" w:hAnsi="Arial"/>
                <w:sz w:val="20"/>
                <w:szCs w:val="20"/>
                <w:b w:val="1"/>
                <w:bCs w:val="1"/>
                <w:color w:val="auto"/>
                <w:w w:val="85"/>
              </w:rPr>
              <w:t>Issued</w:t>
            </w:r>
          </w:p>
        </w:tc>
        <w:tc>
          <w:tcPr>
            <w:tcW w:w="1620" w:type="dxa"/>
            <w:vAlign w:val="bottom"/>
            <w:gridSpan w:val="2"/>
          </w:tcPr>
          <w:p>
            <w:pPr>
              <w:jc w:val="center"/>
              <w:ind w:left="461"/>
              <w:spacing w:after="0" w:line="212" w:lineRule="exact"/>
              <w:rPr>
                <w:sz w:val="20"/>
                <w:szCs w:val="20"/>
                <w:color w:val="auto"/>
              </w:rPr>
            </w:pPr>
            <w:r>
              <w:rPr>
                <w:rFonts w:ascii="Arial" w:cs="Arial" w:eastAsia="Arial" w:hAnsi="Arial"/>
                <w:sz w:val="20"/>
                <w:szCs w:val="20"/>
                <w:b w:val="1"/>
                <w:bCs w:val="1"/>
                <w:color w:val="auto"/>
                <w:w w:val="89"/>
              </w:rPr>
              <w:t>Outstanding</w:t>
            </w:r>
          </w:p>
        </w:tc>
        <w:tc>
          <w:tcPr>
            <w:tcW w:w="0" w:type="dxa"/>
            <w:vAlign w:val="bottom"/>
          </w:tcPr>
          <w:p>
            <w:pPr>
              <w:spacing w:after="0"/>
              <w:rPr>
                <w:sz w:val="1"/>
                <w:szCs w:val="1"/>
                <w:color w:val="auto"/>
              </w:rPr>
            </w:pPr>
          </w:p>
        </w:tc>
      </w:tr>
      <w:tr>
        <w:trPr>
          <w:trHeight w:val="188"/>
        </w:trPr>
        <w:tc>
          <w:tcPr>
            <w:tcW w:w="52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7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5240" w:type="dxa"/>
            <w:vAlign w:val="bottom"/>
            <w:gridSpan w:val="3"/>
          </w:tcPr>
          <w:p>
            <w:pPr>
              <w:spacing w:after="0"/>
              <w:rPr>
                <w:sz w:val="20"/>
                <w:szCs w:val="20"/>
                <w:color w:val="auto"/>
              </w:rPr>
            </w:pPr>
            <w:r>
              <w:rPr>
                <w:rFonts w:ascii="Arial" w:cs="Arial" w:eastAsia="Arial" w:hAnsi="Arial"/>
                <w:sz w:val="20"/>
                <w:szCs w:val="20"/>
                <w:color w:val="auto"/>
              </w:rPr>
              <w:t>3-1/8% Series due 1975</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$26,000,000</w:t>
            </w: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3-1/8% Series due 1979</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4,000,000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3-5/8% Series due 1981</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10,000,000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6"/>
        </w:trPr>
        <w:tc>
          <w:tcPr>
            <w:tcW w:w="5240" w:type="dxa"/>
            <w:vAlign w:val="bottom"/>
            <w:gridSpan w:val="3"/>
          </w:tcPr>
          <w:p>
            <w:pPr>
              <w:spacing w:after="0"/>
              <w:rPr>
                <w:sz w:val="20"/>
                <w:szCs w:val="20"/>
                <w:color w:val="auto"/>
              </w:rPr>
            </w:pPr>
            <w:r>
              <w:rPr>
                <w:rFonts w:ascii="Arial" w:cs="Arial" w:eastAsia="Arial" w:hAnsi="Arial"/>
                <w:sz w:val="20"/>
                <w:szCs w:val="20"/>
                <w:color w:val="auto"/>
              </w:rPr>
              <w:t>4-3/4% Series due 1987</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12,000,000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6-1/2% Series due 1998</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18,000,000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8-1/8% Series due 2001</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23,000,000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10-1/2% Series due 2005</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35,000,000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7"/>
        </w:trPr>
        <w:tc>
          <w:tcPr>
            <w:tcW w:w="540" w:type="dxa"/>
            <w:vAlign w:val="bottom"/>
            <w:gridSpan w:val="2"/>
          </w:tcPr>
          <w:p>
            <w:pPr>
              <w:spacing w:after="0"/>
              <w:rPr>
                <w:sz w:val="20"/>
                <w:szCs w:val="20"/>
                <w:color w:val="auto"/>
              </w:rPr>
            </w:pPr>
            <w:r>
              <w:rPr>
                <w:rFonts w:ascii="Arial" w:cs="Arial" w:eastAsia="Arial" w:hAnsi="Arial"/>
                <w:sz w:val="20"/>
                <w:szCs w:val="20"/>
                <w:color w:val="auto"/>
                <w:w w:val="91"/>
              </w:rPr>
              <w:t>8.70%</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2006</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35,000,000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6"/>
        </w:trPr>
        <w:tc>
          <w:tcPr>
            <w:tcW w:w="540" w:type="dxa"/>
            <w:vAlign w:val="bottom"/>
            <w:gridSpan w:val="2"/>
          </w:tcPr>
          <w:p>
            <w:pPr>
              <w:spacing w:after="0"/>
              <w:rPr>
                <w:sz w:val="20"/>
                <w:szCs w:val="20"/>
                <w:color w:val="auto"/>
              </w:rPr>
            </w:pPr>
            <w:r>
              <w:rPr>
                <w:rFonts w:ascii="Arial" w:cs="Arial" w:eastAsia="Arial" w:hAnsi="Arial"/>
                <w:sz w:val="20"/>
                <w:szCs w:val="20"/>
                <w:color w:val="auto"/>
                <w:w w:val="91"/>
              </w:rPr>
              <w:t>8.35%</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2007</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50,000,000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9-1/4% Series due 2008</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50,000,000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Pollution Control Series A</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111,000,000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Industrial Development Series A</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2,500,000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6"/>
        </w:trPr>
        <w:tc>
          <w:tcPr>
            <w:tcW w:w="5240" w:type="dxa"/>
            <w:vAlign w:val="bottom"/>
            <w:gridSpan w:val="3"/>
          </w:tcPr>
          <w:p>
            <w:pPr>
              <w:spacing w:after="0"/>
              <w:rPr>
                <w:sz w:val="20"/>
                <w:szCs w:val="20"/>
                <w:color w:val="auto"/>
              </w:rPr>
            </w:pPr>
            <w:r>
              <w:rPr>
                <w:rFonts w:ascii="Arial" w:cs="Arial" w:eastAsia="Arial" w:hAnsi="Arial"/>
                <w:sz w:val="20"/>
                <w:szCs w:val="20"/>
                <w:color w:val="auto"/>
              </w:rPr>
              <w:t>Industrial Development Series B</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1,800,000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6"/>
        </w:trPr>
        <w:tc>
          <w:tcPr>
            <w:tcW w:w="5240" w:type="dxa"/>
            <w:vAlign w:val="bottom"/>
            <w:gridSpan w:val="3"/>
          </w:tcPr>
          <w:p>
            <w:pPr>
              <w:spacing w:after="0"/>
              <w:rPr>
                <w:sz w:val="20"/>
                <w:szCs w:val="20"/>
                <w:color w:val="auto"/>
              </w:rPr>
            </w:pPr>
            <w:r>
              <w:rPr>
                <w:rFonts w:ascii="Arial" w:cs="Arial" w:eastAsia="Arial" w:hAnsi="Arial"/>
                <w:sz w:val="20"/>
                <w:szCs w:val="20"/>
                <w:color w:val="auto"/>
              </w:rPr>
              <w:t>Industrial Development Series C</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1,150,000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Pollution Control Series B</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13,500,000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Pollution Control Series C</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2,000,000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6"/>
        </w:trPr>
        <w:tc>
          <w:tcPr>
            <w:tcW w:w="5240" w:type="dxa"/>
            <w:vAlign w:val="bottom"/>
            <w:gridSpan w:val="3"/>
          </w:tcPr>
          <w:p>
            <w:pPr>
              <w:spacing w:after="0"/>
              <w:rPr>
                <w:sz w:val="20"/>
                <w:szCs w:val="20"/>
                <w:color w:val="auto"/>
              </w:rPr>
            </w:pPr>
            <w:r>
              <w:rPr>
                <w:rFonts w:ascii="Arial" w:cs="Arial" w:eastAsia="Arial" w:hAnsi="Arial"/>
                <w:sz w:val="20"/>
                <w:szCs w:val="20"/>
                <w:color w:val="auto"/>
              </w:rPr>
              <w:t>Pollution Control Series D</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3,600,000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7-3/4% Series due 1994</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55,000,000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6"/>
        </w:trPr>
        <w:tc>
          <w:tcPr>
            <w:tcW w:w="5240" w:type="dxa"/>
            <w:vAlign w:val="bottom"/>
            <w:gridSpan w:val="3"/>
          </w:tcPr>
          <w:p>
            <w:pPr>
              <w:spacing w:after="0"/>
              <w:rPr>
                <w:sz w:val="20"/>
                <w:szCs w:val="20"/>
                <w:color w:val="auto"/>
              </w:rPr>
            </w:pPr>
            <w:r>
              <w:rPr>
                <w:rFonts w:ascii="Arial" w:cs="Arial" w:eastAsia="Arial" w:hAnsi="Arial"/>
                <w:sz w:val="20"/>
                <w:szCs w:val="20"/>
                <w:color w:val="auto"/>
              </w:rPr>
              <w:t>7-3/8% Series due March 1, 1997</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60,000,000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7-3/4% Series due June 1, 2007</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55,000,000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6"/>
        </w:trPr>
        <w:tc>
          <w:tcPr>
            <w:tcW w:w="5240" w:type="dxa"/>
            <w:vAlign w:val="bottom"/>
            <w:gridSpan w:val="3"/>
          </w:tcPr>
          <w:p>
            <w:pPr>
              <w:spacing w:after="0"/>
              <w:rPr>
                <w:sz w:val="20"/>
                <w:szCs w:val="20"/>
                <w:color w:val="auto"/>
              </w:rPr>
            </w:pPr>
            <w:r>
              <w:rPr>
                <w:rFonts w:ascii="Arial" w:cs="Arial" w:eastAsia="Arial" w:hAnsi="Arial"/>
                <w:sz w:val="20"/>
                <w:szCs w:val="20"/>
                <w:color w:val="auto"/>
              </w:rPr>
              <w:t>7-1/2% Series due August 1, 2007</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35,000,000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Pollution Control Series E</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111,000,000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6"/>
        </w:trPr>
        <w:tc>
          <w:tcPr>
            <w:tcW w:w="5240" w:type="dxa"/>
            <w:vAlign w:val="bottom"/>
            <w:gridSpan w:val="3"/>
          </w:tcPr>
          <w:p>
            <w:pPr>
              <w:spacing w:after="0"/>
              <w:rPr>
                <w:sz w:val="20"/>
                <w:szCs w:val="20"/>
                <w:color w:val="auto"/>
              </w:rPr>
            </w:pPr>
            <w:r>
              <w:rPr>
                <w:rFonts w:ascii="Arial" w:cs="Arial" w:eastAsia="Arial" w:hAnsi="Arial"/>
                <w:sz w:val="20"/>
                <w:szCs w:val="20"/>
                <w:color w:val="auto"/>
              </w:rPr>
              <w:t>7% Series due March 1, 2008</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50,000,000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6-1/4% Series due July 1, 2003</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25,000,000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7% Series due February 15, 2007</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60,000,000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6"/>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6.68%</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November 15, 2007</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20,000,000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Floating Rate Series due October 20, 2003</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250,000,000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6"/>
        </w:trPr>
        <w:tc>
          <w:tcPr>
            <w:tcW w:w="5240" w:type="dxa"/>
            <w:vAlign w:val="bottom"/>
            <w:gridSpan w:val="3"/>
          </w:tcPr>
          <w:p>
            <w:pPr>
              <w:spacing w:after="0"/>
              <w:rPr>
                <w:sz w:val="20"/>
                <w:szCs w:val="20"/>
                <w:color w:val="auto"/>
              </w:rPr>
            </w:pPr>
            <w:r>
              <w:rPr>
                <w:rFonts w:ascii="Arial" w:cs="Arial" w:eastAsia="Arial" w:hAnsi="Arial"/>
                <w:sz w:val="20"/>
                <w:szCs w:val="20"/>
                <w:color w:val="auto"/>
              </w:rPr>
              <w:t>Collateral Series A</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255,000,000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Arial" w:cs="Arial" w:eastAsia="Arial" w:hAnsi="Arial"/>
                <w:sz w:val="20"/>
                <w:szCs w:val="20"/>
                <w:color w:val="auto"/>
              </w:rPr>
              <w:t>Pollution Control Series F</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111,000,000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6"/>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5.28%</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August 1, 2020</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35,000,000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7"/>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5.69%</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March 1, 2036</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50,000,000</w:t>
            </w:r>
          </w:p>
        </w:tc>
        <w:tc>
          <w:tcPr>
            <w:tcW w:w="600" w:type="dxa"/>
            <w:vAlign w:val="bottom"/>
          </w:tcPr>
          <w:p>
            <w:pPr>
              <w:spacing w:after="0"/>
              <w:rPr>
                <w:sz w:val="22"/>
                <w:szCs w:val="22"/>
                <w:color w:val="auto"/>
              </w:rPr>
            </w:pPr>
          </w:p>
        </w:tc>
        <w:tc>
          <w:tcPr>
            <w:tcW w:w="1620" w:type="dxa"/>
            <w:vAlign w:val="bottom"/>
            <w:gridSpan w:val="2"/>
          </w:tcPr>
          <w:p>
            <w:pPr>
              <w:jc w:val="center"/>
              <w:ind w:left="461"/>
              <w:spacing w:after="0"/>
              <w:rPr>
                <w:sz w:val="20"/>
                <w:szCs w:val="20"/>
                <w:color w:val="auto"/>
              </w:rPr>
            </w:pPr>
            <w:r>
              <w:rPr>
                <w:rFonts w:ascii="Arial" w:cs="Arial" w:eastAsia="Arial" w:hAnsi="Arial"/>
                <w:sz w:val="20"/>
                <w:szCs w:val="20"/>
                <w:color w:val="auto"/>
                <w:w w:val="89"/>
              </w:rPr>
              <w:t>50,000,000</w:t>
            </w:r>
          </w:p>
        </w:tc>
        <w:tc>
          <w:tcPr>
            <w:tcW w:w="0" w:type="dxa"/>
            <w:vAlign w:val="bottom"/>
          </w:tcPr>
          <w:p>
            <w:pPr>
              <w:spacing w:after="0"/>
              <w:rPr>
                <w:sz w:val="1"/>
                <w:szCs w:val="1"/>
                <w:color w:val="auto"/>
              </w:rPr>
            </w:pPr>
          </w:p>
        </w:tc>
      </w:tr>
      <w:tr>
        <w:trPr>
          <w:trHeight w:val="256"/>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5.99%</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February 1, 2027</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60,000,000</w:t>
            </w:r>
          </w:p>
        </w:tc>
        <w:tc>
          <w:tcPr>
            <w:tcW w:w="600" w:type="dxa"/>
            <w:vAlign w:val="bottom"/>
          </w:tcPr>
          <w:p>
            <w:pPr>
              <w:spacing w:after="0"/>
              <w:rPr>
                <w:sz w:val="22"/>
                <w:szCs w:val="22"/>
                <w:color w:val="auto"/>
              </w:rPr>
            </w:pPr>
          </w:p>
        </w:tc>
        <w:tc>
          <w:tcPr>
            <w:tcW w:w="1620" w:type="dxa"/>
            <w:vAlign w:val="bottom"/>
            <w:gridSpan w:val="2"/>
          </w:tcPr>
          <w:p>
            <w:pPr>
              <w:jc w:val="center"/>
              <w:ind w:left="461"/>
              <w:spacing w:after="0"/>
              <w:rPr>
                <w:sz w:val="20"/>
                <w:szCs w:val="20"/>
                <w:color w:val="auto"/>
              </w:rPr>
            </w:pPr>
            <w:r>
              <w:rPr>
                <w:rFonts w:ascii="Arial" w:cs="Arial" w:eastAsia="Arial" w:hAnsi="Arial"/>
                <w:sz w:val="20"/>
                <w:szCs w:val="20"/>
                <w:color w:val="auto"/>
                <w:w w:val="89"/>
              </w:rPr>
              <w:t>60,000,000</w:t>
            </w:r>
          </w:p>
        </w:tc>
        <w:tc>
          <w:tcPr>
            <w:tcW w:w="0" w:type="dxa"/>
            <w:vAlign w:val="bottom"/>
          </w:tcPr>
          <w:p>
            <w:pPr>
              <w:spacing w:after="0"/>
              <w:rPr>
                <w:sz w:val="1"/>
                <w:szCs w:val="1"/>
                <w:color w:val="auto"/>
              </w:rPr>
            </w:pPr>
          </w:p>
        </w:tc>
      </w:tr>
      <w:tr>
        <w:trPr>
          <w:trHeight w:val="257"/>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4.86%</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April 1, 2013</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60,000,000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6"/>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6.02%</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May 1, 2023</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75,000,000</w:t>
            </w:r>
          </w:p>
        </w:tc>
        <w:tc>
          <w:tcPr>
            <w:tcW w:w="600" w:type="dxa"/>
            <w:vAlign w:val="bottom"/>
          </w:tcPr>
          <w:p>
            <w:pPr>
              <w:spacing w:after="0"/>
              <w:rPr>
                <w:sz w:val="22"/>
                <w:szCs w:val="22"/>
                <w:color w:val="auto"/>
              </w:rPr>
            </w:pPr>
          </w:p>
        </w:tc>
        <w:tc>
          <w:tcPr>
            <w:tcW w:w="1620" w:type="dxa"/>
            <w:vAlign w:val="bottom"/>
            <w:gridSpan w:val="2"/>
          </w:tcPr>
          <w:p>
            <w:pPr>
              <w:jc w:val="center"/>
              <w:ind w:left="461"/>
              <w:spacing w:after="0"/>
              <w:rPr>
                <w:sz w:val="20"/>
                <w:szCs w:val="20"/>
                <w:color w:val="auto"/>
              </w:rPr>
            </w:pPr>
            <w:r>
              <w:rPr>
                <w:rFonts w:ascii="Arial" w:cs="Arial" w:eastAsia="Arial" w:hAnsi="Arial"/>
                <w:sz w:val="20"/>
                <w:szCs w:val="20"/>
                <w:color w:val="auto"/>
                <w:w w:val="89"/>
              </w:rPr>
              <w:t>75,000,000</w:t>
            </w:r>
          </w:p>
        </w:tc>
        <w:tc>
          <w:tcPr>
            <w:tcW w:w="0" w:type="dxa"/>
            <w:vAlign w:val="bottom"/>
          </w:tcPr>
          <w:p>
            <w:pPr>
              <w:spacing w:after="0"/>
              <w:rPr>
                <w:sz w:val="1"/>
                <w:szCs w:val="1"/>
                <w:color w:val="auto"/>
              </w:rPr>
            </w:pPr>
          </w:p>
        </w:tc>
      </w:tr>
      <w:tr>
        <w:trPr>
          <w:trHeight w:val="257"/>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6.94%</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January 15, 2014</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18,000,000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6"/>
        </w:trPr>
        <w:tc>
          <w:tcPr>
            <w:tcW w:w="540" w:type="dxa"/>
            <w:vAlign w:val="bottom"/>
            <w:gridSpan w:val="2"/>
          </w:tcPr>
          <w:p>
            <w:pPr>
              <w:spacing w:after="0"/>
              <w:rPr>
                <w:sz w:val="20"/>
                <w:szCs w:val="20"/>
                <w:color w:val="auto"/>
              </w:rPr>
            </w:pPr>
            <w:r>
              <w:rPr>
                <w:rFonts w:ascii="Arial" w:cs="Arial" w:eastAsia="Arial" w:hAnsi="Arial"/>
                <w:sz w:val="20"/>
                <w:szCs w:val="20"/>
                <w:color w:val="auto"/>
                <w:w w:val="91"/>
              </w:rPr>
              <w:t>7.70%</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January 15, 2016</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20,000,000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6"/>
        </w:trPr>
        <w:tc>
          <w:tcPr>
            <w:tcW w:w="540" w:type="dxa"/>
            <w:vAlign w:val="bottom"/>
            <w:gridSpan w:val="2"/>
          </w:tcPr>
          <w:p>
            <w:pPr>
              <w:spacing w:after="0"/>
              <w:rPr>
                <w:sz w:val="20"/>
                <w:szCs w:val="20"/>
                <w:color w:val="auto"/>
              </w:rPr>
            </w:pPr>
            <w:r>
              <w:rPr>
                <w:rFonts w:ascii="Arial" w:cs="Arial" w:eastAsia="Arial" w:hAnsi="Arial"/>
                <w:sz w:val="20"/>
                <w:szCs w:val="20"/>
                <w:color w:val="auto"/>
                <w:w w:val="91"/>
              </w:rPr>
              <w:t>8.17%</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January 15, 2019</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42,000,000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6"/>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4.85%</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April 15, 2021</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15,000,000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c>
          <w:tcPr>
            <w:tcW w:w="0" w:type="dxa"/>
            <w:vAlign w:val="bottom"/>
          </w:tcPr>
          <w:p>
            <w:pPr>
              <w:spacing w:after="0"/>
              <w:rPr>
                <w:sz w:val="1"/>
                <w:szCs w:val="1"/>
                <w:color w:val="auto"/>
              </w:rPr>
            </w:pPr>
          </w:p>
        </w:tc>
      </w:tr>
      <w:tr>
        <w:trPr>
          <w:trHeight w:val="256"/>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5.10%</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April 15, 2025</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30,000,000</w:t>
            </w:r>
          </w:p>
        </w:tc>
        <w:tc>
          <w:tcPr>
            <w:tcW w:w="600" w:type="dxa"/>
            <w:vAlign w:val="bottom"/>
          </w:tcPr>
          <w:p>
            <w:pPr>
              <w:spacing w:after="0"/>
              <w:rPr>
                <w:sz w:val="22"/>
                <w:szCs w:val="22"/>
                <w:color w:val="auto"/>
              </w:rPr>
            </w:pPr>
          </w:p>
        </w:tc>
        <w:tc>
          <w:tcPr>
            <w:tcW w:w="1620" w:type="dxa"/>
            <w:vAlign w:val="bottom"/>
            <w:gridSpan w:val="2"/>
          </w:tcPr>
          <w:p>
            <w:pPr>
              <w:jc w:val="center"/>
              <w:ind w:left="461"/>
              <w:spacing w:after="0"/>
              <w:rPr>
                <w:sz w:val="20"/>
                <w:szCs w:val="20"/>
                <w:color w:val="auto"/>
              </w:rPr>
            </w:pPr>
            <w:r>
              <w:rPr>
                <w:rFonts w:ascii="Arial" w:cs="Arial" w:eastAsia="Arial" w:hAnsi="Arial"/>
                <w:sz w:val="20"/>
                <w:szCs w:val="20"/>
                <w:color w:val="auto"/>
                <w:w w:val="89"/>
              </w:rPr>
              <w:t>30,000,000</w:t>
            </w:r>
          </w:p>
        </w:tc>
        <w:tc>
          <w:tcPr>
            <w:tcW w:w="0" w:type="dxa"/>
            <w:vAlign w:val="bottom"/>
          </w:tcPr>
          <w:p>
            <w:pPr>
              <w:spacing w:after="0"/>
              <w:rPr>
                <w:sz w:val="1"/>
                <w:szCs w:val="1"/>
                <w:color w:val="auto"/>
              </w:rPr>
            </w:pPr>
          </w:p>
        </w:tc>
      </w:tr>
      <w:tr>
        <w:trPr>
          <w:trHeight w:val="257"/>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6.00%</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April 15, 2040</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35,000,000</w:t>
            </w:r>
          </w:p>
        </w:tc>
        <w:tc>
          <w:tcPr>
            <w:tcW w:w="600" w:type="dxa"/>
            <w:vAlign w:val="bottom"/>
          </w:tcPr>
          <w:p>
            <w:pPr>
              <w:spacing w:after="0"/>
              <w:rPr>
                <w:sz w:val="22"/>
                <w:szCs w:val="22"/>
                <w:color w:val="auto"/>
              </w:rPr>
            </w:pPr>
          </w:p>
        </w:tc>
        <w:tc>
          <w:tcPr>
            <w:tcW w:w="1620" w:type="dxa"/>
            <w:vAlign w:val="bottom"/>
            <w:gridSpan w:val="2"/>
          </w:tcPr>
          <w:p>
            <w:pPr>
              <w:jc w:val="center"/>
              <w:ind w:left="461"/>
              <w:spacing w:after="0"/>
              <w:rPr>
                <w:sz w:val="20"/>
                <w:szCs w:val="20"/>
                <w:color w:val="auto"/>
              </w:rPr>
            </w:pPr>
            <w:r>
              <w:rPr>
                <w:rFonts w:ascii="Arial" w:cs="Arial" w:eastAsia="Arial" w:hAnsi="Arial"/>
                <w:sz w:val="20"/>
                <w:szCs w:val="20"/>
                <w:color w:val="auto"/>
                <w:w w:val="89"/>
              </w:rPr>
              <w:t>35,000,000</w:t>
            </w:r>
          </w:p>
        </w:tc>
        <w:tc>
          <w:tcPr>
            <w:tcW w:w="0" w:type="dxa"/>
            <w:vAlign w:val="bottom"/>
          </w:tcPr>
          <w:p>
            <w:pPr>
              <w:spacing w:after="0"/>
              <w:rPr>
                <w:sz w:val="1"/>
                <w:szCs w:val="1"/>
                <w:color w:val="auto"/>
              </w:rPr>
            </w:pPr>
          </w:p>
        </w:tc>
      </w:tr>
      <w:tr>
        <w:trPr>
          <w:trHeight w:val="256"/>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4.90%</w:t>
            </w:r>
          </w:p>
        </w:tc>
        <w:tc>
          <w:tcPr>
            <w:tcW w:w="4700" w:type="dxa"/>
            <w:vAlign w:val="bottom"/>
          </w:tcPr>
          <w:p>
            <w:pPr>
              <w:ind w:left="20"/>
              <w:spacing w:after="0"/>
              <w:rPr>
                <w:sz w:val="20"/>
                <w:szCs w:val="20"/>
                <w:color w:val="auto"/>
              </w:rPr>
            </w:pPr>
            <w:r>
              <w:rPr>
                <w:rFonts w:ascii="Arial" w:cs="Arial" w:eastAsia="Arial" w:hAnsi="Arial"/>
                <w:sz w:val="20"/>
                <w:szCs w:val="20"/>
                <w:color w:val="auto"/>
              </w:rPr>
              <w:t>Series due October 15, 2025</w:t>
            </w:r>
          </w:p>
        </w:tc>
        <w:tc>
          <w:tcPr>
            <w:tcW w:w="3280" w:type="dxa"/>
            <w:vAlign w:val="bottom"/>
            <w:gridSpan w:val="2"/>
          </w:tcPr>
          <w:p>
            <w:pPr>
              <w:ind w:left="1860"/>
              <w:spacing w:after="0"/>
              <w:rPr>
                <w:sz w:val="20"/>
                <w:szCs w:val="20"/>
                <w:color w:val="auto"/>
              </w:rPr>
            </w:pPr>
            <w:r>
              <w:rPr>
                <w:rFonts w:ascii="Arial" w:cs="Arial" w:eastAsia="Arial" w:hAnsi="Arial"/>
                <w:sz w:val="20"/>
                <w:szCs w:val="20"/>
                <w:color w:val="auto"/>
              </w:rPr>
              <w:t>30,000,000</w:t>
            </w:r>
          </w:p>
        </w:tc>
        <w:tc>
          <w:tcPr>
            <w:tcW w:w="600" w:type="dxa"/>
            <w:vAlign w:val="bottom"/>
          </w:tcPr>
          <w:p>
            <w:pPr>
              <w:spacing w:after="0"/>
              <w:rPr>
                <w:sz w:val="22"/>
                <w:szCs w:val="22"/>
                <w:color w:val="auto"/>
              </w:rPr>
            </w:pPr>
          </w:p>
        </w:tc>
        <w:tc>
          <w:tcPr>
            <w:tcW w:w="1620" w:type="dxa"/>
            <w:vAlign w:val="bottom"/>
            <w:gridSpan w:val="2"/>
          </w:tcPr>
          <w:p>
            <w:pPr>
              <w:jc w:val="center"/>
              <w:ind w:left="461"/>
              <w:spacing w:after="0"/>
              <w:rPr>
                <w:sz w:val="20"/>
                <w:szCs w:val="20"/>
                <w:color w:val="auto"/>
              </w:rPr>
            </w:pPr>
            <w:r>
              <w:rPr>
                <w:rFonts w:ascii="Arial" w:cs="Arial" w:eastAsia="Arial" w:hAnsi="Arial"/>
                <w:sz w:val="20"/>
                <w:szCs w:val="20"/>
                <w:color w:val="auto"/>
                <w:w w:val="89"/>
              </w:rPr>
              <w:t>30,000,000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432" w:right="339" w:bottom="1440" w:gutter="0" w:footer="0" w:header="0"/>
          <w:type w:val="continuous"/>
        </w:sectPr>
      </w:pPr>
    </w:p>
    <w:bookmarkStart w:id="54" w:name="page55"/>
    <w:bookmarkEnd w:id="54"/>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540" w:type="dxa"/>
            <w:vAlign w:val="bottom"/>
          </w:tcPr>
          <w:p>
            <w:pPr>
              <w:jc w:val="right"/>
              <w:spacing w:after="0"/>
              <w:rPr>
                <w:sz w:val="20"/>
                <w:szCs w:val="20"/>
                <w:color w:val="auto"/>
              </w:rPr>
            </w:pPr>
            <w:r>
              <w:rPr>
                <w:rFonts w:ascii="Arial" w:cs="Arial" w:eastAsia="Arial" w:hAnsi="Arial"/>
                <w:sz w:val="20"/>
                <w:szCs w:val="20"/>
                <w:color w:val="auto"/>
                <w:w w:val="88"/>
              </w:rPr>
              <w:t>5.82%</w:t>
            </w:r>
          </w:p>
        </w:tc>
        <w:tc>
          <w:tcPr>
            <w:tcW w:w="4540" w:type="dxa"/>
            <w:vAlign w:val="bottom"/>
          </w:tcPr>
          <w:p>
            <w:pPr>
              <w:ind w:left="20"/>
              <w:spacing w:after="0"/>
              <w:rPr>
                <w:sz w:val="20"/>
                <w:szCs w:val="20"/>
                <w:color w:val="auto"/>
              </w:rPr>
            </w:pPr>
            <w:r>
              <w:rPr>
                <w:rFonts w:ascii="Arial" w:cs="Arial" w:eastAsia="Arial" w:hAnsi="Arial"/>
                <w:sz w:val="20"/>
                <w:szCs w:val="20"/>
                <w:color w:val="auto"/>
              </w:rPr>
              <w:t>Series due April 15, 2040</w:t>
            </w:r>
          </w:p>
        </w:tc>
        <w:tc>
          <w:tcPr>
            <w:tcW w:w="3860" w:type="dxa"/>
            <w:vAlign w:val="bottom"/>
          </w:tcPr>
          <w:p>
            <w:pPr>
              <w:ind w:left="2020"/>
              <w:spacing w:after="0"/>
              <w:rPr>
                <w:sz w:val="20"/>
                <w:szCs w:val="20"/>
                <w:color w:val="auto"/>
              </w:rPr>
            </w:pPr>
            <w:r>
              <w:rPr>
                <w:rFonts w:ascii="Arial" w:cs="Arial" w:eastAsia="Arial" w:hAnsi="Arial"/>
                <w:sz w:val="20"/>
                <w:szCs w:val="20"/>
                <w:color w:val="auto"/>
              </w:rPr>
              <w:t>45,000,000</w:t>
            </w:r>
          </w:p>
        </w:tc>
        <w:tc>
          <w:tcPr>
            <w:tcW w:w="1760" w:type="dxa"/>
            <w:vAlign w:val="bottom"/>
          </w:tcPr>
          <w:p>
            <w:pPr>
              <w:jc w:val="center"/>
              <w:ind w:left="681"/>
              <w:spacing w:after="0"/>
              <w:rPr>
                <w:sz w:val="20"/>
                <w:szCs w:val="20"/>
                <w:color w:val="auto"/>
              </w:rPr>
            </w:pPr>
            <w:r>
              <w:rPr>
                <w:rFonts w:ascii="Arial" w:cs="Arial" w:eastAsia="Arial" w:hAnsi="Arial"/>
                <w:sz w:val="20"/>
                <w:szCs w:val="20"/>
                <w:color w:val="auto"/>
                <w:w w:val="89"/>
              </w:rPr>
              <w:t>45,000,000</w:t>
            </w:r>
          </w:p>
        </w:tc>
      </w:tr>
      <w:tr>
        <w:trPr>
          <w:trHeight w:val="257"/>
        </w:trPr>
        <w:tc>
          <w:tcPr>
            <w:tcW w:w="540" w:type="dxa"/>
            <w:vAlign w:val="bottom"/>
          </w:tcPr>
          <w:p>
            <w:pPr>
              <w:jc w:val="right"/>
              <w:spacing w:after="0"/>
              <w:rPr>
                <w:sz w:val="20"/>
                <w:szCs w:val="20"/>
                <w:color w:val="auto"/>
              </w:rPr>
            </w:pPr>
            <w:r>
              <w:rPr>
                <w:rFonts w:ascii="Arial" w:cs="Arial" w:eastAsia="Arial" w:hAnsi="Arial"/>
                <w:sz w:val="20"/>
                <w:szCs w:val="20"/>
                <w:color w:val="auto"/>
                <w:w w:val="88"/>
              </w:rPr>
              <w:t>3.20%</w:t>
            </w:r>
          </w:p>
        </w:tc>
        <w:tc>
          <w:tcPr>
            <w:tcW w:w="4540" w:type="dxa"/>
            <w:vAlign w:val="bottom"/>
          </w:tcPr>
          <w:p>
            <w:pPr>
              <w:ind w:left="20"/>
              <w:spacing w:after="0"/>
              <w:rPr>
                <w:sz w:val="20"/>
                <w:szCs w:val="20"/>
                <w:color w:val="auto"/>
              </w:rPr>
            </w:pPr>
            <w:r>
              <w:rPr>
                <w:rFonts w:ascii="Arial" w:cs="Arial" w:eastAsia="Arial" w:hAnsi="Arial"/>
                <w:sz w:val="20"/>
                <w:szCs w:val="20"/>
                <w:color w:val="auto"/>
              </w:rPr>
              <w:t>Series due July 15, 2026</w:t>
            </w:r>
          </w:p>
        </w:tc>
        <w:tc>
          <w:tcPr>
            <w:tcW w:w="3860" w:type="dxa"/>
            <w:vAlign w:val="bottom"/>
          </w:tcPr>
          <w:p>
            <w:pPr>
              <w:ind w:left="2020"/>
              <w:spacing w:after="0"/>
              <w:rPr>
                <w:sz w:val="20"/>
                <w:szCs w:val="20"/>
                <w:color w:val="auto"/>
              </w:rPr>
            </w:pPr>
            <w:r>
              <w:rPr>
                <w:rFonts w:ascii="Arial" w:cs="Arial" w:eastAsia="Arial" w:hAnsi="Arial"/>
                <w:sz w:val="20"/>
                <w:szCs w:val="20"/>
                <w:color w:val="auto"/>
              </w:rPr>
              <w:t>75,000,000</w:t>
            </w:r>
          </w:p>
        </w:tc>
        <w:tc>
          <w:tcPr>
            <w:tcW w:w="1760" w:type="dxa"/>
            <w:vAlign w:val="bottom"/>
          </w:tcPr>
          <w:p>
            <w:pPr>
              <w:jc w:val="center"/>
              <w:ind w:left="681"/>
              <w:spacing w:after="0"/>
              <w:rPr>
                <w:sz w:val="20"/>
                <w:szCs w:val="20"/>
                <w:color w:val="auto"/>
              </w:rPr>
            </w:pPr>
            <w:r>
              <w:rPr>
                <w:rFonts w:ascii="Arial" w:cs="Arial" w:eastAsia="Arial" w:hAnsi="Arial"/>
                <w:sz w:val="20"/>
                <w:szCs w:val="20"/>
                <w:color w:val="auto"/>
                <w:w w:val="89"/>
              </w:rPr>
              <w:t>75,000,000</w:t>
            </w:r>
          </w:p>
        </w:tc>
      </w:tr>
      <w:tr>
        <w:trPr>
          <w:trHeight w:val="256"/>
        </w:trPr>
        <w:tc>
          <w:tcPr>
            <w:tcW w:w="540" w:type="dxa"/>
            <w:vAlign w:val="bottom"/>
          </w:tcPr>
          <w:p>
            <w:pPr>
              <w:jc w:val="right"/>
              <w:spacing w:after="0"/>
              <w:rPr>
                <w:sz w:val="20"/>
                <w:szCs w:val="20"/>
                <w:color w:val="auto"/>
              </w:rPr>
            </w:pPr>
            <w:r>
              <w:rPr>
                <w:rFonts w:ascii="Arial" w:cs="Arial" w:eastAsia="Arial" w:hAnsi="Arial"/>
                <w:sz w:val="20"/>
                <w:szCs w:val="20"/>
                <w:color w:val="auto"/>
                <w:w w:val="88"/>
              </w:rPr>
              <w:t>4.08%</w:t>
            </w:r>
          </w:p>
        </w:tc>
        <w:tc>
          <w:tcPr>
            <w:tcW w:w="4540" w:type="dxa"/>
            <w:vAlign w:val="bottom"/>
          </w:tcPr>
          <w:p>
            <w:pPr>
              <w:ind w:left="20"/>
              <w:spacing w:after="0"/>
              <w:rPr>
                <w:sz w:val="20"/>
                <w:szCs w:val="20"/>
                <w:color w:val="auto"/>
              </w:rPr>
            </w:pPr>
            <w:r>
              <w:rPr>
                <w:rFonts w:ascii="Arial" w:cs="Arial" w:eastAsia="Arial" w:hAnsi="Arial"/>
                <w:sz w:val="20"/>
                <w:szCs w:val="20"/>
                <w:color w:val="auto"/>
              </w:rPr>
              <w:t>Series due July 15, 2042</w:t>
            </w:r>
          </w:p>
        </w:tc>
        <w:tc>
          <w:tcPr>
            <w:tcW w:w="3860" w:type="dxa"/>
            <w:vAlign w:val="bottom"/>
          </w:tcPr>
          <w:p>
            <w:pPr>
              <w:ind w:left="2020"/>
              <w:spacing w:after="0"/>
              <w:rPr>
                <w:sz w:val="20"/>
                <w:szCs w:val="20"/>
                <w:color w:val="auto"/>
              </w:rPr>
            </w:pPr>
            <w:r>
              <w:rPr>
                <w:rFonts w:ascii="Arial" w:cs="Arial" w:eastAsia="Arial" w:hAnsi="Arial"/>
                <w:sz w:val="20"/>
                <w:szCs w:val="20"/>
                <w:color w:val="auto"/>
              </w:rPr>
              <w:t>85,000,000</w:t>
            </w:r>
          </w:p>
        </w:tc>
        <w:tc>
          <w:tcPr>
            <w:tcW w:w="1760" w:type="dxa"/>
            <w:vAlign w:val="bottom"/>
          </w:tcPr>
          <w:p>
            <w:pPr>
              <w:jc w:val="center"/>
              <w:ind w:left="681"/>
              <w:spacing w:after="0"/>
              <w:rPr>
                <w:sz w:val="20"/>
                <w:szCs w:val="20"/>
                <w:color w:val="auto"/>
              </w:rPr>
            </w:pPr>
            <w:r>
              <w:rPr>
                <w:rFonts w:ascii="Arial" w:cs="Arial" w:eastAsia="Arial" w:hAnsi="Arial"/>
                <w:sz w:val="20"/>
                <w:szCs w:val="20"/>
                <w:color w:val="auto"/>
                <w:w w:val="89"/>
              </w:rPr>
              <w:t>85,000,000</w:t>
            </w:r>
          </w:p>
        </w:tc>
      </w:tr>
      <w:tr>
        <w:trPr>
          <w:trHeight w:val="257"/>
        </w:trPr>
        <w:tc>
          <w:tcPr>
            <w:tcW w:w="540" w:type="dxa"/>
            <w:vAlign w:val="bottom"/>
          </w:tcPr>
          <w:p>
            <w:pPr>
              <w:jc w:val="right"/>
              <w:spacing w:after="0"/>
              <w:rPr>
                <w:sz w:val="20"/>
                <w:szCs w:val="20"/>
                <w:color w:val="auto"/>
              </w:rPr>
            </w:pPr>
            <w:r>
              <w:rPr>
                <w:rFonts w:ascii="Arial" w:cs="Arial" w:eastAsia="Arial" w:hAnsi="Arial"/>
                <w:sz w:val="20"/>
                <w:szCs w:val="20"/>
                <w:color w:val="auto"/>
                <w:w w:val="88"/>
              </w:rPr>
              <w:t>1.83%</w:t>
            </w:r>
          </w:p>
        </w:tc>
        <w:tc>
          <w:tcPr>
            <w:tcW w:w="4540" w:type="dxa"/>
            <w:vAlign w:val="bottom"/>
          </w:tcPr>
          <w:p>
            <w:pPr>
              <w:ind w:left="20"/>
              <w:spacing w:after="0"/>
              <w:rPr>
                <w:sz w:val="20"/>
                <w:szCs w:val="20"/>
                <w:color w:val="auto"/>
              </w:rPr>
            </w:pPr>
            <w:r>
              <w:rPr>
                <w:rFonts w:ascii="Arial" w:cs="Arial" w:eastAsia="Arial" w:hAnsi="Arial"/>
                <w:sz w:val="20"/>
                <w:szCs w:val="20"/>
                <w:color w:val="auto"/>
              </w:rPr>
              <w:t>Series due April 15, 2018</w:t>
            </w:r>
          </w:p>
        </w:tc>
        <w:tc>
          <w:tcPr>
            <w:tcW w:w="3860" w:type="dxa"/>
            <w:vAlign w:val="bottom"/>
          </w:tcPr>
          <w:p>
            <w:pPr>
              <w:ind w:left="2020"/>
              <w:spacing w:after="0"/>
              <w:rPr>
                <w:sz w:val="20"/>
                <w:szCs w:val="20"/>
                <w:color w:val="auto"/>
              </w:rPr>
            </w:pPr>
            <w:r>
              <w:rPr>
                <w:rFonts w:ascii="Arial" w:cs="Arial" w:eastAsia="Arial" w:hAnsi="Arial"/>
                <w:sz w:val="20"/>
                <w:szCs w:val="20"/>
                <w:color w:val="auto"/>
              </w:rPr>
              <w:t>50,000,000</w:t>
            </w:r>
          </w:p>
        </w:tc>
        <w:tc>
          <w:tcPr>
            <w:tcW w:w="1760" w:type="dxa"/>
            <w:vAlign w:val="bottom"/>
          </w:tcPr>
          <w:p>
            <w:pPr>
              <w:jc w:val="center"/>
              <w:ind w:left="681"/>
              <w:spacing w:after="0"/>
              <w:rPr>
                <w:sz w:val="20"/>
                <w:szCs w:val="20"/>
                <w:color w:val="auto"/>
              </w:rPr>
            </w:pPr>
            <w:r>
              <w:rPr>
                <w:rFonts w:ascii="Arial" w:cs="Arial" w:eastAsia="Arial" w:hAnsi="Arial"/>
                <w:sz w:val="20"/>
                <w:szCs w:val="20"/>
                <w:color w:val="auto"/>
                <w:w w:val="87"/>
              </w:rPr>
              <w:t>None</w:t>
            </w:r>
          </w:p>
        </w:tc>
      </w:tr>
      <w:tr>
        <w:trPr>
          <w:trHeight w:val="257"/>
        </w:trPr>
        <w:tc>
          <w:tcPr>
            <w:tcW w:w="540" w:type="dxa"/>
            <w:vAlign w:val="bottom"/>
          </w:tcPr>
          <w:p>
            <w:pPr>
              <w:jc w:val="right"/>
              <w:spacing w:after="0"/>
              <w:rPr>
                <w:sz w:val="20"/>
                <w:szCs w:val="20"/>
                <w:color w:val="auto"/>
              </w:rPr>
            </w:pPr>
            <w:r>
              <w:rPr>
                <w:rFonts w:ascii="Arial" w:cs="Arial" w:eastAsia="Arial" w:hAnsi="Arial"/>
                <w:sz w:val="20"/>
                <w:szCs w:val="20"/>
                <w:color w:val="auto"/>
                <w:w w:val="88"/>
              </w:rPr>
              <w:t>3.30%</w:t>
            </w:r>
          </w:p>
        </w:tc>
        <w:tc>
          <w:tcPr>
            <w:tcW w:w="4540" w:type="dxa"/>
            <w:vAlign w:val="bottom"/>
          </w:tcPr>
          <w:p>
            <w:pPr>
              <w:ind w:left="20"/>
              <w:spacing w:after="0"/>
              <w:rPr>
                <w:sz w:val="20"/>
                <w:szCs w:val="20"/>
                <w:color w:val="auto"/>
              </w:rPr>
            </w:pPr>
            <w:r>
              <w:rPr>
                <w:rFonts w:ascii="Arial" w:cs="Arial" w:eastAsia="Arial" w:hAnsi="Arial"/>
                <w:sz w:val="20"/>
                <w:szCs w:val="20"/>
                <w:color w:val="auto"/>
              </w:rPr>
              <w:t>Series due October 15, 2028</w:t>
            </w:r>
          </w:p>
        </w:tc>
        <w:tc>
          <w:tcPr>
            <w:tcW w:w="3860" w:type="dxa"/>
            <w:vAlign w:val="bottom"/>
          </w:tcPr>
          <w:p>
            <w:pPr>
              <w:ind w:left="2020"/>
              <w:spacing w:after="0"/>
              <w:rPr>
                <w:sz w:val="20"/>
                <w:szCs w:val="20"/>
                <w:color w:val="auto"/>
              </w:rPr>
            </w:pPr>
            <w:r>
              <w:rPr>
                <w:rFonts w:ascii="Arial" w:cs="Arial" w:eastAsia="Arial" w:hAnsi="Arial"/>
                <w:sz w:val="20"/>
                <w:szCs w:val="20"/>
                <w:color w:val="auto"/>
              </w:rPr>
              <w:t>40,000,000</w:t>
            </w:r>
          </w:p>
        </w:tc>
        <w:tc>
          <w:tcPr>
            <w:tcW w:w="1760" w:type="dxa"/>
            <w:vAlign w:val="bottom"/>
          </w:tcPr>
          <w:p>
            <w:pPr>
              <w:jc w:val="center"/>
              <w:ind w:left="681"/>
              <w:spacing w:after="0"/>
              <w:rPr>
                <w:sz w:val="20"/>
                <w:szCs w:val="20"/>
                <w:color w:val="auto"/>
              </w:rPr>
            </w:pPr>
            <w:r>
              <w:rPr>
                <w:rFonts w:ascii="Arial" w:cs="Arial" w:eastAsia="Arial" w:hAnsi="Arial"/>
                <w:sz w:val="20"/>
                <w:szCs w:val="20"/>
                <w:color w:val="auto"/>
                <w:w w:val="89"/>
              </w:rPr>
              <w:t>40,000,000</w:t>
            </w:r>
          </w:p>
        </w:tc>
      </w:tr>
      <w:tr>
        <w:trPr>
          <w:trHeight w:val="257"/>
        </w:trPr>
        <w:tc>
          <w:tcPr>
            <w:tcW w:w="540" w:type="dxa"/>
            <w:vAlign w:val="bottom"/>
          </w:tcPr>
          <w:p>
            <w:pPr>
              <w:jc w:val="right"/>
              <w:spacing w:after="0"/>
              <w:rPr>
                <w:sz w:val="20"/>
                <w:szCs w:val="20"/>
                <w:color w:val="auto"/>
              </w:rPr>
            </w:pPr>
            <w:r>
              <w:rPr>
                <w:rFonts w:ascii="Arial" w:cs="Arial" w:eastAsia="Arial" w:hAnsi="Arial"/>
                <w:sz w:val="20"/>
                <w:szCs w:val="20"/>
                <w:color w:val="auto"/>
                <w:w w:val="88"/>
              </w:rPr>
              <w:t>4.21%</w:t>
            </w:r>
          </w:p>
        </w:tc>
        <w:tc>
          <w:tcPr>
            <w:tcW w:w="4540" w:type="dxa"/>
            <w:vAlign w:val="bottom"/>
          </w:tcPr>
          <w:p>
            <w:pPr>
              <w:ind w:left="20"/>
              <w:spacing w:after="0"/>
              <w:rPr>
                <w:sz w:val="20"/>
                <w:szCs w:val="20"/>
                <w:color w:val="auto"/>
              </w:rPr>
            </w:pPr>
            <w:r>
              <w:rPr>
                <w:rFonts w:ascii="Arial" w:cs="Arial" w:eastAsia="Arial" w:hAnsi="Arial"/>
                <w:sz w:val="20"/>
                <w:szCs w:val="20"/>
                <w:color w:val="auto"/>
              </w:rPr>
              <w:t>Series due October 15, 2043</w:t>
            </w:r>
          </w:p>
        </w:tc>
        <w:tc>
          <w:tcPr>
            <w:tcW w:w="3860" w:type="dxa"/>
            <w:vAlign w:val="bottom"/>
          </w:tcPr>
          <w:p>
            <w:pPr>
              <w:ind w:left="2020"/>
              <w:spacing w:after="0"/>
              <w:rPr>
                <w:sz w:val="20"/>
                <w:szCs w:val="20"/>
                <w:color w:val="auto"/>
              </w:rPr>
            </w:pPr>
            <w:r>
              <w:rPr>
                <w:rFonts w:ascii="Arial" w:cs="Arial" w:eastAsia="Arial" w:hAnsi="Arial"/>
                <w:sz w:val="20"/>
                <w:szCs w:val="20"/>
                <w:color w:val="auto"/>
              </w:rPr>
              <w:t>60,000,000</w:t>
            </w:r>
          </w:p>
        </w:tc>
        <w:tc>
          <w:tcPr>
            <w:tcW w:w="1760" w:type="dxa"/>
            <w:vAlign w:val="bottom"/>
          </w:tcPr>
          <w:p>
            <w:pPr>
              <w:jc w:val="center"/>
              <w:ind w:left="681"/>
              <w:spacing w:after="0"/>
              <w:rPr>
                <w:sz w:val="20"/>
                <w:szCs w:val="20"/>
                <w:color w:val="auto"/>
              </w:rPr>
            </w:pPr>
            <w:r>
              <w:rPr>
                <w:rFonts w:ascii="Arial" w:cs="Arial" w:eastAsia="Arial" w:hAnsi="Arial"/>
                <w:sz w:val="20"/>
                <w:szCs w:val="20"/>
                <w:color w:val="auto"/>
                <w:w w:val="89"/>
              </w:rPr>
              <w:t>60,000,000</w:t>
            </w:r>
          </w:p>
        </w:tc>
      </w:tr>
      <w:tr>
        <w:trPr>
          <w:trHeight w:val="257"/>
        </w:trPr>
        <w:tc>
          <w:tcPr>
            <w:tcW w:w="540" w:type="dxa"/>
            <w:vAlign w:val="bottom"/>
          </w:tcPr>
          <w:p>
            <w:pPr>
              <w:jc w:val="right"/>
              <w:spacing w:after="0"/>
              <w:rPr>
                <w:sz w:val="20"/>
                <w:szCs w:val="20"/>
                <w:color w:val="auto"/>
              </w:rPr>
            </w:pPr>
            <w:r>
              <w:rPr>
                <w:rFonts w:ascii="Arial" w:cs="Arial" w:eastAsia="Arial" w:hAnsi="Arial"/>
                <w:sz w:val="20"/>
                <w:szCs w:val="20"/>
                <w:color w:val="auto"/>
                <w:w w:val="88"/>
              </w:rPr>
              <w:t>3.69%</w:t>
            </w:r>
          </w:p>
        </w:tc>
        <w:tc>
          <w:tcPr>
            <w:tcW w:w="4540" w:type="dxa"/>
            <w:vAlign w:val="bottom"/>
          </w:tcPr>
          <w:p>
            <w:pPr>
              <w:ind w:left="20"/>
              <w:spacing w:after="0"/>
              <w:rPr>
                <w:sz w:val="20"/>
                <w:szCs w:val="20"/>
                <w:color w:val="auto"/>
              </w:rPr>
            </w:pPr>
            <w:r>
              <w:rPr>
                <w:rFonts w:ascii="Arial" w:cs="Arial" w:eastAsia="Arial" w:hAnsi="Arial"/>
                <w:sz w:val="20"/>
                <w:szCs w:val="20"/>
                <w:color w:val="auto"/>
              </w:rPr>
              <w:t>Series due March 15, 2024</w:t>
            </w:r>
          </w:p>
        </w:tc>
        <w:tc>
          <w:tcPr>
            <w:tcW w:w="3860" w:type="dxa"/>
            <w:vAlign w:val="bottom"/>
          </w:tcPr>
          <w:p>
            <w:pPr>
              <w:ind w:left="2020"/>
              <w:spacing w:after="0"/>
              <w:rPr>
                <w:sz w:val="20"/>
                <w:szCs w:val="20"/>
                <w:color w:val="auto"/>
              </w:rPr>
            </w:pPr>
            <w:r>
              <w:rPr>
                <w:rFonts w:ascii="Arial" w:cs="Arial" w:eastAsia="Arial" w:hAnsi="Arial"/>
                <w:sz w:val="20"/>
                <w:szCs w:val="20"/>
                <w:color w:val="auto"/>
              </w:rPr>
              <w:t>60,000,000</w:t>
            </w:r>
          </w:p>
        </w:tc>
        <w:tc>
          <w:tcPr>
            <w:tcW w:w="1760" w:type="dxa"/>
            <w:vAlign w:val="bottom"/>
          </w:tcPr>
          <w:p>
            <w:pPr>
              <w:jc w:val="center"/>
              <w:ind w:left="681"/>
              <w:spacing w:after="0"/>
              <w:rPr>
                <w:sz w:val="20"/>
                <w:szCs w:val="20"/>
                <w:color w:val="auto"/>
              </w:rPr>
            </w:pPr>
            <w:r>
              <w:rPr>
                <w:rFonts w:ascii="Arial" w:cs="Arial" w:eastAsia="Arial" w:hAnsi="Arial"/>
                <w:sz w:val="20"/>
                <w:szCs w:val="20"/>
                <w:color w:val="auto"/>
                <w:w w:val="89"/>
              </w:rPr>
              <w:t>60,000,000</w:t>
            </w:r>
          </w:p>
        </w:tc>
      </w:tr>
      <w:tr>
        <w:trPr>
          <w:trHeight w:val="256"/>
        </w:trPr>
        <w:tc>
          <w:tcPr>
            <w:tcW w:w="540" w:type="dxa"/>
            <w:vAlign w:val="bottom"/>
          </w:tcPr>
          <w:p>
            <w:pPr>
              <w:jc w:val="right"/>
              <w:spacing w:after="0"/>
              <w:rPr>
                <w:sz w:val="20"/>
                <w:szCs w:val="20"/>
                <w:color w:val="auto"/>
              </w:rPr>
            </w:pPr>
            <w:r>
              <w:rPr>
                <w:rFonts w:ascii="Arial" w:cs="Arial" w:eastAsia="Arial" w:hAnsi="Arial"/>
                <w:sz w:val="20"/>
                <w:szCs w:val="20"/>
                <w:color w:val="auto"/>
                <w:w w:val="88"/>
              </w:rPr>
              <w:t>4.95%</w:t>
            </w:r>
          </w:p>
        </w:tc>
        <w:tc>
          <w:tcPr>
            <w:tcW w:w="4540" w:type="dxa"/>
            <w:vAlign w:val="bottom"/>
          </w:tcPr>
          <w:p>
            <w:pPr>
              <w:ind w:left="20"/>
              <w:spacing w:after="0"/>
              <w:rPr>
                <w:sz w:val="20"/>
                <w:szCs w:val="20"/>
                <w:color w:val="auto"/>
              </w:rPr>
            </w:pPr>
            <w:r>
              <w:rPr>
                <w:rFonts w:ascii="Arial" w:cs="Arial" w:eastAsia="Arial" w:hAnsi="Arial"/>
                <w:sz w:val="20"/>
                <w:szCs w:val="20"/>
                <w:color w:val="auto"/>
              </w:rPr>
              <w:t>Series due March 15, 2044</w:t>
            </w:r>
          </w:p>
        </w:tc>
        <w:tc>
          <w:tcPr>
            <w:tcW w:w="3860" w:type="dxa"/>
            <w:vAlign w:val="bottom"/>
          </w:tcPr>
          <w:p>
            <w:pPr>
              <w:ind w:left="2020"/>
              <w:spacing w:after="0"/>
              <w:rPr>
                <w:sz w:val="20"/>
                <w:szCs w:val="20"/>
                <w:color w:val="auto"/>
              </w:rPr>
            </w:pPr>
            <w:r>
              <w:rPr>
                <w:rFonts w:ascii="Arial" w:cs="Arial" w:eastAsia="Arial" w:hAnsi="Arial"/>
                <w:sz w:val="20"/>
                <w:szCs w:val="20"/>
                <w:color w:val="auto"/>
              </w:rPr>
              <w:t>40,000,000</w:t>
            </w:r>
          </w:p>
        </w:tc>
        <w:tc>
          <w:tcPr>
            <w:tcW w:w="1760" w:type="dxa"/>
            <w:vAlign w:val="bottom"/>
          </w:tcPr>
          <w:p>
            <w:pPr>
              <w:jc w:val="center"/>
              <w:ind w:left="681"/>
              <w:spacing w:after="0"/>
              <w:rPr>
                <w:sz w:val="20"/>
                <w:szCs w:val="20"/>
                <w:color w:val="auto"/>
              </w:rPr>
            </w:pPr>
            <w:r>
              <w:rPr>
                <w:rFonts w:ascii="Arial" w:cs="Arial" w:eastAsia="Arial" w:hAnsi="Arial"/>
                <w:sz w:val="20"/>
                <w:szCs w:val="20"/>
                <w:color w:val="auto"/>
                <w:w w:val="89"/>
              </w:rPr>
              <w:t>40,000,000</w:t>
            </w:r>
          </w:p>
        </w:tc>
      </w:tr>
      <w:tr>
        <w:trPr>
          <w:trHeight w:val="257"/>
        </w:trPr>
        <w:tc>
          <w:tcPr>
            <w:tcW w:w="540" w:type="dxa"/>
            <w:vAlign w:val="bottom"/>
          </w:tcPr>
          <w:p>
            <w:pPr>
              <w:jc w:val="right"/>
              <w:spacing w:after="0"/>
              <w:rPr>
                <w:sz w:val="20"/>
                <w:szCs w:val="20"/>
                <w:color w:val="auto"/>
              </w:rPr>
            </w:pPr>
            <w:r>
              <w:rPr>
                <w:rFonts w:ascii="Arial" w:cs="Arial" w:eastAsia="Arial" w:hAnsi="Arial"/>
                <w:sz w:val="20"/>
                <w:szCs w:val="20"/>
                <w:color w:val="auto"/>
                <w:w w:val="88"/>
              </w:rPr>
              <w:t>3.40%</w:t>
            </w:r>
          </w:p>
        </w:tc>
        <w:tc>
          <w:tcPr>
            <w:tcW w:w="4540" w:type="dxa"/>
            <w:vAlign w:val="bottom"/>
          </w:tcPr>
          <w:p>
            <w:pPr>
              <w:ind w:left="20"/>
              <w:spacing w:after="0"/>
              <w:rPr>
                <w:sz w:val="20"/>
                <w:szCs w:val="20"/>
                <w:color w:val="auto"/>
              </w:rPr>
            </w:pPr>
            <w:r>
              <w:rPr>
                <w:rFonts w:ascii="Arial" w:cs="Arial" w:eastAsia="Arial" w:hAnsi="Arial"/>
                <w:sz w:val="20"/>
                <w:szCs w:val="20"/>
                <w:color w:val="auto"/>
              </w:rPr>
              <w:t>Series due July 15, 2022</w:t>
            </w:r>
          </w:p>
        </w:tc>
        <w:tc>
          <w:tcPr>
            <w:tcW w:w="3860" w:type="dxa"/>
            <w:vAlign w:val="bottom"/>
          </w:tcPr>
          <w:p>
            <w:pPr>
              <w:ind w:left="2020"/>
              <w:spacing w:after="0"/>
              <w:rPr>
                <w:sz w:val="20"/>
                <w:szCs w:val="20"/>
                <w:color w:val="auto"/>
              </w:rPr>
            </w:pPr>
            <w:r>
              <w:rPr>
                <w:rFonts w:ascii="Arial" w:cs="Arial" w:eastAsia="Arial" w:hAnsi="Arial"/>
                <w:sz w:val="20"/>
                <w:szCs w:val="20"/>
                <w:color w:val="auto"/>
              </w:rPr>
              <w:t>75,000,000</w:t>
            </w:r>
          </w:p>
        </w:tc>
        <w:tc>
          <w:tcPr>
            <w:tcW w:w="1760" w:type="dxa"/>
            <w:vAlign w:val="bottom"/>
          </w:tcPr>
          <w:p>
            <w:pPr>
              <w:jc w:val="center"/>
              <w:ind w:left="681"/>
              <w:spacing w:after="0"/>
              <w:rPr>
                <w:sz w:val="20"/>
                <w:szCs w:val="20"/>
                <w:color w:val="auto"/>
              </w:rPr>
            </w:pPr>
            <w:r>
              <w:rPr>
                <w:rFonts w:ascii="Arial" w:cs="Arial" w:eastAsia="Arial" w:hAnsi="Arial"/>
                <w:sz w:val="20"/>
                <w:szCs w:val="20"/>
                <w:color w:val="auto"/>
                <w:w w:val="87"/>
              </w:rPr>
              <w:t>None</w:t>
            </w:r>
          </w:p>
        </w:tc>
      </w:tr>
      <w:tr>
        <w:trPr>
          <w:trHeight w:val="257"/>
        </w:trPr>
        <w:tc>
          <w:tcPr>
            <w:tcW w:w="540" w:type="dxa"/>
            <w:vAlign w:val="bottom"/>
          </w:tcPr>
          <w:p>
            <w:pPr>
              <w:jc w:val="right"/>
              <w:spacing w:after="0"/>
              <w:rPr>
                <w:sz w:val="20"/>
                <w:szCs w:val="20"/>
                <w:color w:val="auto"/>
              </w:rPr>
            </w:pPr>
            <w:r>
              <w:rPr>
                <w:rFonts w:ascii="Arial" w:cs="Arial" w:eastAsia="Arial" w:hAnsi="Arial"/>
                <w:sz w:val="20"/>
                <w:szCs w:val="20"/>
                <w:color w:val="auto"/>
                <w:w w:val="88"/>
              </w:rPr>
              <w:t>5.05%</w:t>
            </w:r>
          </w:p>
        </w:tc>
        <w:tc>
          <w:tcPr>
            <w:tcW w:w="4540" w:type="dxa"/>
            <w:vAlign w:val="bottom"/>
          </w:tcPr>
          <w:p>
            <w:pPr>
              <w:ind w:left="20"/>
              <w:spacing w:after="0"/>
              <w:rPr>
                <w:sz w:val="20"/>
                <w:szCs w:val="20"/>
                <w:color w:val="auto"/>
              </w:rPr>
            </w:pPr>
            <w:r>
              <w:rPr>
                <w:rFonts w:ascii="Arial" w:cs="Arial" w:eastAsia="Arial" w:hAnsi="Arial"/>
                <w:sz w:val="20"/>
                <w:szCs w:val="20"/>
                <w:color w:val="auto"/>
              </w:rPr>
              <w:t>Series due July 15, 2044</w:t>
            </w:r>
          </w:p>
        </w:tc>
        <w:tc>
          <w:tcPr>
            <w:tcW w:w="3860" w:type="dxa"/>
            <w:vAlign w:val="bottom"/>
          </w:tcPr>
          <w:p>
            <w:pPr>
              <w:ind w:left="2020"/>
              <w:spacing w:after="0"/>
              <w:rPr>
                <w:sz w:val="20"/>
                <w:szCs w:val="20"/>
                <w:color w:val="auto"/>
              </w:rPr>
            </w:pPr>
            <w:r>
              <w:rPr>
                <w:rFonts w:ascii="Arial" w:cs="Arial" w:eastAsia="Arial" w:hAnsi="Arial"/>
                <w:sz w:val="20"/>
                <w:szCs w:val="20"/>
                <w:color w:val="auto"/>
              </w:rPr>
              <w:t>40,000,000</w:t>
            </w:r>
          </w:p>
        </w:tc>
        <w:tc>
          <w:tcPr>
            <w:tcW w:w="1760" w:type="dxa"/>
            <w:vAlign w:val="bottom"/>
          </w:tcPr>
          <w:p>
            <w:pPr>
              <w:jc w:val="center"/>
              <w:ind w:left="681"/>
              <w:spacing w:after="0"/>
              <w:rPr>
                <w:sz w:val="20"/>
                <w:szCs w:val="20"/>
                <w:color w:val="auto"/>
              </w:rPr>
            </w:pPr>
            <w:r>
              <w:rPr>
                <w:rFonts w:ascii="Arial" w:cs="Arial" w:eastAsia="Arial" w:hAnsi="Arial"/>
                <w:sz w:val="20"/>
                <w:szCs w:val="20"/>
                <w:color w:val="auto"/>
                <w:w w:val="89"/>
              </w:rPr>
              <w:t>40,000,000</w:t>
            </w:r>
          </w:p>
        </w:tc>
      </w:tr>
      <w:tr>
        <w:trPr>
          <w:trHeight w:val="257"/>
        </w:trPr>
        <w:tc>
          <w:tcPr>
            <w:tcW w:w="540" w:type="dxa"/>
            <w:vAlign w:val="bottom"/>
          </w:tcPr>
          <w:p>
            <w:pPr>
              <w:jc w:val="right"/>
              <w:spacing w:after="0"/>
              <w:rPr>
                <w:sz w:val="20"/>
                <w:szCs w:val="20"/>
                <w:color w:val="auto"/>
              </w:rPr>
            </w:pPr>
            <w:r>
              <w:rPr>
                <w:rFonts w:ascii="Arial" w:cs="Arial" w:eastAsia="Arial" w:hAnsi="Arial"/>
                <w:sz w:val="20"/>
                <w:szCs w:val="20"/>
                <w:color w:val="auto"/>
                <w:w w:val="88"/>
              </w:rPr>
              <w:t>3.02%</w:t>
            </w:r>
          </w:p>
        </w:tc>
        <w:tc>
          <w:tcPr>
            <w:tcW w:w="4540" w:type="dxa"/>
            <w:vAlign w:val="bottom"/>
          </w:tcPr>
          <w:p>
            <w:pPr>
              <w:ind w:left="20"/>
              <w:spacing w:after="0"/>
              <w:rPr>
                <w:sz w:val="20"/>
                <w:szCs w:val="20"/>
                <w:color w:val="auto"/>
              </w:rPr>
            </w:pPr>
            <w:r>
              <w:rPr>
                <w:rFonts w:ascii="Arial" w:cs="Arial" w:eastAsia="Arial" w:hAnsi="Arial"/>
                <w:sz w:val="20"/>
                <w:szCs w:val="20"/>
                <w:color w:val="auto"/>
              </w:rPr>
              <w:t>Series due September 15, 2021</w:t>
            </w:r>
          </w:p>
        </w:tc>
        <w:tc>
          <w:tcPr>
            <w:tcW w:w="3860" w:type="dxa"/>
            <w:vAlign w:val="bottom"/>
          </w:tcPr>
          <w:p>
            <w:pPr>
              <w:ind w:left="2020"/>
              <w:spacing w:after="0"/>
              <w:rPr>
                <w:sz w:val="20"/>
                <w:szCs w:val="20"/>
                <w:color w:val="auto"/>
              </w:rPr>
            </w:pPr>
            <w:r>
              <w:rPr>
                <w:rFonts w:ascii="Arial" w:cs="Arial" w:eastAsia="Arial" w:hAnsi="Arial"/>
                <w:sz w:val="20"/>
                <w:szCs w:val="20"/>
                <w:color w:val="auto"/>
              </w:rPr>
              <w:t>60,000,000</w:t>
            </w:r>
          </w:p>
        </w:tc>
        <w:tc>
          <w:tcPr>
            <w:tcW w:w="1760" w:type="dxa"/>
            <w:vAlign w:val="bottom"/>
          </w:tcPr>
          <w:p>
            <w:pPr>
              <w:jc w:val="center"/>
              <w:ind w:left="681"/>
              <w:spacing w:after="0"/>
              <w:rPr>
                <w:sz w:val="20"/>
                <w:szCs w:val="20"/>
                <w:color w:val="auto"/>
              </w:rPr>
            </w:pPr>
            <w:r>
              <w:rPr>
                <w:rFonts w:ascii="Arial" w:cs="Arial" w:eastAsia="Arial" w:hAnsi="Arial"/>
                <w:sz w:val="20"/>
                <w:szCs w:val="20"/>
                <w:color w:val="auto"/>
                <w:w w:val="87"/>
              </w:rPr>
              <w:t>None</w:t>
            </w:r>
          </w:p>
        </w:tc>
      </w:tr>
      <w:tr>
        <w:trPr>
          <w:trHeight w:val="256"/>
        </w:trPr>
        <w:tc>
          <w:tcPr>
            <w:tcW w:w="540" w:type="dxa"/>
            <w:vAlign w:val="bottom"/>
          </w:tcPr>
          <w:p>
            <w:pPr>
              <w:jc w:val="right"/>
              <w:spacing w:after="0"/>
              <w:rPr>
                <w:sz w:val="20"/>
                <w:szCs w:val="20"/>
                <w:color w:val="auto"/>
              </w:rPr>
            </w:pPr>
            <w:r>
              <w:rPr>
                <w:rFonts w:ascii="Arial" w:cs="Arial" w:eastAsia="Arial" w:hAnsi="Arial"/>
                <w:sz w:val="20"/>
                <w:szCs w:val="20"/>
                <w:color w:val="auto"/>
                <w:w w:val="88"/>
              </w:rPr>
              <w:t>3.74%</w:t>
            </w:r>
          </w:p>
        </w:tc>
        <w:tc>
          <w:tcPr>
            <w:tcW w:w="4540" w:type="dxa"/>
            <w:vAlign w:val="bottom"/>
          </w:tcPr>
          <w:p>
            <w:pPr>
              <w:ind w:left="20"/>
              <w:spacing w:after="0"/>
              <w:rPr>
                <w:sz w:val="20"/>
                <w:szCs w:val="20"/>
                <w:color w:val="auto"/>
              </w:rPr>
            </w:pPr>
            <w:r>
              <w:rPr>
                <w:rFonts w:ascii="Arial" w:cs="Arial" w:eastAsia="Arial" w:hAnsi="Arial"/>
                <w:sz w:val="20"/>
                <w:szCs w:val="20"/>
                <w:color w:val="auto"/>
              </w:rPr>
              <w:t>Series due September 15, 2029</w:t>
            </w:r>
          </w:p>
        </w:tc>
        <w:tc>
          <w:tcPr>
            <w:tcW w:w="3860" w:type="dxa"/>
            <w:vAlign w:val="bottom"/>
          </w:tcPr>
          <w:p>
            <w:pPr>
              <w:ind w:left="2020"/>
              <w:spacing w:after="0"/>
              <w:rPr>
                <w:sz w:val="20"/>
                <w:szCs w:val="20"/>
                <w:color w:val="auto"/>
              </w:rPr>
            </w:pPr>
            <w:r>
              <w:rPr>
                <w:rFonts w:ascii="Arial" w:cs="Arial" w:eastAsia="Arial" w:hAnsi="Arial"/>
                <w:sz w:val="20"/>
                <w:szCs w:val="20"/>
                <w:color w:val="auto"/>
              </w:rPr>
              <w:t>50,000,000</w:t>
            </w:r>
          </w:p>
        </w:tc>
        <w:tc>
          <w:tcPr>
            <w:tcW w:w="1760" w:type="dxa"/>
            <w:vAlign w:val="bottom"/>
          </w:tcPr>
          <w:p>
            <w:pPr>
              <w:jc w:val="center"/>
              <w:ind w:left="681"/>
              <w:spacing w:after="0"/>
              <w:rPr>
                <w:sz w:val="20"/>
                <w:szCs w:val="20"/>
                <w:color w:val="auto"/>
              </w:rPr>
            </w:pPr>
            <w:r>
              <w:rPr>
                <w:rFonts w:ascii="Arial" w:cs="Arial" w:eastAsia="Arial" w:hAnsi="Arial"/>
                <w:sz w:val="20"/>
                <w:szCs w:val="20"/>
                <w:color w:val="auto"/>
                <w:w w:val="89"/>
              </w:rPr>
              <w:t>50,000,000</w:t>
            </w:r>
          </w:p>
        </w:tc>
      </w:tr>
      <w:tr>
        <w:trPr>
          <w:trHeight w:val="257"/>
        </w:trPr>
        <w:tc>
          <w:tcPr>
            <w:tcW w:w="540" w:type="dxa"/>
            <w:vAlign w:val="bottom"/>
          </w:tcPr>
          <w:p>
            <w:pPr>
              <w:jc w:val="right"/>
              <w:spacing w:after="0"/>
              <w:rPr>
                <w:sz w:val="20"/>
                <w:szCs w:val="20"/>
                <w:color w:val="auto"/>
              </w:rPr>
            </w:pPr>
            <w:r>
              <w:rPr>
                <w:rFonts w:ascii="Arial" w:cs="Arial" w:eastAsia="Arial" w:hAnsi="Arial"/>
                <w:sz w:val="20"/>
                <w:szCs w:val="20"/>
                <w:color w:val="auto"/>
                <w:w w:val="88"/>
              </w:rPr>
              <w:t>4.39%</w:t>
            </w:r>
          </w:p>
        </w:tc>
        <w:tc>
          <w:tcPr>
            <w:tcW w:w="4540" w:type="dxa"/>
            <w:vAlign w:val="bottom"/>
          </w:tcPr>
          <w:p>
            <w:pPr>
              <w:ind w:left="20"/>
              <w:spacing w:after="0"/>
              <w:rPr>
                <w:sz w:val="20"/>
                <w:szCs w:val="20"/>
                <w:color w:val="auto"/>
              </w:rPr>
            </w:pPr>
            <w:r>
              <w:rPr>
                <w:rFonts w:ascii="Arial" w:cs="Arial" w:eastAsia="Arial" w:hAnsi="Arial"/>
                <w:sz w:val="20"/>
                <w:szCs w:val="20"/>
                <w:color w:val="auto"/>
              </w:rPr>
              <w:t>Series due September 15, 2044</w:t>
            </w:r>
          </w:p>
        </w:tc>
        <w:tc>
          <w:tcPr>
            <w:tcW w:w="3860" w:type="dxa"/>
            <w:vAlign w:val="bottom"/>
          </w:tcPr>
          <w:p>
            <w:pPr>
              <w:ind w:left="2020"/>
              <w:spacing w:after="0"/>
              <w:rPr>
                <w:sz w:val="20"/>
                <w:szCs w:val="20"/>
                <w:color w:val="auto"/>
              </w:rPr>
            </w:pPr>
            <w:r>
              <w:rPr>
                <w:rFonts w:ascii="Arial" w:cs="Arial" w:eastAsia="Arial" w:hAnsi="Arial"/>
                <w:sz w:val="20"/>
                <w:szCs w:val="20"/>
                <w:color w:val="auto"/>
              </w:rPr>
              <w:t>50,000,000</w:t>
            </w:r>
          </w:p>
        </w:tc>
        <w:tc>
          <w:tcPr>
            <w:tcW w:w="1760" w:type="dxa"/>
            <w:vAlign w:val="bottom"/>
          </w:tcPr>
          <w:p>
            <w:pPr>
              <w:jc w:val="center"/>
              <w:ind w:left="681"/>
              <w:spacing w:after="0"/>
              <w:rPr>
                <w:sz w:val="20"/>
                <w:szCs w:val="20"/>
                <w:color w:val="auto"/>
              </w:rPr>
            </w:pPr>
            <w:r>
              <w:rPr>
                <w:rFonts w:ascii="Arial" w:cs="Arial" w:eastAsia="Arial" w:hAnsi="Arial"/>
                <w:sz w:val="20"/>
                <w:szCs w:val="20"/>
                <w:color w:val="auto"/>
                <w:w w:val="89"/>
              </w:rPr>
              <w:t>50,000,000</w:t>
            </w:r>
          </w:p>
        </w:tc>
      </w:tr>
      <w:tr>
        <w:trPr>
          <w:trHeight w:val="257"/>
        </w:trPr>
        <w:tc>
          <w:tcPr>
            <w:tcW w:w="540" w:type="dxa"/>
            <w:vAlign w:val="bottom"/>
          </w:tcPr>
          <w:p>
            <w:pPr>
              <w:jc w:val="right"/>
              <w:spacing w:after="0"/>
              <w:rPr>
                <w:sz w:val="20"/>
                <w:szCs w:val="20"/>
                <w:color w:val="auto"/>
              </w:rPr>
            </w:pPr>
            <w:r>
              <w:rPr>
                <w:rFonts w:ascii="Arial" w:cs="Arial" w:eastAsia="Arial" w:hAnsi="Arial"/>
                <w:sz w:val="20"/>
                <w:szCs w:val="20"/>
                <w:color w:val="auto"/>
                <w:w w:val="88"/>
              </w:rPr>
              <w:t>2.80%</w:t>
            </w:r>
          </w:p>
        </w:tc>
        <w:tc>
          <w:tcPr>
            <w:tcW w:w="4540" w:type="dxa"/>
            <w:vAlign w:val="bottom"/>
          </w:tcPr>
          <w:p>
            <w:pPr>
              <w:ind w:left="20"/>
              <w:spacing w:after="0"/>
              <w:rPr>
                <w:sz w:val="20"/>
                <w:szCs w:val="20"/>
                <w:color w:val="auto"/>
              </w:rPr>
            </w:pPr>
            <w:r>
              <w:rPr>
                <w:rFonts w:ascii="Arial" w:cs="Arial" w:eastAsia="Arial" w:hAnsi="Arial"/>
                <w:sz w:val="20"/>
                <w:szCs w:val="20"/>
                <w:color w:val="auto"/>
              </w:rPr>
              <w:t>Series due September 15, 2020</w:t>
            </w:r>
          </w:p>
        </w:tc>
        <w:tc>
          <w:tcPr>
            <w:tcW w:w="3860" w:type="dxa"/>
            <w:vAlign w:val="bottom"/>
          </w:tcPr>
          <w:p>
            <w:pPr>
              <w:ind w:left="2020"/>
              <w:spacing w:after="0"/>
              <w:rPr>
                <w:sz w:val="20"/>
                <w:szCs w:val="20"/>
                <w:color w:val="auto"/>
              </w:rPr>
            </w:pPr>
            <w:r>
              <w:rPr>
                <w:rFonts w:ascii="Arial" w:cs="Arial" w:eastAsia="Arial" w:hAnsi="Arial"/>
                <w:sz w:val="20"/>
                <w:szCs w:val="20"/>
                <w:color w:val="auto"/>
              </w:rPr>
              <w:t>40,000,000</w:t>
            </w:r>
          </w:p>
        </w:tc>
        <w:tc>
          <w:tcPr>
            <w:tcW w:w="1760" w:type="dxa"/>
            <w:vAlign w:val="bottom"/>
          </w:tcPr>
          <w:p>
            <w:pPr>
              <w:jc w:val="center"/>
              <w:ind w:left="681"/>
              <w:spacing w:after="0"/>
              <w:rPr>
                <w:sz w:val="20"/>
                <w:szCs w:val="20"/>
                <w:color w:val="auto"/>
              </w:rPr>
            </w:pPr>
            <w:r>
              <w:rPr>
                <w:rFonts w:ascii="Arial" w:cs="Arial" w:eastAsia="Arial" w:hAnsi="Arial"/>
                <w:sz w:val="20"/>
                <w:szCs w:val="20"/>
                <w:color w:val="auto"/>
                <w:w w:val="87"/>
              </w:rPr>
              <w:t>None</w:t>
            </w:r>
          </w:p>
        </w:tc>
      </w:tr>
      <w:tr>
        <w:trPr>
          <w:trHeight w:val="209"/>
        </w:trPr>
        <w:tc>
          <w:tcPr>
            <w:tcW w:w="5080" w:type="dxa"/>
            <w:vAlign w:val="bottom"/>
            <w:gridSpan w:val="2"/>
          </w:tcPr>
          <w:p>
            <w:pPr>
              <w:ind w:left="60"/>
              <w:spacing w:after="0" w:line="208" w:lineRule="exact"/>
              <w:rPr>
                <w:sz w:val="20"/>
                <w:szCs w:val="20"/>
                <w:color w:val="auto"/>
              </w:rPr>
            </w:pPr>
            <w:r>
              <w:rPr>
                <w:rFonts w:ascii="Arial" w:cs="Arial" w:eastAsia="Arial" w:hAnsi="Arial"/>
                <w:sz w:val="20"/>
                <w:szCs w:val="20"/>
                <w:color w:val="auto"/>
              </w:rPr>
              <w:t>3.86% Series due September 16, 2030</w:t>
            </w:r>
          </w:p>
        </w:tc>
        <w:tc>
          <w:tcPr>
            <w:tcW w:w="3860" w:type="dxa"/>
            <w:vAlign w:val="bottom"/>
          </w:tcPr>
          <w:p>
            <w:pPr>
              <w:ind w:left="2080"/>
              <w:spacing w:after="0" w:line="208" w:lineRule="exact"/>
              <w:rPr>
                <w:sz w:val="20"/>
                <w:szCs w:val="20"/>
                <w:color w:val="auto"/>
              </w:rPr>
            </w:pPr>
            <w:r>
              <w:rPr>
                <w:rFonts w:ascii="Arial" w:cs="Arial" w:eastAsia="Arial" w:hAnsi="Arial"/>
                <w:sz w:val="20"/>
                <w:szCs w:val="20"/>
                <w:color w:val="auto"/>
              </w:rPr>
              <w:t>60,000,000</w:t>
            </w:r>
          </w:p>
        </w:tc>
        <w:tc>
          <w:tcPr>
            <w:tcW w:w="1760" w:type="dxa"/>
            <w:vAlign w:val="bottom"/>
          </w:tcPr>
          <w:p>
            <w:pPr>
              <w:jc w:val="center"/>
              <w:ind w:left="681"/>
              <w:spacing w:after="0" w:line="208" w:lineRule="exact"/>
              <w:rPr>
                <w:sz w:val="20"/>
                <w:szCs w:val="20"/>
                <w:color w:val="auto"/>
              </w:rPr>
            </w:pPr>
            <w:r>
              <w:rPr>
                <w:rFonts w:ascii="Arial" w:cs="Arial" w:eastAsia="Arial" w:hAnsi="Arial"/>
                <w:sz w:val="20"/>
                <w:szCs w:val="20"/>
                <w:color w:val="auto"/>
                <w:w w:val="89"/>
              </w:rPr>
              <w:t>60,000,000</w:t>
            </w:r>
          </w:p>
        </w:tc>
      </w:tr>
      <w:tr>
        <w:trPr>
          <w:trHeight w:val="192"/>
        </w:trPr>
        <w:tc>
          <w:tcPr>
            <w:tcW w:w="5080" w:type="dxa"/>
            <w:vAlign w:val="bottom"/>
            <w:gridSpan w:val="2"/>
          </w:tcPr>
          <w:p>
            <w:pPr>
              <w:ind w:left="60"/>
              <w:spacing w:after="0" w:line="192" w:lineRule="exact"/>
              <w:rPr>
                <w:sz w:val="20"/>
                <w:szCs w:val="20"/>
                <w:color w:val="auto"/>
              </w:rPr>
            </w:pPr>
            <w:r>
              <w:rPr>
                <w:rFonts w:ascii="Arial" w:cs="Arial" w:eastAsia="Arial" w:hAnsi="Arial"/>
                <w:sz w:val="20"/>
                <w:szCs w:val="20"/>
                <w:color w:val="auto"/>
              </w:rPr>
              <w:t>4.07% Series due April 16, 2048</w:t>
            </w:r>
          </w:p>
        </w:tc>
        <w:tc>
          <w:tcPr>
            <w:tcW w:w="3860" w:type="dxa"/>
            <w:vAlign w:val="bottom"/>
          </w:tcPr>
          <w:p>
            <w:pPr>
              <w:ind w:left="2080"/>
              <w:spacing w:after="0" w:line="192" w:lineRule="exact"/>
              <w:rPr>
                <w:sz w:val="20"/>
                <w:szCs w:val="20"/>
                <w:color w:val="auto"/>
              </w:rPr>
            </w:pPr>
            <w:r>
              <w:rPr>
                <w:rFonts w:ascii="Arial" w:cs="Arial" w:eastAsia="Arial" w:hAnsi="Arial"/>
                <w:sz w:val="20"/>
                <w:szCs w:val="20"/>
                <w:color w:val="auto"/>
              </w:rPr>
              <w:t>60,000,000</w:t>
            </w:r>
          </w:p>
        </w:tc>
        <w:tc>
          <w:tcPr>
            <w:tcW w:w="1760" w:type="dxa"/>
            <w:vAlign w:val="bottom"/>
          </w:tcPr>
          <w:p>
            <w:pPr>
              <w:jc w:val="center"/>
              <w:ind w:left="681"/>
              <w:spacing w:after="0" w:line="192" w:lineRule="exact"/>
              <w:rPr>
                <w:sz w:val="20"/>
                <w:szCs w:val="20"/>
                <w:color w:val="auto"/>
              </w:rPr>
            </w:pPr>
            <w:r>
              <w:rPr>
                <w:rFonts w:ascii="Arial" w:cs="Arial" w:eastAsia="Arial" w:hAnsi="Arial"/>
                <w:sz w:val="20"/>
                <w:szCs w:val="20"/>
                <w:color w:val="auto"/>
                <w:w w:val="89"/>
              </w:rPr>
              <w:t>60,000,000</w:t>
            </w:r>
          </w:p>
        </w:tc>
      </w:tr>
      <w:tr>
        <w:trPr>
          <w:trHeight w:val="199"/>
        </w:trPr>
        <w:tc>
          <w:tcPr>
            <w:tcW w:w="5080" w:type="dxa"/>
            <w:vAlign w:val="bottom"/>
            <w:gridSpan w:val="2"/>
          </w:tcPr>
          <w:p>
            <w:pPr>
              <w:ind w:left="60"/>
              <w:spacing w:after="0" w:line="199" w:lineRule="exact"/>
              <w:rPr>
                <w:sz w:val="20"/>
                <w:szCs w:val="20"/>
                <w:color w:val="auto"/>
              </w:rPr>
            </w:pPr>
            <w:r>
              <w:rPr>
                <w:rFonts w:ascii="Arial" w:cs="Arial" w:eastAsia="Arial" w:hAnsi="Arial"/>
                <w:sz w:val="20"/>
                <w:szCs w:val="20"/>
                <w:color w:val="auto"/>
              </w:rPr>
              <w:t>4.08% Series due March 1, 2029</w:t>
            </w:r>
          </w:p>
        </w:tc>
        <w:tc>
          <w:tcPr>
            <w:tcW w:w="3860" w:type="dxa"/>
            <w:vAlign w:val="bottom"/>
          </w:tcPr>
          <w:p>
            <w:pPr>
              <w:ind w:left="2080"/>
              <w:spacing w:after="0" w:line="199" w:lineRule="exact"/>
              <w:rPr>
                <w:sz w:val="20"/>
                <w:szCs w:val="20"/>
                <w:color w:val="auto"/>
              </w:rPr>
            </w:pPr>
            <w:r>
              <w:rPr>
                <w:rFonts w:ascii="Arial" w:cs="Arial" w:eastAsia="Arial" w:hAnsi="Arial"/>
                <w:sz w:val="20"/>
                <w:szCs w:val="20"/>
                <w:color w:val="auto"/>
              </w:rPr>
              <w:t>70,000,000</w:t>
            </w:r>
          </w:p>
        </w:tc>
        <w:tc>
          <w:tcPr>
            <w:tcW w:w="1760" w:type="dxa"/>
            <w:vAlign w:val="bottom"/>
          </w:tcPr>
          <w:p>
            <w:pPr>
              <w:jc w:val="center"/>
              <w:ind w:left="681"/>
              <w:spacing w:after="0" w:line="199" w:lineRule="exact"/>
              <w:rPr>
                <w:sz w:val="20"/>
                <w:szCs w:val="20"/>
                <w:color w:val="auto"/>
              </w:rPr>
            </w:pPr>
            <w:r>
              <w:rPr>
                <w:rFonts w:ascii="Arial" w:cs="Arial" w:eastAsia="Arial" w:hAnsi="Arial"/>
                <w:sz w:val="20"/>
                <w:szCs w:val="20"/>
                <w:color w:val="auto"/>
                <w:w w:val="89"/>
              </w:rPr>
              <w:t>70,000,000</w:t>
            </w:r>
          </w:p>
        </w:tc>
      </w:tr>
      <w:tr>
        <w:trPr>
          <w:trHeight w:val="203"/>
        </w:trPr>
        <w:tc>
          <w:tcPr>
            <w:tcW w:w="5080" w:type="dxa"/>
            <w:vAlign w:val="bottom"/>
            <w:gridSpan w:val="2"/>
          </w:tcPr>
          <w:p>
            <w:pPr>
              <w:ind w:left="60"/>
              <w:spacing w:after="0" w:line="203" w:lineRule="exact"/>
              <w:rPr>
                <w:sz w:val="20"/>
                <w:szCs w:val="20"/>
                <w:color w:val="auto"/>
              </w:rPr>
            </w:pPr>
            <w:r>
              <w:rPr>
                <w:rFonts w:ascii="Arial" w:cs="Arial" w:eastAsia="Arial" w:hAnsi="Arial"/>
                <w:sz w:val="20"/>
                <w:szCs w:val="20"/>
                <w:color w:val="auto"/>
              </w:rPr>
              <w:t>4.47% Series due March 1, 2049</w:t>
            </w:r>
          </w:p>
        </w:tc>
        <w:tc>
          <w:tcPr>
            <w:tcW w:w="3860" w:type="dxa"/>
            <w:vAlign w:val="bottom"/>
          </w:tcPr>
          <w:p>
            <w:pPr>
              <w:ind w:left="2080"/>
              <w:spacing w:after="0" w:line="203" w:lineRule="exact"/>
              <w:rPr>
                <w:sz w:val="20"/>
                <w:szCs w:val="20"/>
                <w:color w:val="auto"/>
              </w:rPr>
            </w:pPr>
            <w:r>
              <w:rPr>
                <w:rFonts w:ascii="Arial" w:cs="Arial" w:eastAsia="Arial" w:hAnsi="Arial"/>
                <w:sz w:val="20"/>
                <w:szCs w:val="20"/>
                <w:color w:val="auto"/>
              </w:rPr>
              <w:t>30,000,000</w:t>
            </w:r>
          </w:p>
        </w:tc>
        <w:tc>
          <w:tcPr>
            <w:tcW w:w="1760" w:type="dxa"/>
            <w:vAlign w:val="bottom"/>
          </w:tcPr>
          <w:p>
            <w:pPr>
              <w:jc w:val="center"/>
              <w:ind w:left="681"/>
              <w:spacing w:after="0" w:line="203" w:lineRule="exact"/>
              <w:rPr>
                <w:sz w:val="20"/>
                <w:szCs w:val="20"/>
                <w:color w:val="auto"/>
              </w:rPr>
            </w:pPr>
            <w:r>
              <w:rPr>
                <w:rFonts w:ascii="Arial" w:cs="Arial" w:eastAsia="Arial" w:hAnsi="Arial"/>
                <w:sz w:val="20"/>
                <w:szCs w:val="20"/>
                <w:color w:val="auto"/>
                <w:w w:val="89"/>
              </w:rPr>
              <w:t>30,000,000</w:t>
            </w:r>
          </w:p>
        </w:tc>
      </w:tr>
      <w:tr>
        <w:trPr>
          <w:trHeight w:val="192"/>
        </w:trPr>
        <w:tc>
          <w:tcPr>
            <w:tcW w:w="5080" w:type="dxa"/>
            <w:vAlign w:val="bottom"/>
            <w:gridSpan w:val="2"/>
          </w:tcPr>
          <w:p>
            <w:pPr>
              <w:ind w:left="60"/>
              <w:spacing w:after="0" w:line="192" w:lineRule="exact"/>
              <w:rPr>
                <w:sz w:val="20"/>
                <w:szCs w:val="20"/>
                <w:color w:val="auto"/>
              </w:rPr>
            </w:pPr>
            <w:r>
              <w:rPr>
                <w:rFonts w:ascii="Arial" w:cs="Arial" w:eastAsia="Arial" w:hAnsi="Arial"/>
                <w:sz w:val="20"/>
                <w:szCs w:val="20"/>
                <w:color w:val="auto"/>
              </w:rPr>
              <w:t>2.50% Series due August 1, 2030</w:t>
            </w:r>
          </w:p>
        </w:tc>
        <w:tc>
          <w:tcPr>
            <w:tcW w:w="3860" w:type="dxa"/>
            <w:vAlign w:val="bottom"/>
          </w:tcPr>
          <w:p>
            <w:pPr>
              <w:ind w:left="2080"/>
              <w:spacing w:after="0" w:line="192" w:lineRule="exact"/>
              <w:rPr>
                <w:sz w:val="20"/>
                <w:szCs w:val="20"/>
                <w:color w:val="auto"/>
              </w:rPr>
            </w:pPr>
            <w:r>
              <w:rPr>
                <w:rFonts w:ascii="Arial" w:cs="Arial" w:eastAsia="Arial" w:hAnsi="Arial"/>
                <w:sz w:val="20"/>
                <w:szCs w:val="20"/>
                <w:color w:val="auto"/>
              </w:rPr>
              <w:t>46,000,000</w:t>
            </w:r>
          </w:p>
        </w:tc>
        <w:tc>
          <w:tcPr>
            <w:tcW w:w="1760" w:type="dxa"/>
            <w:vAlign w:val="bottom"/>
          </w:tcPr>
          <w:p>
            <w:pPr>
              <w:jc w:val="center"/>
              <w:ind w:left="681"/>
              <w:spacing w:after="0" w:line="192" w:lineRule="exact"/>
              <w:rPr>
                <w:sz w:val="20"/>
                <w:szCs w:val="20"/>
                <w:color w:val="auto"/>
              </w:rPr>
            </w:pPr>
            <w:r>
              <w:rPr>
                <w:rFonts w:ascii="Arial" w:cs="Arial" w:eastAsia="Arial" w:hAnsi="Arial"/>
                <w:sz w:val="20"/>
                <w:szCs w:val="20"/>
                <w:color w:val="auto"/>
                <w:w w:val="89"/>
              </w:rPr>
              <w:t>46,000,000</w:t>
            </w:r>
          </w:p>
        </w:tc>
      </w:tr>
      <w:tr>
        <w:trPr>
          <w:trHeight w:val="199"/>
        </w:trPr>
        <w:tc>
          <w:tcPr>
            <w:tcW w:w="5080" w:type="dxa"/>
            <w:vAlign w:val="bottom"/>
            <w:gridSpan w:val="2"/>
          </w:tcPr>
          <w:p>
            <w:pPr>
              <w:ind w:left="60"/>
              <w:spacing w:after="0" w:line="199" w:lineRule="exact"/>
              <w:rPr>
                <w:sz w:val="20"/>
                <w:szCs w:val="20"/>
                <w:color w:val="auto"/>
              </w:rPr>
            </w:pPr>
            <w:r>
              <w:rPr>
                <w:rFonts w:ascii="Arial" w:cs="Arial" w:eastAsia="Arial" w:hAnsi="Arial"/>
                <w:sz w:val="20"/>
                <w:szCs w:val="20"/>
                <w:color w:val="auto"/>
              </w:rPr>
              <w:t>3.30% Series due August 1, 2050</w:t>
            </w:r>
          </w:p>
        </w:tc>
        <w:tc>
          <w:tcPr>
            <w:tcW w:w="3860" w:type="dxa"/>
            <w:vAlign w:val="bottom"/>
          </w:tcPr>
          <w:p>
            <w:pPr>
              <w:ind w:left="2080"/>
              <w:spacing w:after="0" w:line="199" w:lineRule="exact"/>
              <w:rPr>
                <w:sz w:val="20"/>
                <w:szCs w:val="20"/>
                <w:color w:val="auto"/>
              </w:rPr>
            </w:pPr>
            <w:r>
              <w:rPr>
                <w:rFonts w:ascii="Arial" w:cs="Arial" w:eastAsia="Arial" w:hAnsi="Arial"/>
                <w:sz w:val="20"/>
                <w:szCs w:val="20"/>
                <w:color w:val="auto"/>
              </w:rPr>
              <w:t>94,000,000</w:t>
            </w:r>
          </w:p>
        </w:tc>
        <w:tc>
          <w:tcPr>
            <w:tcW w:w="1760" w:type="dxa"/>
            <w:vAlign w:val="bottom"/>
          </w:tcPr>
          <w:p>
            <w:pPr>
              <w:jc w:val="center"/>
              <w:ind w:left="681"/>
              <w:spacing w:after="0" w:line="199" w:lineRule="exact"/>
              <w:rPr>
                <w:sz w:val="20"/>
                <w:szCs w:val="20"/>
                <w:color w:val="auto"/>
              </w:rPr>
            </w:pPr>
            <w:r>
              <w:rPr>
                <w:rFonts w:ascii="Arial" w:cs="Arial" w:eastAsia="Arial" w:hAnsi="Arial"/>
                <w:sz w:val="20"/>
                <w:szCs w:val="20"/>
                <w:color w:val="auto"/>
                <w:w w:val="89"/>
              </w:rPr>
              <w:t>94,000,000</w:t>
            </w:r>
          </w:p>
        </w:tc>
      </w:tr>
      <w:tr>
        <w:trPr>
          <w:trHeight w:val="250"/>
        </w:trPr>
        <w:tc>
          <w:tcPr>
            <w:tcW w:w="5080" w:type="dxa"/>
            <w:vAlign w:val="bottom"/>
            <w:gridSpan w:val="2"/>
          </w:tcPr>
          <w:p>
            <w:pPr>
              <w:ind w:left="60"/>
              <w:spacing w:after="0"/>
              <w:rPr>
                <w:sz w:val="20"/>
                <w:szCs w:val="20"/>
                <w:color w:val="auto"/>
              </w:rPr>
            </w:pPr>
            <w:r>
              <w:rPr>
                <w:rFonts w:ascii="Arial" w:cs="Arial" w:eastAsia="Arial" w:hAnsi="Arial"/>
                <w:sz w:val="20"/>
                <w:szCs w:val="20"/>
                <w:color w:val="auto"/>
              </w:rPr>
              <w:t>2.79% Series due September 1, 2031</w:t>
            </w:r>
          </w:p>
        </w:tc>
        <w:tc>
          <w:tcPr>
            <w:tcW w:w="3860" w:type="dxa"/>
            <w:vAlign w:val="bottom"/>
          </w:tcPr>
          <w:p>
            <w:pPr>
              <w:ind w:left="2080"/>
              <w:spacing w:after="0"/>
              <w:rPr>
                <w:sz w:val="20"/>
                <w:szCs w:val="20"/>
                <w:color w:val="auto"/>
              </w:rPr>
            </w:pPr>
            <w:r>
              <w:rPr>
                <w:rFonts w:ascii="Arial" w:cs="Arial" w:eastAsia="Arial" w:hAnsi="Arial"/>
                <w:sz w:val="20"/>
                <w:szCs w:val="20"/>
                <w:color w:val="auto"/>
              </w:rPr>
              <w:t>100,000,000</w:t>
            </w:r>
          </w:p>
        </w:tc>
        <w:tc>
          <w:tcPr>
            <w:tcW w:w="1760" w:type="dxa"/>
            <w:vAlign w:val="bottom"/>
          </w:tcPr>
          <w:p>
            <w:pPr>
              <w:jc w:val="center"/>
              <w:ind w:left="681"/>
              <w:spacing w:after="0"/>
              <w:rPr>
                <w:sz w:val="20"/>
                <w:szCs w:val="20"/>
                <w:color w:val="auto"/>
              </w:rPr>
            </w:pPr>
            <w:r>
              <w:rPr>
                <w:rFonts w:ascii="Arial" w:cs="Arial" w:eastAsia="Arial" w:hAnsi="Arial"/>
                <w:sz w:val="20"/>
                <w:szCs w:val="20"/>
                <w:color w:val="auto"/>
                <w:w w:val="88"/>
              </w:rPr>
              <w:t>100,000,000</w:t>
            </w:r>
          </w:p>
        </w:tc>
      </w:tr>
    </w:tbl>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which bonds are also hereinafter sometimes called bonds of the First through Sixty-second Series, respectively; and</w:t>
      </w:r>
    </w:p>
    <w:p>
      <w:pPr>
        <w:spacing w:after="0" w:line="202" w:lineRule="exact"/>
        <w:rPr>
          <w:sz w:val="20"/>
          <w:szCs w:val="20"/>
          <w:color w:val="auto"/>
        </w:rPr>
      </w:pPr>
    </w:p>
    <w:p>
      <w:pPr>
        <w:ind w:firstLine="621"/>
        <w:spacing w:after="0" w:line="274" w:lineRule="auto"/>
        <w:rPr>
          <w:sz w:val="20"/>
          <w:szCs w:val="20"/>
          <w:color w:val="auto"/>
        </w:rPr>
      </w:pPr>
      <w:r>
        <w:rPr>
          <w:rFonts w:ascii="Arial" w:cs="Arial" w:eastAsia="Arial" w:hAnsi="Arial"/>
          <w:sz w:val="16"/>
          <w:szCs w:val="16"/>
          <w:color w:val="auto"/>
        </w:rPr>
        <w:t>Whereas, Section 8 of the Mortgage provides that the form of each series of bonds (other than the First Series) issued thereunder and of coupons to be attached to coupon bonds of such series shall be established by Resolution of the Board of Directors of the Company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that the form of such series, as established by said Board of Directors, shall specify the descriptive title of the bonds and various other terms thereof, and may also contain such provisions not inconsistent with the provisions of the Mortgage as the Board of Directors may, in its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discretion, cause to be inserted therein expressing or referring to the terms and conditions upon which such bonds are to be issued and/or secured under the Mortgage; and</w:t>
      </w:r>
    </w:p>
    <w:p>
      <w:pPr>
        <w:spacing w:after="0" w:line="156" w:lineRule="exact"/>
        <w:rPr>
          <w:sz w:val="20"/>
          <w:szCs w:val="20"/>
          <w:color w:val="auto"/>
        </w:rPr>
      </w:pPr>
    </w:p>
    <w:p>
      <w:pPr>
        <w:ind w:firstLine="621"/>
        <w:spacing w:after="0" w:line="244" w:lineRule="auto"/>
        <w:rPr>
          <w:sz w:val="20"/>
          <w:szCs w:val="20"/>
          <w:color w:val="auto"/>
        </w:rPr>
      </w:pPr>
      <w:r>
        <w:rPr>
          <w:rFonts w:ascii="Arial" w:cs="Arial" w:eastAsia="Arial" w:hAnsi="Arial"/>
          <w:sz w:val="18"/>
          <w:szCs w:val="18"/>
          <w:color w:val="auto"/>
        </w:rPr>
        <w:t>Whereas, Section 120 of the Mortgage provides, among other things, that any power, privilege or right expressly or impliedly reserved to or in any way conferred upon the Company by any provision of the Mortgage, whether such power, privilege or right is in any</w:t>
      </w:r>
    </w:p>
    <w:p>
      <w:pPr>
        <w:jc w:val="both"/>
        <w:spacing w:after="0" w:line="226" w:lineRule="auto"/>
        <w:rPr>
          <w:sz w:val="20"/>
          <w:szCs w:val="20"/>
          <w:color w:val="auto"/>
        </w:rPr>
      </w:pPr>
      <w:r>
        <w:rPr>
          <w:rFonts w:ascii="Arial" w:cs="Arial" w:eastAsia="Arial" w:hAnsi="Arial"/>
          <w:sz w:val="18"/>
          <w:szCs w:val="18"/>
          <w:color w:val="auto"/>
        </w:rPr>
        <w:t>way restricted or is unrestricted, may (to the extent permitted by law) be in whole or in part waived or surrendered or subjected to any restriction if at the time unrestricted or to additional restriction if already restricted, and the Company may enter into any further covenants,</w:t>
      </w:r>
    </w:p>
    <w:p>
      <w:pPr>
        <w:spacing w:after="0" w:line="236" w:lineRule="auto"/>
        <w:rPr>
          <w:sz w:val="20"/>
          <w:szCs w:val="20"/>
          <w:color w:val="auto"/>
        </w:rPr>
      </w:pPr>
      <w:r>
        <w:rPr>
          <w:rFonts w:ascii="Arial" w:cs="Arial" w:eastAsia="Arial" w:hAnsi="Arial"/>
          <w:sz w:val="18"/>
          <w:szCs w:val="18"/>
          <w:color w:val="auto"/>
        </w:rPr>
        <w:t>limitations or restrictions for the benefit of any one or more series of bonds issued thereunder, or the Company may cure any ambiguity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contained therein, or in any supplemental indenture, or may establish the terms and provisions of any series of bonds (other than said First Series) by an instrument in writing executed and acknowledged by the Company in such manner as would be necessary to entitle a</w:t>
      </w:r>
    </w:p>
    <w:p>
      <w:pPr>
        <w:spacing w:after="0" w:line="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conveyance of real estate to record in all of the states in which any property at the time subject to the lien of the Mortgage shall be situated; and</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Whereas, the Company now desires to create one new series of bonds and (pursuant to the provisions of Section 120 of the Mortgage)</w:t>
      </w:r>
    </w:p>
    <w:p>
      <w:pPr>
        <w:spacing w:after="0" w:line="3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add to its covenants and agreements contained in the Mortgage, as heretofore supplemented, certain other covenants and agreements to be observed by it and to alter and amend in certain respects the covenants and provisions contained in the Mortgage, as heretofore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supplemented;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55" w:name="page56"/>
    <w:bookmarkEnd w:id="55"/>
    <w:p>
      <w:pPr>
        <w:ind w:left="620"/>
        <w:spacing w:after="0"/>
        <w:rPr>
          <w:sz w:val="20"/>
          <w:szCs w:val="20"/>
          <w:color w:val="auto"/>
        </w:rPr>
      </w:pPr>
      <w:r>
        <w:rPr>
          <w:rFonts w:ascii="Arial" w:cs="Arial" w:eastAsia="Arial" w:hAnsi="Arial"/>
          <w:sz w:val="18"/>
          <w:szCs w:val="18"/>
          <w:color w:val="auto"/>
        </w:rPr>
        <w:t>Whereas, the execution and delivery by the Company of this Forty-third Supplemental Indenture, and the terms of the bonds of the</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Sixty-third Series, hereinafter referred to, have been duly authorized by the Board of Directors of the Company by appropriate resolutions of said Board of Directors;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Now, Therefore, This Indenture Witnesseth:</w:t>
      </w:r>
    </w:p>
    <w:p>
      <w:pPr>
        <w:spacing w:after="0" w:line="189" w:lineRule="exact"/>
        <w:rPr>
          <w:sz w:val="20"/>
          <w:szCs w:val="20"/>
          <w:color w:val="auto"/>
        </w:rPr>
      </w:pPr>
    </w:p>
    <w:p>
      <w:pPr>
        <w:ind w:firstLine="621"/>
        <w:spacing w:after="0" w:line="236" w:lineRule="auto"/>
        <w:rPr>
          <w:sz w:val="20"/>
          <w:szCs w:val="20"/>
          <w:color w:val="auto"/>
        </w:rPr>
      </w:pPr>
      <w:r>
        <w:rPr>
          <w:rFonts w:ascii="Arial" w:cs="Arial" w:eastAsia="Arial" w:hAnsi="Arial"/>
          <w:sz w:val="18"/>
          <w:szCs w:val="18"/>
          <w:color w:val="auto"/>
        </w:rPr>
        <w:t>That the Company, in consideration of the premises and of One Dollar to it duly paid by the Trustees at or before the ensealing and delivery of these presents, the receipt whereof is hereby acknowledged, and in further evidence of assurance of the estate, title and rights of</w:t>
      </w:r>
    </w:p>
    <w:p>
      <w:pPr>
        <w:spacing w:after="0" w:line="235" w:lineRule="auto"/>
        <w:rPr>
          <w:sz w:val="20"/>
          <w:szCs w:val="20"/>
          <w:color w:val="auto"/>
        </w:rPr>
      </w:pPr>
      <w:r>
        <w:rPr>
          <w:rFonts w:ascii="Arial" w:cs="Arial" w:eastAsia="Arial" w:hAnsi="Arial"/>
          <w:sz w:val="18"/>
          <w:szCs w:val="18"/>
          <w:color w:val="auto"/>
        </w:rPr>
        <w:t>the Trustees and in order further to secure the payment of both the principal of and interest and premium, if any, on the bonds from time to</w:t>
      </w:r>
    </w:p>
    <w:p>
      <w:pPr>
        <w:jc w:val="both"/>
        <w:spacing w:after="0" w:line="226" w:lineRule="auto"/>
        <w:rPr>
          <w:sz w:val="20"/>
          <w:szCs w:val="20"/>
          <w:color w:val="auto"/>
        </w:rPr>
      </w:pPr>
      <w:r>
        <w:rPr>
          <w:rFonts w:ascii="Arial" w:cs="Arial" w:eastAsia="Arial" w:hAnsi="Arial"/>
          <w:sz w:val="18"/>
          <w:szCs w:val="18"/>
          <w:color w:val="auto"/>
        </w:rPr>
        <w:t>time issued under the Mortgage, as heretofore supplemented, according to their tenor and effect and the performance of all the provisions of the Mortgage (including any instruments supplemental thereto and any modification made as in the Mortgage provided) and of said bonds,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hereby grants, bargains, sells, releases, conveys, assigns, transfers, mortgages, pledges, sets over and confirms (subject, however, to Excepted</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Encumbrances) unto The Bank of New York Mellon and Janet Lee, as Trustees under the Mortgage, and to their successor or successors in said trust, and to said Trustees and their successors and assigns forever, all property, real, personal and mixed, of the kind or nature</w:t>
      </w:r>
    </w:p>
    <w:p>
      <w:pPr>
        <w:spacing w:after="0" w:line="236" w:lineRule="auto"/>
        <w:rPr>
          <w:sz w:val="20"/>
          <w:szCs w:val="20"/>
          <w:color w:val="auto"/>
        </w:rPr>
      </w:pPr>
      <w:r>
        <w:rPr>
          <w:rFonts w:ascii="Arial" w:cs="Arial" w:eastAsia="Arial" w:hAnsi="Arial"/>
          <w:sz w:val="18"/>
          <w:szCs w:val="18"/>
          <w:color w:val="auto"/>
        </w:rPr>
        <w:t>specifically mentioned in the Mortgage, as heretofore supplemented, or of any other kind or nature acquired by the Company after the date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execution and delivery of the Mortgage, as heretofore supplemented (except any herein or in the Mortgage, as heretofore supplemented, expressly excepted), now owned or, subject to the provisions of subsection (I) of Section 87 of the Mortgage, hereafter acquired by the</w:t>
      </w:r>
    </w:p>
    <w:p>
      <w:pPr>
        <w:spacing w:after="0" w:line="236" w:lineRule="auto"/>
        <w:rPr>
          <w:sz w:val="20"/>
          <w:szCs w:val="20"/>
          <w:color w:val="auto"/>
        </w:rPr>
      </w:pPr>
      <w:r>
        <w:rPr>
          <w:rFonts w:ascii="Arial" w:cs="Arial" w:eastAsia="Arial" w:hAnsi="Arial"/>
          <w:sz w:val="18"/>
          <w:szCs w:val="18"/>
          <w:color w:val="auto"/>
        </w:rPr>
        <w:t>Company (by purchase, consolidation, merger, donation, construction, erection or in any other way) and wheresoever situated, including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(without in anywise limiting or impairing by the enumeration of the same the scope and intent of the foregoing or of any general description contained in this Forty-third Supplemental Indenture) all lands, power sites, flowage rights, water rights, water locations, water</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appropriations, ditches, flumes, reservoirs, reservoir sites, canals, raceways, dams, dam sites, aqueducts, and all other rights or means for appropriating, conveying, storing and supplying water; all rights of way and roads; all plants for the generation of electricity by steam, water</w:t>
      </w:r>
    </w:p>
    <w:p>
      <w:pPr>
        <w:spacing w:after="0" w:line="236" w:lineRule="auto"/>
        <w:rPr>
          <w:sz w:val="20"/>
          <w:szCs w:val="20"/>
          <w:color w:val="auto"/>
        </w:rPr>
      </w:pPr>
      <w:r>
        <w:rPr>
          <w:rFonts w:ascii="Arial" w:cs="Arial" w:eastAsia="Arial" w:hAnsi="Arial"/>
          <w:sz w:val="18"/>
          <w:szCs w:val="18"/>
          <w:color w:val="auto"/>
        </w:rPr>
        <w:t>and/or other power; all power houses, gas plants, street lighting systems, standards and other equipment incidental thereto, telephone, radio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and television systems, air-conditioning systems and equipment incidental thereto, water works, water systems, steam heat and hot water plants, substations, lines, service and supply systems, bridges, culverts, tracks, ice or refrigeration plants and equipment, offices, buildings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and other structures and the equipment thereof; all machinery, engines, boilers, dynamos, electric, gas and other machines, regulators, meters,</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transformers, generators, motors, electrical, gas and mechanical appliances, conduits, cables, water, steam heat, gas or other pipes, gas mains and pipes, service pipes, fittings, valves and connections, pole and transmission lines, wires, cables, tools, implements, apparatus, furniture</w:t>
      </w:r>
    </w:p>
    <w:p>
      <w:pPr>
        <w:spacing w:after="0" w:line="235" w:lineRule="auto"/>
        <w:rPr>
          <w:sz w:val="20"/>
          <w:szCs w:val="20"/>
          <w:color w:val="auto"/>
        </w:rPr>
      </w:pPr>
      <w:r>
        <w:rPr>
          <w:rFonts w:ascii="Arial" w:cs="Arial" w:eastAsia="Arial" w:hAnsi="Arial"/>
          <w:sz w:val="18"/>
          <w:szCs w:val="18"/>
          <w:color w:val="auto"/>
        </w:rPr>
        <w:t>and chattels; all municipal and other franchises, consents or permits; all lines for the transmission and distribution of electric current, gas,</w:t>
      </w:r>
    </w:p>
    <w:p>
      <w:pPr>
        <w:spacing w:after="0" w:line="226" w:lineRule="auto"/>
        <w:rPr>
          <w:sz w:val="20"/>
          <w:szCs w:val="20"/>
          <w:color w:val="auto"/>
        </w:rPr>
      </w:pPr>
      <w:r>
        <w:rPr>
          <w:rFonts w:ascii="Arial" w:cs="Arial" w:eastAsia="Arial" w:hAnsi="Arial"/>
          <w:sz w:val="18"/>
          <w:szCs w:val="18"/>
          <w:color w:val="auto"/>
        </w:rPr>
        <w:t>steam heat or water for any purpose including towers, poles, wires, cables, pipes, conduits, ducts and all apparatus for use in connection therewith; all real estate, lands, easements, servitudes, licenses, permits, franchises, privileges, rights of way and other rights in or relating to</w:t>
      </w:r>
    </w:p>
    <w:p>
      <w:pPr>
        <w:spacing w:after="0" w:line="236" w:lineRule="auto"/>
        <w:rPr>
          <w:sz w:val="20"/>
          <w:szCs w:val="20"/>
          <w:color w:val="auto"/>
        </w:rPr>
      </w:pPr>
      <w:r>
        <w:rPr>
          <w:rFonts w:ascii="Arial" w:cs="Arial" w:eastAsia="Arial" w:hAnsi="Arial"/>
          <w:sz w:val="18"/>
          <w:szCs w:val="18"/>
          <w:color w:val="auto"/>
        </w:rPr>
        <w:t>real estate or the occupancy of the same and (except as herein or in the Mortgage, as heretofore supplemented, expressly excepted) all the</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right, title and interest of the Company in and to all other property of any kind or nature appertaining to and/or used and/or occupied and/or enjoyed in connection with any property hereinbefore or in the Mortgage, as heretofore supplemented, described.</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Together with all and singular the tenements, hereditaments, prescriptions, servitudes and appurtenances belonging or in anywise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appertaining to the aforesaid property or any part thereof, with the reversion and reversions, remainder and remainders and (subject to the provisions of Section 57 of the Mortgage) the tolls, rents, revenues, issues, earnings, income, product and profits thereof, and all the estate,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right, title and interest and claim whatsoever, at law as well as in equity, which the Company now has or may hereafter acquire in and to the aforesaid property and franchises and every part and parcel thereof.</w:t>
      </w:r>
    </w:p>
    <w:p>
      <w:pPr>
        <w:spacing w:after="0" w:line="156" w:lineRule="exact"/>
        <w:rPr>
          <w:sz w:val="20"/>
          <w:szCs w:val="20"/>
          <w:color w:val="auto"/>
        </w:rPr>
      </w:pPr>
    </w:p>
    <w:p>
      <w:pPr>
        <w:jc w:val="both"/>
        <w:ind w:firstLine="621"/>
        <w:spacing w:after="0" w:line="244" w:lineRule="auto"/>
        <w:rPr>
          <w:sz w:val="20"/>
          <w:szCs w:val="20"/>
          <w:color w:val="auto"/>
        </w:rPr>
      </w:pPr>
      <w:r>
        <w:rPr>
          <w:rFonts w:ascii="Arial" w:cs="Arial" w:eastAsia="Arial" w:hAnsi="Arial"/>
          <w:sz w:val="18"/>
          <w:szCs w:val="18"/>
          <w:color w:val="auto"/>
        </w:rPr>
        <w:t>It is hereby agreed by the Company that, subject to the provisions of subsection (I) of Section 87 of the Mortgage, all the property, rights, and franchises acquired by the Company (by purchase, consolidation, merger, donation, construction, erection or in any other way)</w:t>
      </w:r>
    </w:p>
    <w:p>
      <w:pPr>
        <w:ind w:right="20"/>
        <w:spacing w:after="0" w:line="220" w:lineRule="auto"/>
        <w:rPr>
          <w:sz w:val="20"/>
          <w:szCs w:val="20"/>
          <w:color w:val="auto"/>
        </w:rPr>
      </w:pPr>
      <w:r>
        <w:rPr>
          <w:rFonts w:ascii="Arial" w:cs="Arial" w:eastAsia="Arial" w:hAnsi="Arial"/>
          <w:sz w:val="20"/>
          <w:szCs w:val="20"/>
          <w:color w:val="auto"/>
        </w:rPr>
        <w:t>after the date hereof, except any herein or in the Mortgage, as heretofore supplemented, expressly excepted, shall be and are as fully granted and conveyed hereby and by the Mortgage and as fully embraced within the lien hereof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5" w:right="339" w:bottom="1440" w:gutter="0" w:footer="0" w:header="0"/>
        </w:sectPr>
      </w:pPr>
    </w:p>
    <w:bookmarkStart w:id="56" w:name="page57"/>
    <w:bookmarkEnd w:id="56"/>
    <w:p>
      <w:pPr>
        <w:jc w:val="both"/>
        <w:spacing w:after="0" w:line="236" w:lineRule="auto"/>
        <w:rPr>
          <w:sz w:val="20"/>
          <w:szCs w:val="20"/>
          <w:color w:val="auto"/>
        </w:rPr>
      </w:pPr>
      <w:r>
        <w:rPr>
          <w:rFonts w:ascii="Arial" w:cs="Arial" w:eastAsia="Arial" w:hAnsi="Arial"/>
          <w:sz w:val="20"/>
          <w:szCs w:val="20"/>
          <w:color w:val="auto"/>
        </w:rPr>
        <w:t>lien of the Mortgage as if such property, rights and franchises were now owned by the Company and were specifically described herein or in the Mortgage and conveyed hereby or thereby.</w:t>
      </w:r>
    </w:p>
    <w:p>
      <w:pPr>
        <w:spacing w:after="0" w:line="155" w:lineRule="exact"/>
        <w:rPr>
          <w:sz w:val="20"/>
          <w:szCs w:val="20"/>
          <w:color w:val="auto"/>
        </w:rPr>
      </w:pPr>
    </w:p>
    <w:p>
      <w:pPr>
        <w:jc w:val="both"/>
        <w:ind w:right="20" w:firstLine="621"/>
        <w:spacing w:after="0" w:line="274" w:lineRule="auto"/>
        <w:rPr>
          <w:sz w:val="20"/>
          <w:szCs w:val="20"/>
          <w:color w:val="auto"/>
        </w:rPr>
      </w:pPr>
      <w:r>
        <w:rPr>
          <w:rFonts w:ascii="Arial" w:cs="Arial" w:eastAsia="Arial" w:hAnsi="Arial"/>
          <w:sz w:val="16"/>
          <w:szCs w:val="16"/>
          <w:color w:val="auto"/>
        </w:rPr>
        <w:t>Provided that the following are not and are not intended to be now or hereafter granted, bargained, sold, released, conveyed, assigned, transferred, mortgaged, hypothecated, affected, pledged, set over or confirmed hereunder and are hereby expressly excepted from the lien and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operation of this Forty-third Supplemental Indenture and from the lien and operation of the Mortgage, namely: (1) cash, shares of stock, bonds, notes and other obligations and other securities not hereafter specifically pledged, paid, deposited, delivered or held under the</w:t>
      </w:r>
    </w:p>
    <w:p>
      <w:pPr>
        <w:spacing w:after="0" w:line="224" w:lineRule="auto"/>
        <w:rPr>
          <w:sz w:val="20"/>
          <w:szCs w:val="20"/>
          <w:color w:val="auto"/>
        </w:rPr>
      </w:pPr>
      <w:r>
        <w:rPr>
          <w:rFonts w:ascii="Arial" w:cs="Arial" w:eastAsia="Arial" w:hAnsi="Arial"/>
          <w:sz w:val="19"/>
          <w:szCs w:val="19"/>
          <w:color w:val="auto"/>
        </w:rPr>
        <w:t>Mortgage or covenanted so to be; (2) merchandise, equipment, apparatus, materials or supplies held for the purpose of sale or other</w:t>
      </w:r>
    </w:p>
    <w:p>
      <w:pPr>
        <w:jc w:val="both"/>
        <w:spacing w:after="0" w:line="226" w:lineRule="auto"/>
        <w:rPr>
          <w:sz w:val="20"/>
          <w:szCs w:val="20"/>
          <w:color w:val="auto"/>
        </w:rPr>
      </w:pPr>
      <w:r>
        <w:rPr>
          <w:rFonts w:ascii="Arial" w:cs="Arial" w:eastAsia="Arial" w:hAnsi="Arial"/>
          <w:sz w:val="18"/>
          <w:szCs w:val="18"/>
          <w:color w:val="auto"/>
        </w:rPr>
        <w:t>disposition in the usual course of business; fuel, oil and similar materials and supplies consumable in the operation of any of the properties of the Company; all aircraft, rolling stock, trolley coaches, buses, motor coaches, automobiles and other vehicles and materials and supplies</w:t>
      </w:r>
    </w:p>
    <w:p>
      <w:pPr>
        <w:spacing w:after="0" w:line="236" w:lineRule="auto"/>
        <w:rPr>
          <w:sz w:val="20"/>
          <w:szCs w:val="20"/>
          <w:color w:val="auto"/>
        </w:rPr>
      </w:pPr>
      <w:r>
        <w:rPr>
          <w:rFonts w:ascii="Arial" w:cs="Arial" w:eastAsia="Arial" w:hAnsi="Arial"/>
          <w:sz w:val="18"/>
          <w:szCs w:val="18"/>
          <w:color w:val="auto"/>
        </w:rPr>
        <w:t>held for the purpose of repairing or replacing (in whole or part) any of the same; all timber, minerals, mineral rights and royalties; (3) bills,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notes and accounts receivable, judgments, demands and choses in action, and all contracts, leases and operating agreements not specifically pledged under the Mortgage or covenanted so to be; the Company’s contractual rights or other interest in or with respect to tires not owned</w:t>
      </w:r>
    </w:p>
    <w:p>
      <w:pPr>
        <w:spacing w:after="0" w:line="235" w:lineRule="auto"/>
        <w:rPr>
          <w:sz w:val="20"/>
          <w:szCs w:val="20"/>
          <w:color w:val="auto"/>
        </w:rPr>
      </w:pPr>
      <w:r>
        <w:rPr>
          <w:rFonts w:ascii="Arial" w:cs="Arial" w:eastAsia="Arial" w:hAnsi="Arial"/>
          <w:sz w:val="18"/>
          <w:szCs w:val="18"/>
          <w:color w:val="auto"/>
        </w:rPr>
        <w:t>by the Company; (4) the last day of the term of any lease or leasehold which may hereafter become subject to the lien of the Mortgage; (5)</w:t>
      </w:r>
    </w:p>
    <w:p>
      <w:pPr>
        <w:jc w:val="both"/>
        <w:spacing w:after="0" w:line="226" w:lineRule="auto"/>
        <w:rPr>
          <w:sz w:val="20"/>
          <w:szCs w:val="20"/>
          <w:color w:val="auto"/>
        </w:rPr>
      </w:pPr>
      <w:r>
        <w:rPr>
          <w:rFonts w:ascii="Arial" w:cs="Arial" w:eastAsia="Arial" w:hAnsi="Arial"/>
          <w:sz w:val="18"/>
          <w:szCs w:val="18"/>
          <w:color w:val="auto"/>
        </w:rPr>
        <w:t>electric energy, gas, steam, ice, and other materials or products generated, manufactured, produced or purchased by the Company for sale, distribution or use in the ordinary course of its business; (6) the Company’s franchise to be a corporation; and (7) any property heretofore</w:t>
      </w:r>
    </w:p>
    <w:p>
      <w:pPr>
        <w:spacing w:after="0" w:line="236" w:lineRule="auto"/>
        <w:rPr>
          <w:sz w:val="20"/>
          <w:szCs w:val="20"/>
          <w:color w:val="auto"/>
        </w:rPr>
      </w:pPr>
      <w:r>
        <w:rPr>
          <w:rFonts w:ascii="Arial" w:cs="Arial" w:eastAsia="Arial" w:hAnsi="Arial"/>
          <w:sz w:val="18"/>
          <w:szCs w:val="18"/>
          <w:color w:val="auto"/>
        </w:rPr>
        <w:t>released pursuant to any provisions of the Mortgage; provided, however, that the property and rights expressly excepted from the lien and</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operation of this Forty-third Supplemental Indenture and from the lien and operation of the Mortgage in the above subdivisions (2) and (3) shall (to the extent permitted by law) cease to be so excepted in the event and as of the date that either or both of the Trustees or a receiver or</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trustee shall enter upon and take possession of the Mortgaged and Pledged Property in the manner provided in Article XIII of the Mortgage by reason of the occurrence of a Default as defined in Section 65 thereof.</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To have and to hold all such properties, real, personal and mixed, granted, bargained, sold, released, conveyed, assigned, transferred,</w:t>
      </w:r>
    </w:p>
    <w:p>
      <w:pPr>
        <w:spacing w:after="0" w:line="35"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mortgaged, pledged, set over or confirmed by the Company as aforesaid, or intended so to be, unto the Trustees and their successors and assigns forever.</w:t>
      </w:r>
    </w:p>
    <w:p>
      <w:pPr>
        <w:spacing w:after="0" w:line="170" w:lineRule="exact"/>
        <w:rPr>
          <w:sz w:val="20"/>
          <w:szCs w:val="20"/>
          <w:color w:val="auto"/>
        </w:rPr>
      </w:pPr>
    </w:p>
    <w:p>
      <w:pPr>
        <w:jc w:val="both"/>
        <w:ind w:firstLine="621"/>
        <w:spacing w:after="0" w:line="350" w:lineRule="auto"/>
        <w:rPr>
          <w:sz w:val="20"/>
          <w:szCs w:val="20"/>
          <w:color w:val="auto"/>
        </w:rPr>
      </w:pPr>
      <w:r>
        <w:rPr>
          <w:rFonts w:ascii="Arial" w:cs="Arial" w:eastAsia="Arial" w:hAnsi="Arial"/>
          <w:sz w:val="16"/>
          <w:szCs w:val="16"/>
          <w:color w:val="auto"/>
        </w:rPr>
        <w:t>In trust nevertheless, for the same purposes and upon the same terms, trusts and conditions and subject to and with the same provisos and covenants as are set forth in the Mortgage, as supplemented, this Forty-third Supplemental Indenture being supplemental thereto.</w:t>
      </w:r>
    </w:p>
    <w:p>
      <w:pPr>
        <w:spacing w:after="0" w:line="71" w:lineRule="exact"/>
        <w:rPr>
          <w:sz w:val="20"/>
          <w:szCs w:val="20"/>
          <w:color w:val="auto"/>
        </w:rPr>
      </w:pPr>
    </w:p>
    <w:p>
      <w:pPr>
        <w:jc w:val="both"/>
        <w:ind w:firstLine="621"/>
        <w:spacing w:after="0" w:line="244" w:lineRule="auto"/>
        <w:rPr>
          <w:sz w:val="20"/>
          <w:szCs w:val="20"/>
          <w:color w:val="auto"/>
        </w:rPr>
      </w:pPr>
      <w:r>
        <w:rPr>
          <w:rFonts w:ascii="Arial" w:cs="Arial" w:eastAsia="Arial" w:hAnsi="Arial"/>
          <w:sz w:val="18"/>
          <w:szCs w:val="18"/>
          <w:color w:val="auto"/>
        </w:rPr>
        <w:t>And it is hereby covenanted by the Company that all the terms, conditions, provisos, covenants and provisions contained in the Mortgage, as heretofore supplemented, shall affect and apply to the property hereinbefore described and conveyed and to the estate, rights,</w:t>
      </w:r>
    </w:p>
    <w:p>
      <w:pPr>
        <w:jc w:val="both"/>
        <w:spacing w:after="0" w:line="226" w:lineRule="auto"/>
        <w:rPr>
          <w:sz w:val="20"/>
          <w:szCs w:val="20"/>
          <w:color w:val="auto"/>
        </w:rPr>
      </w:pPr>
      <w:r>
        <w:rPr>
          <w:rFonts w:ascii="Arial" w:cs="Arial" w:eastAsia="Arial" w:hAnsi="Arial"/>
          <w:sz w:val="18"/>
          <w:szCs w:val="18"/>
          <w:color w:val="auto"/>
        </w:rPr>
        <w:t>obligations and duties of the Company and Trustees and the beneficiaries of the trust with respect to said property, and to the Trustees and their successors in the trust in the same manner and with the same effect as if said property had been owned by the Company at the time of</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the execution of the Mortgage, and had been specifically and at length described in and conveyed to said Trustees by the Mortgage as a part of the property therein stated to be conveyed.</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Company further covenants and agrees to and with the Trustees and their successors in said trust under the Mortgage as follows: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Sixty-third Series of Bonds</w:t>
      </w:r>
    </w:p>
    <w:p>
      <w:pPr>
        <w:spacing w:after="0" w:line="200" w:lineRule="exact"/>
        <w:rPr>
          <w:sz w:val="20"/>
          <w:szCs w:val="20"/>
          <w:color w:val="auto"/>
        </w:rPr>
      </w:pPr>
    </w:p>
    <w:p>
      <w:pPr>
        <w:spacing w:after="0" w:line="224" w:lineRule="exact"/>
        <w:rPr>
          <w:sz w:val="20"/>
          <w:szCs w:val="20"/>
          <w:color w:val="auto"/>
        </w:rPr>
      </w:pPr>
    </w:p>
    <w:p>
      <w:pPr>
        <w:jc w:val="both"/>
        <w:ind w:firstLine="621"/>
        <w:spacing w:after="0" w:line="259" w:lineRule="auto"/>
        <w:rPr>
          <w:sz w:val="20"/>
          <w:szCs w:val="20"/>
          <w:color w:val="auto"/>
        </w:rPr>
      </w:pPr>
      <w:r>
        <w:rPr>
          <w:rFonts w:ascii="Arial" w:cs="Arial" w:eastAsia="Arial" w:hAnsi="Arial"/>
          <w:sz w:val="18"/>
          <w:szCs w:val="18"/>
          <w:color w:val="auto"/>
        </w:rPr>
        <w:t>Section 1. There shall be a series of bonds designated “4.54% Series due August 9, 2032” (herein sometimes referred to as the “Sixty-third Series”), each of which shall also bear the descriptive title “First Mortgage Bond”, and the form thereof, which shall be established by Resolution of the Board of Directors of the Company, shall contain suitable provisions with respect to the matters hereinafter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Section specified. Bonds of the Sixty-third Series shall be dated as in Section 10 of the Mortgage provided, mature on August 9, 2032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“Sixty-third Series Stated Maturity”), be issued as fully registered bonds in denominations of One Thousand Dollars and, at the option of the Company, in any multiple or multiples of One Thousand Dollars (the exercise of such option to be evidenced by the execution and delivery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thereof) and bear interest from August 9, 2022 (computed on the basis of a 360-day year of twelve thirty-day months) at the rate of 4.54% per</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annum, payable semi-annually on February 9 and August 9 of each year, commencing February 9, 2023, the principal of and interest on each said bond to be payable at the office or agency of the Company in the Borough of Manhattan, The City of New York, in such coin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currency of the United States of America as at the time of payment is legal tender for public and private debts.</w:t>
      </w:r>
    </w:p>
    <w:p>
      <w:pPr>
        <w:spacing w:after="0" w:line="173" w:lineRule="exact"/>
        <w:rPr>
          <w:sz w:val="20"/>
          <w:szCs w:val="20"/>
          <w:color w:val="auto"/>
        </w:rPr>
      </w:pPr>
    </w:p>
    <w:p>
      <w:pPr>
        <w:ind w:firstLine="621"/>
        <w:spacing w:after="0" w:line="236" w:lineRule="auto"/>
        <w:rPr>
          <w:sz w:val="20"/>
          <w:szCs w:val="20"/>
          <w:color w:val="auto"/>
        </w:rPr>
      </w:pPr>
      <w:r>
        <w:rPr>
          <w:rFonts w:ascii="Arial" w:cs="Arial" w:eastAsia="Arial" w:hAnsi="Arial"/>
          <w:sz w:val="18"/>
          <w:szCs w:val="18"/>
          <w:color w:val="auto"/>
        </w:rPr>
        <w:t>Any payment of principal of or interest on any bond of the Sixty-third Series that is due on a date other than a Business Day shall be made on the next succeeding Business Day without including the additional days elapsed in the computation of the interest payable on such</w:t>
      </w:r>
    </w:p>
    <w:p>
      <w:pPr>
        <w:spacing w:after="0" w:line="235" w:lineRule="auto"/>
        <w:rPr>
          <w:sz w:val="20"/>
          <w:szCs w:val="20"/>
          <w:color w:val="auto"/>
        </w:rPr>
      </w:pPr>
      <w:r>
        <w:rPr>
          <w:rFonts w:ascii="Arial" w:cs="Arial" w:eastAsia="Arial" w:hAnsi="Arial"/>
          <w:sz w:val="18"/>
          <w:szCs w:val="18"/>
          <w:color w:val="auto"/>
        </w:rPr>
        <w:t>next succeeding Business Day; provided that if the maturity date of any such bond of the Sixty-third Series is a date other than a Business</w:t>
      </w:r>
    </w:p>
    <w:p>
      <w:pPr>
        <w:ind w:right="20"/>
        <w:spacing w:after="0" w:line="220" w:lineRule="auto"/>
        <w:rPr>
          <w:sz w:val="20"/>
          <w:szCs w:val="20"/>
          <w:color w:val="auto"/>
        </w:rPr>
      </w:pPr>
      <w:r>
        <w:rPr>
          <w:rFonts w:ascii="Arial" w:cs="Arial" w:eastAsia="Arial" w:hAnsi="Arial"/>
          <w:sz w:val="20"/>
          <w:szCs w:val="20"/>
          <w:color w:val="auto"/>
        </w:rPr>
        <w:t>Day, the payment otherwise due on such maturity date shall be made on the next succeeding Business Day and shall include the additional days elapsed in the computation of interest payable on such next succeeding Business Day.</w:t>
      </w:r>
    </w:p>
    <w:p>
      <w:pPr>
        <w:spacing w:after="0" w:line="164" w:lineRule="exact"/>
        <w:rPr>
          <w:sz w:val="20"/>
          <w:szCs w:val="20"/>
          <w:color w:val="auto"/>
        </w:rPr>
      </w:pPr>
    </w:p>
    <w:p>
      <w:pPr>
        <w:jc w:val="both"/>
        <w:ind w:firstLine="629"/>
        <w:spacing w:after="0" w:line="233" w:lineRule="auto"/>
        <w:tabs>
          <w:tab w:leader="none" w:pos="1098"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Optional Prepayment. </w:t>
      </w:r>
      <w:r>
        <w:rPr>
          <w:rFonts w:ascii="Arial" w:cs="Arial" w:eastAsia="Arial" w:hAnsi="Arial"/>
          <w:sz w:val="18"/>
          <w:szCs w:val="18"/>
          <w:color w:val="auto"/>
        </w:rPr>
        <w:t>At any time prior to May 9, 2032 (three months prior to the Sixty-third Series Stated Maturity)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at its option, upon notice as provided below, prepay at any time all, or from time to time any part of, the bonds of the Sixty-third Series at 100% of the principal amount so prepaid, and the Make-Whole Amount determined for the Settlement Date specified by the Company in such notice with respect to such principal amount. The Company will give each registered owner of bonds of the Sixty-third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Sixty-third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Sixty-third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w:t>
      </w:r>
    </w:p>
    <w:p>
      <w:pPr>
        <w:spacing w:after="0" w:line="169" w:lineRule="exact"/>
        <w:rPr>
          <w:sz w:val="20"/>
          <w:szCs w:val="20"/>
          <w:color w:val="auto"/>
        </w:rPr>
      </w:pPr>
    </w:p>
    <w:p>
      <w:pPr>
        <w:ind w:firstLine="621"/>
        <w:spacing w:after="0" w:line="236" w:lineRule="auto"/>
        <w:rPr>
          <w:sz w:val="20"/>
          <w:szCs w:val="20"/>
          <w:color w:val="auto"/>
        </w:rPr>
      </w:pPr>
      <w:r>
        <w:rPr>
          <w:rFonts w:ascii="Arial" w:cs="Arial" w:eastAsia="Arial" w:hAnsi="Arial"/>
          <w:sz w:val="18"/>
          <w:szCs w:val="18"/>
          <w:color w:val="auto"/>
        </w:rPr>
        <w:t>At any time on or after May 9, 2032, the bonds of the Sixty-third Series will be redeemable at the option of the Company, in whole or in part, on not less than 30 nor more than 60 days’ notice prior to the Settlement Date, at a redemption price equal to 100% of the principal</w:t>
      </w:r>
    </w:p>
    <w:p>
      <w:pPr>
        <w:spacing w:after="0"/>
        <w:rPr>
          <w:sz w:val="20"/>
          <w:szCs w:val="20"/>
          <w:color w:val="auto"/>
        </w:rPr>
      </w:pPr>
      <w:r>
        <w:rPr>
          <w:rFonts w:ascii="Arial" w:cs="Arial" w:eastAsia="Arial" w:hAnsi="Arial"/>
          <w:sz w:val="20"/>
          <w:szCs w:val="20"/>
          <w:color w:val="auto"/>
        </w:rPr>
        <w:t>amount of the bonds of the Sixty-third Series to be redeemed, plus accrued and unpaid interest thereon to the Settlement Date.</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bonds of the Sixty-third Series are not otherwise subject to voluntary or optional prepayment.</w:t>
      </w:r>
    </w:p>
    <w:p>
      <w:pPr>
        <w:spacing w:after="0" w:line="169" w:lineRule="exact"/>
        <w:rPr>
          <w:sz w:val="20"/>
          <w:szCs w:val="20"/>
          <w:color w:val="auto"/>
        </w:rPr>
      </w:pPr>
    </w:p>
    <w:p>
      <w:pPr>
        <w:jc w:val="both"/>
        <w:ind w:firstLine="928"/>
        <w:spacing w:after="0" w:line="221" w:lineRule="auto"/>
        <w:tabs>
          <w:tab w:leader="none" w:pos="1483" w:val="left"/>
        </w:tabs>
        <w:numPr>
          <w:ilvl w:val="0"/>
          <w:numId w:val="20"/>
        </w:numPr>
        <w:rPr>
          <w:rFonts w:ascii="Arial" w:cs="Arial" w:eastAsia="Arial" w:hAnsi="Arial"/>
          <w:sz w:val="20"/>
          <w:szCs w:val="20"/>
          <w:color w:val="auto"/>
        </w:rPr>
      </w:pPr>
      <w:r>
        <w:rPr>
          <w:rFonts w:ascii="Arial" w:cs="Arial" w:eastAsia="Arial" w:hAnsi="Arial"/>
          <w:sz w:val="20"/>
          <w:szCs w:val="20"/>
          <w:b w:val="1"/>
          <w:bCs w:val="1"/>
          <w:color w:val="auto"/>
        </w:rPr>
        <w:t xml:space="preserve">Allocation of Partial Prepayments. </w:t>
      </w:r>
      <w:r>
        <w:rPr>
          <w:rFonts w:ascii="Arial" w:cs="Arial" w:eastAsia="Arial" w:hAnsi="Arial"/>
          <w:sz w:val="20"/>
          <w:szCs w:val="20"/>
          <w:color w:val="auto"/>
        </w:rPr>
        <w:t>In the case of each partial prepayment of the bonds of the Sixty-third Series, the</w:t>
      </w:r>
      <w:r>
        <w:rPr>
          <w:rFonts w:ascii="Arial" w:cs="Arial" w:eastAsia="Arial" w:hAnsi="Arial"/>
          <w:sz w:val="20"/>
          <w:szCs w:val="20"/>
          <w:b w:val="1"/>
          <w:bCs w:val="1"/>
          <w:color w:val="auto"/>
        </w:rPr>
        <w:t xml:space="preserve"> </w:t>
      </w:r>
      <w:r>
        <w:rPr>
          <w:rFonts w:ascii="Arial" w:cs="Arial" w:eastAsia="Arial" w:hAnsi="Arial"/>
          <w:sz w:val="20"/>
          <w:szCs w:val="20"/>
          <w:color w:val="auto"/>
        </w:rPr>
        <w:t>principal amount of the bonds of the Sixty-third Series to be prepaid shall be allocated by the Company among all of the bonds of the Sixty-third Series at the time outstanding in proportion, as nearly as practicable, to the respective unpaid principal amounts thereof not theretofore called for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5" w:right="339" w:bottom="1440" w:gutter="0" w:footer="0" w:header="0"/>
        </w:sectPr>
      </w:pPr>
    </w:p>
    <w:bookmarkStart w:id="58" w:name="page59"/>
    <w:bookmarkEnd w:id="58"/>
    <w:p>
      <w:pPr>
        <w:jc w:val="both"/>
        <w:ind w:firstLine="857"/>
        <w:spacing w:after="0" w:line="233" w:lineRule="auto"/>
        <w:tabs>
          <w:tab w:leader="none" w:pos="1463"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Maturity; Surrender, Etc. </w:t>
      </w:r>
      <w:r>
        <w:rPr>
          <w:rFonts w:ascii="Arial" w:cs="Arial" w:eastAsia="Arial" w:hAnsi="Arial"/>
          <w:sz w:val="18"/>
          <w:szCs w:val="18"/>
          <w:color w:val="auto"/>
        </w:rPr>
        <w:t>In the case of each notice of prepayment of bonds of the Sixty-third Series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if cash 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Sixty-third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spacing w:after="0" w:line="161"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18"/>
          <w:szCs w:val="18"/>
          <w:b w:val="1"/>
          <w:bCs w:val="1"/>
          <w:color w:val="auto"/>
        </w:rPr>
        <w:t>Make-Whole Amount.</w:t>
      </w:r>
    </w:p>
    <w:p>
      <w:pPr>
        <w:spacing w:after="0" w:line="195" w:lineRule="exact"/>
        <w:rPr>
          <w:sz w:val="20"/>
          <w:szCs w:val="20"/>
          <w:color w:val="auto"/>
        </w:rPr>
      </w:pPr>
    </w:p>
    <w:p>
      <w:pPr>
        <w:ind w:firstLine="622"/>
        <w:spacing w:after="0" w:line="236" w:lineRule="auto"/>
        <w:rPr>
          <w:sz w:val="20"/>
          <w:szCs w:val="20"/>
          <w:color w:val="auto"/>
        </w:rPr>
      </w:pPr>
      <w:r>
        <w:rPr>
          <w:rFonts w:ascii="Arial" w:cs="Arial" w:eastAsia="Arial" w:hAnsi="Arial"/>
          <w:sz w:val="18"/>
          <w:szCs w:val="18"/>
          <w:color w:val="auto"/>
        </w:rPr>
        <w:t>The term “Make-Whole Amount” means, with respect to any bond of the Sixty-third Series, an amount equal to the excess, if any, of the Discounted Value of the Remaining Scheduled Payments with respect to the Called Principal of such bond of the Sixty-third Series over</w:t>
      </w:r>
    </w:p>
    <w:p>
      <w:pPr>
        <w:spacing w:after="0" w:line="227" w:lineRule="auto"/>
        <w:rPr>
          <w:sz w:val="20"/>
          <w:szCs w:val="20"/>
          <w:color w:val="auto"/>
        </w:rPr>
      </w:pPr>
      <w:r>
        <w:rPr>
          <w:rFonts w:ascii="Arial" w:cs="Arial" w:eastAsia="Arial" w:hAnsi="Arial"/>
          <w:sz w:val="20"/>
          <w:szCs w:val="20"/>
          <w:color w:val="auto"/>
        </w:rPr>
        <w:t>the amount of such Called Principal, provided that the Make-Whole Amount may in no event be less than zero. For the purposes of determining the Make-Whole Amount, the following terms have the following meanings:</w:t>
      </w:r>
    </w:p>
    <w:p>
      <w:pPr>
        <w:spacing w:after="0" w:line="156" w:lineRule="exact"/>
        <w:rPr>
          <w:sz w:val="20"/>
          <w:szCs w:val="20"/>
          <w:color w:val="auto"/>
        </w:rPr>
      </w:pPr>
    </w:p>
    <w:p>
      <w:pPr>
        <w:ind w:right="20" w:firstLine="621"/>
        <w:spacing w:after="0" w:line="236" w:lineRule="auto"/>
        <w:rPr>
          <w:sz w:val="20"/>
          <w:szCs w:val="20"/>
          <w:color w:val="auto"/>
        </w:rPr>
      </w:pPr>
      <w:r>
        <w:rPr>
          <w:rFonts w:ascii="Arial" w:cs="Arial" w:eastAsia="Arial" w:hAnsi="Arial"/>
          <w:sz w:val="20"/>
          <w:szCs w:val="20"/>
          <w:color w:val="auto"/>
        </w:rPr>
        <w:t>“Business Day” means any day other than a Saturday, a Sunday or a day on which commercial banks in New York City are required or authorized to be closed.</w:t>
      </w:r>
    </w:p>
    <w:p>
      <w:pPr>
        <w:spacing w:after="0" w:line="169" w:lineRule="exact"/>
        <w:rPr>
          <w:sz w:val="20"/>
          <w:szCs w:val="20"/>
          <w:color w:val="auto"/>
        </w:rPr>
      </w:pPr>
    </w:p>
    <w:p>
      <w:pPr>
        <w:ind w:right="20" w:firstLine="621"/>
        <w:spacing w:after="0" w:line="229" w:lineRule="auto"/>
        <w:rPr>
          <w:sz w:val="20"/>
          <w:szCs w:val="20"/>
          <w:color w:val="auto"/>
        </w:rPr>
      </w:pPr>
      <w:r>
        <w:rPr>
          <w:rFonts w:ascii="Arial" w:cs="Arial" w:eastAsia="Arial" w:hAnsi="Arial"/>
          <w:sz w:val="20"/>
          <w:szCs w:val="20"/>
          <w:color w:val="auto"/>
        </w:rPr>
        <w:t>“Called Principal” means, with respect to any bond of the Sixty-third Series, the principal of such bond that is to be prepaid pursuant to subsection (I) of this section.</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“Discounted Value” means, with respect to the Called Principal of any bond of the Sixty-third Series, the amount obtained by</w:t>
      </w:r>
    </w:p>
    <w:p>
      <w:pPr>
        <w:spacing w:after="0" w:line="226" w:lineRule="auto"/>
        <w:rPr>
          <w:sz w:val="20"/>
          <w:szCs w:val="20"/>
          <w:color w:val="auto"/>
        </w:rPr>
      </w:pPr>
      <w:r>
        <w:rPr>
          <w:rFonts w:ascii="Arial" w:cs="Arial" w:eastAsia="Arial" w:hAnsi="Arial"/>
          <w:sz w:val="18"/>
          <w:szCs w:val="18"/>
          <w:color w:val="auto"/>
        </w:rPr>
        <w:t>discounting all Remaining Scheduled Payments with respect to such Called Principal from their respective scheduled due dates to the Settlement Date with respect to such Called Principal, in accordance with accepted financial practice and at a discount factor (applied on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same periodic basis as that on which interest on the bonds of the Sixty-third Series is payable) equal to the Reinvestment Yield with respect to such Called Principal.</w:t>
      </w:r>
    </w:p>
    <w:p>
      <w:pPr>
        <w:spacing w:after="0" w:line="156" w:lineRule="exact"/>
        <w:rPr>
          <w:sz w:val="20"/>
          <w:szCs w:val="20"/>
          <w:color w:val="auto"/>
        </w:rPr>
      </w:pPr>
    </w:p>
    <w:p>
      <w:pPr>
        <w:ind w:firstLine="621"/>
        <w:spacing w:after="0" w:line="244" w:lineRule="auto"/>
        <w:rPr>
          <w:sz w:val="20"/>
          <w:szCs w:val="20"/>
          <w:color w:val="auto"/>
        </w:rPr>
      </w:pPr>
      <w:r>
        <w:rPr>
          <w:rFonts w:ascii="Arial" w:cs="Arial" w:eastAsia="Arial" w:hAnsi="Arial"/>
          <w:sz w:val="18"/>
          <w:szCs w:val="18"/>
          <w:color w:val="auto"/>
        </w:rPr>
        <w:t>“Reinvestment Yield” means, with respect to the Called Principal of any bond of the Sixty-third Series, the sum of (a) 0.50% plus (b) the yield to maturity implied by the “Ask Yield(s)” reported as of 10:00 a.m. (New York City time) on the second Business Day preceding</w:t>
      </w:r>
    </w:p>
    <w:p>
      <w:pPr>
        <w:spacing w:after="0" w:line="226" w:lineRule="auto"/>
        <w:rPr>
          <w:sz w:val="20"/>
          <w:szCs w:val="20"/>
          <w:color w:val="auto"/>
        </w:rPr>
      </w:pPr>
      <w:r>
        <w:rPr>
          <w:rFonts w:ascii="Arial" w:cs="Arial" w:eastAsia="Arial" w:hAnsi="Arial"/>
          <w:sz w:val="18"/>
          <w:szCs w:val="18"/>
          <w:color w:val="auto"/>
        </w:rPr>
        <w:t>the Settlement Date with respect to such Called Principal, on the display designated as “Page PX1” (or such other display as may replace Page PX1) on Bloomberg Financial Markets for the most recently issued actively traded on-the-run benchmark U.S. Treasury securities</w:t>
      </w:r>
    </w:p>
    <w:p>
      <w:pPr>
        <w:spacing w:after="0" w:line="236" w:lineRule="auto"/>
        <w:rPr>
          <w:sz w:val="20"/>
          <w:szCs w:val="20"/>
          <w:color w:val="auto"/>
        </w:rPr>
      </w:pPr>
      <w:r>
        <w:rPr>
          <w:rFonts w:ascii="Arial" w:cs="Arial" w:eastAsia="Arial" w:hAnsi="Arial"/>
          <w:sz w:val="18"/>
          <w:szCs w:val="18"/>
          <w:color w:val="auto"/>
        </w:rPr>
        <w:t>(“Reported”) having a maturity equal to the Remaining Average Life of such Called Principal as of such Settlement Date. If there are no such</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U.S. Treasury securities Reported having a maturity equal to such Remaining Average Life, then such implied yield to maturity will be determined by (i) converting U.S. Treasury bill quotations to bond equivalent yields in accordance with accepted financial practice and</w:t>
      </w:r>
    </w:p>
    <w:p>
      <w:pPr>
        <w:ind w:firstLine="8"/>
        <w:spacing w:after="0" w:line="266" w:lineRule="auto"/>
        <w:tabs>
          <w:tab w:leader="none" w:pos="307"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interpolating linearly between the “Ask Yields” Reported for the applicable most recently issued actively traded on-the-run benchmark U.S. Treasury securities with the maturities (1) closest to and greater than such Remaining Average Life and (2) closest to and less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399" w:right="339" w:bottom="1440" w:gutter="0" w:footer="0" w:header="0"/>
        </w:sectPr>
      </w:pPr>
    </w:p>
    <w:bookmarkStart w:id="59" w:name="page60"/>
    <w:bookmarkEnd w:id="59"/>
    <w:p>
      <w:pPr>
        <w:spacing w:after="0" w:line="236" w:lineRule="auto"/>
        <w:rPr>
          <w:sz w:val="20"/>
          <w:szCs w:val="20"/>
          <w:color w:val="auto"/>
        </w:rPr>
      </w:pPr>
      <w:r>
        <w:rPr>
          <w:rFonts w:ascii="Arial" w:cs="Arial" w:eastAsia="Arial" w:hAnsi="Arial"/>
          <w:sz w:val="20"/>
          <w:szCs w:val="20"/>
          <w:color w:val="auto"/>
        </w:rPr>
        <w:t>such Remaining Average Life. The Reinvestment Yield shall be rounded to the number of decimal places as appears in the interest rate of the applicable bond of the Sixty-third Series.</w:t>
      </w:r>
    </w:p>
    <w:p>
      <w:pPr>
        <w:spacing w:after="0" w:line="155" w:lineRule="exact"/>
        <w:rPr>
          <w:sz w:val="20"/>
          <w:szCs w:val="20"/>
          <w:color w:val="auto"/>
        </w:rPr>
      </w:pPr>
    </w:p>
    <w:p>
      <w:pPr>
        <w:ind w:firstLine="621"/>
        <w:spacing w:after="0" w:line="244" w:lineRule="auto"/>
        <w:rPr>
          <w:sz w:val="20"/>
          <w:szCs w:val="20"/>
          <w:color w:val="auto"/>
        </w:rPr>
      </w:pPr>
      <w:r>
        <w:rPr>
          <w:rFonts w:ascii="Arial" w:cs="Arial" w:eastAsia="Arial" w:hAnsi="Arial"/>
          <w:sz w:val="18"/>
          <w:szCs w:val="18"/>
          <w:color w:val="auto"/>
        </w:rPr>
        <w:t>If such yields are not Reported or the yields Reported as of such time are not ascertainable (including by way of interpolation), then “Reinvestment Yield” means, with respect to the Called Principal of any bond of the Sixty-third Series, the sum of (x) 0.50% plus (y) the</w:t>
      </w:r>
    </w:p>
    <w:p>
      <w:pPr>
        <w:spacing w:after="0" w:line="226" w:lineRule="auto"/>
        <w:rPr>
          <w:sz w:val="20"/>
          <w:szCs w:val="20"/>
          <w:color w:val="auto"/>
        </w:rPr>
      </w:pPr>
      <w:r>
        <w:rPr>
          <w:rFonts w:ascii="Arial" w:cs="Arial" w:eastAsia="Arial" w:hAnsi="Arial"/>
          <w:sz w:val="18"/>
          <w:szCs w:val="18"/>
          <w:color w:val="auto"/>
        </w:rPr>
        <w:t>yield to maturity implied by the U.S. Treasury constant maturity yields reported, for the latest day for which such yields have been so reported as of the second Business Day preceding the Settlement Date with respect to such Called Principal, in Federal Reserve Statistical</w:t>
      </w:r>
    </w:p>
    <w:p>
      <w:pPr>
        <w:spacing w:after="0" w:line="236" w:lineRule="auto"/>
        <w:rPr>
          <w:sz w:val="20"/>
          <w:szCs w:val="20"/>
          <w:color w:val="auto"/>
        </w:rPr>
      </w:pPr>
      <w:r>
        <w:rPr>
          <w:rFonts w:ascii="Arial" w:cs="Arial" w:eastAsia="Arial" w:hAnsi="Arial"/>
          <w:sz w:val="18"/>
          <w:szCs w:val="18"/>
          <w:color w:val="auto"/>
        </w:rPr>
        <w:t>Release H.15 (or any comparable successor publication) for the U.S. Treasury constant maturity having a term equal to the Remaining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Average Life of such Called Principal as of such Settlement Date. If there is no such U.S. Treasury constant maturity having a term equal to such Remaining Average Life, such implied yield to maturity will be determined by interpolating linearly between (1) the U.S. Treasury</w:t>
      </w:r>
    </w:p>
    <w:p>
      <w:pPr>
        <w:spacing w:after="0" w:line="236" w:lineRule="auto"/>
        <w:rPr>
          <w:sz w:val="20"/>
          <w:szCs w:val="20"/>
          <w:color w:val="auto"/>
        </w:rPr>
      </w:pPr>
      <w:r>
        <w:rPr>
          <w:rFonts w:ascii="Arial" w:cs="Arial" w:eastAsia="Arial" w:hAnsi="Arial"/>
          <w:sz w:val="18"/>
          <w:szCs w:val="18"/>
          <w:color w:val="auto"/>
        </w:rPr>
        <w:t>constant maturity so reported with the term closest to and greater than such Remaining Average Life and (2) the U.S. Treasury constant</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maturity so reported with the term closest to and less than such Remaining Average Life. The Reinvestment Yield shall be rounded to the number of decimal places as appears in the interest rate of the applicable bond of the Sixty-third Series.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“Remaining Average Life” means, with respect to any Called Principal, the number of years obtained by dividing (i) such Called</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Principal into (ii) the sum of the products obtained by multiplying (a) the principal component of each Remaining Scheduled Payment with respect to such Called Principal by (b) the number of years, computed on the basis of a 360-day year comprised of twelve 30-day months and</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calculated to two decimal places, that will elapse between the Settlement Date with respect to such Called Principal and the scheduled due date of such Remaining Scheduled.</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“Remaining Scheduled Payments” means, with respect to the Called Principal of any Bond of the Sixty-third Series, all payments of</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such Called Principal and interest thereon that would be due after the Settlement Date with respect to such Called Principal if no payment of such Called Principal were made prior to its scheduled due, provided that if such Settlement Date is not a date on which interest payments are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due to be made under the terms of the bonds of the Sixty-third Series, then the amount of the next succeeding scheduled interest payment will</w:t>
      </w:r>
    </w:p>
    <w:p>
      <w:pPr>
        <w:spacing w:after="0" w:line="19"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be reduced by the amount of interest accrued to such Settlement Date and required to be paid on such Settlement Date pursuant to subsection (I) of this section.</w:t>
      </w:r>
    </w:p>
    <w:p>
      <w:pPr>
        <w:spacing w:after="0" w:line="170" w:lineRule="exact"/>
        <w:rPr>
          <w:sz w:val="20"/>
          <w:szCs w:val="20"/>
          <w:color w:val="auto"/>
        </w:rPr>
      </w:pPr>
    </w:p>
    <w:p>
      <w:pPr>
        <w:ind w:firstLine="621"/>
        <w:spacing w:after="0" w:line="236" w:lineRule="auto"/>
        <w:rPr>
          <w:sz w:val="20"/>
          <w:szCs w:val="20"/>
          <w:color w:val="auto"/>
        </w:rPr>
      </w:pPr>
      <w:r>
        <w:rPr>
          <w:rFonts w:ascii="Arial" w:cs="Arial" w:eastAsia="Arial" w:hAnsi="Arial"/>
          <w:sz w:val="20"/>
          <w:szCs w:val="20"/>
          <w:color w:val="auto"/>
        </w:rPr>
        <w:t>“Settlement Date” means, with respect to the Called Principal of any Bond of the Sixty-third Series, the date on which such Called Principal is to be prepaid pursuant to subsection (I) of this section.</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Financial Officer” means the chief financial officer, principal accounting officer, treasurer or comptroller of the Company.</w:t>
      </w:r>
    </w:p>
    <w:p>
      <w:pPr>
        <w:spacing w:after="0" w:line="212" w:lineRule="exact"/>
        <w:rPr>
          <w:sz w:val="20"/>
          <w:szCs w:val="20"/>
          <w:color w:val="auto"/>
        </w:rPr>
      </w:pPr>
    </w:p>
    <w:p>
      <w:pPr>
        <w:jc w:val="both"/>
        <w:ind w:firstLine="629"/>
        <w:spacing w:after="0" w:line="218" w:lineRule="auto"/>
        <w:tabs>
          <w:tab w:leader="none" w:pos="1116" w:val="left"/>
        </w:tabs>
        <w:numPr>
          <w:ilvl w:val="0"/>
          <w:numId w:val="23"/>
        </w:numPr>
        <w:rPr>
          <w:rFonts w:ascii="Arial" w:cs="Arial" w:eastAsia="Arial" w:hAnsi="Arial"/>
          <w:sz w:val="20"/>
          <w:szCs w:val="20"/>
          <w:color w:val="auto"/>
        </w:rPr>
      </w:pPr>
      <w:r>
        <w:rPr>
          <w:rFonts w:ascii="Arial" w:cs="Arial" w:eastAsia="Arial" w:hAnsi="Arial"/>
          <w:sz w:val="20"/>
          <w:szCs w:val="20"/>
          <w:color w:val="auto"/>
        </w:rPr>
        <w:t>At the option of the registered owner, any bonds of the Sixty-third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unpaid principal amount of bonds of the same series of other authorized denominations.</w:t>
      </w:r>
    </w:p>
    <w:p>
      <w:pPr>
        <w:spacing w:after="0" w:line="157" w:lineRule="exact"/>
        <w:rPr>
          <w:sz w:val="20"/>
          <w:szCs w:val="20"/>
          <w:color w:val="auto"/>
        </w:rPr>
      </w:pPr>
    </w:p>
    <w:p>
      <w:pPr>
        <w:ind w:firstLine="621"/>
        <w:spacing w:after="0" w:line="244" w:lineRule="auto"/>
        <w:rPr>
          <w:sz w:val="20"/>
          <w:szCs w:val="20"/>
          <w:color w:val="auto"/>
        </w:rPr>
      </w:pPr>
      <w:r>
        <w:rPr>
          <w:rFonts w:ascii="Arial" w:cs="Arial" w:eastAsia="Arial" w:hAnsi="Arial"/>
          <w:sz w:val="18"/>
          <w:szCs w:val="18"/>
          <w:color w:val="auto"/>
        </w:rPr>
        <w:t>Bonds of the Sixty-third Series shall be transferable (subject to the provisions of Section 12 of the Mortgage) at the office or agency of the Company in the Borough of Manhattan, The City of New York. The Company shall not be required to make transfers or exchanges of</w:t>
      </w:r>
    </w:p>
    <w:p>
      <w:pPr>
        <w:spacing w:after="0" w:line="255" w:lineRule="auto"/>
        <w:rPr>
          <w:sz w:val="20"/>
          <w:szCs w:val="20"/>
          <w:color w:val="auto"/>
        </w:rPr>
      </w:pPr>
      <w:r>
        <w:rPr>
          <w:rFonts w:ascii="Arial" w:cs="Arial" w:eastAsia="Arial" w:hAnsi="Arial"/>
          <w:sz w:val="16"/>
          <w:szCs w:val="16"/>
          <w:color w:val="auto"/>
        </w:rPr>
        <w:t>bonds of the Sixty-third Series for a period of ten (10) days next preceding any interest payment date for bonds of such series, or next preceding any designation of bonds of said series to be prepaid, and the Company shall not be required to make transfers or exchanges of any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bonds of said series designated in whole or in part for prepayment.</w:t>
      </w:r>
    </w:p>
    <w:p>
      <w:pPr>
        <w:spacing w:after="0" w:line="173" w:lineRule="exact"/>
        <w:rPr>
          <w:sz w:val="20"/>
          <w:szCs w:val="20"/>
          <w:color w:val="auto"/>
        </w:rPr>
      </w:pPr>
    </w:p>
    <w:p>
      <w:pPr>
        <w:ind w:firstLine="621"/>
        <w:spacing w:after="0" w:line="236" w:lineRule="auto"/>
        <w:rPr>
          <w:sz w:val="20"/>
          <w:szCs w:val="20"/>
          <w:color w:val="auto"/>
        </w:rPr>
      </w:pPr>
      <w:r>
        <w:rPr>
          <w:rFonts w:ascii="Arial" w:cs="Arial" w:eastAsia="Arial" w:hAnsi="Arial"/>
          <w:sz w:val="18"/>
          <w:szCs w:val="18"/>
          <w:color w:val="auto"/>
        </w:rPr>
        <w:t>Upon any exchange or transfer of bonds of the Sixty-third Series, the Company may make a charge therefor sufficient to reimburse it for any tax or taxes or other governmental charge, as provided in Section 12 of the Mortgage, but the Company hereby waives any right to</w:t>
      </w:r>
    </w:p>
    <w:p>
      <w:pPr>
        <w:spacing w:after="0"/>
        <w:rPr>
          <w:sz w:val="20"/>
          <w:szCs w:val="20"/>
          <w:color w:val="auto"/>
        </w:rPr>
      </w:pPr>
      <w:r>
        <w:rPr>
          <w:rFonts w:ascii="Arial" w:cs="Arial" w:eastAsia="Arial" w:hAnsi="Arial"/>
          <w:sz w:val="20"/>
          <w:szCs w:val="20"/>
          <w:color w:val="auto"/>
        </w:rPr>
        <w:t>make a charge in addition thereto for any exchange or transfer of bonds of the Sixty-third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5" w:right="339" w:bottom="1440" w:gutter="0" w:footer="0" w:header="0"/>
        </w:sectPr>
      </w:pPr>
    </w:p>
    <w:bookmarkStart w:id="60" w:name="page61"/>
    <w:bookmarkEnd w:id="60"/>
    <w:p>
      <w:pPr>
        <w:ind w:left="620"/>
        <w:spacing w:after="0"/>
        <w:rPr>
          <w:sz w:val="20"/>
          <w:szCs w:val="20"/>
          <w:color w:val="auto"/>
        </w:rPr>
      </w:pPr>
      <w:r>
        <w:rPr>
          <w:rFonts w:ascii="Arial" w:cs="Arial" w:eastAsia="Arial" w:hAnsi="Arial"/>
          <w:sz w:val="18"/>
          <w:szCs w:val="18"/>
          <w:color w:val="auto"/>
        </w:rPr>
        <w:t>After the delivery of this Forty-third Supplemental Indenture and upon compliance with the applicable provisions of the Mortgage</w:t>
      </w:r>
    </w:p>
    <w:p>
      <w:pPr>
        <w:spacing w:after="0" w:line="12"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and receipt of consideration therefor by the Company, there shall be an initial issue of bonds of the Sixty-third Series for the aggregate principal amount of $75,000,000.</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to Amendments</w:t>
      </w:r>
    </w:p>
    <w:p>
      <w:pPr>
        <w:spacing w:after="0" w:line="200" w:lineRule="exact"/>
        <w:rPr>
          <w:sz w:val="20"/>
          <w:szCs w:val="20"/>
          <w:color w:val="auto"/>
        </w:rPr>
      </w:pPr>
    </w:p>
    <w:p>
      <w:pPr>
        <w:spacing w:after="0" w:line="278" w:lineRule="exact"/>
        <w:rPr>
          <w:sz w:val="20"/>
          <w:szCs w:val="20"/>
          <w:color w:val="auto"/>
        </w:rPr>
      </w:pPr>
    </w:p>
    <w:p>
      <w:pPr>
        <w:ind w:firstLine="621"/>
        <w:spacing w:after="0" w:line="24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Consent to Amendments</w:t>
      </w:r>
      <w:r>
        <w:rPr>
          <w:rFonts w:ascii="Arial" w:cs="Arial" w:eastAsia="Arial" w:hAnsi="Arial"/>
          <w:sz w:val="18"/>
          <w:szCs w:val="18"/>
          <w:color w:val="auto"/>
        </w:rPr>
        <w:t xml:space="preserve"> Each initial and future holder of bonds of the Sixty-third Series, by its acquisition of an interest in such bonds, irrevocably (a) consents to the amendments set forth in Article IV of the Thirty-first Supplemental Indenture, dated as of</w:t>
      </w:r>
    </w:p>
    <w:p>
      <w:pPr>
        <w:ind w:right="20"/>
        <w:spacing w:after="0" w:line="255" w:lineRule="auto"/>
        <w:rPr>
          <w:sz w:val="20"/>
          <w:szCs w:val="20"/>
          <w:color w:val="auto"/>
        </w:rPr>
      </w:pPr>
      <w:r>
        <w:rPr>
          <w:rFonts w:ascii="Arial" w:cs="Arial" w:eastAsia="Arial" w:hAnsi="Arial"/>
          <w:sz w:val="16"/>
          <w:szCs w:val="16"/>
          <w:color w:val="auto"/>
        </w:rPr>
        <w:t>February 1, 2010, and Article III of this Forty-third Supplemental Indenture, without any other or further action by any holder of such bonds, and (b) designates the Corporate Trustee, and its successors, as its proxy with irrevocable instructions to vote and deliver written consents on</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behalf of such holder in favor of such amendments at any bondholder meeting, in lieu of any bondholder meeting, in any consent solicitation or otherwise.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Reservation of Right to Amend Sections 35(a) and 101 of the Mortgage</w:t>
      </w:r>
    </w:p>
    <w:p>
      <w:pPr>
        <w:spacing w:after="0" w:line="200" w:lineRule="exact"/>
        <w:rPr>
          <w:sz w:val="20"/>
          <w:szCs w:val="20"/>
          <w:color w:val="auto"/>
        </w:rPr>
      </w:pPr>
    </w:p>
    <w:p>
      <w:pPr>
        <w:spacing w:after="0" w:line="25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Section 1. The Company reserves the right, without any vote, consent or other action by the holders of bonds of the Sixty-third</w:t>
      </w:r>
    </w:p>
    <w:p>
      <w:pPr>
        <w:spacing w:after="0"/>
        <w:rPr>
          <w:sz w:val="20"/>
          <w:szCs w:val="20"/>
          <w:color w:val="auto"/>
        </w:rPr>
      </w:pPr>
      <w:r>
        <w:rPr>
          <w:rFonts w:ascii="Arial" w:cs="Arial" w:eastAsia="Arial" w:hAnsi="Arial"/>
          <w:sz w:val="20"/>
          <w:szCs w:val="20"/>
          <w:color w:val="auto"/>
        </w:rPr>
        <w:t>Series, or any subsequent series, to amend the Mortgage, as herein or heretofore supplemented as follows:</w:t>
      </w:r>
    </w:p>
    <w:p>
      <w:pPr>
        <w:spacing w:after="0" w:line="173" w:lineRule="exact"/>
        <w:rPr>
          <w:sz w:val="20"/>
          <w:szCs w:val="20"/>
          <w:color w:val="auto"/>
        </w:rPr>
      </w:pPr>
    </w:p>
    <w:p>
      <w:pPr>
        <w:ind w:firstLine="1069"/>
        <w:spacing w:after="0" w:line="242" w:lineRule="auto"/>
        <w:tabs>
          <w:tab w:leader="none" w:pos="1391" w:val="left"/>
        </w:tabs>
        <w:numPr>
          <w:ilvl w:val="0"/>
          <w:numId w:val="24"/>
        </w:numPr>
        <w:rPr>
          <w:rFonts w:ascii="Arial" w:cs="Arial" w:eastAsia="Arial" w:hAnsi="Arial"/>
          <w:sz w:val="19"/>
          <w:szCs w:val="19"/>
          <w:color w:val="auto"/>
        </w:rPr>
      </w:pPr>
      <w:r>
        <w:rPr>
          <w:rFonts w:ascii="Arial" w:cs="Arial" w:eastAsia="Arial" w:hAnsi="Arial"/>
          <w:sz w:val="19"/>
          <w:szCs w:val="19"/>
          <w:color w:val="auto"/>
        </w:rPr>
        <w:t>to amend Section 35(a) to delete the phrase “having its principal office and place of business in the Borough of Manhattan, The City of New York” and the word “such” at the location in said Section 35(a) at which such word first appears; and</w:t>
      </w:r>
    </w:p>
    <w:p>
      <w:pPr>
        <w:spacing w:after="0" w:line="382" w:lineRule="exact"/>
        <w:rPr>
          <w:rFonts w:ascii="Arial" w:cs="Arial" w:eastAsia="Arial" w:hAnsi="Arial"/>
          <w:sz w:val="19"/>
          <w:szCs w:val="19"/>
          <w:color w:val="auto"/>
        </w:rPr>
      </w:pPr>
    </w:p>
    <w:p>
      <w:pPr>
        <w:jc w:val="both"/>
        <w:ind w:firstLine="1099"/>
        <w:spacing w:after="0" w:line="252" w:lineRule="auto"/>
        <w:tabs>
          <w:tab w:leader="none" w:pos="1414" w:val="left"/>
        </w:tabs>
        <w:numPr>
          <w:ilvl w:val="1"/>
          <w:numId w:val="24"/>
        </w:numPr>
        <w:rPr>
          <w:rFonts w:ascii="Arial" w:cs="Arial" w:eastAsia="Arial" w:hAnsi="Arial"/>
          <w:sz w:val="18"/>
          <w:szCs w:val="18"/>
          <w:color w:val="auto"/>
        </w:rPr>
      </w:pPr>
      <w:r>
        <w:rPr>
          <w:rFonts w:ascii="Arial" w:cs="Arial" w:eastAsia="Arial" w:hAnsi="Arial"/>
          <w:sz w:val="18"/>
          <w:szCs w:val="18"/>
          <w:color w:val="auto"/>
        </w:rPr>
        <w:t>to amend Sections 99, 101 and 102 to remove all requirements for the publishing of notices of the resignation, removal or appointment of any Trustee and to delete all references to the publication of such notices in the Mortgage, as herein or heretofore supplemented, including deletion of words “the first publication of notice of” in the last sentence of the first paragraph of Section 102.</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 Provisions</w:t>
      </w:r>
    </w:p>
    <w:p>
      <w:pPr>
        <w:spacing w:after="0" w:line="200" w:lineRule="exact"/>
        <w:rPr>
          <w:sz w:val="20"/>
          <w:szCs w:val="20"/>
          <w:color w:val="auto"/>
        </w:rPr>
      </w:pPr>
    </w:p>
    <w:p>
      <w:pPr>
        <w:spacing w:after="0" w:line="224" w:lineRule="exact"/>
        <w:rPr>
          <w:sz w:val="20"/>
          <w:szCs w:val="20"/>
          <w:color w:val="auto"/>
        </w:rPr>
      </w:pPr>
    </w:p>
    <w:p>
      <w:pPr>
        <w:ind w:right="20" w:firstLine="621"/>
        <w:spacing w:after="0" w:line="236" w:lineRule="auto"/>
        <w:rPr>
          <w:sz w:val="20"/>
          <w:szCs w:val="20"/>
          <w:color w:val="auto"/>
        </w:rPr>
      </w:pPr>
      <w:r>
        <w:rPr>
          <w:rFonts w:ascii="Arial" w:cs="Arial" w:eastAsia="Arial" w:hAnsi="Arial"/>
          <w:sz w:val="20"/>
          <w:szCs w:val="20"/>
          <w:color w:val="auto"/>
        </w:rPr>
        <w:t>Section 1. Section 126 of the Mortgage, as heretofore amended, is hereby further amended by adding the words “and August 9, 2032” after the words “and September 1, 2031.”</w:t>
      </w:r>
    </w:p>
    <w:p>
      <w:pPr>
        <w:spacing w:after="0" w:line="169" w:lineRule="exact"/>
        <w:rPr>
          <w:sz w:val="20"/>
          <w:szCs w:val="20"/>
          <w:color w:val="auto"/>
        </w:rPr>
      </w:pPr>
    </w:p>
    <w:p>
      <w:pPr>
        <w:ind w:firstLine="621"/>
        <w:spacing w:after="0" w:line="236" w:lineRule="auto"/>
        <w:rPr>
          <w:sz w:val="20"/>
          <w:szCs w:val="20"/>
          <w:color w:val="auto"/>
        </w:rPr>
      </w:pPr>
      <w:r>
        <w:rPr>
          <w:rFonts w:ascii="Arial" w:cs="Arial" w:eastAsia="Arial" w:hAnsi="Arial"/>
          <w:sz w:val="18"/>
          <w:szCs w:val="18"/>
          <w:color w:val="auto"/>
        </w:rPr>
        <w:t>Section 2. Subject to the amendments provided for in this Forty-third Supplemental Indenture, the terms defined in the Mortgage, as heretofore supplemented, shall, for all purposes of this Forty-third Supplemental Indenture, have the meanings specified in the Mortgage, as</w:t>
      </w:r>
    </w:p>
    <w:p>
      <w:pPr>
        <w:spacing w:after="0"/>
        <w:rPr>
          <w:sz w:val="20"/>
          <w:szCs w:val="20"/>
          <w:color w:val="auto"/>
        </w:rPr>
      </w:pPr>
      <w:r>
        <w:rPr>
          <w:rFonts w:ascii="Arial" w:cs="Arial" w:eastAsia="Arial" w:hAnsi="Arial"/>
          <w:sz w:val="20"/>
          <w:szCs w:val="20"/>
          <w:color w:val="auto"/>
        </w:rPr>
        <w:t>heretofore supplemented.</w:t>
      </w:r>
    </w:p>
    <w:p>
      <w:pPr>
        <w:spacing w:after="0" w:line="173" w:lineRule="exact"/>
        <w:rPr>
          <w:sz w:val="20"/>
          <w:szCs w:val="20"/>
          <w:color w:val="auto"/>
        </w:rPr>
      </w:pPr>
    </w:p>
    <w:p>
      <w:pPr>
        <w:ind w:firstLine="621"/>
        <w:spacing w:after="0" w:line="236" w:lineRule="auto"/>
        <w:rPr>
          <w:sz w:val="20"/>
          <w:szCs w:val="20"/>
          <w:color w:val="auto"/>
        </w:rPr>
      </w:pPr>
      <w:r>
        <w:rPr>
          <w:rFonts w:ascii="Arial" w:cs="Arial" w:eastAsia="Arial" w:hAnsi="Arial"/>
          <w:sz w:val="18"/>
          <w:szCs w:val="18"/>
          <w:color w:val="auto"/>
        </w:rPr>
        <w:t>Section 3. The holders of bonds of the Sixty-third Series consent that the Company may, but shall not be obligated to, fix a record date for the purpose of determining the holders of bonds of the Sixty-third Series entitled to consent to any amendment, supplement or</w:t>
      </w:r>
    </w:p>
    <w:p>
      <w:pPr>
        <w:spacing w:after="0" w:line="235" w:lineRule="auto"/>
        <w:rPr>
          <w:sz w:val="20"/>
          <w:szCs w:val="20"/>
          <w:color w:val="auto"/>
        </w:rPr>
      </w:pPr>
      <w:r>
        <w:rPr>
          <w:rFonts w:ascii="Arial" w:cs="Arial" w:eastAsia="Arial" w:hAnsi="Arial"/>
          <w:sz w:val="18"/>
          <w:szCs w:val="18"/>
          <w:color w:val="auto"/>
        </w:rPr>
        <w:t>waiver. If a record date is fixed, those persons who were holders at such record date (or their duly designated proxies), and only those</w:t>
      </w:r>
    </w:p>
    <w:p>
      <w:pPr>
        <w:spacing w:after="0" w:line="255" w:lineRule="auto"/>
        <w:rPr>
          <w:sz w:val="20"/>
          <w:szCs w:val="20"/>
          <w:color w:val="auto"/>
        </w:rPr>
      </w:pPr>
      <w:r>
        <w:rPr>
          <w:rFonts w:ascii="Arial" w:cs="Arial" w:eastAsia="Arial" w:hAnsi="Arial"/>
          <w:sz w:val="16"/>
          <w:szCs w:val="16"/>
          <w:color w:val="auto"/>
        </w:rPr>
        <w:t>persons, shall be entitled to consent to such amendment, supplement or waiver or to revoke any consent previously given, whether or not such persons continue to be holders after such record date. No such consent shall be valid or effective for more than 90 days after such record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ectPr>
          <w:pgSz w:w="11900" w:h="16838" w:orient="portrait"/>
          <w:cols w:equalWidth="0" w:num="1">
            <w:col w:w="11240"/>
          </w:cols>
          <w:pgMar w:left="320" w:top="14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40"/>
          </w:cols>
          <w:pgMar w:left="320" w:top="1405" w:right="339" w:bottom="1440" w:gutter="0" w:footer="0" w:header="0"/>
          <w:type w:val="continuous"/>
        </w:sectPr>
      </w:pPr>
    </w:p>
    <w:bookmarkStart w:id="61" w:name="page62"/>
    <w:bookmarkEnd w:id="61"/>
    <w:p>
      <w:pPr>
        <w:ind w:firstLine="621"/>
        <w:spacing w:after="0" w:line="257" w:lineRule="auto"/>
        <w:rPr>
          <w:sz w:val="20"/>
          <w:szCs w:val="20"/>
          <w:color w:val="auto"/>
        </w:rPr>
      </w:pPr>
      <w:r>
        <w:rPr>
          <w:rFonts w:ascii="Arial" w:cs="Arial" w:eastAsia="Arial" w:hAnsi="Arial"/>
          <w:sz w:val="19"/>
          <w:szCs w:val="19"/>
          <w:color w:val="auto"/>
        </w:rPr>
        <w:t>Section 4. The Trustees hereby accept the trusts herein declared, provided, created or supplemented and agree to perform the same upon the terms and conditions herein and in the Mortgage set forth and upon the following terms and conditions:</w:t>
      </w:r>
    </w:p>
    <w:p>
      <w:pPr>
        <w:spacing w:after="0" w:line="140" w:lineRule="exact"/>
        <w:rPr>
          <w:sz w:val="20"/>
          <w:szCs w:val="20"/>
          <w:color w:val="auto"/>
        </w:rPr>
      </w:pPr>
    </w:p>
    <w:p>
      <w:pPr>
        <w:jc w:val="both"/>
        <w:ind w:firstLine="621"/>
        <w:spacing w:after="0" w:line="244" w:lineRule="auto"/>
        <w:rPr>
          <w:sz w:val="20"/>
          <w:szCs w:val="20"/>
          <w:color w:val="auto"/>
        </w:rPr>
      </w:pPr>
      <w:r>
        <w:rPr>
          <w:rFonts w:ascii="Arial" w:cs="Arial" w:eastAsia="Arial" w:hAnsi="Arial"/>
          <w:sz w:val="18"/>
          <w:szCs w:val="18"/>
          <w:color w:val="auto"/>
        </w:rPr>
        <w:t>The Trustees shall not be responsible in any manner whatsoever for or in respect of the validity or sufficiency of this Forty-third Supplemental Indenture or for or in respect of the recitals contained herein, all of which recitals are made by the Company solely. In general,</w:t>
      </w:r>
    </w:p>
    <w:p>
      <w:pPr>
        <w:spacing w:after="0" w:line="226" w:lineRule="auto"/>
        <w:rPr>
          <w:sz w:val="20"/>
          <w:szCs w:val="20"/>
          <w:color w:val="auto"/>
        </w:rPr>
      </w:pPr>
      <w:r>
        <w:rPr>
          <w:rFonts w:ascii="Arial" w:cs="Arial" w:eastAsia="Arial" w:hAnsi="Arial"/>
          <w:sz w:val="18"/>
          <w:szCs w:val="18"/>
          <w:color w:val="auto"/>
        </w:rPr>
        <w:t>each and every term and condition contained in Article XVII of the Mortgage shall apply to and form part of this Forty-third Supplemental Indenture with the same force and effect as if the same were herein set forth in full with such omissions, variations and insertions, if any, as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may be appropriate to make the same conform to the provisions of this Forty-third Supplemental Indenture.</w:t>
      </w:r>
    </w:p>
    <w:p>
      <w:pPr>
        <w:spacing w:after="0" w:line="173" w:lineRule="exact"/>
        <w:rPr>
          <w:sz w:val="20"/>
          <w:szCs w:val="20"/>
          <w:color w:val="auto"/>
        </w:rPr>
      </w:pPr>
    </w:p>
    <w:p>
      <w:pPr>
        <w:ind w:firstLine="621"/>
        <w:spacing w:after="0" w:line="236" w:lineRule="auto"/>
        <w:rPr>
          <w:sz w:val="20"/>
          <w:szCs w:val="20"/>
          <w:color w:val="auto"/>
        </w:rPr>
      </w:pPr>
      <w:r>
        <w:rPr>
          <w:rFonts w:ascii="Arial" w:cs="Arial" w:eastAsia="Arial" w:hAnsi="Arial"/>
          <w:sz w:val="18"/>
          <w:szCs w:val="18"/>
          <w:color w:val="auto"/>
        </w:rPr>
        <w:t>Section 5. Whenever in this Forty-third Supplemental Indenture any party hereto is named or referred to, this shall, subject to the provisions of Articles XVI and XVII of the Mortgage, as heretofore supplemented, be deemed to include the successors or assigns of such</w:t>
      </w:r>
    </w:p>
    <w:p>
      <w:pPr>
        <w:spacing w:after="0"/>
        <w:rPr>
          <w:sz w:val="20"/>
          <w:szCs w:val="20"/>
          <w:color w:val="auto"/>
        </w:rPr>
      </w:pPr>
      <w:r>
        <w:rPr>
          <w:rFonts w:ascii="Arial" w:cs="Arial" w:eastAsia="Arial" w:hAnsi="Arial"/>
          <w:sz w:val="16"/>
          <w:szCs w:val="16"/>
          <w:color w:val="auto"/>
        </w:rPr>
        <w:t>party, and all the covenants and agreements in this Forty-third Supplemental Indenture contained by or on behalf of the Company, or by or on</w:t>
      </w:r>
    </w:p>
    <w:p>
      <w:pPr>
        <w:spacing w:after="0" w:line="19"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behalf of the Trustees shall, subject as aforesaid, bind and inure to the benefit of the respective successors and assigns of such party whether so expressed or not.</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Section 6. Nothing in this Forty-third Supplemental Indenture, expressed or implied, is intended, or shall be construed, to confer</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upon, or give to, any person, firm or corporation, other than the parties hereto and the holders of the bonds and coupons Outstanding under the Mortgage, any right, remedy, or claim under or by reason of this Forty-third Supplemental Indenture or any covenant, condition,</w:t>
      </w:r>
    </w:p>
    <w:p>
      <w:pPr>
        <w:spacing w:after="0" w:line="224" w:lineRule="auto"/>
        <w:rPr>
          <w:sz w:val="20"/>
          <w:szCs w:val="20"/>
          <w:color w:val="auto"/>
        </w:rPr>
      </w:pPr>
      <w:r>
        <w:rPr>
          <w:rFonts w:ascii="Arial" w:cs="Arial" w:eastAsia="Arial" w:hAnsi="Arial"/>
          <w:sz w:val="19"/>
          <w:szCs w:val="19"/>
          <w:color w:val="auto"/>
        </w:rPr>
        <w:t>stipulation, promise or agreement hereof, and all the covenants, conditions, stipulations, promises and agreements in this Forty-third</w:t>
      </w:r>
    </w:p>
    <w:p>
      <w:pPr>
        <w:spacing w:after="0" w:line="220" w:lineRule="auto"/>
        <w:rPr>
          <w:sz w:val="20"/>
          <w:szCs w:val="20"/>
          <w:color w:val="auto"/>
        </w:rPr>
      </w:pPr>
      <w:r>
        <w:rPr>
          <w:rFonts w:ascii="Arial" w:cs="Arial" w:eastAsia="Arial" w:hAnsi="Arial"/>
          <w:sz w:val="20"/>
          <w:szCs w:val="20"/>
          <w:color w:val="auto"/>
        </w:rPr>
        <w:t>Supplemental Indenture contained by and on behalf of the Company shall be for the sole and exclusive benefit of the parties hereto, and of the holders of the bonds and of the coupons Outstanding under the Mortgage.</w:t>
      </w:r>
    </w:p>
    <w:p>
      <w:pPr>
        <w:spacing w:after="0" w:line="170" w:lineRule="exact"/>
        <w:rPr>
          <w:sz w:val="20"/>
          <w:szCs w:val="20"/>
          <w:color w:val="auto"/>
        </w:rPr>
      </w:pPr>
    </w:p>
    <w:p>
      <w:pPr>
        <w:ind w:firstLine="621"/>
        <w:spacing w:after="0" w:line="229" w:lineRule="auto"/>
        <w:rPr>
          <w:sz w:val="20"/>
          <w:szCs w:val="20"/>
          <w:color w:val="auto"/>
        </w:rPr>
      </w:pPr>
      <w:r>
        <w:rPr>
          <w:rFonts w:ascii="Arial" w:cs="Arial" w:eastAsia="Arial" w:hAnsi="Arial"/>
          <w:sz w:val="20"/>
          <w:szCs w:val="20"/>
          <w:color w:val="auto"/>
        </w:rPr>
        <w:t>Section 7. This Forty-third Supplemental Indenture shall be executed in several counterparts, each of which shall be an original and all of which shall constitute but one and the same instrument.</w:t>
      </w:r>
    </w:p>
    <w:p>
      <w:pPr>
        <w:spacing w:after="0" w:line="169" w:lineRule="exact"/>
        <w:rPr>
          <w:sz w:val="20"/>
          <w:szCs w:val="20"/>
          <w:color w:val="auto"/>
        </w:rPr>
      </w:pPr>
    </w:p>
    <w:p>
      <w:pPr>
        <w:ind w:firstLine="621"/>
        <w:spacing w:after="0" w:line="236" w:lineRule="auto"/>
        <w:rPr>
          <w:sz w:val="20"/>
          <w:szCs w:val="20"/>
          <w:color w:val="auto"/>
        </w:rPr>
      </w:pPr>
      <w:r>
        <w:rPr>
          <w:rFonts w:ascii="Arial" w:cs="Arial" w:eastAsia="Arial" w:hAnsi="Arial"/>
          <w:sz w:val="20"/>
          <w:szCs w:val="20"/>
          <w:color w:val="auto"/>
        </w:rPr>
        <w:t>Section 8. The Company, the mortgagor named herein, by its execution hereof acknowledges receipt of a full, true and complete copy of this Forty-third Supplemental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5" w:right="339" w:bottom="1440" w:gutter="0" w:footer="0" w:header="0"/>
        </w:sectPr>
      </w:pPr>
    </w:p>
    <w:bookmarkStart w:id="62" w:name="page63"/>
    <w:bookmarkEnd w:id="62"/>
    <w:p>
      <w:pPr>
        <w:spacing w:after="0" w:line="200" w:lineRule="exact"/>
        <w:rPr>
          <w:sz w:val="20"/>
          <w:szCs w:val="20"/>
          <w:color w:val="auto"/>
        </w:rPr>
      </w:pP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In witness whereof, ALLETE, Inc. has caused its corporate name to be hereunto affixed, and this instrument to be signed and sealed by its President, one of its Vice Presidents, or its Treasurer, and its corporate seal to be attested by its Secretary or one of its Assistant Secretaries for and in its behalf, all in the City of Duluth, Minnesota, and The Bank of New York Mellon has caused its corporate name to be hereunto affixed, and this instrument to be signed by one of its Vice Presidents or one of its Assistant Vice Presidents, and Janet Lee has hereunto set her hand, all in The City of New York, as of the day and year first above written.</w:t>
      </w:r>
    </w:p>
    <w:p>
      <w:pPr>
        <w:spacing w:after="0" w:line="14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ALLETE, Inc.</w:t>
      </w:r>
    </w:p>
    <w:p>
      <w:pPr>
        <w:spacing w:after="0" w:line="38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w:t>
      </w:r>
    </w:p>
    <w:p>
      <w:pPr>
        <w:ind w:left="5200"/>
        <w:spacing w:after="0" w:line="211" w:lineRule="auto"/>
        <w:rPr>
          <w:sz w:val="20"/>
          <w:szCs w:val="20"/>
          <w:color w:val="auto"/>
        </w:rPr>
      </w:pPr>
      <w:r>
        <w:rPr>
          <w:rFonts w:ascii="Arial" w:cs="Arial" w:eastAsia="Arial" w:hAnsi="Arial"/>
          <w:sz w:val="20"/>
          <w:szCs w:val="20"/>
          <w:color w:val="auto"/>
        </w:rPr>
        <w:t>Patrick L. Cutshall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-127000</wp:posOffset>
            </wp:positionV>
            <wp:extent cx="1257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5200"/>
        <w:spacing w:after="0" w:line="211" w:lineRule="auto"/>
        <w:rPr>
          <w:sz w:val="20"/>
          <w:szCs w:val="20"/>
          <w:color w:val="auto"/>
        </w:rPr>
      </w:pPr>
      <w:r>
        <w:rPr>
          <w:rFonts w:ascii="Arial" w:cs="Arial" w:eastAsia="Arial" w:hAnsi="Arial"/>
          <w:sz w:val="20"/>
          <w:szCs w:val="20"/>
          <w:color w:val="auto"/>
        </w:rPr>
        <w:t>Vice President and Corporate Treasurer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Margaret A. Thickens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3771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197" w:lineRule="auto"/>
        <w:rPr>
          <w:sz w:val="20"/>
          <w:szCs w:val="20"/>
          <w:color w:val="auto"/>
        </w:rPr>
      </w:pPr>
      <w:r>
        <w:rPr>
          <w:rFonts w:ascii="Arial" w:cs="Arial" w:eastAsia="Arial" w:hAnsi="Arial"/>
          <w:sz w:val="20"/>
          <w:szCs w:val="20"/>
          <w:color w:val="auto"/>
        </w:rPr>
        <w:t>Vice President, Chief Legal Officer</w:t>
      </w:r>
    </w:p>
    <w:p>
      <w:pPr>
        <w:spacing w:after="0"/>
        <w:rPr>
          <w:sz w:val="20"/>
          <w:szCs w:val="20"/>
          <w:color w:val="auto"/>
        </w:rPr>
      </w:pPr>
      <w:r>
        <w:rPr>
          <w:rFonts w:ascii="Arial" w:cs="Arial" w:eastAsia="Arial" w:hAnsi="Arial"/>
          <w:sz w:val="20"/>
          <w:szCs w:val="20"/>
          <w:color w:val="auto"/>
        </w:rPr>
        <w:t>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Trustees’ Signature Pages Follow</w:t>
      </w:r>
    </w:p>
    <w:p>
      <w:pPr>
        <w:sectPr>
          <w:pgSz w:w="11900" w:h="16838" w:orient="portrait"/>
          <w:cols w:equalWidth="0" w:num="1">
            <w:col w:w="11240"/>
          </w:cols>
          <w:pgMar w:left="320" w:top="1440" w:right="339" w:bottom="9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40"/>
          </w:cols>
          <w:pgMar w:left="320" w:top="1440" w:right="339" w:bottom="992" w:gutter="0" w:footer="0" w:header="0"/>
          <w:type w:val="continuous"/>
        </w:sectPr>
      </w:pPr>
    </w:p>
    <w:bookmarkStart w:id="63" w:name="page64"/>
    <w:bookmarkEnd w:id="63"/>
    <w:p>
      <w:pPr>
        <w:ind w:left="3400"/>
        <w:spacing w:after="0"/>
        <w:rPr>
          <w:sz w:val="20"/>
          <w:szCs w:val="20"/>
          <w:color w:val="auto"/>
        </w:rPr>
      </w:pPr>
      <w:r>
        <w:rPr>
          <w:rFonts w:ascii="Arial" w:cs="Arial" w:eastAsia="Arial" w:hAnsi="Arial"/>
          <w:sz w:val="20"/>
          <w:szCs w:val="20"/>
          <w:color w:val="auto"/>
        </w:rPr>
        <w:t>The Bank of New York Mellon,</w:t>
      </w:r>
    </w:p>
    <w:p>
      <w:pPr>
        <w:ind w:left="4080"/>
        <w:spacing w:after="0"/>
        <w:rPr>
          <w:sz w:val="20"/>
          <w:szCs w:val="20"/>
          <w:color w:val="auto"/>
        </w:rPr>
      </w:pPr>
      <w:r>
        <w:rPr>
          <w:rFonts w:ascii="Arial" w:cs="Arial" w:eastAsia="Arial" w:hAnsi="Arial"/>
          <w:sz w:val="20"/>
          <w:szCs w:val="20"/>
          <w:color w:val="auto"/>
        </w:rPr>
        <w:t>as Trustee</w:t>
      </w:r>
    </w:p>
    <w:p>
      <w:pPr>
        <w:spacing w:after="0" w:line="36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2320925</wp:posOffset>
            </wp:positionH>
            <wp:positionV relativeFrom="paragraph">
              <wp:posOffset>-7620</wp:posOffset>
            </wp:positionV>
            <wp:extent cx="1257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4080"/>
        <w:spacing w:after="0" w:line="211" w:lineRule="auto"/>
        <w:rPr>
          <w:sz w:val="20"/>
          <w:szCs w:val="20"/>
          <w:color w:val="auto"/>
        </w:rPr>
      </w:pPr>
      <w:r>
        <w:rPr>
          <w:rFonts w:ascii="Arial" w:cs="Arial" w:eastAsia="Arial" w:hAnsi="Arial"/>
          <w:sz w:val="20"/>
          <w:szCs w:val="20"/>
          <w:color w:val="auto"/>
        </w:rPr>
        <w:t>Francine Kincaid</w:t>
      </w:r>
    </w:p>
    <w:p>
      <w:pPr>
        <w:ind w:left="4080"/>
        <w:spacing w:after="0"/>
        <w:rPr>
          <w:sz w:val="20"/>
          <w:szCs w:val="20"/>
          <w:color w:val="auto"/>
        </w:rPr>
      </w:pPr>
      <w:r>
        <w:rPr>
          <w:rFonts w:ascii="Arial" w:cs="Arial" w:eastAsia="Arial" w:hAnsi="Arial"/>
          <w:sz w:val="20"/>
          <w:szCs w:val="20"/>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60" w:right="2019" w:hanging="44"/>
        <w:spacing w:after="0" w:line="350" w:lineRule="auto"/>
        <w:rPr>
          <w:sz w:val="20"/>
          <w:szCs w:val="20"/>
          <w:color w:val="auto"/>
        </w:rPr>
      </w:pPr>
      <w:r>
        <w:rPr>
          <w:rFonts w:ascii="Arial" w:cs="Arial" w:eastAsia="Arial" w:hAnsi="Arial"/>
          <w:sz w:val="16"/>
          <w:szCs w:val="16"/>
          <w:color w:val="auto"/>
        </w:rPr>
        <w:t>Forty-third Supplemental Indenture dated as of August 1, 2022 to Mortgage and Deed of Trust dated as of September 1, 1945</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Corporate Trustee’s Signature Page</w:t>
      </w:r>
    </w:p>
    <w:p>
      <w:pPr>
        <w:sectPr>
          <w:pgSz w:w="11900" w:h="16838" w:orient="portrait"/>
          <w:cols w:equalWidth="0" w:num="1">
            <w:col w:w="9019"/>
          </w:cols>
          <w:pgMar w:left="1440" w:top="13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9019"/>
          </w:cols>
          <w:pgMar w:left="1440" w:top="1394" w:right="1440" w:bottom="1440" w:gutter="0" w:footer="0" w:header="0"/>
          <w:type w:val="continuous"/>
        </w:sectPr>
      </w:pPr>
    </w:p>
    <w:bookmarkStart w:id="64" w:name="page65"/>
    <w:bookmarkEnd w:id="64"/>
    <w:p>
      <w:pPr>
        <w:spacing w:after="0" w:line="168"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JANET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2174240</wp:posOffset>
            </wp:positionH>
            <wp:positionV relativeFrom="paragraph">
              <wp:posOffset>-143510</wp:posOffset>
            </wp:positionV>
            <wp:extent cx="1257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60" w:right="2019" w:hanging="44"/>
        <w:spacing w:after="0" w:line="350" w:lineRule="auto"/>
        <w:rPr>
          <w:sz w:val="20"/>
          <w:szCs w:val="20"/>
          <w:color w:val="auto"/>
        </w:rPr>
      </w:pPr>
      <w:r>
        <w:rPr>
          <w:rFonts w:ascii="Arial" w:cs="Arial" w:eastAsia="Arial" w:hAnsi="Arial"/>
          <w:sz w:val="16"/>
          <w:szCs w:val="16"/>
          <w:color w:val="auto"/>
        </w:rPr>
        <w:t>Forty-third Supplemental Indenture dated as of August 1, 2022 to Mortgage and Deed of Trust dated as of September 1, 1945</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Co-Trustee’s 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9019"/>
          </w:cols>
          <w:pgMar w:left="1440" w:top="1440" w:right="1440" w:bottom="1440" w:gutter="0" w:footer="0" w:header="0"/>
        </w:sectPr>
      </w:pPr>
    </w:p>
    <w:bookmarkStart w:id="65" w:name="page66"/>
    <w:bookmarkEnd w:id="65"/>
    <w:p>
      <w:pPr>
        <w:spacing w:after="0"/>
        <w:rPr>
          <w:sz w:val="20"/>
          <w:szCs w:val="20"/>
          <w:color w:val="auto"/>
        </w:rPr>
      </w:pPr>
      <w:r>
        <w:rPr>
          <w:rFonts w:ascii="Arial" w:cs="Arial" w:eastAsia="Arial" w:hAnsi="Arial"/>
          <w:sz w:val="20"/>
          <w:szCs w:val="20"/>
          <w:color w:val="auto"/>
        </w:rPr>
        <w:t>STATE OF MINNESOTA )</w:t>
      </w:r>
    </w:p>
    <w:p>
      <w:pPr>
        <w:spacing w:after="0" w:line="197" w:lineRule="auto"/>
        <w:rPr>
          <w:sz w:val="20"/>
          <w:szCs w:val="20"/>
          <w:color w:val="auto"/>
        </w:rPr>
      </w:pPr>
      <w:r>
        <w:rPr>
          <w:rFonts w:ascii="Arial" w:cs="Arial" w:eastAsia="Arial" w:hAnsi="Arial"/>
          <w:sz w:val="20"/>
          <w:szCs w:val="20"/>
          <w:color w:val="auto"/>
        </w:rPr>
        <w:t>) SS</w:t>
      </w:r>
    </w:p>
    <w:p>
      <w:pPr>
        <w:spacing w:after="0"/>
        <w:rPr>
          <w:sz w:val="20"/>
          <w:szCs w:val="20"/>
          <w:color w:val="auto"/>
        </w:rPr>
      </w:pPr>
      <w:r>
        <w:rPr>
          <w:rFonts w:ascii="Arial" w:cs="Arial" w:eastAsia="Arial" w:hAnsi="Arial"/>
          <w:sz w:val="20"/>
          <w:szCs w:val="20"/>
          <w:color w:val="auto"/>
        </w:rPr>
        <w:t>COUNTY OF ST. LOUIS )</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20" w:firstLine="198"/>
        <w:spacing w:after="0" w:line="203" w:lineRule="auto"/>
        <w:rPr>
          <w:sz w:val="20"/>
          <w:szCs w:val="20"/>
          <w:color w:val="auto"/>
        </w:rPr>
      </w:pPr>
      <w:r>
        <w:rPr>
          <w:rFonts w:ascii="Arial" w:cs="Arial" w:eastAsia="Arial" w:hAnsi="Arial"/>
          <w:sz w:val="20"/>
          <w:szCs w:val="20"/>
          <w:color w:val="auto"/>
        </w:rPr>
        <w:t>On this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day of August, 2022, the foregoing instrument was acknowledged before me by Patrick L. Cutshall , Vice President and Corporate Treasurer of ALLETE, Inc., a Minnesota corporation, behalf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NOTARIAL STAMP OR SEAL</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________________________________________</w:t>
      </w:r>
    </w:p>
    <w:p>
      <w:pPr>
        <w:ind w:left="1200"/>
        <w:spacing w:after="0"/>
        <w:rPr>
          <w:sz w:val="20"/>
          <w:szCs w:val="20"/>
          <w:color w:val="auto"/>
        </w:rPr>
      </w:pPr>
      <w:r>
        <w:rPr>
          <w:rFonts w:ascii="Arial" w:cs="Arial" w:eastAsia="Arial" w:hAnsi="Arial"/>
          <w:sz w:val="20"/>
          <w:szCs w:val="20"/>
          <w:color w:val="auto"/>
        </w:rPr>
        <w:t>Jodi Nash</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STATE OF MINNESOTA )</w:t>
      </w:r>
    </w:p>
    <w:p>
      <w:pPr>
        <w:spacing w:after="0" w:line="197" w:lineRule="auto"/>
        <w:rPr>
          <w:sz w:val="20"/>
          <w:szCs w:val="20"/>
          <w:color w:val="auto"/>
        </w:rPr>
      </w:pPr>
      <w:r>
        <w:rPr>
          <w:rFonts w:ascii="Arial" w:cs="Arial" w:eastAsia="Arial" w:hAnsi="Arial"/>
          <w:sz w:val="20"/>
          <w:szCs w:val="20"/>
          <w:color w:val="auto"/>
        </w:rPr>
        <w:t>) SS</w:t>
      </w:r>
    </w:p>
    <w:p>
      <w:pPr>
        <w:spacing w:after="0"/>
        <w:rPr>
          <w:sz w:val="20"/>
          <w:szCs w:val="20"/>
          <w:color w:val="auto"/>
        </w:rPr>
      </w:pPr>
      <w:r>
        <w:rPr>
          <w:rFonts w:ascii="Arial" w:cs="Arial" w:eastAsia="Arial" w:hAnsi="Arial"/>
          <w:sz w:val="20"/>
          <w:szCs w:val="20"/>
          <w:color w:val="auto"/>
        </w:rPr>
        <w:t>COUNTY OF ST. LOUIS )</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198"/>
        <w:spacing w:after="0" w:line="219" w:lineRule="auto"/>
        <w:rPr>
          <w:sz w:val="20"/>
          <w:szCs w:val="20"/>
          <w:color w:val="auto"/>
        </w:rPr>
      </w:pPr>
      <w:r>
        <w:rPr>
          <w:rFonts w:ascii="Arial" w:cs="Arial" w:eastAsia="Arial" w:hAnsi="Arial"/>
          <w:sz w:val="19"/>
          <w:szCs w:val="19"/>
          <w:color w:val="auto"/>
        </w:rPr>
        <w:t>On this 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day of August, 2022, the foregoing instrument was acknowledged before me by Margaret A. Thickens, Vice President, Chief Legal Officer and Corporate Secretary of ALLETE, Inc., a Minnesota corporation, on behalf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NOTARIAL STAMP OR SEAL</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________________________________________</w:t>
      </w:r>
    </w:p>
    <w:p>
      <w:pPr>
        <w:ind w:left="1200"/>
        <w:spacing w:after="0"/>
        <w:rPr>
          <w:sz w:val="20"/>
          <w:szCs w:val="20"/>
          <w:color w:val="auto"/>
        </w:rPr>
      </w:pPr>
      <w:r>
        <w:rPr>
          <w:rFonts w:ascii="Arial" w:cs="Arial" w:eastAsia="Arial" w:hAnsi="Arial"/>
          <w:sz w:val="20"/>
          <w:szCs w:val="20"/>
          <w:color w:val="auto"/>
        </w:rPr>
        <w:t>Jodi Nash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960"/>
          </w:cols>
          <w:pgMar w:left="320" w:top="1394" w:right="6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r>
              <w:rPr>
                <w:rFonts w:ascii="Arial" w:cs="Arial" w:eastAsia="Arial" w:hAnsi="Arial"/>
                <w:sz w:val="20"/>
                <w:szCs w:val="20"/>
                <w:color w:val="auto"/>
              </w:rPr>
              <w:t>State of New York</w:t>
            </w:r>
          </w:p>
        </w:tc>
        <w:tc>
          <w:tcPr>
            <w:tcW w:w="1180" w:type="dxa"/>
            <w:vAlign w:val="bottom"/>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2"/>
        </w:trPr>
        <w:tc>
          <w:tcPr>
            <w:tcW w:w="1760" w:type="dxa"/>
            <w:vAlign w:val="bottom"/>
            <w:vMerge w:val="restart"/>
          </w:tcPr>
          <w:p>
            <w:pPr>
              <w:spacing w:after="0"/>
              <w:rPr>
                <w:sz w:val="20"/>
                <w:szCs w:val="20"/>
                <w:color w:val="auto"/>
              </w:rPr>
            </w:pPr>
            <w:r>
              <w:rPr>
                <w:rFonts w:ascii="Arial" w:cs="Arial" w:eastAsia="Arial" w:hAnsi="Arial"/>
                <w:sz w:val="20"/>
                <w:szCs w:val="20"/>
                <w:color w:val="auto"/>
                <w:w w:val="97"/>
              </w:rPr>
              <w:t>County of New York</w:t>
            </w:r>
          </w:p>
        </w:tc>
        <w:tc>
          <w:tcPr>
            <w:tcW w:w="1180" w:type="dxa"/>
            <w:vAlign w:val="bottom"/>
          </w:tcPr>
          <w:p>
            <w:pPr>
              <w:jc w:val="right"/>
              <w:spacing w:after="0" w:line="192" w:lineRule="exact"/>
              <w:rPr>
                <w:sz w:val="20"/>
                <w:szCs w:val="20"/>
                <w:color w:val="auto"/>
              </w:rPr>
            </w:pPr>
            <w:r>
              <w:rPr>
                <w:rFonts w:ascii="Arial" w:cs="Arial" w:eastAsia="Arial" w:hAnsi="Arial"/>
                <w:sz w:val="20"/>
                <w:szCs w:val="20"/>
                <w:color w:val="auto"/>
              </w:rPr>
              <w:t>) ss:</w:t>
            </w:r>
          </w:p>
        </w:tc>
        <w:tc>
          <w:tcPr>
            <w:tcW w:w="0" w:type="dxa"/>
            <w:vAlign w:val="bottom"/>
          </w:tcPr>
          <w:p>
            <w:pPr>
              <w:spacing w:after="0"/>
              <w:rPr>
                <w:sz w:val="1"/>
                <w:szCs w:val="1"/>
                <w:color w:val="auto"/>
              </w:rPr>
            </w:pPr>
          </w:p>
        </w:tc>
      </w:tr>
      <w:tr>
        <w:trPr>
          <w:trHeight w:val="250"/>
        </w:trPr>
        <w:tc>
          <w:tcPr>
            <w:tcW w:w="1760" w:type="dxa"/>
            <w:vAlign w:val="bottom"/>
            <w:vMerge w:val="continue"/>
          </w:tcPr>
          <w:p>
            <w:pPr>
              <w:spacing w:after="0"/>
              <w:rPr>
                <w:sz w:val="21"/>
                <w:szCs w:val="21"/>
                <w:color w:val="auto"/>
              </w:rPr>
            </w:pPr>
          </w:p>
        </w:tc>
        <w:tc>
          <w:tcPr>
            <w:tcW w:w="1180" w:type="dxa"/>
            <w:vAlign w:val="bottom"/>
          </w:tcPr>
          <w:p>
            <w:pPr>
              <w:jc w:val="right"/>
              <w:ind w:right="7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381" w:lineRule="exact"/>
        <w:rPr>
          <w:sz w:val="20"/>
          <w:szCs w:val="20"/>
          <w:color w:val="auto"/>
        </w:rPr>
      </w:pPr>
    </w:p>
    <w:p>
      <w:pPr>
        <w:ind w:firstLine="621"/>
        <w:spacing w:after="0" w:line="210" w:lineRule="auto"/>
        <w:rPr>
          <w:sz w:val="20"/>
          <w:szCs w:val="20"/>
          <w:color w:val="auto"/>
        </w:rPr>
      </w:pPr>
      <w:r>
        <w:rPr>
          <w:rFonts w:ascii="Arial" w:cs="Arial" w:eastAsia="Arial" w:hAnsi="Arial"/>
          <w:sz w:val="20"/>
          <w:szCs w:val="20"/>
          <w:color w:val="auto"/>
        </w:rPr>
        <w:t>On this 25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July, 2022, the foregoing instrument was acknowledged before me by Francine Kincaid, a Vice President of The Bank of New York Mellon, the corporation named in the foregoing instrument.</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Given under my hand and notarial seal this 25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July, 2022.</w:t>
      </w:r>
    </w:p>
    <w:p>
      <w:pPr>
        <w:spacing w:after="0" w:line="200" w:lineRule="exact"/>
        <w:rPr>
          <w:sz w:val="20"/>
          <w:szCs w:val="20"/>
          <w:color w:val="auto"/>
        </w:rPr>
      </w:pPr>
    </w:p>
    <w:p>
      <w:pPr>
        <w:spacing w:after="0" w:line="325"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Helen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-127635</wp:posOffset>
            </wp:positionV>
            <wp:extent cx="628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ind w:left="5200"/>
        <w:spacing w:after="0" w:line="211" w:lineRule="auto"/>
        <w:rPr>
          <w:sz w:val="20"/>
          <w:szCs w:val="20"/>
          <w:color w:val="auto"/>
        </w:rPr>
      </w:pPr>
      <w:r>
        <w:rPr>
          <w:rFonts w:ascii="Arial" w:cs="Arial" w:eastAsia="Arial" w:hAnsi="Arial"/>
          <w:sz w:val="20"/>
          <w:szCs w:val="20"/>
          <w:color w:val="auto"/>
        </w:rPr>
        <w:t>Notary Public, State of New York</w:t>
      </w:r>
    </w:p>
    <w:p>
      <w:pPr>
        <w:ind w:left="5200"/>
        <w:spacing w:after="0" w:line="211" w:lineRule="auto"/>
        <w:rPr>
          <w:sz w:val="20"/>
          <w:szCs w:val="20"/>
          <w:color w:val="auto"/>
        </w:rPr>
      </w:pPr>
      <w:r>
        <w:rPr>
          <w:rFonts w:ascii="Arial" w:cs="Arial" w:eastAsia="Arial" w:hAnsi="Arial"/>
          <w:sz w:val="20"/>
          <w:szCs w:val="20"/>
          <w:color w:val="auto"/>
        </w:rPr>
        <w:t>No. 01CH6291290</w:t>
      </w:r>
    </w:p>
    <w:p>
      <w:pPr>
        <w:ind w:left="5200"/>
        <w:spacing w:after="0" w:line="197" w:lineRule="auto"/>
        <w:rPr>
          <w:sz w:val="20"/>
          <w:szCs w:val="20"/>
          <w:color w:val="auto"/>
        </w:rPr>
      </w:pPr>
      <w:r>
        <w:rPr>
          <w:rFonts w:ascii="Arial" w:cs="Arial" w:eastAsia="Arial" w:hAnsi="Arial"/>
          <w:sz w:val="20"/>
          <w:szCs w:val="20"/>
          <w:color w:val="auto"/>
        </w:rPr>
        <w:t>Qualified in New York County</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Commission Expires October 15,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378"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r>
              <w:rPr>
                <w:rFonts w:ascii="Arial" w:cs="Arial" w:eastAsia="Arial" w:hAnsi="Arial"/>
                <w:sz w:val="20"/>
                <w:szCs w:val="20"/>
                <w:color w:val="auto"/>
              </w:rPr>
              <w:t>State of New York</w:t>
            </w:r>
          </w:p>
        </w:tc>
        <w:tc>
          <w:tcPr>
            <w:tcW w:w="1220" w:type="dxa"/>
            <w:vAlign w:val="bottom"/>
          </w:tcPr>
          <w:p>
            <w:pPr>
              <w:jc w:val="right"/>
              <w:ind w:right="94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2"/>
        </w:trPr>
        <w:tc>
          <w:tcPr>
            <w:tcW w:w="1760" w:type="dxa"/>
            <w:vAlign w:val="bottom"/>
            <w:vMerge w:val="restart"/>
          </w:tcPr>
          <w:p>
            <w:pPr>
              <w:spacing w:after="0"/>
              <w:rPr>
                <w:sz w:val="20"/>
                <w:szCs w:val="20"/>
                <w:color w:val="auto"/>
              </w:rPr>
            </w:pPr>
            <w:r>
              <w:rPr>
                <w:rFonts w:ascii="Arial" w:cs="Arial" w:eastAsia="Arial" w:hAnsi="Arial"/>
                <w:sz w:val="20"/>
                <w:szCs w:val="20"/>
                <w:color w:val="auto"/>
                <w:w w:val="97"/>
              </w:rPr>
              <w:t>County of New York</w:t>
            </w:r>
          </w:p>
        </w:tc>
        <w:tc>
          <w:tcPr>
            <w:tcW w:w="1220" w:type="dxa"/>
            <w:vAlign w:val="bottom"/>
          </w:tcPr>
          <w:p>
            <w:pPr>
              <w:jc w:val="right"/>
              <w:spacing w:after="0" w:line="192" w:lineRule="exact"/>
              <w:rPr>
                <w:sz w:val="20"/>
                <w:szCs w:val="20"/>
                <w:color w:val="auto"/>
              </w:rPr>
            </w:pPr>
            <w:r>
              <w:rPr>
                <w:rFonts w:ascii="Arial" w:cs="Arial" w:eastAsia="Arial" w:hAnsi="Arial"/>
                <w:sz w:val="20"/>
                <w:szCs w:val="20"/>
                <w:color w:val="auto"/>
              </w:rPr>
              <w:t>) ss:</w:t>
            </w:r>
          </w:p>
        </w:tc>
        <w:tc>
          <w:tcPr>
            <w:tcW w:w="0" w:type="dxa"/>
            <w:vAlign w:val="bottom"/>
          </w:tcPr>
          <w:p>
            <w:pPr>
              <w:spacing w:after="0"/>
              <w:rPr>
                <w:sz w:val="1"/>
                <w:szCs w:val="1"/>
                <w:color w:val="auto"/>
              </w:rPr>
            </w:pPr>
          </w:p>
        </w:tc>
      </w:tr>
      <w:tr>
        <w:trPr>
          <w:trHeight w:val="250"/>
        </w:trPr>
        <w:tc>
          <w:tcPr>
            <w:tcW w:w="1760" w:type="dxa"/>
            <w:vAlign w:val="bottom"/>
            <w:vMerge w:val="continue"/>
          </w:tcPr>
          <w:p>
            <w:pPr>
              <w:spacing w:after="0"/>
              <w:rPr>
                <w:sz w:val="21"/>
                <w:szCs w:val="21"/>
                <w:color w:val="auto"/>
              </w:rPr>
            </w:pPr>
          </w:p>
        </w:tc>
        <w:tc>
          <w:tcPr>
            <w:tcW w:w="1220" w:type="dxa"/>
            <w:vAlign w:val="bottom"/>
          </w:tcPr>
          <w:p>
            <w:pPr>
              <w:jc w:val="right"/>
              <w:ind w:right="76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381" w:lineRule="exact"/>
        <w:rPr>
          <w:sz w:val="20"/>
          <w:szCs w:val="20"/>
          <w:color w:val="auto"/>
        </w:rPr>
      </w:pPr>
    </w:p>
    <w:p>
      <w:pPr>
        <w:ind w:firstLine="621"/>
        <w:spacing w:after="0" w:line="210" w:lineRule="auto"/>
        <w:rPr>
          <w:sz w:val="20"/>
          <w:szCs w:val="20"/>
          <w:color w:val="auto"/>
        </w:rPr>
      </w:pPr>
      <w:r>
        <w:rPr>
          <w:rFonts w:ascii="Arial" w:cs="Arial" w:eastAsia="Arial" w:hAnsi="Arial"/>
          <w:sz w:val="20"/>
          <w:szCs w:val="20"/>
          <w:color w:val="auto"/>
        </w:rPr>
        <w:t>On this 25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July, 2022, the foregoing instrument was acknowledged before me by Janet Lee, the person described in and who executed the foregoing instrument.</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Given under my hand and notarial seal this 25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July, 2022.</w:t>
      </w:r>
    </w:p>
    <w:p>
      <w:pPr>
        <w:spacing w:after="0" w:line="200" w:lineRule="exact"/>
        <w:rPr>
          <w:sz w:val="20"/>
          <w:szCs w:val="20"/>
          <w:color w:val="auto"/>
        </w:rPr>
      </w:pPr>
    </w:p>
    <w:p>
      <w:pPr>
        <w:spacing w:after="0" w:line="325"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Helen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-127635</wp:posOffset>
            </wp:positionV>
            <wp:extent cx="628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ind w:left="5200"/>
        <w:spacing w:after="0" w:line="211" w:lineRule="auto"/>
        <w:rPr>
          <w:sz w:val="20"/>
          <w:szCs w:val="20"/>
          <w:color w:val="auto"/>
        </w:rPr>
      </w:pPr>
      <w:r>
        <w:rPr>
          <w:rFonts w:ascii="Arial" w:cs="Arial" w:eastAsia="Arial" w:hAnsi="Arial"/>
          <w:sz w:val="20"/>
          <w:szCs w:val="20"/>
          <w:color w:val="auto"/>
        </w:rPr>
        <w:t>Notary Public, State of New York</w:t>
      </w:r>
    </w:p>
    <w:p>
      <w:pPr>
        <w:ind w:left="5200"/>
        <w:spacing w:after="0" w:line="211" w:lineRule="auto"/>
        <w:rPr>
          <w:sz w:val="20"/>
          <w:szCs w:val="20"/>
          <w:color w:val="auto"/>
        </w:rPr>
      </w:pPr>
      <w:r>
        <w:rPr>
          <w:rFonts w:ascii="Arial" w:cs="Arial" w:eastAsia="Arial" w:hAnsi="Arial"/>
          <w:sz w:val="20"/>
          <w:szCs w:val="20"/>
          <w:color w:val="auto"/>
        </w:rPr>
        <w:t>No. 01CH6291290</w:t>
      </w:r>
    </w:p>
    <w:p>
      <w:pPr>
        <w:ind w:left="5200"/>
        <w:spacing w:after="0" w:line="197" w:lineRule="auto"/>
        <w:rPr>
          <w:sz w:val="20"/>
          <w:szCs w:val="20"/>
          <w:color w:val="auto"/>
        </w:rPr>
      </w:pPr>
      <w:r>
        <w:rPr>
          <w:rFonts w:ascii="Arial" w:cs="Arial" w:eastAsia="Arial" w:hAnsi="Arial"/>
          <w:sz w:val="20"/>
          <w:szCs w:val="20"/>
          <w:color w:val="auto"/>
        </w:rPr>
        <w:t>Qualified in New York County</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Commission Expires October 15,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378"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Bethany M. Owen, of ALLETE, Inc. (ALLETE), certify that:</w:t>
      </w:r>
    </w:p>
    <w:p>
      <w:pPr>
        <w:spacing w:after="0" w:line="25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2022, of ALLETE;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November 9, 2022</w:t>
            </w:r>
          </w:p>
        </w:tc>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Bethany M. Owen</w:t>
            </w:r>
          </w:p>
        </w:tc>
      </w:tr>
      <w:tr>
        <w:trPr>
          <w:trHeight w:val="222"/>
        </w:trPr>
        <w:tc>
          <w:tcPr>
            <w:tcW w:w="4420" w:type="dxa"/>
            <w:vAlign w:val="bottom"/>
          </w:tcPr>
          <w:p>
            <w:pPr>
              <w:spacing w:after="0"/>
              <w:rPr>
                <w:sz w:val="19"/>
                <w:szCs w:val="19"/>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Bethany M. Owen</w:t>
            </w:r>
          </w:p>
        </w:tc>
      </w:tr>
      <w:tr>
        <w:trPr>
          <w:trHeight w:val="230"/>
        </w:trPr>
        <w:tc>
          <w:tcPr>
            <w:tcW w:w="4420" w:type="dxa"/>
            <w:vAlign w:val="bottom"/>
          </w:tcPr>
          <w:p>
            <w:pPr>
              <w:spacing w:after="0"/>
              <w:rPr>
                <w:sz w:val="20"/>
                <w:szCs w:val="20"/>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Chair, President and Chief Executive Officer</w:t>
            </w:r>
          </w:p>
        </w:tc>
      </w:tr>
    </w:tbl>
    <w:p>
      <w:pPr>
        <w:sectPr>
          <w:pgSz w:w="11900" w:h="16838" w:orient="portrait"/>
          <w:cols w:equalWidth="0" w:num="1">
            <w:col w:w="11240"/>
          </w:cols>
          <w:pgMar w:left="320" w:top="89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Steven W. Morris, of ALLETE, Inc. (ALLETE), certify that:</w:t>
      </w:r>
    </w:p>
    <w:p>
      <w:pPr>
        <w:spacing w:after="0" w:line="25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2022, of ALLETE;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November 9, 2022</w:t>
            </w:r>
          </w:p>
        </w:tc>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W. Morris</w:t>
            </w:r>
          </w:p>
        </w:tc>
      </w:tr>
      <w:tr>
        <w:trPr>
          <w:trHeight w:val="222"/>
        </w:trPr>
        <w:tc>
          <w:tcPr>
            <w:tcW w:w="40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Steven W. Morris</w:t>
            </w:r>
          </w:p>
        </w:tc>
      </w:tr>
      <w:tr>
        <w:trPr>
          <w:trHeight w:val="230"/>
        </w:trPr>
        <w:tc>
          <w:tcPr>
            <w:tcW w:w="4020" w:type="dxa"/>
            <w:vAlign w:val="bottom"/>
          </w:tcPr>
          <w:p>
            <w:pPr>
              <w:spacing w:after="0"/>
              <w:rPr>
                <w:sz w:val="20"/>
                <w:szCs w:val="20"/>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89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97" w:lineRule="exact"/>
        <w:rPr>
          <w:sz w:val="20"/>
          <w:szCs w:val="20"/>
          <w:color w:val="auto"/>
        </w:rPr>
      </w:pPr>
    </w:p>
    <w:p>
      <w:pPr>
        <w:ind w:left="660" w:hanging="328"/>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September 30, 2022,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9, 2022</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Bethany M. 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14605</wp:posOffset>
            </wp:positionV>
            <wp:extent cx="37458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Bethany M. Owen</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Chair,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9, 2022</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Steven W.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14605</wp:posOffset>
            </wp:positionV>
            <wp:extent cx="37458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Steven W. Morris</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95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34" w:lineRule="exact"/>
        <w:rPr>
          <w:sz w:val="20"/>
          <w:szCs w:val="20"/>
          <w:color w:val="auto"/>
        </w:rPr>
      </w:pPr>
    </w:p>
    <w:tbl>
      <w:tblPr>
        <w:tblLayout w:type="fixed"/>
        <w:tblInd w:w="30" w:type="dxa"/>
        <w:tblCellMar>
          <w:top w:w="0" w:type="dxa"/>
          <w:left w:w="0" w:type="dxa"/>
          <w:bottom w:w="0" w:type="dxa"/>
          <w:right w:w="0" w:type="dxa"/>
        </w:tblCellMar>
      </w:tblPr>
      <w:tr>
        <w:trPr>
          <w:trHeight w:val="562"/>
        </w:trPr>
        <w:tc>
          <w:tcPr>
            <w:tcW w:w="1240" w:type="dxa"/>
            <w:vAlign w:val="bottom"/>
            <w:tcBorders>
              <w:top w:val="single" w:sz="8" w:color="auto"/>
              <w:left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70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Received</w:t>
            </w:r>
          </w:p>
        </w:tc>
        <w:tc>
          <w:tcPr>
            <w:tcW w:w="94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2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7"/>
              </w:rPr>
              <w:t>Notice of</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Received</w:t>
            </w: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92"/>
              </w:rPr>
              <w:t>Pattern of</w:t>
            </w:r>
          </w:p>
        </w:tc>
        <w:tc>
          <w:tcPr>
            <w:tcW w:w="94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4"/>
              </w:rPr>
              <w:t>Section</w:t>
            </w: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6"/>
              </w:rPr>
              <w:t>Total</w:t>
            </w:r>
          </w:p>
        </w:tc>
        <w:tc>
          <w:tcPr>
            <w:tcW w:w="8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6"/>
              </w:rPr>
              <w:t>Violation</w:t>
            </w:r>
          </w:p>
        </w:tc>
        <w:tc>
          <w:tcPr>
            <w:tcW w:w="9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7"/>
              </w:rPr>
              <w:t>Notice of</w:t>
            </w:r>
          </w:p>
        </w:tc>
        <w:tc>
          <w:tcPr>
            <w:tcW w:w="8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3"/>
              </w:rPr>
              <w:t>Legal</w:t>
            </w:r>
          </w:p>
        </w:tc>
        <w:tc>
          <w:tcPr>
            <w:tcW w:w="8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9"/>
              </w:rPr>
              <w:t>Legal</w:t>
            </w: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Section 104</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104(d)</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Section</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Under</w:t>
            </w: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Legal Actions</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Name/MSHA</w:t>
            </w:r>
          </w:p>
        </w:tc>
        <w:tc>
          <w:tcPr>
            <w:tcW w:w="78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Citations</w:t>
            </w:r>
          </w:p>
        </w:tc>
        <w:tc>
          <w:tcPr>
            <w:tcW w:w="86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Mining</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Section</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2"/>
              </w:rPr>
              <w:t>Have Pattern</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1"/>
              </w:rPr>
              <w:t>Pending as of</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Initiated</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89"/>
              </w:rPr>
              <w:t>Resolved</w:t>
            </w:r>
          </w:p>
        </w:tc>
        <w:tc>
          <w:tcPr>
            <w:tcW w:w="0" w:type="dxa"/>
            <w:vAlign w:val="bottom"/>
          </w:tcPr>
          <w:p>
            <w:pPr>
              <w:spacing w:after="0"/>
              <w:rPr>
                <w:sz w:val="1"/>
                <w:szCs w:val="1"/>
                <w:color w:val="auto"/>
              </w:rPr>
            </w:pPr>
          </w:p>
        </w:tc>
      </w:tr>
      <w:tr>
        <w:trPr>
          <w:trHeight w:val="148"/>
        </w:trPr>
        <w:tc>
          <w:tcPr>
            <w:tcW w:w="124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Identification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104(e)</w:t>
            </w: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Under Section</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Last Day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During</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0" w:type="dxa"/>
            <w:vAlign w:val="bottom"/>
          </w:tcPr>
          <w:p>
            <w:pPr>
              <w:spacing w:after="0"/>
              <w:rPr>
                <w:sz w:val="1"/>
                <w:szCs w:val="1"/>
                <w:color w:val="auto"/>
              </w:rPr>
            </w:pPr>
          </w:p>
        </w:tc>
      </w:tr>
      <w:tr>
        <w:trPr>
          <w:trHeight w:val="197"/>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Number</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Violations (#)</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Fatalities (#)</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104(e) (yes/no)</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0" w:type="dxa"/>
            <w:vAlign w:val="bottom"/>
          </w:tcPr>
          <w:p>
            <w:pPr>
              <w:spacing w:after="0"/>
              <w:rPr>
                <w:sz w:val="1"/>
                <w:szCs w:val="1"/>
                <w:color w:val="auto"/>
              </w:rPr>
            </w:pPr>
          </w:p>
        </w:tc>
      </w:tr>
      <w:tr>
        <w:trPr>
          <w:trHeight w:val="143"/>
        </w:trPr>
        <w:tc>
          <w:tcPr>
            <w:tcW w:w="1240" w:type="dxa"/>
            <w:vAlign w:val="bottom"/>
            <w:tcBorders>
              <w:left w:val="single" w:sz="8" w:color="auto"/>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95"/>
              </w:rPr>
              <w:t>Center Mine /</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0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10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8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2022, BNI Energy, owner of Center Mine, received four citations under Section 104(a) of the Mine Safety Act, none were significant and substantial (S&amp;S) citations. For the nine months ended September 30, 2022, BNI Energy paid $657 in penalties for citations closed during the period. For the nine months ended September 30, 2022, there were no citations, orders, violations or notices under Sections 104(b), 104(d), 107(a), 104(e) or 110(b)(2) of the Mine Safety Act and there were no fatalities.</w:t>
      </w:r>
    </w:p>
    <w:p>
      <w:pPr>
        <w:sectPr>
          <w:pgSz w:w="11900" w:h="16838" w:orient="portrait"/>
          <w:cols w:equalWidth="0" w:num="1">
            <w:col w:w="11240"/>
          </w:cols>
          <w:pgMar w:left="320" w:top="891" w:right="339"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1371600" cy="6261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3716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81"/>
          <w:szCs w:val="81"/>
          <w:b w:val="1"/>
          <w:bCs w:val="1"/>
          <w:i w:val="1"/>
          <w:iCs w:val="1"/>
          <w:color w:val="auto"/>
        </w:rPr>
        <w:t>NEWS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Exhibit 99</w:t>
      </w:r>
    </w:p>
    <w:p>
      <w:pPr>
        <w:spacing w:after="0" w:line="36"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For Release:</w:t>
      </w:r>
      <w:r>
        <w:rPr>
          <w:sz w:val="20"/>
          <w:szCs w:val="20"/>
          <w:color w:val="auto"/>
        </w:rPr>
        <w:tab/>
      </w:r>
      <w:r>
        <w:rPr>
          <w:rFonts w:ascii="Arial" w:cs="Arial" w:eastAsia="Arial" w:hAnsi="Arial"/>
          <w:sz w:val="16"/>
          <w:szCs w:val="16"/>
          <w:color w:val="auto"/>
        </w:rPr>
        <w:t>November 9, 2022</w:t>
      </w:r>
    </w:p>
    <w:p>
      <w:pPr>
        <w:spacing w:after="0" w:line="279"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Investor Contact:</w:t>
      </w:r>
      <w:r>
        <w:rPr>
          <w:sz w:val="20"/>
          <w:szCs w:val="20"/>
          <w:color w:val="auto"/>
        </w:rPr>
        <w:tab/>
      </w:r>
      <w:r>
        <w:rPr>
          <w:rFonts w:ascii="Arial" w:cs="Arial" w:eastAsia="Arial" w:hAnsi="Arial"/>
          <w:sz w:val="16"/>
          <w:szCs w:val="16"/>
          <w:color w:val="auto"/>
        </w:rPr>
        <w:t>Vince Meyer</w:t>
      </w:r>
    </w:p>
    <w:p>
      <w:pPr>
        <w:spacing w:after="0" w:line="6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218-723-3952</w:t>
      </w:r>
    </w:p>
    <w:p>
      <w:pPr>
        <w:spacing w:after="0" w:line="7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vmeyer@allete.com</w:t>
      </w:r>
    </w:p>
    <w:p>
      <w:pPr>
        <w:spacing w:after="0" w:line="794" w:lineRule="exact"/>
        <w:rPr>
          <w:sz w:val="20"/>
          <w:szCs w:val="20"/>
          <w:color w:val="auto"/>
        </w:rPr>
      </w:pPr>
    </w:p>
    <w:p>
      <w:pPr>
        <w:sectPr>
          <w:pgSz w:w="11900" w:h="16838" w:orient="portrait"/>
          <w:cols w:equalWidth="0" w:num="2">
            <w:col w:w="6460" w:space="720"/>
            <w:col w:w="4040"/>
          </w:cols>
          <w:pgMar w:left="320" w:top="1003" w:right="359" w:bottom="1440" w:gutter="0" w:footer="0" w:header="0"/>
        </w:sectPr>
      </w:pP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ALLETE, Inc. reports third quarter earnings;</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Expects 2022 earnings near mid-point of $3.60 - $3.90 per share range</w:t>
      </w:r>
    </w:p>
    <w:p>
      <w:pPr>
        <w:spacing w:after="0" w:line="13"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DULUTH, Minn. - ALLETE, Inc. (NYSE: ALE) today reported third quarter 2022 earnings of 59 cents per share on net income of $33.7 million. Last year’s results were 53 cents per share on net income of $27.6 million. Quarter over quarter results reflect higher net income for the Regulated Operations segment primarily due to interim rate revenue at Minnesota Power. Also impacting the quarter were ongoing inflation, supply chain challenges and transmission congestion resulting in lower earnings at ALLETE Clean Energy. Overall, results for the quarter were in line with expectations.</w:t>
      </w:r>
    </w:p>
    <w:p>
      <w:pPr>
        <w:spacing w:after="0" w:line="23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“ALLETE’s Sustainability in Action strategy continues to present significant opportunities for our company, and we are confident in our ability to execute while we navigate the current macro environment,” said ALLETE President and CEO Bethany Owen. “In fact, we are excited that, just this week, Minnesota Power reached an agreement on its Integrated Resource Plan with various stakeholders that, if approved by the Minnesota Public Utilities Commission later this month, would significantly increase the amount of renewable energy and storage the Company provides over the next 15 years. We are also pleased that Minnesota Power and Superior Water, Light and Power rate cases are progressing as expected; New Energy integration is nearing completion and we are confident in their strong pipeline of projects; and the recently passed Inflation Reduction Act is positive for all of our ALLETE companies.”</w:t>
      </w:r>
    </w:p>
    <w:p>
      <w:pPr>
        <w:spacing w:after="0" w:line="201" w:lineRule="exact"/>
        <w:rPr>
          <w:sz w:val="20"/>
          <w:szCs w:val="20"/>
          <w:color w:val="auto"/>
        </w:rPr>
      </w:pPr>
    </w:p>
    <w:p>
      <w:pPr>
        <w:ind w:right="20"/>
        <w:spacing w:after="0" w:line="252" w:lineRule="auto"/>
        <w:rPr>
          <w:sz w:val="20"/>
          <w:szCs w:val="20"/>
          <w:color w:val="auto"/>
        </w:rPr>
      </w:pPr>
      <w:r>
        <w:rPr>
          <w:rFonts w:ascii="Arial" w:cs="Arial" w:eastAsia="Arial" w:hAnsi="Arial"/>
          <w:sz w:val="20"/>
          <w:szCs w:val="20"/>
          <w:color w:val="auto"/>
        </w:rPr>
        <w:t>ALLETE’s Regulated Operations segment, which includes Minnesota Power, Superior Water, Light and Power and the Company’s investment in the American Transmission Co. recorded net income of $38.3 million, compared to $32.9 million in the third quarter of 2021. Third quarter 2022 earnings reflect higher income at Minnesota Power primarily due to the implementation of interim rates on January 1, 2022. This increase was partially offset by lower kWh sales to retail customers and higher costs under a 250 MW power purchase agreement. ALLETE’s earnings in ATC were lower than in 2021 primarily due to period-over-period changes in ATC’s estimate of a refund liability related to MISO return on equity complaints.</w:t>
      </w:r>
    </w:p>
    <w:p>
      <w:pPr>
        <w:spacing w:after="0" w:line="212"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color w:val="auto"/>
        </w:rPr>
        <w:t>ALLETE Clean Energy recorded a third quarter 2022 net loss of $7.3 million compared to a net loss of $0.8 million in 2021. The net loss in 2022 reflected a reserve of $2.9 million after-tax for an anticipated loss on the sale of ALLETE Clean Energy’s Northern Wind project primarily due to ongoing inflation and supply chain challenges, losses under the Caddo wind energy facility’s power sales agreements resulting from market volatility and transmission congestion in the Southwest Power Pool, and lower wind resources at other wind facilities as compared to 2021.</w:t>
      </w:r>
    </w:p>
    <w:p>
      <w:pPr>
        <w:spacing w:after="0" w:line="209"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color w:val="auto"/>
        </w:rPr>
        <w:t>Corporate and Other businesses, which include New Energy, BNI Energy, the Company’s investment in the Nobles 2 wind energy facility, and ALLETE Properties, recorded net income of $2.7 million in 2022 compared to a net loss of $4.5 million in 2021. Results in 2022 reflect higher earnings from our investment in Nobles 2 due to stronger wind resources in 2022, net income from New Energy of $1.3 million, which includes purchase price accounting of $1.7 million after-tax, and a benefit from the timing of income taxes.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Page 1 of 4</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ALLETE · 30 West Superior Street, Duluth, Minnesota 55802</w:t>
      </w:r>
    </w:p>
    <w:p>
      <w:pPr>
        <w:sectPr>
          <w:pgSz w:w="11900" w:h="16838" w:orient="portrait"/>
          <w:cols w:equalWidth="0" w:num="1">
            <w:col w:w="11220"/>
          </w:cols>
          <w:pgMar w:left="320" w:top="1003" w:right="359" w:bottom="1440" w:gutter="0" w:footer="0" w:header="0"/>
          <w:type w:val="continuous"/>
        </w:sectPr>
      </w:pPr>
    </w:p>
    <w:bookmarkStart w:id="73" w:name="page74"/>
    <w:bookmarkEnd w:id="73"/>
    <w:p>
      <w:pPr>
        <w:ind w:right="340"/>
        <w:spacing w:after="0" w:line="260" w:lineRule="auto"/>
        <w:rPr>
          <w:sz w:val="20"/>
          <w:szCs w:val="20"/>
          <w:color w:val="auto"/>
        </w:rPr>
      </w:pPr>
      <w:r>
        <w:rPr>
          <w:rFonts w:ascii="Arial" w:cs="Arial" w:eastAsia="Arial" w:hAnsi="Arial"/>
          <w:sz w:val="20"/>
          <w:szCs w:val="20"/>
          <w:color w:val="auto"/>
        </w:rPr>
        <w:t>Earnings per share dilution in 2022 was approximately 5 cents due to additional shares of common stock outstanding as of September 30, 2022.</w:t>
      </w:r>
    </w:p>
    <w:p>
      <w:pPr>
        <w:spacing w:after="0" w:line="217"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“We expect our 2022 earnings to be near the mid-point of our guidance range of $3.60 - $3.90 per share,” said ALLETE Senior Vice President and Chief Financial Officer Steven Morris. “The results for the quarter did meet our expectations notwithstanding the previously mentioned impacts of ongoing inflation, supply chain challenges and transmission congestion in Southwest Power Pool, as well as the refund reserve impacting our equity earnings in ATC. This updated guidance reflects year to date results and the timing of a Minnesota Power solar project originally expected to close this year, and now expected to be completed in the first quarter of 2023. We expect a strong fourth quarter of earnings from New Energy, with growing momentum in the project pipeline and significant projects closing in October and into the end of the year.”</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Webcast on November 9, 2022; 2022 third quarter slides posted on company website</w:t>
      </w:r>
    </w:p>
    <w:p>
      <w:pPr>
        <w:spacing w:after="0" w:line="249"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 xml:space="preserve">ALLETE’s earnings conference call will be at 10:00 a.m. (EST), November 9, 2022, at which time management will discuss the third quarter of 2022 financial results. Interested parties may participate live by registering for the call at </w:t>
      </w:r>
      <w:r>
        <w:rPr>
          <w:rFonts w:ascii="Arial" w:cs="Arial" w:eastAsia="Arial" w:hAnsi="Arial"/>
          <w:sz w:val="20"/>
          <w:szCs w:val="20"/>
          <w:u w:val="single" w:color="auto"/>
          <w:color w:val="3051F2"/>
        </w:rPr>
        <w:t>allete.com/earningscall</w:t>
      </w:r>
      <w:r>
        <w:rPr>
          <w:rFonts w:ascii="Arial" w:cs="Arial" w:eastAsia="Arial" w:hAnsi="Arial"/>
          <w:sz w:val="19"/>
          <w:szCs w:val="19"/>
          <w:color w:val="auto"/>
        </w:rPr>
        <w:t xml:space="preserve"> or may listen to the live audio-only webcast accompanied by supporting slides, which will be available on ALLETE’s Investor Relations website </w:t>
      </w:r>
      <w:r>
        <w:rPr>
          <w:rFonts w:ascii="Arial" w:cs="Arial" w:eastAsia="Arial" w:hAnsi="Arial"/>
          <w:sz w:val="20"/>
          <w:szCs w:val="20"/>
          <w:u w:val="single" w:color="auto"/>
          <w:color w:val="3051F2"/>
        </w:rPr>
        <w:t>investor.allete.com/events-presentations</w:t>
      </w:r>
      <w:r>
        <w:rPr>
          <w:rFonts w:ascii="Arial" w:cs="Arial" w:eastAsia="Arial" w:hAnsi="Arial"/>
          <w:sz w:val="18"/>
          <w:szCs w:val="18"/>
          <w:color w:val="000000"/>
        </w:rPr>
        <w:t>. The webcast will be accessible for one year at</w:t>
      </w:r>
      <w:r>
        <w:rPr>
          <w:rFonts w:ascii="Arial" w:cs="Arial" w:eastAsia="Arial" w:hAnsi="Arial"/>
          <w:sz w:val="20"/>
          <w:szCs w:val="20"/>
          <w:color w:val="3051F2"/>
        </w:rPr>
        <w:t xml:space="preserve"> </w:t>
      </w:r>
      <w:r>
        <w:rPr>
          <w:rFonts w:ascii="Arial" w:cs="Arial" w:eastAsia="Arial" w:hAnsi="Arial"/>
          <w:sz w:val="20"/>
          <w:szCs w:val="20"/>
          <w:u w:val="single" w:color="auto"/>
          <w:color w:val="3051F2"/>
        </w:rPr>
        <w:t>allete.com</w:t>
      </w:r>
      <w:r>
        <w:rPr>
          <w:rFonts w:ascii="Arial" w:cs="Arial" w:eastAsia="Arial" w:hAnsi="Arial"/>
          <w:sz w:val="18"/>
          <w:szCs w:val="18"/>
          <w:color w:val="000000"/>
        </w:rPr>
        <w:t>.</w:t>
      </w:r>
    </w:p>
    <w:p>
      <w:pPr>
        <w:spacing w:after="0" w:line="190"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ALLETE is an energy company headquartered in Duluth, Minn. In addition to its electric utilities, Minnesota Power and Superior Water, Light and Power of Wisconsin, ALLETE owns ALLETE Clean Energy, based in Duluth, BNI Energy in Bismarck, N.D., New Energy Equity headquartered in Annapolis, MD, and has an eight percent equity interest in the American Transmission Co. More information about</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ALLETE is available at www.allete.com. </w:t>
      </w:r>
      <w:r>
        <w:rPr>
          <w:rFonts w:ascii="Arial" w:cs="Arial" w:eastAsia="Arial" w:hAnsi="Arial"/>
          <w:sz w:val="21"/>
          <w:szCs w:val="21"/>
          <w:i w:val="1"/>
          <w:iCs w:val="1"/>
          <w:color w:val="auto"/>
        </w:rPr>
        <w:t>ALE-CORP</w:t>
      </w:r>
    </w:p>
    <w:p>
      <w:pPr>
        <w:spacing w:after="0" w:line="249"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224" w:lineRule="exact"/>
        <w:rPr>
          <w:sz w:val="20"/>
          <w:szCs w:val="20"/>
          <w:color w:val="auto"/>
        </w:rPr>
      </w:pPr>
    </w:p>
    <w:p>
      <w:pPr>
        <w:jc w:val="both"/>
        <w:ind w:right="100"/>
        <w:spacing w:after="0" w:line="251" w:lineRule="auto"/>
        <w:rPr>
          <w:sz w:val="20"/>
          <w:szCs w:val="20"/>
          <w:color w:val="auto"/>
        </w:rPr>
      </w:pPr>
      <w:r>
        <w:rPr>
          <w:rFonts w:ascii="Arial" w:cs="Arial" w:eastAsia="Arial" w:hAnsi="Arial"/>
          <w:sz w:val="20"/>
          <w:szCs w:val="20"/>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226" w:lineRule="exact"/>
        <w:rPr>
          <w:sz w:val="20"/>
          <w:szCs w:val="20"/>
          <w:color w:val="auto"/>
        </w:rPr>
      </w:pPr>
    </w:p>
    <w:p>
      <w:pPr>
        <w:spacing w:after="0" w:line="268" w:lineRule="auto"/>
        <w:rPr>
          <w:sz w:val="20"/>
          <w:szCs w:val="20"/>
          <w:color w:val="auto"/>
        </w:rPr>
      </w:pPr>
      <w:r>
        <w:rPr>
          <w:rFonts w:ascii="Arial" w:cs="Arial" w:eastAsia="Arial" w:hAnsi="Arial"/>
          <w:sz w:val="19"/>
          <w:szCs w:val="19"/>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2 of 4</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ALLETE · 30 West Superior Street, Duluth, Minnesota 55802</w:t>
      </w:r>
    </w:p>
    <w:p>
      <w:pPr>
        <w:sectPr>
          <w:pgSz w:w="11900" w:h="16838" w:orient="portrait"/>
          <w:cols w:equalWidth="0" w:num="1">
            <w:col w:w="11220"/>
          </w:cols>
          <w:pgMar w:left="320" w:top="933" w:right="35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 -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19"/>
                <w:szCs w:val="19"/>
                <w:color w:val="auto"/>
              </w:rPr>
            </w:pPr>
          </w:p>
        </w:tc>
        <w:tc>
          <w:tcPr>
            <w:tcW w:w="354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Quarter Ended</w:t>
            </w:r>
          </w:p>
        </w:tc>
        <w:tc>
          <w:tcPr>
            <w:tcW w:w="20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9"/>
              </w:rPr>
              <w:t>Nine Months Ended</w:t>
            </w:r>
          </w:p>
        </w:tc>
      </w:tr>
      <w:tr>
        <w:trPr>
          <w:trHeight w:val="229"/>
        </w:trPr>
        <w:tc>
          <w:tcPr>
            <w:tcW w:w="5700" w:type="dxa"/>
            <w:vAlign w:val="bottom"/>
          </w:tcPr>
          <w:p>
            <w:pPr>
              <w:spacing w:after="0"/>
              <w:rPr>
                <w:sz w:val="19"/>
                <w:szCs w:val="19"/>
                <w:color w:val="auto"/>
              </w:rPr>
            </w:pPr>
          </w:p>
        </w:tc>
        <w:tc>
          <w:tcPr>
            <w:tcW w:w="354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20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7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Operating Revenue</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Contracts with Customers – Utility</w:t>
            </w:r>
          </w:p>
        </w:tc>
        <w:tc>
          <w:tcPr>
            <w:tcW w:w="2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$322.6</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$304.8</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$960.3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$888.2</w:t>
            </w:r>
          </w:p>
        </w:tc>
      </w:tr>
      <w:tr>
        <w:trPr>
          <w:trHeight w:val="230"/>
        </w:trPr>
        <w:tc>
          <w:tcPr>
            <w:tcW w:w="5700" w:type="dxa"/>
            <w:vAlign w:val="bottom"/>
          </w:tcPr>
          <w:p>
            <w:pPr>
              <w:ind w:left="360"/>
              <w:spacing w:after="0"/>
              <w:rPr>
                <w:sz w:val="20"/>
                <w:szCs w:val="20"/>
                <w:color w:val="auto"/>
              </w:rPr>
            </w:pPr>
            <w:r>
              <w:rPr>
                <w:rFonts w:ascii="Arial" w:cs="Arial" w:eastAsia="Arial" w:hAnsi="Arial"/>
                <w:sz w:val="18"/>
                <w:szCs w:val="18"/>
                <w:color w:val="auto"/>
              </w:rPr>
              <w:t>Contracts with Customers – Non-utility</w:t>
            </w:r>
          </w:p>
        </w:tc>
        <w:tc>
          <w:tcPr>
            <w:tcW w:w="2520" w:type="dxa"/>
            <w:vAlign w:val="bottom"/>
          </w:tcPr>
          <w:p>
            <w:pPr>
              <w:jc w:val="right"/>
              <w:ind w:right="150"/>
              <w:spacing w:after="0"/>
              <w:rPr>
                <w:sz w:val="20"/>
                <w:szCs w:val="20"/>
                <w:color w:val="auto"/>
              </w:rPr>
            </w:pPr>
            <w:r>
              <w:rPr>
                <w:rFonts w:ascii="Arial" w:cs="Arial" w:eastAsia="Arial" w:hAnsi="Arial"/>
                <w:sz w:val="18"/>
                <w:szCs w:val="18"/>
                <w:color w:val="auto"/>
              </w:rPr>
              <w:t>64.5</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37.7</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178.3</w:t>
            </w:r>
          </w:p>
        </w:tc>
        <w:tc>
          <w:tcPr>
            <w:tcW w:w="900" w:type="dxa"/>
            <w:vAlign w:val="bottom"/>
          </w:tcPr>
          <w:p>
            <w:pPr>
              <w:jc w:val="right"/>
              <w:spacing w:after="0"/>
              <w:rPr>
                <w:sz w:val="20"/>
                <w:szCs w:val="20"/>
                <w:color w:val="auto"/>
              </w:rPr>
            </w:pPr>
            <w:r>
              <w:rPr>
                <w:rFonts w:ascii="Arial" w:cs="Arial" w:eastAsia="Arial" w:hAnsi="Arial"/>
                <w:sz w:val="18"/>
                <w:szCs w:val="18"/>
                <w:color w:val="auto"/>
              </w:rPr>
              <w:t>123.4</w:t>
            </w:r>
          </w:p>
        </w:tc>
      </w:tr>
      <w:tr>
        <w:trPr>
          <w:trHeight w:val="229"/>
        </w:trPr>
        <w:tc>
          <w:tcPr>
            <w:tcW w:w="57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 – Non-utility</w:t>
            </w:r>
          </w:p>
        </w:tc>
        <w:tc>
          <w:tcPr>
            <w:tcW w:w="2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2.9</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5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Operating Revenue</w:t>
            </w:r>
          </w:p>
        </w:tc>
        <w:tc>
          <w:tcPr>
            <w:tcW w:w="2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388.3</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345.4</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1,144.9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1,020.2</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700" w:type="dxa"/>
            <w:vAlign w:val="bottom"/>
          </w:tcPr>
          <w:p>
            <w:pPr>
              <w:ind w:left="360"/>
              <w:spacing w:after="0"/>
              <w:rPr>
                <w:sz w:val="20"/>
                <w:szCs w:val="20"/>
                <w:color w:val="auto"/>
              </w:rPr>
            </w:pPr>
            <w:r>
              <w:rPr>
                <w:rFonts w:ascii="Arial" w:cs="Arial" w:eastAsia="Arial" w:hAnsi="Arial"/>
                <w:sz w:val="18"/>
                <w:szCs w:val="18"/>
                <w:color w:val="auto"/>
              </w:rPr>
              <w:t>Fuel, Purchased Power and Gas – Utility</w:t>
            </w:r>
          </w:p>
        </w:tc>
        <w:tc>
          <w:tcPr>
            <w:tcW w:w="2520" w:type="dxa"/>
            <w:vAlign w:val="bottom"/>
          </w:tcPr>
          <w:p>
            <w:pPr>
              <w:jc w:val="right"/>
              <w:ind w:right="150"/>
              <w:spacing w:after="0"/>
              <w:rPr>
                <w:sz w:val="20"/>
                <w:szCs w:val="20"/>
                <w:color w:val="auto"/>
              </w:rPr>
            </w:pPr>
            <w:r>
              <w:rPr>
                <w:rFonts w:ascii="Arial" w:cs="Arial" w:eastAsia="Arial" w:hAnsi="Arial"/>
                <w:sz w:val="18"/>
                <w:szCs w:val="18"/>
                <w:color w:val="auto"/>
              </w:rPr>
              <w:t>136.8</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140.1</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417.4</w:t>
            </w:r>
          </w:p>
        </w:tc>
        <w:tc>
          <w:tcPr>
            <w:tcW w:w="900" w:type="dxa"/>
            <w:vAlign w:val="bottom"/>
          </w:tcPr>
          <w:p>
            <w:pPr>
              <w:jc w:val="right"/>
              <w:spacing w:after="0"/>
              <w:rPr>
                <w:sz w:val="20"/>
                <w:szCs w:val="20"/>
                <w:color w:val="auto"/>
              </w:rPr>
            </w:pPr>
            <w:r>
              <w:rPr>
                <w:rFonts w:ascii="Arial" w:cs="Arial" w:eastAsia="Arial" w:hAnsi="Arial"/>
                <w:sz w:val="18"/>
                <w:szCs w:val="18"/>
                <w:color w:val="auto"/>
              </w:rPr>
              <w:t>389.4</w:t>
            </w:r>
          </w:p>
        </w:tc>
      </w:tr>
      <w:tr>
        <w:trPr>
          <w:trHeight w:val="229"/>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Transmission Services – Utility</w:t>
            </w:r>
          </w:p>
        </w:tc>
        <w:tc>
          <w:tcPr>
            <w:tcW w:w="2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19.3</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19.2</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57.5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29"/>
        </w:trPr>
        <w:tc>
          <w:tcPr>
            <w:tcW w:w="5700" w:type="dxa"/>
            <w:vAlign w:val="bottom"/>
          </w:tcPr>
          <w:p>
            <w:pPr>
              <w:ind w:left="360"/>
              <w:spacing w:after="0"/>
              <w:rPr>
                <w:sz w:val="20"/>
                <w:szCs w:val="20"/>
                <w:color w:val="auto"/>
              </w:rPr>
            </w:pPr>
            <w:r>
              <w:rPr>
                <w:rFonts w:ascii="Arial" w:cs="Arial" w:eastAsia="Arial" w:hAnsi="Arial"/>
                <w:sz w:val="18"/>
                <w:szCs w:val="18"/>
                <w:color w:val="auto"/>
              </w:rPr>
              <w:t>Cost of Sales – Non-utility</w:t>
            </w:r>
          </w:p>
        </w:tc>
        <w:tc>
          <w:tcPr>
            <w:tcW w:w="2520" w:type="dxa"/>
            <w:vAlign w:val="bottom"/>
          </w:tcPr>
          <w:p>
            <w:pPr>
              <w:jc w:val="right"/>
              <w:ind w:right="150"/>
              <w:spacing w:after="0"/>
              <w:rPr>
                <w:sz w:val="20"/>
                <w:szCs w:val="20"/>
                <w:color w:val="auto"/>
              </w:rPr>
            </w:pPr>
            <w:r>
              <w:rPr>
                <w:rFonts w:ascii="Arial" w:cs="Arial" w:eastAsia="Arial" w:hAnsi="Arial"/>
                <w:sz w:val="18"/>
                <w:szCs w:val="18"/>
                <w:color w:val="auto"/>
              </w:rPr>
              <w:t>38.4</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15.2</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96.9</w:t>
            </w:r>
          </w:p>
        </w:tc>
        <w:tc>
          <w:tcPr>
            <w:tcW w:w="90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3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and Maintenance</w:t>
            </w:r>
          </w:p>
        </w:tc>
        <w:tc>
          <w:tcPr>
            <w:tcW w:w="2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83.2</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66.7</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238.1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r>
      <w:tr>
        <w:trPr>
          <w:trHeight w:val="229"/>
        </w:trPr>
        <w:tc>
          <w:tcPr>
            <w:tcW w:w="57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520" w:type="dxa"/>
            <w:vAlign w:val="bottom"/>
          </w:tcPr>
          <w:p>
            <w:pPr>
              <w:jc w:val="right"/>
              <w:ind w:right="150"/>
              <w:spacing w:after="0"/>
              <w:rPr>
                <w:sz w:val="20"/>
                <w:szCs w:val="20"/>
                <w:color w:val="auto"/>
              </w:rPr>
            </w:pPr>
            <w:r>
              <w:rPr>
                <w:rFonts w:ascii="Arial" w:cs="Arial" w:eastAsia="Arial" w:hAnsi="Arial"/>
                <w:sz w:val="18"/>
                <w:szCs w:val="18"/>
                <w:color w:val="auto"/>
              </w:rPr>
              <w:t>58.7</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57.5</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181.4</w:t>
            </w:r>
          </w:p>
        </w:tc>
        <w:tc>
          <w:tcPr>
            <w:tcW w:w="900" w:type="dxa"/>
            <w:vAlign w:val="bottom"/>
          </w:tcPr>
          <w:p>
            <w:pPr>
              <w:jc w:val="right"/>
              <w:spacing w:after="0"/>
              <w:rPr>
                <w:sz w:val="20"/>
                <w:szCs w:val="20"/>
                <w:color w:val="auto"/>
              </w:rPr>
            </w:pPr>
            <w:r>
              <w:rPr>
                <w:rFonts w:ascii="Arial" w:cs="Arial" w:eastAsia="Arial" w:hAnsi="Arial"/>
                <w:sz w:val="18"/>
                <w:szCs w:val="18"/>
                <w:color w:val="auto"/>
              </w:rPr>
              <w:t>173.4</w:t>
            </w:r>
          </w:p>
        </w:tc>
      </w:tr>
      <w:tr>
        <w:trPr>
          <w:trHeight w:val="229"/>
        </w:trPr>
        <w:tc>
          <w:tcPr>
            <w:tcW w:w="57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Taxes Other than Income Taxes</w:t>
            </w:r>
          </w:p>
        </w:tc>
        <w:tc>
          <w:tcPr>
            <w:tcW w:w="2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18.5</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15.6</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53.1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23"/>
        </w:trPr>
        <w:tc>
          <w:tcPr>
            <w:tcW w:w="5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Operating Expenses</w:t>
            </w:r>
          </w:p>
        </w:tc>
        <w:tc>
          <w:tcPr>
            <w:tcW w:w="2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354.9</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314.3</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1,044.4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918.9</w:t>
            </w:r>
          </w:p>
        </w:tc>
      </w:tr>
      <w:tr>
        <w:trPr>
          <w:trHeight w:val="223"/>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33.4</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31.1</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100.5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(18.4)</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(17.3)</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(55.3)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29"/>
        </w:trPr>
        <w:tc>
          <w:tcPr>
            <w:tcW w:w="5700" w:type="dxa"/>
            <w:vAlign w:val="bottom"/>
          </w:tcPr>
          <w:p>
            <w:pPr>
              <w:ind w:left="360"/>
              <w:spacing w:after="0"/>
              <w:rPr>
                <w:sz w:val="20"/>
                <w:szCs w:val="20"/>
                <w:color w:val="auto"/>
              </w:rPr>
            </w:pPr>
            <w:r>
              <w:rPr>
                <w:rFonts w:ascii="Arial" w:cs="Arial" w:eastAsia="Arial" w:hAnsi="Arial"/>
                <w:sz w:val="18"/>
                <w:szCs w:val="18"/>
                <w:color w:val="auto"/>
              </w:rPr>
              <w:t>Equity Earnings</w:t>
            </w:r>
          </w:p>
        </w:tc>
        <w:tc>
          <w:tcPr>
            <w:tcW w:w="2520" w:type="dxa"/>
            <w:vAlign w:val="bottom"/>
          </w:tcPr>
          <w:p>
            <w:pPr>
              <w:jc w:val="right"/>
              <w:ind w:right="150"/>
              <w:spacing w:after="0"/>
              <w:rPr>
                <w:sz w:val="20"/>
                <w:szCs w:val="20"/>
                <w:color w:val="auto"/>
              </w:rPr>
            </w:pPr>
            <w:r>
              <w:rPr>
                <w:rFonts w:ascii="Arial" w:cs="Arial" w:eastAsia="Arial" w:hAnsi="Arial"/>
                <w:sz w:val="18"/>
                <w:szCs w:val="18"/>
                <w:color w:val="auto"/>
              </w:rPr>
              <w:t>2.3</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4.4</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13.1</w:t>
            </w:r>
          </w:p>
        </w:tc>
        <w:tc>
          <w:tcPr>
            <w:tcW w:w="9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57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5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Other Expense</w:t>
            </w:r>
          </w:p>
        </w:tc>
        <w:tc>
          <w:tcPr>
            <w:tcW w:w="2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(13.8)</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(11.9)</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19.6</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19.2</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74.7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30"/>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Tax Benefit</w:t>
            </w:r>
          </w:p>
        </w:tc>
        <w:tc>
          <w:tcPr>
            <w:tcW w:w="2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(7.2)</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r>
      <w:tr>
        <w:trPr>
          <w:trHeight w:val="223"/>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26.8</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24.1</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94.1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r>
      <w:tr>
        <w:trPr>
          <w:trHeight w:val="223"/>
        </w:trPr>
        <w:tc>
          <w:tcPr>
            <w:tcW w:w="5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Net Loss Attributable to Non-Controlling Interest</w:t>
            </w:r>
          </w:p>
        </w:tc>
        <w:tc>
          <w:tcPr>
            <w:tcW w:w="2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(6.9)</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(43.5)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r>
      <w:tr>
        <w:trPr>
          <w:trHeight w:val="223"/>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2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$33.7</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$27.6</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$137.6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57.1</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52.4</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30"/>
        </w:trPr>
        <w:tc>
          <w:tcPr>
            <w:tcW w:w="57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Diluted</w:t>
            </w:r>
          </w:p>
        </w:tc>
        <w:tc>
          <w:tcPr>
            <w:tcW w:w="2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57.2</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52.5</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55.6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2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$0.59</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$0.53</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2520" w:type="dxa"/>
            <w:vAlign w:val="bottom"/>
          </w:tcPr>
          <w:p>
            <w:pPr>
              <w:jc w:val="right"/>
              <w:ind w:right="150"/>
              <w:spacing w:after="0"/>
              <w:rPr>
                <w:sz w:val="20"/>
                <w:szCs w:val="20"/>
                <w:color w:val="auto"/>
              </w:rPr>
            </w:pPr>
            <w:r>
              <w:rPr>
                <w:rFonts w:ascii="Arial" w:cs="Arial" w:eastAsia="Arial" w:hAnsi="Arial"/>
                <w:sz w:val="18"/>
                <w:szCs w:val="18"/>
                <w:color w:val="auto"/>
              </w:rPr>
              <w:t>$0.59</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$0.53</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$2.48</w:t>
            </w:r>
          </w:p>
        </w:tc>
        <w:tc>
          <w:tcPr>
            <w:tcW w:w="9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30"/>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Share of Common Stock</w:t>
            </w:r>
          </w:p>
        </w:tc>
        <w:tc>
          <w:tcPr>
            <w:tcW w:w="2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$0.65</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$0.63</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000" w:type="dxa"/>
            <w:vAlign w:val="bottom"/>
          </w:tcPr>
          <w:p>
            <w:pPr>
              <w:spacing w:after="0"/>
              <w:rPr>
                <w:sz w:val="19"/>
                <w:szCs w:val="19"/>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Sep. 30</w:t>
            </w: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Dec. 31,</w:t>
            </w:r>
          </w:p>
        </w:tc>
        <w:tc>
          <w:tcPr>
            <w:tcW w:w="4000" w:type="dxa"/>
            <w:vAlign w:val="bottom"/>
          </w:tcPr>
          <w:p>
            <w:pPr>
              <w:spacing w:after="0"/>
              <w:rPr>
                <w:sz w:val="19"/>
                <w:szCs w:val="19"/>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Sep. 30</w:t>
            </w: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Dec. 31,</w:t>
            </w: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40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0" w:type="dxa"/>
            <w:vAlign w:val="bottom"/>
          </w:tcPr>
          <w:p>
            <w:pPr>
              <w:ind w:left="80"/>
              <w:spacing w:after="0"/>
              <w:rPr>
                <w:sz w:val="20"/>
                <w:szCs w:val="20"/>
                <w:color w:val="auto"/>
              </w:rPr>
            </w:pPr>
            <w:r>
              <w:rPr>
                <w:rFonts w:ascii="Arial" w:cs="Arial" w:eastAsia="Arial" w:hAnsi="Arial"/>
                <w:sz w:val="18"/>
                <w:szCs w:val="18"/>
                <w:b w:val="1"/>
                <w:bCs w:val="1"/>
                <w:color w:val="auto"/>
              </w:rPr>
              <w:t>Liabilities and Equity</w:t>
            </w: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4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Current Liabilities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680.1</w:t>
            </w:r>
          </w:p>
        </w:tc>
        <w:tc>
          <w:tcPr>
            <w:tcW w:w="900" w:type="dxa"/>
            <w:vAlign w:val="bottom"/>
          </w:tcPr>
          <w:p>
            <w:pPr>
              <w:jc w:val="right"/>
              <w:spacing w:after="0"/>
              <w:rPr>
                <w:sz w:val="20"/>
                <w:szCs w:val="20"/>
                <w:color w:val="auto"/>
              </w:rPr>
            </w:pPr>
            <w:r>
              <w:rPr>
                <w:rFonts w:ascii="Arial" w:cs="Arial" w:eastAsia="Arial" w:hAnsi="Arial"/>
                <w:sz w:val="18"/>
                <w:szCs w:val="18"/>
                <w:color w:val="auto"/>
              </w:rPr>
              <w:t>246.2</w:t>
            </w:r>
          </w:p>
        </w:tc>
        <w:tc>
          <w:tcPr>
            <w:tcW w:w="4000" w:type="dxa"/>
            <w:vAlign w:val="bottom"/>
          </w:tcPr>
          <w:p>
            <w:pPr>
              <w:ind w:left="80"/>
              <w:spacing w:after="0"/>
              <w:rPr>
                <w:sz w:val="20"/>
                <w:szCs w:val="20"/>
                <w:color w:val="auto"/>
              </w:rPr>
            </w:pPr>
            <w:r>
              <w:rPr>
                <w:rFonts w:ascii="Arial" w:cs="Arial" w:eastAsia="Arial" w:hAnsi="Arial"/>
                <w:sz w:val="18"/>
                <w:szCs w:val="18"/>
                <w:color w:val="auto"/>
              </w:rPr>
              <w:t>Long-Term Debt</w:t>
            </w:r>
          </w:p>
        </w:tc>
        <w:tc>
          <w:tcPr>
            <w:tcW w:w="1120" w:type="dxa"/>
            <w:vAlign w:val="bottom"/>
          </w:tcPr>
          <w:p>
            <w:pPr>
              <w:jc w:val="right"/>
              <w:spacing w:after="0"/>
              <w:rPr>
                <w:sz w:val="20"/>
                <w:szCs w:val="20"/>
                <w:color w:val="auto"/>
              </w:rPr>
            </w:pPr>
            <w:r>
              <w:rPr>
                <w:rFonts w:ascii="Arial" w:cs="Arial" w:eastAsia="Arial" w:hAnsi="Arial"/>
                <w:sz w:val="18"/>
                <w:szCs w:val="18"/>
                <w:color w:val="auto"/>
              </w:rPr>
              <w:t>1,653.0</w:t>
            </w:r>
          </w:p>
        </w:tc>
        <w:tc>
          <w:tcPr>
            <w:tcW w:w="840" w:type="dxa"/>
            <w:vAlign w:val="bottom"/>
          </w:tcPr>
          <w:p>
            <w:pPr>
              <w:jc w:val="right"/>
              <w:spacing w:after="0"/>
              <w:rPr>
                <w:sz w:val="20"/>
                <w:szCs w:val="20"/>
                <w:color w:val="auto"/>
              </w:rPr>
            </w:pPr>
            <w:r>
              <w:rPr>
                <w:rFonts w:ascii="Arial" w:cs="Arial" w:eastAsia="Arial" w:hAnsi="Arial"/>
                <w:sz w:val="18"/>
                <w:szCs w:val="18"/>
                <w:color w:val="auto"/>
              </w:rPr>
              <w:t>1,763.2</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 Net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5,011.0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5,100.2</w:t>
            </w:r>
          </w:p>
        </w:tc>
        <w:tc>
          <w:tcPr>
            <w:tcW w:w="4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Regulatory Assets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447.1</w:t>
            </w:r>
          </w:p>
        </w:tc>
        <w:tc>
          <w:tcPr>
            <w:tcW w:w="900" w:type="dxa"/>
            <w:vAlign w:val="bottom"/>
          </w:tcPr>
          <w:p>
            <w:pPr>
              <w:jc w:val="right"/>
              <w:spacing w:after="0"/>
              <w:rPr>
                <w:sz w:val="20"/>
                <w:szCs w:val="20"/>
                <w:color w:val="auto"/>
              </w:rPr>
            </w:pPr>
            <w:r>
              <w:rPr>
                <w:rFonts w:ascii="Arial" w:cs="Arial" w:eastAsia="Arial" w:hAnsi="Arial"/>
                <w:sz w:val="18"/>
                <w:szCs w:val="18"/>
                <w:color w:val="auto"/>
              </w:rPr>
              <w:t>511.8</w:t>
            </w:r>
          </w:p>
        </w:tc>
        <w:tc>
          <w:tcPr>
            <w:tcW w:w="4000" w:type="dxa"/>
            <w:vAlign w:val="bottom"/>
          </w:tcPr>
          <w:p>
            <w:pPr>
              <w:ind w:left="80"/>
              <w:spacing w:after="0"/>
              <w:rPr>
                <w:sz w:val="20"/>
                <w:szCs w:val="20"/>
                <w:color w:val="auto"/>
              </w:rPr>
            </w:pPr>
            <w:r>
              <w:rPr>
                <w:rFonts w:ascii="Arial" w:cs="Arial" w:eastAsia="Arial" w:hAnsi="Arial"/>
                <w:sz w:val="18"/>
                <w:szCs w:val="18"/>
                <w:color w:val="auto"/>
              </w:rPr>
              <w:t>Regulatory Liabilities</w:t>
            </w:r>
          </w:p>
        </w:tc>
        <w:tc>
          <w:tcPr>
            <w:tcW w:w="1120" w:type="dxa"/>
            <w:vAlign w:val="bottom"/>
          </w:tcPr>
          <w:p>
            <w:pPr>
              <w:jc w:val="right"/>
              <w:spacing w:after="0"/>
              <w:rPr>
                <w:sz w:val="20"/>
                <w:szCs w:val="20"/>
                <w:color w:val="auto"/>
              </w:rPr>
            </w:pPr>
            <w:r>
              <w:rPr>
                <w:rFonts w:ascii="Arial" w:cs="Arial" w:eastAsia="Arial" w:hAnsi="Arial"/>
                <w:sz w:val="18"/>
                <w:szCs w:val="18"/>
                <w:color w:val="auto"/>
              </w:rPr>
              <w:t>527.4</w:t>
            </w:r>
          </w:p>
        </w:tc>
        <w:tc>
          <w:tcPr>
            <w:tcW w:w="840" w:type="dxa"/>
            <w:vAlign w:val="bottom"/>
          </w:tcPr>
          <w:p>
            <w:pPr>
              <w:jc w:val="right"/>
              <w:spacing w:after="0"/>
              <w:rPr>
                <w:sz w:val="20"/>
                <w:szCs w:val="20"/>
                <w:color w:val="auto"/>
              </w:rPr>
            </w:pPr>
            <w:r>
              <w:rPr>
                <w:rFonts w:ascii="Arial" w:cs="Arial" w:eastAsia="Arial" w:hAnsi="Arial"/>
                <w:sz w:val="18"/>
                <w:szCs w:val="18"/>
                <w:color w:val="auto"/>
              </w:rPr>
              <w:t>536.1</w:t>
            </w:r>
          </w:p>
        </w:tc>
        <w:tc>
          <w:tcPr>
            <w:tcW w:w="0" w:type="dxa"/>
            <w:vAlign w:val="bottom"/>
          </w:tcPr>
          <w:p>
            <w:pPr>
              <w:spacing w:after="0"/>
              <w:rPr>
                <w:sz w:val="1"/>
                <w:szCs w:val="1"/>
                <w:color w:val="auto"/>
              </w:rPr>
            </w:pPr>
          </w:p>
        </w:tc>
      </w:tr>
      <w:tr>
        <w:trPr>
          <w:trHeight w:val="175"/>
        </w:trPr>
        <w:tc>
          <w:tcPr>
            <w:tcW w:w="30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Equity Investments</w:t>
            </w:r>
          </w:p>
        </w:tc>
        <w:tc>
          <w:tcPr>
            <w:tcW w:w="13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320.3</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4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7"/>
              </w:rPr>
              <w:t>Defined Benefit Pension and Other Postretirement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43"/>
        </w:trPr>
        <w:tc>
          <w:tcPr>
            <w:tcW w:w="3000" w:type="dxa"/>
            <w:vAlign w:val="bottom"/>
            <w:vMerge w:val="continue"/>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4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Benefit Plans</w:t>
            </w:r>
          </w:p>
        </w:tc>
        <w:tc>
          <w:tcPr>
            <w:tcW w:w="112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Goodwill and Intangibles – Net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155.8</w:t>
            </w: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4000" w:type="dxa"/>
            <w:vAlign w:val="bottom"/>
          </w:tcPr>
          <w:p>
            <w:pPr>
              <w:ind w:left="80"/>
              <w:spacing w:after="0"/>
              <w:rPr>
                <w:sz w:val="20"/>
                <w:szCs w:val="20"/>
                <w:color w:val="auto"/>
              </w:rPr>
            </w:pPr>
            <w:r>
              <w:rPr>
                <w:rFonts w:ascii="Arial" w:cs="Arial" w:eastAsia="Arial" w:hAnsi="Arial"/>
                <w:sz w:val="18"/>
                <w:szCs w:val="18"/>
                <w:color w:val="auto"/>
              </w:rPr>
              <w:t>Other Non-Current Liabilities</w:t>
            </w:r>
          </w:p>
        </w:tc>
        <w:tc>
          <w:tcPr>
            <w:tcW w:w="1120" w:type="dxa"/>
            <w:vAlign w:val="bottom"/>
          </w:tcPr>
          <w:p>
            <w:pPr>
              <w:jc w:val="right"/>
              <w:spacing w:after="0"/>
              <w:rPr>
                <w:sz w:val="20"/>
                <w:szCs w:val="20"/>
                <w:color w:val="auto"/>
              </w:rPr>
            </w:pPr>
            <w:r>
              <w:rPr>
                <w:rFonts w:ascii="Arial" w:cs="Arial" w:eastAsia="Arial" w:hAnsi="Arial"/>
                <w:sz w:val="18"/>
                <w:szCs w:val="18"/>
                <w:color w:val="auto"/>
              </w:rPr>
              <w:t>268.8</w:t>
            </w:r>
          </w:p>
        </w:tc>
        <w:tc>
          <w:tcPr>
            <w:tcW w:w="840" w:type="dxa"/>
            <w:vAlign w:val="bottom"/>
          </w:tcPr>
          <w:p>
            <w:pPr>
              <w:jc w:val="right"/>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40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Equity</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2,946.3</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$6,858.0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$6,435.0</w:t>
            </w:r>
          </w:p>
        </w:tc>
        <w:tc>
          <w:tcPr>
            <w:tcW w:w="40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 Liabilities and Equity</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$6,858.0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3 of 4</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 30 West Superior Street, Duluth, Minnesota 55802</w:t>
      </w:r>
    </w:p>
    <w:p>
      <w:pPr>
        <w:sectPr>
          <w:pgSz w:w="11900" w:h="16838" w:orient="portrait"/>
          <w:cols w:equalWidth="0" w:num="1">
            <w:col w:w="11240"/>
          </w:cols>
          <w:pgMar w:left="320" w:top="931" w:right="33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3740" w:type="dxa"/>
            <w:vAlign w:val="bottom"/>
            <w:gridSpan w:val="2"/>
          </w:tcPr>
          <w:p>
            <w:pPr>
              <w:jc w:val="right"/>
              <w:ind w:right="1130"/>
              <w:spacing w:after="0"/>
              <w:rPr>
                <w:sz w:val="20"/>
                <w:szCs w:val="20"/>
                <w:color w:val="auto"/>
              </w:rPr>
            </w:pPr>
            <w:r>
              <w:rPr>
                <w:rFonts w:ascii="Arial" w:cs="Arial" w:eastAsia="Arial" w:hAnsi="Arial"/>
                <w:sz w:val="18"/>
                <w:szCs w:val="18"/>
                <w:b w:val="1"/>
                <w:bCs w:val="1"/>
                <w:color w:val="auto"/>
              </w:rPr>
              <w:t>Quarter Ended</w:t>
            </w:r>
          </w:p>
        </w:tc>
        <w:tc>
          <w:tcPr>
            <w:tcW w:w="276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ALLETE, Inc.</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1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19"/>
                <w:szCs w:val="19"/>
                <w:color w:val="auto"/>
              </w:rPr>
            </w:pPr>
          </w:p>
        </w:tc>
      </w:tr>
      <w:tr>
        <w:trPr>
          <w:trHeight w:val="234"/>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(Loss)</w:t>
            </w:r>
          </w:p>
        </w:tc>
        <w:tc>
          <w:tcPr>
            <w:tcW w:w="248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2022</w:t>
            </w:r>
          </w:p>
        </w:tc>
        <w:tc>
          <w:tcPr>
            <w:tcW w:w="12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89"/>
              </w:rPr>
              <w:t>2021</w:t>
            </w:r>
          </w:p>
        </w:tc>
        <w:tc>
          <w:tcPr>
            <w:tcW w:w="180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2022</w:t>
            </w:r>
          </w:p>
        </w:tc>
        <w:tc>
          <w:tcPr>
            <w:tcW w:w="9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Millions</w:t>
            </w:r>
          </w:p>
        </w:tc>
        <w:tc>
          <w:tcPr>
            <w:tcW w:w="2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Regulated Operations</w:t>
            </w:r>
          </w:p>
        </w:tc>
        <w:tc>
          <w:tcPr>
            <w:tcW w:w="24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$38.3</w:t>
            </w: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$32.9</w:t>
            </w:r>
          </w:p>
        </w:tc>
        <w:tc>
          <w:tcPr>
            <w:tcW w:w="18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$119.4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r>
      <w:tr>
        <w:trPr>
          <w:trHeight w:val="229"/>
        </w:trPr>
        <w:tc>
          <w:tcPr>
            <w:tcW w:w="4740" w:type="dxa"/>
            <w:vAlign w:val="bottom"/>
          </w:tcPr>
          <w:p>
            <w:pPr>
              <w:ind w:left="360"/>
              <w:spacing w:after="0"/>
              <w:rPr>
                <w:sz w:val="20"/>
                <w:szCs w:val="20"/>
                <w:color w:val="auto"/>
              </w:rPr>
            </w:pPr>
            <w:r>
              <w:rPr>
                <w:rFonts w:ascii="Arial" w:cs="Arial" w:eastAsia="Arial" w:hAnsi="Arial"/>
                <w:sz w:val="18"/>
                <w:szCs w:val="18"/>
                <w:color w:val="auto"/>
              </w:rPr>
              <w:t>ALLETE Clean Energy</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(7.3)</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(0.8)</w:t>
            </w:r>
          </w:p>
        </w:tc>
        <w:tc>
          <w:tcPr>
            <w:tcW w:w="1800" w:type="dxa"/>
            <w:vAlign w:val="bottom"/>
          </w:tcPr>
          <w:p>
            <w:pPr>
              <w:jc w:val="right"/>
              <w:ind w:right="550"/>
              <w:spacing w:after="0"/>
              <w:rPr>
                <w:sz w:val="20"/>
                <w:szCs w:val="20"/>
                <w:color w:val="auto"/>
              </w:rPr>
            </w:pPr>
            <w:r>
              <w:rPr>
                <w:rFonts w:ascii="Arial" w:cs="Arial" w:eastAsia="Arial" w:hAnsi="Arial"/>
                <w:sz w:val="18"/>
                <w:szCs w:val="18"/>
                <w:color w:val="auto"/>
              </w:rPr>
              <w:t>15.0</w:t>
            </w:r>
          </w:p>
        </w:tc>
        <w:tc>
          <w:tcPr>
            <w:tcW w:w="9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47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Corporate and Other</w:t>
            </w:r>
          </w:p>
        </w:tc>
        <w:tc>
          <w:tcPr>
            <w:tcW w:w="248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2.7</w:t>
            </w: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(4.5)</w:t>
            </w:r>
          </w:p>
        </w:tc>
        <w:tc>
          <w:tcPr>
            <w:tcW w:w="18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3.2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47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Net Income Attributable to ALLETE</w:t>
            </w:r>
          </w:p>
        </w:tc>
        <w:tc>
          <w:tcPr>
            <w:tcW w:w="2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$33.7</w:t>
            </w: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$27.6</w:t>
            </w:r>
          </w:p>
        </w:tc>
        <w:tc>
          <w:tcPr>
            <w:tcW w:w="18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$137.6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r>
      <w:tr>
        <w:trPr>
          <w:trHeight w:val="223"/>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48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$0.59</w:t>
            </w:r>
          </w:p>
        </w:tc>
        <w:tc>
          <w:tcPr>
            <w:tcW w:w="12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$0.53</w:t>
            </w:r>
          </w:p>
        </w:tc>
        <w:tc>
          <w:tcPr>
            <w:tcW w:w="18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$2.48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601"/>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Statistical Data</w:t>
            </w:r>
          </w:p>
        </w:tc>
        <w:tc>
          <w:tcPr>
            <w:tcW w:w="2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Corporate</w:t>
            </w:r>
          </w:p>
        </w:tc>
        <w:tc>
          <w:tcPr>
            <w:tcW w:w="2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2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740" w:type="dxa"/>
            <w:vAlign w:val="bottom"/>
          </w:tcPr>
          <w:p>
            <w:pPr>
              <w:ind w:left="560"/>
              <w:spacing w:after="0"/>
              <w:rPr>
                <w:sz w:val="20"/>
                <w:szCs w:val="20"/>
                <w:color w:val="auto"/>
              </w:rPr>
            </w:pPr>
            <w:r>
              <w:rPr>
                <w:rFonts w:ascii="Arial" w:cs="Arial" w:eastAsia="Arial" w:hAnsi="Arial"/>
                <w:sz w:val="18"/>
                <w:szCs w:val="18"/>
                <w:color w:val="auto"/>
              </w:rPr>
              <w:t>High</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$63.81</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$73.10</w:t>
            </w:r>
          </w:p>
        </w:tc>
        <w:tc>
          <w:tcPr>
            <w:tcW w:w="1800" w:type="dxa"/>
            <w:vAlign w:val="bottom"/>
          </w:tcPr>
          <w:p>
            <w:pPr>
              <w:jc w:val="right"/>
              <w:ind w:right="490"/>
              <w:spacing w:after="0"/>
              <w:rPr>
                <w:sz w:val="20"/>
                <w:szCs w:val="20"/>
                <w:color w:val="auto"/>
              </w:rPr>
            </w:pPr>
            <w:r>
              <w:rPr>
                <w:rFonts w:ascii="Arial" w:cs="Arial" w:eastAsia="Arial" w:hAnsi="Arial"/>
                <w:sz w:val="18"/>
                <w:szCs w:val="18"/>
                <w:color w:val="auto"/>
              </w:rPr>
              <w:t>$68.61</w:t>
            </w:r>
          </w:p>
        </w:tc>
        <w:tc>
          <w:tcPr>
            <w:tcW w:w="960" w:type="dxa"/>
            <w:vAlign w:val="bottom"/>
          </w:tcPr>
          <w:p>
            <w:pPr>
              <w:jc w:val="right"/>
              <w:spacing w:after="0"/>
              <w:rPr>
                <w:sz w:val="20"/>
                <w:szCs w:val="20"/>
                <w:color w:val="auto"/>
              </w:rPr>
            </w:pPr>
            <w:r>
              <w:rPr>
                <w:rFonts w:ascii="Arial" w:cs="Arial" w:eastAsia="Arial" w:hAnsi="Arial"/>
                <w:sz w:val="18"/>
                <w:szCs w:val="18"/>
                <w:color w:val="auto"/>
              </w:rPr>
              <w:t>$73.10</w:t>
            </w:r>
          </w:p>
        </w:tc>
      </w:tr>
      <w:tr>
        <w:trPr>
          <w:trHeight w:val="230"/>
        </w:trPr>
        <w:tc>
          <w:tcPr>
            <w:tcW w:w="4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Low</w:t>
            </w:r>
          </w:p>
        </w:tc>
        <w:tc>
          <w:tcPr>
            <w:tcW w:w="2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$49.89</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$58.89</w:t>
            </w:r>
          </w:p>
        </w:tc>
        <w:tc>
          <w:tcPr>
            <w:tcW w:w="1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$49.89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w:t>
            </w:r>
          </w:p>
        </w:tc>
      </w:tr>
      <w:tr>
        <w:trPr>
          <w:trHeight w:val="229"/>
        </w:trPr>
        <w:tc>
          <w:tcPr>
            <w:tcW w:w="4740" w:type="dxa"/>
            <w:vAlign w:val="bottom"/>
          </w:tcPr>
          <w:p>
            <w:pPr>
              <w:ind w:left="560"/>
              <w:spacing w:after="0"/>
              <w:rPr>
                <w:sz w:val="20"/>
                <w:szCs w:val="20"/>
                <w:color w:val="auto"/>
              </w:rPr>
            </w:pPr>
            <w:r>
              <w:rPr>
                <w:rFonts w:ascii="Arial" w:cs="Arial" w:eastAsia="Arial" w:hAnsi="Arial"/>
                <w:sz w:val="18"/>
                <w:szCs w:val="18"/>
                <w:color w:val="auto"/>
              </w:rPr>
              <w:t>Close</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$50.05</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$59.52</w:t>
            </w:r>
          </w:p>
        </w:tc>
        <w:tc>
          <w:tcPr>
            <w:tcW w:w="1800" w:type="dxa"/>
            <w:vAlign w:val="bottom"/>
          </w:tcPr>
          <w:p>
            <w:pPr>
              <w:jc w:val="right"/>
              <w:ind w:right="490"/>
              <w:spacing w:after="0"/>
              <w:rPr>
                <w:sz w:val="20"/>
                <w:szCs w:val="20"/>
                <w:color w:val="auto"/>
              </w:rPr>
            </w:pPr>
            <w:r>
              <w:rPr>
                <w:rFonts w:ascii="Arial" w:cs="Arial" w:eastAsia="Arial" w:hAnsi="Arial"/>
                <w:sz w:val="18"/>
                <w:szCs w:val="18"/>
                <w:color w:val="auto"/>
              </w:rPr>
              <w:t>$50.05</w:t>
            </w:r>
          </w:p>
        </w:tc>
        <w:tc>
          <w:tcPr>
            <w:tcW w:w="960" w:type="dxa"/>
            <w:vAlign w:val="bottom"/>
          </w:tcPr>
          <w:p>
            <w:pPr>
              <w:jc w:val="right"/>
              <w:spacing w:after="0"/>
              <w:rPr>
                <w:sz w:val="20"/>
                <w:szCs w:val="20"/>
                <w:color w:val="auto"/>
              </w:rPr>
            </w:pPr>
            <w:r>
              <w:rPr>
                <w:rFonts w:ascii="Arial" w:cs="Arial" w:eastAsia="Arial" w:hAnsi="Arial"/>
                <w:sz w:val="18"/>
                <w:szCs w:val="18"/>
                <w:color w:val="auto"/>
              </w:rPr>
              <w:t>$59.52</w:t>
            </w:r>
          </w:p>
        </w:tc>
      </w:tr>
      <w:tr>
        <w:trPr>
          <w:trHeight w:val="229"/>
        </w:trPr>
        <w:tc>
          <w:tcPr>
            <w:tcW w:w="47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Book Value</w:t>
            </w:r>
          </w:p>
        </w:tc>
        <w:tc>
          <w:tcPr>
            <w:tcW w:w="24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$46.93</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$44.51</w:t>
            </w:r>
          </w:p>
        </w:tc>
        <w:tc>
          <w:tcPr>
            <w:tcW w:w="18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$46.93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r>
      <w:tr>
        <w:trPr>
          <w:trHeight w:val="588"/>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Millions</w:t>
            </w:r>
          </w:p>
        </w:tc>
        <w:tc>
          <w:tcPr>
            <w:tcW w:w="2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Regulated Utility</w:t>
            </w:r>
          </w:p>
        </w:tc>
        <w:tc>
          <w:tcPr>
            <w:tcW w:w="2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740" w:type="dxa"/>
            <w:vAlign w:val="bottom"/>
          </w:tcPr>
          <w:p>
            <w:pPr>
              <w:ind w:left="560"/>
              <w:spacing w:after="0"/>
              <w:rPr>
                <w:sz w:val="20"/>
                <w:szCs w:val="20"/>
                <w:color w:val="auto"/>
              </w:rPr>
            </w:pPr>
            <w:r>
              <w:rPr>
                <w:rFonts w:ascii="Arial" w:cs="Arial" w:eastAsia="Arial" w:hAnsi="Arial"/>
                <w:sz w:val="18"/>
                <w:szCs w:val="18"/>
                <w:color w:val="auto"/>
              </w:rPr>
              <w:t>Retail and Municipal</w:t>
            </w:r>
          </w:p>
        </w:tc>
        <w:tc>
          <w:tcPr>
            <w:tcW w:w="2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7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Residential</w:t>
            </w:r>
          </w:p>
        </w:tc>
        <w:tc>
          <w:tcPr>
            <w:tcW w:w="2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251</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268</w:t>
            </w:r>
          </w:p>
        </w:tc>
        <w:tc>
          <w:tcPr>
            <w:tcW w:w="1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851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r>
      <w:tr>
        <w:trPr>
          <w:trHeight w:val="230"/>
        </w:trPr>
        <w:tc>
          <w:tcPr>
            <w:tcW w:w="4740" w:type="dxa"/>
            <w:vAlign w:val="bottom"/>
          </w:tcPr>
          <w:p>
            <w:pPr>
              <w:ind w:left="1000"/>
              <w:spacing w:after="0"/>
              <w:rPr>
                <w:sz w:val="20"/>
                <w:szCs w:val="20"/>
                <w:color w:val="auto"/>
              </w:rPr>
            </w:pPr>
            <w:r>
              <w:rPr>
                <w:rFonts w:ascii="Arial" w:cs="Arial" w:eastAsia="Arial" w:hAnsi="Arial"/>
                <w:sz w:val="18"/>
                <w:szCs w:val="18"/>
                <w:color w:val="auto"/>
              </w:rPr>
              <w:t>Commercial</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353</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360</w:t>
            </w:r>
          </w:p>
        </w:tc>
        <w:tc>
          <w:tcPr>
            <w:tcW w:w="1800" w:type="dxa"/>
            <w:vAlign w:val="bottom"/>
          </w:tcPr>
          <w:p>
            <w:pPr>
              <w:jc w:val="right"/>
              <w:ind w:right="490"/>
              <w:spacing w:after="0"/>
              <w:rPr>
                <w:sz w:val="20"/>
                <w:szCs w:val="20"/>
                <w:color w:val="auto"/>
              </w:rPr>
            </w:pPr>
            <w:r>
              <w:rPr>
                <w:rFonts w:ascii="Arial" w:cs="Arial" w:eastAsia="Arial" w:hAnsi="Arial"/>
                <w:sz w:val="18"/>
                <w:szCs w:val="18"/>
                <w:color w:val="auto"/>
              </w:rPr>
              <w:t>1,027</w:t>
            </w:r>
          </w:p>
        </w:tc>
        <w:tc>
          <w:tcPr>
            <w:tcW w:w="960" w:type="dxa"/>
            <w:vAlign w:val="bottom"/>
          </w:tcPr>
          <w:p>
            <w:pPr>
              <w:jc w:val="right"/>
              <w:spacing w:after="0"/>
              <w:rPr>
                <w:sz w:val="20"/>
                <w:szCs w:val="20"/>
                <w:color w:val="auto"/>
              </w:rPr>
            </w:pPr>
            <w:r>
              <w:rPr>
                <w:rFonts w:ascii="Arial" w:cs="Arial" w:eastAsia="Arial" w:hAnsi="Arial"/>
                <w:sz w:val="18"/>
                <w:szCs w:val="18"/>
                <w:color w:val="auto"/>
              </w:rPr>
              <w:t>1,018</w:t>
            </w:r>
          </w:p>
        </w:tc>
      </w:tr>
      <w:tr>
        <w:trPr>
          <w:trHeight w:val="229"/>
        </w:trPr>
        <w:tc>
          <w:tcPr>
            <w:tcW w:w="47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Industrial</w:t>
            </w:r>
          </w:p>
        </w:tc>
        <w:tc>
          <w:tcPr>
            <w:tcW w:w="2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1,665</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1,778</w:t>
            </w:r>
          </w:p>
        </w:tc>
        <w:tc>
          <w:tcPr>
            <w:tcW w:w="1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5,047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w:t>
            </w:r>
          </w:p>
        </w:tc>
      </w:tr>
      <w:tr>
        <w:trPr>
          <w:trHeight w:val="230"/>
        </w:trPr>
        <w:tc>
          <w:tcPr>
            <w:tcW w:w="47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Municipal</w:t>
            </w:r>
          </w:p>
        </w:tc>
        <w:tc>
          <w:tcPr>
            <w:tcW w:w="24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130</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147</w:t>
            </w:r>
          </w:p>
        </w:tc>
        <w:tc>
          <w:tcPr>
            <w:tcW w:w="1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419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r>
      <w:tr>
        <w:trPr>
          <w:trHeight w:val="223"/>
        </w:trPr>
        <w:tc>
          <w:tcPr>
            <w:tcW w:w="4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Retail and Municipal</w:t>
            </w:r>
          </w:p>
        </w:tc>
        <w:tc>
          <w:tcPr>
            <w:tcW w:w="2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2,399</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2,553</w:t>
            </w:r>
          </w:p>
        </w:tc>
        <w:tc>
          <w:tcPr>
            <w:tcW w:w="1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7,344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w:t>
            </w:r>
          </w:p>
        </w:tc>
      </w:tr>
      <w:tr>
        <w:trPr>
          <w:trHeight w:val="230"/>
        </w:trPr>
        <w:tc>
          <w:tcPr>
            <w:tcW w:w="47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Other Power Suppliers</w:t>
            </w:r>
          </w:p>
        </w:tc>
        <w:tc>
          <w:tcPr>
            <w:tcW w:w="24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769</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1,253</w:t>
            </w:r>
          </w:p>
        </w:tc>
        <w:tc>
          <w:tcPr>
            <w:tcW w:w="1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2,544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3,695</w:t>
            </w:r>
          </w:p>
        </w:tc>
      </w:tr>
      <w:tr>
        <w:trPr>
          <w:trHeight w:val="223"/>
        </w:trPr>
        <w:tc>
          <w:tcPr>
            <w:tcW w:w="47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Regulated Utility Kilowatt-hours Sold</w:t>
            </w:r>
          </w:p>
        </w:tc>
        <w:tc>
          <w:tcPr>
            <w:tcW w:w="24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3,168</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3,806</w:t>
            </w:r>
          </w:p>
        </w:tc>
        <w:tc>
          <w:tcPr>
            <w:tcW w:w="18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9,888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11,355</w:t>
            </w:r>
          </w:p>
        </w:tc>
      </w:tr>
      <w:tr>
        <w:trPr>
          <w:trHeight w:val="560"/>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Regulated Utility Revenue</w:t>
            </w:r>
          </w:p>
        </w:tc>
        <w:tc>
          <w:tcPr>
            <w:tcW w:w="2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Millions</w:t>
            </w:r>
          </w:p>
        </w:tc>
        <w:tc>
          <w:tcPr>
            <w:tcW w:w="2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Regulated Utility Revenue</w:t>
            </w:r>
          </w:p>
        </w:tc>
        <w:tc>
          <w:tcPr>
            <w:tcW w:w="2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740" w:type="dxa"/>
            <w:vAlign w:val="bottom"/>
          </w:tcPr>
          <w:p>
            <w:pPr>
              <w:ind w:left="560"/>
              <w:spacing w:after="0"/>
              <w:rPr>
                <w:sz w:val="20"/>
                <w:szCs w:val="20"/>
                <w:color w:val="auto"/>
              </w:rPr>
            </w:pPr>
            <w:r>
              <w:rPr>
                <w:rFonts w:ascii="Arial" w:cs="Arial" w:eastAsia="Arial" w:hAnsi="Arial"/>
                <w:sz w:val="18"/>
                <w:szCs w:val="18"/>
                <w:color w:val="auto"/>
              </w:rPr>
              <w:t>Retail and Municipal Electric Revenue</w:t>
            </w:r>
          </w:p>
        </w:tc>
        <w:tc>
          <w:tcPr>
            <w:tcW w:w="2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Residential</w:t>
            </w:r>
          </w:p>
        </w:tc>
        <w:tc>
          <w:tcPr>
            <w:tcW w:w="2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$37.7</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$34.8</w:t>
            </w:r>
          </w:p>
        </w:tc>
        <w:tc>
          <w:tcPr>
            <w:tcW w:w="1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$123.3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r>
      <w:tr>
        <w:trPr>
          <w:trHeight w:val="230"/>
        </w:trPr>
        <w:tc>
          <w:tcPr>
            <w:tcW w:w="4740" w:type="dxa"/>
            <w:vAlign w:val="bottom"/>
          </w:tcPr>
          <w:p>
            <w:pPr>
              <w:ind w:left="1000"/>
              <w:spacing w:after="0"/>
              <w:rPr>
                <w:sz w:val="20"/>
                <w:szCs w:val="20"/>
                <w:color w:val="auto"/>
              </w:rPr>
            </w:pPr>
            <w:r>
              <w:rPr>
                <w:rFonts w:ascii="Arial" w:cs="Arial" w:eastAsia="Arial" w:hAnsi="Arial"/>
                <w:sz w:val="18"/>
                <w:szCs w:val="18"/>
                <w:color w:val="auto"/>
              </w:rPr>
              <w:t>Commercial</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47.8</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43.2</w:t>
            </w:r>
          </w:p>
        </w:tc>
        <w:tc>
          <w:tcPr>
            <w:tcW w:w="1800" w:type="dxa"/>
            <w:vAlign w:val="bottom"/>
          </w:tcPr>
          <w:p>
            <w:pPr>
              <w:jc w:val="right"/>
              <w:ind w:right="490"/>
              <w:spacing w:after="0"/>
              <w:rPr>
                <w:sz w:val="20"/>
                <w:szCs w:val="20"/>
                <w:color w:val="auto"/>
              </w:rPr>
            </w:pPr>
            <w:r>
              <w:rPr>
                <w:rFonts w:ascii="Arial" w:cs="Arial" w:eastAsia="Arial" w:hAnsi="Arial"/>
                <w:sz w:val="18"/>
                <w:szCs w:val="18"/>
                <w:color w:val="auto"/>
              </w:rPr>
              <w:t>135.8</w:t>
            </w:r>
          </w:p>
        </w:tc>
        <w:tc>
          <w:tcPr>
            <w:tcW w:w="960" w:type="dxa"/>
            <w:vAlign w:val="bottom"/>
          </w:tcPr>
          <w:p>
            <w:pPr>
              <w:jc w:val="right"/>
              <w:spacing w:after="0"/>
              <w:rPr>
                <w:sz w:val="20"/>
                <w:szCs w:val="20"/>
                <w:color w:val="auto"/>
              </w:rPr>
            </w:pPr>
            <w:r>
              <w:rPr>
                <w:rFonts w:ascii="Arial" w:cs="Arial" w:eastAsia="Arial" w:hAnsi="Arial"/>
                <w:sz w:val="18"/>
                <w:szCs w:val="18"/>
                <w:color w:val="auto"/>
              </w:rPr>
              <w:t>119.6</w:t>
            </w:r>
          </w:p>
        </w:tc>
      </w:tr>
      <w:tr>
        <w:trPr>
          <w:trHeight w:val="229"/>
        </w:trPr>
        <w:tc>
          <w:tcPr>
            <w:tcW w:w="47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Industrial</w:t>
            </w:r>
          </w:p>
        </w:tc>
        <w:tc>
          <w:tcPr>
            <w:tcW w:w="2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146.8</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139.2</w:t>
            </w:r>
          </w:p>
        </w:tc>
        <w:tc>
          <w:tcPr>
            <w:tcW w:w="1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443.5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w:t>
            </w:r>
          </w:p>
        </w:tc>
      </w:tr>
      <w:tr>
        <w:trPr>
          <w:trHeight w:val="230"/>
        </w:trPr>
        <w:tc>
          <w:tcPr>
            <w:tcW w:w="47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Municipal</w:t>
            </w:r>
          </w:p>
        </w:tc>
        <w:tc>
          <w:tcPr>
            <w:tcW w:w="24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9.8</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14.4</w:t>
            </w:r>
          </w:p>
        </w:tc>
        <w:tc>
          <w:tcPr>
            <w:tcW w:w="1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31.9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r>
      <w:tr>
        <w:trPr>
          <w:trHeight w:val="223"/>
        </w:trPr>
        <w:tc>
          <w:tcPr>
            <w:tcW w:w="4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Retail and Municipal Electric Revenue</w:t>
            </w:r>
          </w:p>
        </w:tc>
        <w:tc>
          <w:tcPr>
            <w:tcW w:w="2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242.1</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231.6</w:t>
            </w:r>
          </w:p>
        </w:tc>
        <w:tc>
          <w:tcPr>
            <w:tcW w:w="1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734.5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w:t>
            </w:r>
          </w:p>
        </w:tc>
      </w:tr>
      <w:tr>
        <w:trPr>
          <w:trHeight w:val="230"/>
        </w:trPr>
        <w:tc>
          <w:tcPr>
            <w:tcW w:w="4740" w:type="dxa"/>
            <w:vAlign w:val="bottom"/>
          </w:tcPr>
          <w:p>
            <w:pPr>
              <w:ind w:left="560"/>
              <w:spacing w:after="0"/>
              <w:rPr>
                <w:sz w:val="20"/>
                <w:szCs w:val="20"/>
                <w:color w:val="auto"/>
              </w:rPr>
            </w:pPr>
            <w:r>
              <w:rPr>
                <w:rFonts w:ascii="Arial" w:cs="Arial" w:eastAsia="Arial" w:hAnsi="Arial"/>
                <w:sz w:val="18"/>
                <w:szCs w:val="18"/>
                <w:color w:val="auto"/>
              </w:rPr>
              <w:t>Other Power Suppliers</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46.7</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41.2</w:t>
            </w:r>
          </w:p>
        </w:tc>
        <w:tc>
          <w:tcPr>
            <w:tcW w:w="1800" w:type="dxa"/>
            <w:vAlign w:val="bottom"/>
          </w:tcPr>
          <w:p>
            <w:pPr>
              <w:jc w:val="right"/>
              <w:ind w:right="490"/>
              <w:spacing w:after="0"/>
              <w:rPr>
                <w:sz w:val="20"/>
                <w:szCs w:val="20"/>
                <w:color w:val="auto"/>
              </w:rPr>
            </w:pPr>
            <w:r>
              <w:rPr>
                <w:rFonts w:ascii="Arial" w:cs="Arial" w:eastAsia="Arial" w:hAnsi="Arial"/>
                <w:sz w:val="18"/>
                <w:szCs w:val="18"/>
                <w:color w:val="auto"/>
              </w:rPr>
              <w:t>124.6</w:t>
            </w:r>
          </w:p>
        </w:tc>
        <w:tc>
          <w:tcPr>
            <w:tcW w:w="960" w:type="dxa"/>
            <w:vAlign w:val="bottom"/>
          </w:tcPr>
          <w:p>
            <w:pPr>
              <w:jc w:val="right"/>
              <w:spacing w:after="0"/>
              <w:rPr>
                <w:sz w:val="20"/>
                <w:szCs w:val="20"/>
                <w:color w:val="auto"/>
              </w:rPr>
            </w:pPr>
            <w:r>
              <w:rPr>
                <w:rFonts w:ascii="Arial" w:cs="Arial" w:eastAsia="Arial" w:hAnsi="Arial"/>
                <w:sz w:val="18"/>
                <w:szCs w:val="18"/>
                <w:color w:val="auto"/>
              </w:rPr>
              <w:t>116.9</w:t>
            </w:r>
          </w:p>
        </w:tc>
      </w:tr>
      <w:tr>
        <w:trPr>
          <w:trHeight w:val="230"/>
        </w:trPr>
        <w:tc>
          <w:tcPr>
            <w:tcW w:w="47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Other (Includes Water and Gas Revenue)</w:t>
            </w:r>
          </w:p>
        </w:tc>
        <w:tc>
          <w:tcPr>
            <w:tcW w:w="24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33.8</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32.0</w:t>
            </w:r>
          </w:p>
        </w:tc>
        <w:tc>
          <w:tcPr>
            <w:tcW w:w="18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101.2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r>
      <w:tr>
        <w:trPr>
          <w:trHeight w:val="223"/>
        </w:trPr>
        <w:tc>
          <w:tcPr>
            <w:tcW w:w="4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Regulated Utility Revenue</w:t>
            </w:r>
          </w:p>
        </w:tc>
        <w:tc>
          <w:tcPr>
            <w:tcW w:w="24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$322.6</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$304.8</w:t>
            </w:r>
          </w:p>
        </w:tc>
        <w:tc>
          <w:tcPr>
            <w:tcW w:w="1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$960.3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$888.2</w:t>
            </w:r>
          </w:p>
        </w:tc>
      </w:tr>
    </w:tbl>
    <w:p>
      <w:pPr>
        <w:spacing w:after="0" w:line="262" w:lineRule="exact"/>
        <w:rPr>
          <w:sz w:val="20"/>
          <w:szCs w:val="20"/>
          <w:color w:val="auto"/>
        </w:rPr>
      </w:pPr>
    </w:p>
    <w:p>
      <w:pPr>
        <w:jc w:val="both"/>
        <w:spacing w:after="0" w:line="348" w:lineRule="auto"/>
        <w:rPr>
          <w:sz w:val="20"/>
          <w:szCs w:val="20"/>
          <w:color w:val="auto"/>
        </w:rPr>
      </w:pPr>
      <w:r>
        <w:rPr>
          <w:rFonts w:ascii="Arial" w:cs="Arial" w:eastAsia="Arial" w:hAnsi="Arial"/>
          <w:sz w:val="15"/>
          <w:szCs w:val="15"/>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4 of 4</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 30 West Superior Street, Duluth, Minnesota 55802</w:t>
      </w:r>
    </w:p>
    <w:sectPr>
      <w:pgSz w:w="11900" w:h="16838" w:orient="portrait"/>
      <w:cols w:equalWidth="0" w:num="1">
        <w:col w:w="11240"/>
      </w:cols>
      <w:pgMar w:left="320" w:top="9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lowerLetter"/>
      <w:start w:val="1"/>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lowerLetter"/>
      <w:start w:val="1"/>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1)"/>
      <w:numFmt w:val="lowerLetter"/>
      <w:start w:val="1"/>
    </w:lvl>
  </w:abstractNum>
  <w:abstractNum w:abstractNumId="8">
    <w:nsid w:val="431BD7B7"/>
    <w:multiLevelType w:val="hybridMultilevel"/>
    <w:lvl w:ilvl="0">
      <w:lvlJc w:val="left"/>
      <w:lvlText w:val="(%1)"/>
      <w:numFmt w:val="lowerLetter"/>
      <w:start w:val="1"/>
    </w:lvl>
  </w:abstractNum>
  <w:abstractNum w:abstractNumId="9">
    <w:nsid w:val="3F2DBA31"/>
    <w:multiLevelType w:val="hybridMultilevel"/>
    <w:lvl w:ilvl="0">
      <w:lvlJc w:val="left"/>
      <w:lvlText w:val="(%1)"/>
      <w:numFmt w:val="lowerLetter"/>
      <w:start w:val="1"/>
    </w:lvl>
  </w:abstractNum>
  <w:abstractNum w:abstractNumId="10">
    <w:nsid w:val="7C83E458"/>
    <w:multiLevelType w:val="hybridMultilevel"/>
    <w:lvl w:ilvl="0">
      <w:lvlJc w:val="left"/>
      <w:lvlText w:val="(%1)"/>
      <w:numFmt w:val="lowerLetter"/>
      <w:start w:val="1"/>
    </w:lvl>
  </w:abstractNum>
  <w:abstractNum w:abstractNumId="11">
    <w:nsid w:val="257130A3"/>
    <w:multiLevelType w:val="hybridMultilevel"/>
    <w:lvl w:ilvl="0">
      <w:lvlJc w:val="left"/>
      <w:lvlText w:val="(%1)"/>
      <w:numFmt w:val="lowerLetter"/>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4"/>
      <w:numFmt w:val="bullet"/>
      <w:start w:val="1"/>
    </w:lvl>
  </w:abstractNum>
  <w:abstractNum w:abstractNumId="16">
    <w:nsid w:val="721DA317"/>
    <w:multiLevelType w:val="hybridMultilevel"/>
    <w:lvl w:ilvl="0">
      <w:lvlJc w:val="left"/>
      <w:lvlText w:val="%1"/>
      <w:numFmt w:val="decimal"/>
      <w:start w:val="32"/>
    </w:lvl>
  </w:abstractNum>
  <w:abstractNum w:abstractNumId="17">
    <w:nsid w:val="2443A858"/>
    <w:multiLevelType w:val="hybridMultilevel"/>
    <w:lvl w:ilvl="0">
      <w:lvlJc w:val="left"/>
      <w:lvlText w:val="%1"/>
      <w:numFmt w:val="decimal"/>
      <w:start w:val="99"/>
    </w:lvl>
  </w:abstractNum>
  <w:abstractNum w:abstractNumId="18">
    <w:nsid w:val="2D1D5AE9"/>
    <w:multiLevelType w:val="hybridMultilevel"/>
    <w:lvl w:ilvl="0">
      <w:lvlJc w:val="left"/>
      <w:lvlText w:val="(%1)"/>
      <w:numFmt w:val="upperLetter"/>
      <w:start w:val="9"/>
    </w:lvl>
  </w:abstractNum>
  <w:abstractNum w:abstractNumId="19">
    <w:nsid w:val="6763845E"/>
    <w:multiLevelType w:val="hybridMultilevel"/>
    <w:lvl w:ilvl="0">
      <w:lvlJc w:val="left"/>
      <w:lvlText w:val="(%1)"/>
      <w:numFmt w:val="upperLetter"/>
      <w:start w:val="35"/>
    </w:lvl>
  </w:abstractNum>
  <w:abstractNum w:abstractNumId="20">
    <w:nsid w:val="75A2A8D4"/>
    <w:multiLevelType w:val="hybridMultilevel"/>
    <w:lvl w:ilvl="0">
      <w:lvlJc w:val="left"/>
      <w:lvlText w:val="(%1)"/>
      <w:numFmt w:val="upperLetter"/>
      <w:start w:val="61"/>
    </w:lvl>
  </w:abstractNum>
  <w:abstractNum w:abstractNumId="21">
    <w:nsid w:val="8EDBDAB"/>
    <w:multiLevelType w:val="hybridMultilevel"/>
    <w:lvl w:ilvl="0">
      <w:lvlJc w:val="left"/>
      <w:lvlText w:val="(%1)"/>
      <w:numFmt w:val="lowerRoman"/>
      <w:start w:val="2"/>
    </w:lvl>
  </w:abstractNum>
  <w:abstractNum w:abstractNumId="22">
    <w:nsid w:val="79838CB2"/>
    <w:multiLevelType w:val="hybridMultilevel"/>
    <w:lvl w:ilvl="0">
      <w:lvlJc w:val="left"/>
      <w:lvlText w:val="(%1)"/>
      <w:numFmt w:val="upperLetter"/>
      <w:start w:val="22"/>
    </w:lvl>
  </w:abstractNum>
  <w:abstractNum w:abstractNumId="23">
    <w:nsid w:val="4353D0CD"/>
    <w:multiLevelType w:val="hybridMultilevel"/>
    <w:lvl w:ilvl="0">
      <w:lvlJc w:val="left"/>
      <w:lvlText w:val="(%1)"/>
      <w:numFmt w:val="upperLetter"/>
      <w:start w:val="1"/>
    </w:lvl>
    <w:lvl w:ilvl="1">
      <w:lvlJc w:val="left"/>
      <w:lvlText w:val="(%2)"/>
      <w:numFmt w:val="upperLetter"/>
      <w:start w:val="2"/>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2022-11-09T05:31:34Z</dcterms:created>
  <dcterms:modified xsi:type="dcterms:W3CDTF">2022-11-09T05:31:34Z</dcterms:modified>
</cp:coreProperties>
</file>