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right="4180" w:firstLine="26"/>
        <w:spacing w:after="0" w:line="367" w:lineRule="auto"/>
        <w:tabs>
          <w:tab w:leader="none" w:pos="6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4" w:lineRule="exact"/>
        <w:rPr>
          <w:sz w:val="24"/>
          <w:szCs w:val="24"/>
          <w:color w:val="auto"/>
        </w:rPr>
      </w:pPr>
    </w:p>
    <w:p>
      <w:pPr>
        <w:ind w:left="660" w:right="4140" w:hanging="634"/>
        <w:spacing w:after="0" w:line="293"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14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7"/>
          <w:szCs w:val="17"/>
          <w:color w:val="auto"/>
        </w:rPr>
        <w:t>(IRS Employer Identification No.)</w:t>
      </w:r>
    </w:p>
    <w:p>
      <w:pPr>
        <w:spacing w:after="0" w:line="124" w:lineRule="exact"/>
        <w:rPr>
          <w:sz w:val="24"/>
          <w:szCs w:val="24"/>
          <w:color w:val="auto"/>
        </w:rPr>
      </w:pPr>
    </w:p>
    <w:p>
      <w:pPr>
        <w:sectPr>
          <w:pgSz w:w="11900" w:h="16838" w:orient="portrait"/>
          <w:cols w:equalWidth="0" w:num="2">
            <w:col w:w="6360" w:space="720"/>
            <w:col w:w="4160"/>
          </w:cols>
          <w:pgMar w:left="320" w:top="1039"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ectPr>
          <w:pgSz w:w="11900" w:h="16838" w:orient="portrait"/>
          <w:cols w:equalWidth="0" w:num="1">
            <w:col w:w="11240"/>
          </w:cols>
          <w:pgMar w:left="320" w:top="1039" w:right="3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39" w:right="339" w:bottom="1440" w:gutter="0" w:footer="0" w:header="0"/>
          <w:type w:val="continuous"/>
        </w:sectPr>
      </w:pPr>
    </w:p>
    <w:p>
      <w:pPr>
        <w:spacing w:after="0" w:line="73" w:lineRule="exact"/>
        <w:rPr>
          <w:sz w:val="24"/>
          <w:szCs w:val="24"/>
          <w:color w:val="auto"/>
        </w:rPr>
      </w:pPr>
    </w:p>
    <w:p>
      <w:pPr>
        <w:jc w:val="center"/>
        <w:ind w:left="2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00"/>
        <w:spacing w:after="0"/>
        <w:rPr>
          <w:sz w:val="20"/>
          <w:szCs w:val="20"/>
          <w:color w:val="auto"/>
        </w:rPr>
      </w:pPr>
      <w:r>
        <w:rPr>
          <w:rFonts w:ascii="Arial" w:cs="Arial" w:eastAsia="Arial" w:hAnsi="Arial"/>
          <w:sz w:val="16"/>
          <w:szCs w:val="16"/>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New York Stock Exchange</w:t>
      </w:r>
    </w:p>
    <w:p>
      <w:pPr>
        <w:spacing w:after="0" w:line="116" w:lineRule="exact"/>
        <w:rPr>
          <w:sz w:val="24"/>
          <w:szCs w:val="24"/>
          <w:color w:val="auto"/>
        </w:rPr>
      </w:pPr>
    </w:p>
    <w:p>
      <w:pPr>
        <w:sectPr>
          <w:pgSz w:w="11900" w:h="16838" w:orient="portrait"/>
          <w:cols w:equalWidth="0" w:num="3">
            <w:col w:w="4320" w:space="720"/>
            <w:col w:w="1620" w:space="720"/>
            <w:col w:w="3860"/>
          </w:cols>
          <w:pgMar w:left="320" w:top="1039"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9" w:right="339" w:bottom="1440" w:gutter="0" w:footer="0" w:header="0"/>
          <w:type w:val="continuous"/>
        </w:sectPr>
      </w:pPr>
    </w:p>
    <w:p>
      <w:pPr>
        <w:spacing w:after="0" w:line="43" w:lineRule="exact"/>
        <w:rPr>
          <w:sz w:val="24"/>
          <w:szCs w:val="24"/>
          <w:color w:val="auto"/>
        </w:rPr>
      </w:pPr>
    </w:p>
    <w:p>
      <w:pPr>
        <w:ind w:left="420"/>
        <w:spacing w:after="0" w:line="25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4880" w:space="180"/>
            <w:col w:w="6180"/>
          </w:cols>
          <w:pgMar w:left="320" w:top="1039" w:right="339" w:bottom="1440" w:gutter="0" w:footer="0" w:header="0"/>
          <w:type w:val="continuous"/>
        </w:sectPr>
      </w:pPr>
    </w:p>
    <w:p>
      <w:pPr>
        <w:ind w:left="1320"/>
        <w:spacing w:after="0" w:line="196" w:lineRule="exact"/>
        <w:tabs>
          <w:tab w:leader="none" w:pos="35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52,572,466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September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6"/>
          </w:tcPr>
          <w:p>
            <w:pPr>
              <w:ind w:left="120"/>
              <w:spacing w:after="0"/>
              <w:rPr>
                <w:sz w:val="20"/>
                <w:szCs w:val="20"/>
                <w:color w:val="auto"/>
              </w:rPr>
            </w:pPr>
            <w:r>
              <w:rPr>
                <w:rFonts w:ascii="Arial" w:cs="Arial" w:eastAsia="Arial" w:hAnsi="Arial"/>
                <w:sz w:val="18"/>
                <w:szCs w:val="18"/>
                <w:b w:val="1"/>
                <w:bCs w:val="1"/>
                <w:color w:val="auto"/>
              </w:rPr>
              <w:t>Index</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60" w:type="dxa"/>
            <w:vAlign w:val="bottom"/>
            <w:gridSpan w:val="5"/>
          </w:tcPr>
          <w:p>
            <w:pPr>
              <w:spacing w:after="0"/>
              <w:rPr>
                <w:rFonts w:ascii="Arial" w:cs="Arial" w:eastAsia="Arial" w:hAnsi="Arial"/>
                <w:sz w:val="18"/>
                <w:szCs w:val="18"/>
                <w:color w:val="0000FF"/>
                <w:w w:val="99"/>
              </w:rPr>
            </w:pPr>
            <w:hyperlink w:anchor="page2">
              <w:r>
                <w:rPr>
                  <w:rFonts w:ascii="Arial" w:cs="Arial" w:eastAsia="Arial" w:hAnsi="Arial"/>
                  <w:sz w:val="18"/>
                  <w:szCs w:val="18"/>
                  <w:color w:val="0000FF"/>
                  <w:w w:val="99"/>
                </w:rPr>
                <w:t>Definitions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20" w:type="dxa"/>
            <w:vAlign w:val="bottom"/>
            <w:gridSpan w:val="11"/>
            <w:shd w:val="clear" w:color="auto" w:fill="CCEEFF"/>
          </w:tcPr>
          <w:p>
            <w:pPr>
              <w:spacing w:after="0" w:line="189"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Forward-Looking Statements</w:t>
              </w:r>
            </w:hyperlink>
          </w:p>
        </w:tc>
        <w:tc>
          <w:tcPr>
            <w:tcW w:w="6200" w:type="dxa"/>
            <w:vAlign w:val="bottom"/>
            <w:gridSpan w:val="27"/>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5"/>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7460" w:type="dxa"/>
            <w:vAlign w:val="bottom"/>
            <w:gridSpan w:val="33"/>
          </w:tcPr>
          <w:p>
            <w:pPr>
              <w:ind w:lef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Item 1.</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Consolidated Financial Statements - Unaudited</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22"/>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Consolidated Balance Sheet</w:t>
              </w:r>
            </w:hyperlink>
          </w:p>
        </w:tc>
        <w:tc>
          <w:tcPr>
            <w:tcW w:w="3060" w:type="dxa"/>
            <w:vAlign w:val="bottom"/>
            <w:gridSpan w:val="6"/>
          </w:tcPr>
          <w:p>
            <w:pPr>
              <w:spacing w:after="0"/>
              <w:rPr>
                <w:sz w:val="16"/>
                <w:szCs w:val="16"/>
                <w:color w:val="auto"/>
              </w:rPr>
            </w:pPr>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00" w:type="dxa"/>
            <w:vAlign w:val="bottom"/>
            <w:gridSpan w:val="18"/>
            <w:shd w:val="clear" w:color="auto" w:fill="CCEEFF"/>
          </w:tcPr>
          <w:p>
            <w:pPr>
              <w:spacing w:after="0" w:line="189"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 of Income</w:t>
              </w:r>
            </w:hyperlink>
          </w:p>
        </w:tc>
        <w:tc>
          <w:tcPr>
            <w:tcW w:w="3760" w:type="dxa"/>
            <w:vAlign w:val="bottom"/>
            <w:gridSpan w:val="10"/>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 of Comprehensive Income</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0" w:type="dxa"/>
            <w:vAlign w:val="bottom"/>
            <w:gridSpan w:val="19"/>
            <w:shd w:val="clear" w:color="auto" w:fill="CCEEFF"/>
          </w:tcPr>
          <w:p>
            <w:pPr>
              <w:spacing w:after="0" w:line="189" w:lineRule="exact"/>
              <w:rPr>
                <w:rFonts w:ascii="Arial" w:cs="Arial" w:eastAsia="Arial" w:hAnsi="Arial"/>
                <w:sz w:val="18"/>
                <w:szCs w:val="18"/>
                <w:color w:val="0000FF"/>
                <w:w w:val="89"/>
              </w:rPr>
            </w:pPr>
            <w:hyperlink w:anchor="page8">
              <w:r>
                <w:rPr>
                  <w:rFonts w:ascii="Arial" w:cs="Arial" w:eastAsia="Arial" w:hAnsi="Arial"/>
                  <w:sz w:val="18"/>
                  <w:szCs w:val="18"/>
                  <w:color w:val="0000FF"/>
                  <w:w w:val="89"/>
                </w:rPr>
                <w:t>Consolidated Statement of Cash Flows</w:t>
              </w:r>
            </w:hyperlink>
          </w:p>
        </w:tc>
        <w:tc>
          <w:tcPr>
            <w:tcW w:w="3460" w:type="dxa"/>
            <w:vAlign w:val="bottom"/>
            <w:gridSpan w:val="9"/>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19"/>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Consolidated Statement of Equity</w:t>
              </w:r>
            </w:hyperlink>
          </w:p>
        </w:tc>
        <w:tc>
          <w:tcPr>
            <w:tcW w:w="3460" w:type="dxa"/>
            <w:vAlign w:val="bottom"/>
            <w:gridSpan w:val="9"/>
          </w:tcPr>
          <w:p>
            <w:pPr>
              <w:spacing w:after="0"/>
              <w:rPr>
                <w:sz w:val="16"/>
                <w:szCs w:val="16"/>
                <w:color w:val="auto"/>
              </w:rPr>
            </w:pPr>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Notes to Consolidated Financial Statements</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Note 1. Operations and Significant Accounting Policies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Note 2. Regulatory Matters</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Note 3. Equity Investments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Note 4. Fair Value</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Note 5. Short-Term and Long-Term Debt</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19</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80" w:type="dxa"/>
            <w:vAlign w:val="bottom"/>
            <w:gridSpan w:val="22"/>
            <w:shd w:val="clear" w:color="auto" w:fill="CCEEFF"/>
          </w:tcPr>
          <w:p>
            <w:pPr>
              <w:spacing w:after="0" w:line="189" w:lineRule="exact"/>
              <w:rPr>
                <w:rFonts w:ascii="Arial" w:cs="Arial" w:eastAsia="Arial" w:hAnsi="Arial"/>
                <w:sz w:val="18"/>
                <w:szCs w:val="18"/>
                <w:color w:val="0000FF"/>
                <w:w w:val="89"/>
              </w:rPr>
            </w:pPr>
            <w:hyperlink w:anchor="page19">
              <w:r>
                <w:rPr>
                  <w:rFonts w:ascii="Arial" w:cs="Arial" w:eastAsia="Arial" w:hAnsi="Arial"/>
                  <w:sz w:val="18"/>
                  <w:szCs w:val="18"/>
                  <w:color w:val="0000FF"/>
                  <w:w w:val="89"/>
                </w:rPr>
                <w:t>Note 6. Commitments, Guarantees and Contingencies</w:t>
              </w:r>
            </w:hyperlink>
          </w:p>
        </w:tc>
        <w:tc>
          <w:tcPr>
            <w:tcW w:w="2140" w:type="dxa"/>
            <w:vAlign w:val="bottom"/>
            <w:gridSpan w:val="3"/>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20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22"/>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Note 7. Earnings Per Share and Common Stock</w:t>
              </w:r>
            </w:hyperlink>
          </w:p>
        </w:tc>
        <w:tc>
          <w:tcPr>
            <w:tcW w:w="2140" w:type="dxa"/>
            <w:vAlign w:val="bottom"/>
            <w:gridSpan w:val="3"/>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25</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Note 8. Income Tax Expense</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Note 9. Pension and Other Postretirement Benefit Plans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Note 10. Business Segments</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ind w:left="2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Item 2.</w:t>
              </w:r>
            </w:hyperlink>
          </w:p>
        </w:tc>
        <w:tc>
          <w:tcPr>
            <w:tcW w:w="6640" w:type="dxa"/>
            <w:vAlign w:val="bottom"/>
            <w:gridSpan w:val="30"/>
          </w:tcPr>
          <w:p>
            <w:pPr>
              <w:ind w:left="180"/>
              <w:spacing w:after="0" w:line="189" w:lineRule="exact"/>
              <w:rPr>
                <w:rFonts w:ascii="Arial" w:cs="Arial" w:eastAsia="Arial" w:hAnsi="Arial"/>
                <w:sz w:val="18"/>
                <w:szCs w:val="18"/>
                <w:color w:val="0000FF"/>
                <w:w w:val="90"/>
              </w:rPr>
            </w:pPr>
            <w:hyperlink w:anchor="page28">
              <w:r>
                <w:rPr>
                  <w:rFonts w:ascii="Arial" w:cs="Arial" w:eastAsia="Arial" w:hAnsi="Arial"/>
                  <w:sz w:val="18"/>
                  <w:szCs w:val="18"/>
                  <w:color w:val="0000FF"/>
                  <w:w w:val="90"/>
                </w:rPr>
                <w:t>Management’s Discussion and Analysis of Financial Condition and Results of Operations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Comparison of the Quarters Ended</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Comparison of the Nine Months Ended</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40" w:type="dxa"/>
            <w:vAlign w:val="bottom"/>
            <w:gridSpan w:val="12"/>
            <w:shd w:val="clear" w:color="auto" w:fill="CCEEFF"/>
          </w:tcPr>
          <w:p>
            <w:pPr>
              <w:spacing w:after="0" w:line="189" w:lineRule="exact"/>
              <w:rPr>
                <w:rFonts w:ascii="Arial" w:cs="Arial" w:eastAsia="Arial" w:hAnsi="Arial"/>
                <w:sz w:val="18"/>
                <w:szCs w:val="18"/>
                <w:color w:val="0000FF"/>
                <w:w w:val="93"/>
              </w:rPr>
            </w:pPr>
            <w:hyperlink w:anchor="page37">
              <w:r>
                <w:rPr>
                  <w:rFonts w:ascii="Arial" w:cs="Arial" w:eastAsia="Arial" w:hAnsi="Arial"/>
                  <w:sz w:val="18"/>
                  <w:szCs w:val="18"/>
                  <w:color w:val="0000FF"/>
                  <w:w w:val="93"/>
                </w:rPr>
                <w:t>Critical Accounting Policies</w:t>
              </w:r>
            </w:hyperlink>
          </w:p>
        </w:tc>
        <w:tc>
          <w:tcPr>
            <w:tcW w:w="4220" w:type="dxa"/>
            <w:vAlign w:val="bottom"/>
            <w:gridSpan w:val="16"/>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12"/>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Outlook</w:t>
              </w:r>
            </w:hyperlink>
          </w:p>
        </w:tc>
        <w:tc>
          <w:tcPr>
            <w:tcW w:w="4220" w:type="dxa"/>
            <w:vAlign w:val="bottom"/>
            <w:gridSpan w:val="16"/>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37">
              <w:r>
                <w:rPr>
                  <w:rFonts w:ascii="Arial" w:cs="Arial" w:eastAsia="Arial" w:hAnsi="Arial"/>
                  <w:sz w:val="18"/>
                  <w:szCs w:val="18"/>
                  <w:color w:val="0000FF"/>
                  <w:w w:val="79"/>
                </w:rPr>
                <w:t>38</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Liquidity and Capital Resources</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16"/>
          </w:tcPr>
          <w:p>
            <w:pPr>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Other</w:t>
              </w:r>
            </w:hyperlink>
          </w:p>
        </w:tc>
        <w:tc>
          <w:tcPr>
            <w:tcW w:w="3940" w:type="dxa"/>
            <w:vAlign w:val="bottom"/>
            <w:gridSpan w:val="12"/>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48">
              <w:r>
                <w:rPr>
                  <w:rFonts w:ascii="Arial" w:cs="Arial" w:eastAsia="Arial" w:hAnsi="Arial"/>
                  <w:sz w:val="18"/>
                  <w:szCs w:val="18"/>
                  <w:color w:val="0000FF"/>
                  <w:w w:val="87"/>
                </w:rPr>
                <w:t>Item 3.</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Quantitative and Qualitative Disclosures about Market Risk</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ind w:left="20"/>
              <w:spacing w:after="0" w:line="189" w:lineRule="exact"/>
              <w:rPr>
                <w:rFonts w:ascii="Arial" w:cs="Arial" w:eastAsia="Arial" w:hAnsi="Arial"/>
                <w:sz w:val="18"/>
                <w:szCs w:val="18"/>
                <w:color w:val="0000FF"/>
                <w:w w:val="87"/>
              </w:rPr>
            </w:pPr>
            <w:hyperlink w:anchor="page49">
              <w:r>
                <w:rPr>
                  <w:rFonts w:ascii="Arial" w:cs="Arial" w:eastAsia="Arial" w:hAnsi="Arial"/>
                  <w:sz w:val="18"/>
                  <w:szCs w:val="18"/>
                  <w:color w:val="0000FF"/>
                  <w:w w:val="87"/>
                </w:rPr>
                <w:t>Item 4.</w:t>
              </w:r>
            </w:hyperlink>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Controls and Procedures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gridSpan w:val="5"/>
            <w:shd w:val="clear" w:color="auto" w:fill="CCEEFF"/>
          </w:tcPr>
          <w:p>
            <w:pPr>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Part II.</w:t>
              </w:r>
            </w:hyperlink>
          </w:p>
        </w:tc>
        <w:tc>
          <w:tcPr>
            <w:tcW w:w="7460" w:type="dxa"/>
            <w:vAlign w:val="bottom"/>
            <w:gridSpan w:val="33"/>
            <w:shd w:val="clear" w:color="auto" w:fill="CCEEFF"/>
          </w:tcPr>
          <w:p>
            <w:pPr>
              <w:ind w:lef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Other Information</w:t>
              </w:r>
            </w:hyperlink>
          </w:p>
        </w:tc>
        <w:tc>
          <w:tcPr>
            <w:tcW w:w="2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ind w:lef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Item 1.</w:t>
              </w:r>
            </w:hyperlink>
          </w:p>
        </w:tc>
        <w:tc>
          <w:tcPr>
            <w:tcW w:w="6640" w:type="dxa"/>
            <w:vAlign w:val="bottom"/>
            <w:gridSpan w:val="30"/>
          </w:tcPr>
          <w:p>
            <w:pPr>
              <w:ind w:left="18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Legal Proceedings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Item 1A.</w:t>
              </w:r>
            </w:hyperlink>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Risk Factors</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ind w:lef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Item 2.</w:t>
              </w:r>
            </w:hyperlink>
          </w:p>
        </w:tc>
        <w:tc>
          <w:tcPr>
            <w:tcW w:w="180" w:type="dxa"/>
            <w:vAlign w:val="bottom"/>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Unregistered Sales of Equity Securities and Use of Proceeds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Item 3.</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Defaults Upon Senior Securities</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ind w:left="20"/>
              <w:spacing w:after="0" w:line="189"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Item 4.</w:t>
              </w:r>
            </w:hyperlink>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Mine Safety Disclosures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Item 5.</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Other Information</w:t>
              </w:r>
            </w:hyperlink>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ind w:left="20"/>
              <w:spacing w:after="0" w:line="189" w:lineRule="exact"/>
              <w:rPr>
                <w:rFonts w:ascii="Arial" w:cs="Arial" w:eastAsia="Arial" w:hAnsi="Arial"/>
                <w:sz w:val="18"/>
                <w:szCs w:val="18"/>
                <w:color w:val="0000FF"/>
                <w:w w:val="87"/>
              </w:rPr>
            </w:pPr>
            <w:hyperlink w:anchor="page51">
              <w:r>
                <w:rPr>
                  <w:rFonts w:ascii="Arial" w:cs="Arial" w:eastAsia="Arial" w:hAnsi="Arial"/>
                  <w:sz w:val="18"/>
                  <w:szCs w:val="18"/>
                  <w:color w:val="0000FF"/>
                  <w:w w:val="87"/>
                </w:rPr>
                <w:t>Item 6.</w:t>
              </w:r>
            </w:hyperlink>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Exhibits</w:t>
              </w:r>
            </w:hyperlink>
          </w:p>
        </w:tc>
        <w:tc>
          <w:tcPr>
            <w:tcW w:w="2860" w:type="dxa"/>
            <w:vAlign w:val="bottom"/>
            <w:gridSpan w:val="4"/>
          </w:tcPr>
          <w:p>
            <w:pPr>
              <w:jc w:val="right"/>
              <w:ind w:right="20"/>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gridSpan w:val="5"/>
            <w:shd w:val="clear" w:color="auto" w:fill="CCEEFF"/>
          </w:tcPr>
          <w:p>
            <w:pPr>
              <w:spacing w:after="0" w:line="189" w:lineRule="exact"/>
              <w:rPr>
                <w:rFonts w:ascii="Arial" w:cs="Arial" w:eastAsia="Arial" w:hAnsi="Arial"/>
                <w:sz w:val="18"/>
                <w:szCs w:val="18"/>
                <w:color w:val="0000FF"/>
                <w:w w:val="97"/>
              </w:rPr>
            </w:pPr>
            <w:hyperlink w:anchor="page52">
              <w:r>
                <w:rPr>
                  <w:rFonts w:ascii="Arial" w:cs="Arial" w:eastAsia="Arial" w:hAnsi="Arial"/>
                  <w:sz w:val="18"/>
                  <w:szCs w:val="18"/>
                  <w:color w:val="0000FF"/>
                  <w:w w:val="97"/>
                </w:rPr>
                <w:t>Signatures</w:t>
              </w:r>
            </w:hyperlink>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Abbreviation or Acronym</w:t>
            </w:r>
          </w:p>
        </w:tc>
        <w:tc>
          <w:tcPr>
            <w:tcW w:w="814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AFUDC</w:t>
            </w:r>
          </w:p>
        </w:tc>
        <w:tc>
          <w:tcPr>
            <w:tcW w:w="8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Allowance for Funds Used During Construction – the cost of both debt and equity funds used to finance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Transmission Holdings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Transmission Holdings,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 S.A.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ATC</w:t>
            </w:r>
          </w:p>
        </w:tc>
        <w:tc>
          <w:tcPr>
            <w:tcW w:w="812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Basin Electric Power Cooperative, a North Dakota cooperative corporation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Bison</w:t>
            </w:r>
          </w:p>
        </w:tc>
        <w:tc>
          <w:tcPr>
            <w:tcW w:w="812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BNI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BNI Energy, Inc. and its subsidiary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Boswell</w:t>
            </w:r>
          </w:p>
        </w:tc>
        <w:tc>
          <w:tcPr>
            <w:tcW w:w="8120" w:type="dxa"/>
            <w:vAlign w:val="bottom"/>
            <w:gridSpan w:val="2"/>
          </w:tcPr>
          <w:p>
            <w:pPr>
              <w:spacing w:after="0"/>
              <w:rPr>
                <w:sz w:val="20"/>
                <w:szCs w:val="20"/>
                <w:color w:val="auto"/>
              </w:rPr>
            </w:pPr>
            <w:r>
              <w:rPr>
                <w:rFonts w:ascii="Arial" w:cs="Arial" w:eastAsia="Arial" w:hAnsi="Arial"/>
                <w:sz w:val="18"/>
                <w:szCs w:val="18"/>
                <w:color w:val="auto"/>
              </w:rPr>
              <w:t>Boswell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 Ripley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 Ripley Solar Array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Cliffs</w:t>
            </w:r>
          </w:p>
        </w:tc>
        <w:tc>
          <w:tcPr>
            <w:tcW w:w="8120" w:type="dxa"/>
            <w:vAlign w:val="bottom"/>
            <w:gridSpan w:val="2"/>
          </w:tcPr>
          <w:p>
            <w:pPr>
              <w:spacing w:after="0"/>
              <w:rPr>
                <w:sz w:val="20"/>
                <w:szCs w:val="20"/>
                <w:color w:val="auto"/>
              </w:rPr>
            </w:pPr>
            <w:r>
              <w:rPr>
                <w:rFonts w:ascii="Arial" w:cs="Arial" w:eastAsia="Arial" w:hAnsi="Arial"/>
                <w:sz w:val="18"/>
                <w:szCs w:val="18"/>
                <w:color w:val="auto"/>
              </w:rPr>
              <w:t>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COVID-19</w:t>
            </w:r>
          </w:p>
        </w:tc>
        <w:tc>
          <w:tcPr>
            <w:tcW w:w="8120" w:type="dxa"/>
            <w:vAlign w:val="bottom"/>
            <w:gridSpan w:val="2"/>
          </w:tcPr>
          <w:p>
            <w:pPr>
              <w:spacing w:after="0"/>
              <w:rPr>
                <w:sz w:val="20"/>
                <w:szCs w:val="20"/>
                <w:color w:val="auto"/>
              </w:rPr>
            </w:pPr>
            <w:r>
              <w:rPr>
                <w:rFonts w:ascii="Arial" w:cs="Arial" w:eastAsia="Arial" w:hAnsi="Arial"/>
                <w:sz w:val="18"/>
                <w:szCs w:val="18"/>
                <w:color w:val="auto"/>
              </w:rPr>
              <w:t>2019 novel coronavirus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CSAPR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DC</w:t>
            </w:r>
          </w:p>
        </w:tc>
        <w:tc>
          <w:tcPr>
            <w:tcW w:w="8120" w:type="dxa"/>
            <w:vAlign w:val="bottom"/>
            <w:gridSpan w:val="2"/>
          </w:tcPr>
          <w:p>
            <w:pPr>
              <w:spacing w:after="0"/>
              <w:rPr>
                <w:sz w:val="20"/>
                <w:szCs w:val="20"/>
                <w:color w:val="auto"/>
              </w:rPr>
            </w:pPr>
            <w:r>
              <w:rPr>
                <w:rFonts w:ascii="Arial" w:cs="Arial" w:eastAsia="Arial" w:hAnsi="Arial"/>
                <w:sz w:val="18"/>
                <w:szCs w:val="18"/>
                <w:color w:val="auto"/>
              </w:rPr>
              <w:t>Direct 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EIS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Impact Statement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EPA</w:t>
            </w:r>
          </w:p>
        </w:tc>
        <w:tc>
          <w:tcPr>
            <w:tcW w:w="8120" w:type="dxa"/>
            <w:vAlign w:val="bottom"/>
            <w:gridSpan w:val="2"/>
          </w:tcPr>
          <w:p>
            <w:pPr>
              <w:spacing w:after="0"/>
              <w:rPr>
                <w:sz w:val="20"/>
                <w:szCs w:val="20"/>
                <w:color w:val="auto"/>
              </w:rPr>
            </w:pPr>
            <w:r>
              <w:rPr>
                <w:rFonts w:ascii="Arial" w:cs="Arial" w:eastAsia="Arial" w:hAnsi="Arial"/>
                <w:sz w:val="18"/>
                <w:szCs w:val="18"/>
                <w:color w:val="auto"/>
              </w:rPr>
              <w:t>United States Environmental Protection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ESOP</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FERC</w:t>
            </w:r>
          </w:p>
        </w:tc>
        <w:tc>
          <w:tcPr>
            <w:tcW w:w="812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10-K</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Form 10-Q</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GHG</w:t>
            </w:r>
          </w:p>
        </w:tc>
        <w:tc>
          <w:tcPr>
            <w:tcW w:w="8120" w:type="dxa"/>
            <w:vAlign w:val="bottom"/>
            <w:gridSpan w:val="2"/>
          </w:tcPr>
          <w:p>
            <w:pPr>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GNTL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Northern Transmission Line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Hibbing Taconite</w:t>
            </w:r>
          </w:p>
        </w:tc>
        <w:tc>
          <w:tcPr>
            <w:tcW w:w="8120" w:type="dxa"/>
            <w:vAlign w:val="bottom"/>
            <w:gridSpan w:val="2"/>
          </w:tcPr>
          <w:p>
            <w:pPr>
              <w:spacing w:after="0"/>
              <w:rPr>
                <w:sz w:val="20"/>
                <w:szCs w:val="20"/>
                <w:color w:val="auto"/>
              </w:rPr>
            </w:pPr>
            <w:r>
              <w:rPr>
                <w:rFonts w:ascii="Arial" w:cs="Arial" w:eastAsia="Arial" w:hAnsi="Arial"/>
                <w:sz w:val="18"/>
                <w:szCs w:val="18"/>
                <w:color w:val="auto"/>
              </w:rPr>
              <w:t>Hibbing Taconite 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Husky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Husky Energy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Invest Direct</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IRP</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Integrated Resource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Item ___</w:t>
            </w:r>
          </w:p>
        </w:tc>
        <w:tc>
          <w:tcPr>
            <w:tcW w:w="8120" w:type="dxa"/>
            <w:vAlign w:val="bottom"/>
            <w:gridSpan w:val="2"/>
          </w:tcPr>
          <w:p>
            <w:pPr>
              <w:spacing w:after="0"/>
              <w:rPr>
                <w:sz w:val="20"/>
                <w:szCs w:val="20"/>
                <w:color w:val="auto"/>
              </w:rPr>
            </w:pPr>
            <w:r>
              <w:rPr>
                <w:rFonts w:ascii="Arial" w:cs="Arial" w:eastAsia="Arial" w:hAnsi="Arial"/>
                <w:sz w:val="18"/>
                <w:szCs w:val="18"/>
                <w:color w:val="auto"/>
              </w:rPr>
              <w:t>Item ___ of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kV</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Kilovolt(s)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kW / kWh</w:t>
            </w:r>
          </w:p>
        </w:tc>
        <w:tc>
          <w:tcPr>
            <w:tcW w:w="8120" w:type="dxa"/>
            <w:vAlign w:val="bottom"/>
            <w:gridSpan w:val="2"/>
          </w:tcPr>
          <w:p>
            <w:pPr>
              <w:spacing w:after="0"/>
              <w:rPr>
                <w:sz w:val="20"/>
                <w:szCs w:val="20"/>
                <w:color w:val="auto"/>
              </w:rPr>
            </w:pPr>
            <w:r>
              <w:rPr>
                <w:rFonts w:ascii="Arial" w:cs="Arial" w:eastAsia="Arial" w:hAnsi="Arial"/>
                <w:sz w:val="18"/>
                <w:szCs w:val="18"/>
                <w:color w:val="auto"/>
              </w:rPr>
              <w:t>Kilowatt(s) / Kilowatt-hour(s)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Laskin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Lampert Capital Markets</w:t>
            </w:r>
          </w:p>
        </w:tc>
        <w:tc>
          <w:tcPr>
            <w:tcW w:w="8120" w:type="dxa"/>
            <w:vAlign w:val="bottom"/>
            <w:gridSpan w:val="2"/>
          </w:tcPr>
          <w:p>
            <w:pPr>
              <w:spacing w:after="0"/>
              <w:rPr>
                <w:sz w:val="20"/>
                <w:szCs w:val="20"/>
                <w:color w:val="auto"/>
              </w:rPr>
            </w:pPr>
            <w:r>
              <w:rPr>
                <w:rFonts w:ascii="Arial" w:cs="Arial" w:eastAsia="Arial" w:hAnsi="Arial"/>
                <w:sz w:val="18"/>
                <w:szCs w:val="18"/>
                <w:color w:val="auto"/>
              </w:rPr>
              <w:t>Lampert Capital Markets,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Manitoba Hydro</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Minnesota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An operating division of 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Minnkota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Minnkota Power Cooperative,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MISO</w:t>
            </w:r>
          </w:p>
        </w:tc>
        <w:tc>
          <w:tcPr>
            <w:tcW w:w="8120" w:type="dxa"/>
            <w:vAlign w:val="bottom"/>
            <w:gridSpan w:val="2"/>
          </w:tcPr>
          <w:p>
            <w:pPr>
              <w:spacing w:after="0"/>
              <w:rPr>
                <w:sz w:val="20"/>
                <w:szCs w:val="20"/>
                <w:color w:val="auto"/>
              </w:rPr>
            </w:pPr>
            <w:r>
              <w:rPr>
                <w:rFonts w:ascii="Arial" w:cs="Arial" w:eastAsia="Arial" w:hAnsi="Arial"/>
                <w:sz w:val="18"/>
                <w:szCs w:val="18"/>
                <w:color w:val="auto"/>
              </w:rPr>
              <w:t>Midcontinent Independent System Operator,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MMTP</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Manitoba-Minnesota Transmission Project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Moody’s</w:t>
            </w:r>
          </w:p>
        </w:tc>
        <w:tc>
          <w:tcPr>
            <w:tcW w:w="8120" w:type="dxa"/>
            <w:vAlign w:val="bottom"/>
            <w:gridSpan w:val="2"/>
          </w:tcPr>
          <w:p>
            <w:pPr>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20" w:type="dxa"/>
            <w:vAlign w:val="bottom"/>
            <w:gridSpan w:val="2"/>
          </w:tcPr>
          <w:p>
            <w:pPr>
              <w:ind w:left="760"/>
              <w:spacing w:after="0"/>
              <w:rPr>
                <w:sz w:val="20"/>
                <w:szCs w:val="20"/>
                <w:color w:val="auto"/>
              </w:rPr>
            </w:pPr>
            <w:r>
              <w:rPr>
                <w:rFonts w:ascii="Arial" w:cs="Arial" w:eastAsia="Arial" w:hAnsi="Arial"/>
                <w:sz w:val="14"/>
                <w:szCs w:val="14"/>
                <w:color w:val="auto"/>
              </w:rPr>
              <w:t>ALLETE, Inc. Third Quarter 2021 Form 10-Q</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120" w:type="dxa"/>
            <w:vAlign w:val="bottom"/>
            <w:gridSpan w:val="2"/>
          </w:tcPr>
          <w:p>
            <w:pPr>
              <w:ind w:left="248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MPCA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MPUC</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 / MWh</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Megawatt(s) / Megawatt-hour(s)</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NAAQS</w:t>
            </w:r>
          </w:p>
        </w:tc>
        <w:tc>
          <w:tcPr>
            <w:tcW w:w="8120" w:type="dxa"/>
            <w:vAlign w:val="bottom"/>
            <w:gridSpan w:val="2"/>
          </w:tcPr>
          <w:p>
            <w:pPr>
              <w:spacing w:after="0"/>
              <w:rPr>
                <w:sz w:val="20"/>
                <w:szCs w:val="20"/>
                <w:color w:val="auto"/>
              </w:rPr>
            </w:pPr>
            <w:r>
              <w:rPr>
                <w:rFonts w:ascii="Arial" w:cs="Arial" w:eastAsia="Arial" w:hAnsi="Arial"/>
                <w:sz w:val="18"/>
                <w:szCs w:val="18"/>
                <w:color w:val="auto"/>
              </w:rPr>
              <w:t>National Ambient Air Quality Standards</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NDPSC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Dakota Public Service Commission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Nobles 2</w:t>
            </w:r>
          </w:p>
        </w:tc>
        <w:tc>
          <w:tcPr>
            <w:tcW w:w="8120" w:type="dxa"/>
            <w:vAlign w:val="bottom"/>
            <w:gridSpan w:val="2"/>
          </w:tcPr>
          <w:p>
            <w:pPr>
              <w:spacing w:after="0"/>
              <w:rPr>
                <w:sz w:val="20"/>
                <w:szCs w:val="20"/>
                <w:color w:val="auto"/>
              </w:rPr>
            </w:pPr>
            <w:r>
              <w:rPr>
                <w:rFonts w:ascii="Arial" w:cs="Arial" w:eastAsia="Arial" w:hAnsi="Arial"/>
                <w:sz w:val="18"/>
                <w:szCs w:val="18"/>
                <w:color w:val="auto"/>
              </w:rPr>
              <w:t>Nobles 2 Power Partners, LLC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line="230" w:lineRule="exact"/>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12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Northshore Mining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Note ___</w:t>
            </w:r>
          </w:p>
        </w:tc>
        <w:tc>
          <w:tcPr>
            <w:tcW w:w="812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NPDES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NTEC</w:t>
            </w:r>
          </w:p>
        </w:tc>
        <w:tc>
          <w:tcPr>
            <w:tcW w:w="8120" w:type="dxa"/>
            <w:vAlign w:val="bottom"/>
            <w:gridSpan w:val="2"/>
          </w:tcPr>
          <w:p>
            <w:pPr>
              <w:spacing w:after="0"/>
              <w:rPr>
                <w:sz w:val="20"/>
                <w:szCs w:val="20"/>
                <w:color w:val="auto"/>
              </w:rPr>
            </w:pPr>
            <w:r>
              <w:rPr>
                <w:rFonts w:ascii="Arial" w:cs="Arial" w:eastAsia="Arial" w:hAnsi="Arial"/>
                <w:sz w:val="18"/>
                <w:szCs w:val="18"/>
                <w:color w:val="auto"/>
              </w:rPr>
              <w:t>Nemadji Trail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Oliver Wind II</w:t>
            </w:r>
          </w:p>
        </w:tc>
        <w:tc>
          <w:tcPr>
            <w:tcW w:w="812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PolyMet</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PolyMet Mining Corp.</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PPA / PSA</w:t>
            </w:r>
          </w:p>
        </w:tc>
        <w:tc>
          <w:tcPr>
            <w:tcW w:w="8120" w:type="dxa"/>
            <w:vAlign w:val="bottom"/>
            <w:gridSpan w:val="2"/>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PPACA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PSCW</w:t>
            </w:r>
          </w:p>
        </w:tc>
        <w:tc>
          <w:tcPr>
            <w:tcW w:w="812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Silver Bay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Square Butte</w:t>
            </w:r>
          </w:p>
        </w:tc>
        <w:tc>
          <w:tcPr>
            <w:tcW w:w="8120" w:type="dxa"/>
            <w:vAlign w:val="bottom"/>
            <w:gridSpan w:val="2"/>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Shore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Shore Energy,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SWL&amp;P</w:t>
            </w:r>
          </w:p>
        </w:tc>
        <w:tc>
          <w:tcPr>
            <w:tcW w:w="812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Town Center District</w:t>
            </w:r>
          </w:p>
        </w:tc>
        <w:tc>
          <w:tcPr>
            <w:tcW w:w="812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USS Corporation</w:t>
            </w:r>
          </w:p>
        </w:tc>
        <w:tc>
          <w:tcPr>
            <w:tcW w:w="812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 Turbine Generator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 including the ongoing COVID-19 pandemic;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I, Item 1A. Risk Factors of our 2020 Form 10-K and Part II, Item 1A. Risk Factors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10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1"/>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ALLETE</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100" w:type="dxa"/>
            <w:vAlign w:val="bottom"/>
          </w:tcPr>
          <w:p>
            <w:pPr>
              <w:jc w:val="center"/>
              <w:ind w:left="3070"/>
              <w:spacing w:after="0"/>
              <w:rPr>
                <w:sz w:val="20"/>
                <w:szCs w:val="20"/>
                <w:color w:val="auto"/>
              </w:rPr>
            </w:pPr>
            <w:r>
              <w:rPr>
                <w:rFonts w:ascii="Arial" w:cs="Arial" w:eastAsia="Arial" w:hAnsi="Arial"/>
                <w:sz w:val="18"/>
                <w:szCs w:val="18"/>
                <w:b w:val="1"/>
                <w:bCs w:val="1"/>
                <w:color w:val="auto"/>
                <w:w w:val="99"/>
              </w:rPr>
              <w:t>CONSOLIDATED BALANCE SHEET</w:t>
            </w: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0"/>
              </w:rPr>
              <w:t>Unaudited</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100" w:type="dxa"/>
            <w:vAlign w:val="bottom"/>
          </w:tcPr>
          <w:p>
            <w:pPr>
              <w:spacing w:after="0"/>
              <w:rPr>
                <w:sz w:val="24"/>
                <w:szCs w:val="24"/>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8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$59.0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Accounts Receivable (Less Allowance of $2.1 and $2.5)</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110.2</w:t>
            </w:r>
          </w:p>
        </w:tc>
        <w:tc>
          <w:tcPr>
            <w:tcW w:w="136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89.6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Prepayments and Other</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278.7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5,053.1</w:t>
            </w:r>
          </w:p>
        </w:tc>
        <w:tc>
          <w:tcPr>
            <w:tcW w:w="1360" w:type="dxa"/>
            <w:vAlign w:val="bottom"/>
          </w:tcPr>
          <w:p>
            <w:pPr>
              <w:jc w:val="right"/>
              <w:spacing w:after="0"/>
              <w:rPr>
                <w:sz w:val="20"/>
                <w:szCs w:val="20"/>
                <w:color w:val="auto"/>
              </w:rPr>
            </w:pPr>
            <w:r>
              <w:rPr>
                <w:rFonts w:ascii="Arial" w:cs="Arial" w:eastAsia="Arial" w:hAnsi="Arial"/>
                <w:sz w:val="18"/>
                <w:szCs w:val="18"/>
                <w:color w:val="auto"/>
              </w:rPr>
              <w:t>4,840.8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502.9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317.8</w:t>
            </w:r>
          </w:p>
        </w:tc>
        <w:tc>
          <w:tcPr>
            <w:tcW w:w="1360" w:type="dxa"/>
            <w:vAlign w:val="bottom"/>
          </w:tcPr>
          <w:p>
            <w:pPr>
              <w:jc w:val="right"/>
              <w:spacing w:after="0"/>
              <w:rPr>
                <w:sz w:val="20"/>
                <w:szCs w:val="20"/>
                <w:color w:val="auto"/>
              </w:rPr>
            </w:pPr>
            <w:r>
              <w:rPr>
                <w:rFonts w:ascii="Arial" w:cs="Arial" w:eastAsia="Arial" w:hAnsi="Arial"/>
                <w:sz w:val="18"/>
                <w:szCs w:val="18"/>
                <w:color w:val="auto"/>
              </w:rPr>
              <w:t>301.2</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179.7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$6,332.2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$6,084.6</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$101.9</w:t>
            </w:r>
          </w:p>
        </w:tc>
        <w:tc>
          <w:tcPr>
            <w:tcW w:w="13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67.4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15.3</w:t>
            </w:r>
          </w:p>
        </w:tc>
        <w:tc>
          <w:tcPr>
            <w:tcW w:w="13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Due Within One Year</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377.4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30"/>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84.0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646.0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1,649.4</w:t>
            </w:r>
          </w:p>
        </w:tc>
        <w:tc>
          <w:tcPr>
            <w:tcW w:w="1360" w:type="dxa"/>
            <w:vAlign w:val="bottom"/>
          </w:tcPr>
          <w:p>
            <w:pPr>
              <w:jc w:val="right"/>
              <w:spacing w:after="0"/>
              <w:rPr>
                <w:sz w:val="20"/>
                <w:szCs w:val="20"/>
                <w:color w:val="auto"/>
              </w:rPr>
            </w:pPr>
            <w:r>
              <w:rPr>
                <w:rFonts w:ascii="Arial" w:cs="Arial" w:eastAsia="Arial" w:hAnsi="Arial"/>
                <w:sz w:val="18"/>
                <w:szCs w:val="18"/>
                <w:color w:val="auto"/>
              </w:rPr>
              <w:t>1,593.2</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187.1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Regulatory Liabilities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509.5</w:t>
            </w:r>
          </w:p>
        </w:tc>
        <w:tc>
          <w:tcPr>
            <w:tcW w:w="1360" w:type="dxa"/>
            <w:vAlign w:val="bottom"/>
          </w:tcPr>
          <w:p>
            <w:pPr>
              <w:jc w:val="right"/>
              <w:spacing w:after="0"/>
              <w:rPr>
                <w:sz w:val="20"/>
                <w:szCs w:val="20"/>
                <w:color w:val="auto"/>
              </w:rPr>
            </w:pPr>
            <w:r>
              <w:rPr>
                <w:rFonts w:ascii="Arial" w:cs="Arial" w:eastAsia="Arial" w:hAnsi="Arial"/>
                <w:sz w:val="18"/>
                <w:szCs w:val="18"/>
                <w:color w:val="auto"/>
              </w:rPr>
              <w:t>524.8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Other Postretirement Benefit Plans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207.6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23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278.1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r>
      <w:tr>
        <w:trPr>
          <w:trHeight w:val="223"/>
        </w:trPr>
        <w:tc>
          <w:tcPr>
            <w:tcW w:w="81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3,477.7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3,284.4</w:t>
            </w: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Commitments, Guarantees and Contingencies (Note 6)</w:t>
            </w:r>
          </w:p>
        </w:tc>
        <w:tc>
          <w:tcPr>
            <w:tcW w:w="1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ALLETE Equity</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Common Stock Without Par Value, 80.0 Shares Authorized, 52.6 and 52.1 Shares Issued and Outstanding</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1,496.5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(29.9)</w:t>
            </w:r>
          </w:p>
        </w:tc>
        <w:tc>
          <w:tcPr>
            <w:tcW w:w="136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873.4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864.8</w:t>
            </w: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ALLETE Equity</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2,340.0</w:t>
            </w:r>
          </w:p>
        </w:tc>
        <w:tc>
          <w:tcPr>
            <w:tcW w:w="1360" w:type="dxa"/>
            <w:vAlign w:val="bottom"/>
          </w:tcPr>
          <w:p>
            <w:pPr>
              <w:jc w:val="right"/>
              <w:spacing w:after="0"/>
              <w:rPr>
                <w:sz w:val="20"/>
                <w:szCs w:val="20"/>
                <w:color w:val="auto"/>
              </w:rPr>
            </w:pPr>
            <w:r>
              <w:rPr>
                <w:rFonts w:ascii="Arial" w:cs="Arial" w:eastAsia="Arial" w:hAnsi="Arial"/>
                <w:sz w:val="18"/>
                <w:szCs w:val="18"/>
                <w:color w:val="auto"/>
              </w:rPr>
              <w:t>2,294.6</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514.5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r>
      <w:tr>
        <w:trPr>
          <w:trHeight w:val="223"/>
        </w:trPr>
        <w:tc>
          <w:tcPr>
            <w:tcW w:w="81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Equity</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2,854.5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2,800.2</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$6,332.2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$6,084.6</w:t>
            </w: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34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720" w:type="dxa"/>
            <w:vAlign w:val="bottom"/>
          </w:tcPr>
          <w:p>
            <w:pPr>
              <w:spacing w:after="0"/>
              <w:rPr>
                <w:sz w:val="19"/>
                <w:szCs w:val="19"/>
                <w:color w:val="auto"/>
              </w:rPr>
            </w:pPr>
          </w:p>
        </w:tc>
        <w:tc>
          <w:tcPr>
            <w:tcW w:w="34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20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7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Contracts with Customers – Utility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$304.8</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$255.1</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$888.2</w:t>
            </w:r>
          </w:p>
        </w:tc>
        <w:tc>
          <w:tcPr>
            <w:tcW w:w="860" w:type="dxa"/>
            <w:vAlign w:val="bottom"/>
          </w:tcPr>
          <w:p>
            <w:pPr>
              <w:jc w:val="right"/>
              <w:spacing w:after="0"/>
              <w:rPr>
                <w:sz w:val="20"/>
                <w:szCs w:val="20"/>
                <w:color w:val="auto"/>
              </w:rPr>
            </w:pPr>
            <w:r>
              <w:rPr>
                <w:rFonts w:ascii="Arial" w:cs="Arial" w:eastAsia="Arial" w:hAnsi="Arial"/>
                <w:sz w:val="18"/>
                <w:szCs w:val="18"/>
                <w:color w:val="auto"/>
              </w:rPr>
              <w:t>$721.2</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Non-utility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37.7</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35.9</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29"/>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 Non-utility</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Revenue</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345.4</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293.9</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1,020.2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848.7</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140.1</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93.4</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389.4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Transmission Services – Utility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19.2</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14.9</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56.1</w:t>
            </w: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Non-utility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15.4</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66.7</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61.9</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200.1</w:t>
            </w:r>
          </w:p>
        </w:tc>
        <w:tc>
          <w:tcPr>
            <w:tcW w:w="860" w:type="dxa"/>
            <w:vAlign w:val="bottom"/>
          </w:tcPr>
          <w:p>
            <w:pPr>
              <w:jc w:val="right"/>
              <w:spacing w:after="0"/>
              <w:rPr>
                <w:sz w:val="20"/>
                <w:szCs w:val="20"/>
                <w:color w:val="auto"/>
              </w:rPr>
            </w:pPr>
            <w:r>
              <w:rPr>
                <w:rFonts w:ascii="Arial" w:cs="Arial" w:eastAsia="Arial" w:hAnsi="Arial"/>
                <w:sz w:val="18"/>
                <w:szCs w:val="18"/>
                <w:color w:val="auto"/>
              </w:rPr>
              <w:t>181.9</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57.5</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53.4</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173.4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30"/>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Taxes Other than Income Taxes</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15.6</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13.3</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314.3</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252.3</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918.9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31.1</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41.6</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101.3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70"/>
              <w:spacing w:after="0"/>
              <w:rPr>
                <w:sz w:val="20"/>
                <w:szCs w:val="20"/>
                <w:color w:val="auto"/>
              </w:rPr>
            </w:pPr>
            <w:r>
              <w:rPr>
                <w:rFonts w:ascii="Arial" w:cs="Arial" w:eastAsia="Arial" w:hAnsi="Arial"/>
                <w:sz w:val="18"/>
                <w:szCs w:val="18"/>
                <w:color w:val="auto"/>
              </w:rPr>
              <w:t>(17.3)</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(16.3)</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(51.8)</w:t>
            </w:r>
          </w:p>
        </w:tc>
        <w:tc>
          <w:tcPr>
            <w:tcW w:w="86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Other Expense</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(11.9)</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(8.3)</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19.2</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33.3</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69.9</w:t>
            </w:r>
          </w:p>
        </w:tc>
        <w:tc>
          <w:tcPr>
            <w:tcW w:w="86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24.1</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38.8</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r>
      <w:tr>
        <w:trPr>
          <w:trHeight w:val="223"/>
        </w:trPr>
        <w:tc>
          <w:tcPr>
            <w:tcW w:w="5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$27.6</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$40.7</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$107.3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Basic</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52.4</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51.9</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52.3</w:t>
            </w:r>
          </w:p>
        </w:tc>
        <w:tc>
          <w:tcPr>
            <w:tcW w:w="86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5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52.5</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52.0</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$0.53</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$0.78</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$2.05</w:t>
            </w: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$0.53</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$0.78</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32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940" w:type="dxa"/>
            <w:vAlign w:val="bottom"/>
          </w:tcPr>
          <w:p>
            <w:pPr>
              <w:spacing w:after="0"/>
              <w:rPr>
                <w:sz w:val="19"/>
                <w:szCs w:val="19"/>
                <w:color w:val="auto"/>
              </w:rPr>
            </w:pPr>
          </w:p>
        </w:tc>
        <w:tc>
          <w:tcPr>
            <w:tcW w:w="320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1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9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$24.1</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$38.8</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$89.2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2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Pension and Other Postretirement Benefit Plans</w:t>
            </w:r>
          </w:p>
        </w:tc>
        <w:tc>
          <w:tcPr>
            <w:tcW w:w="2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of Income Tax Expense of $0.1, $0.1, $0.4 and $0.2</w:t>
            </w:r>
          </w:p>
        </w:tc>
        <w:tc>
          <w:tcPr>
            <w:tcW w:w="2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0.4</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0.2</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w:t>
            </w:r>
          </w:p>
        </w:tc>
        <w:tc>
          <w:tcPr>
            <w:tcW w:w="2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060" w:type="dxa"/>
            <w:vAlign w:val="bottom"/>
          </w:tcPr>
          <w:p>
            <w:pPr>
              <w:jc w:val="right"/>
              <w:ind w:right="190"/>
              <w:spacing w:after="0"/>
              <w:rPr>
                <w:sz w:val="20"/>
                <w:szCs w:val="20"/>
                <w:color w:val="auto"/>
              </w:rPr>
            </w:pPr>
            <w:r>
              <w:rPr>
                <w:rFonts w:ascii="Arial" w:cs="Arial" w:eastAsia="Arial" w:hAnsi="Arial"/>
                <w:sz w:val="18"/>
                <w:szCs w:val="18"/>
                <w:color w:val="auto"/>
              </w:rPr>
              <w:t>24.5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39.0</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90.4</w:t>
            </w:r>
          </w:p>
        </w:tc>
        <w:tc>
          <w:tcPr>
            <w:tcW w:w="94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5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$28.0</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$40.9</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$108.5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4000" w:type="dxa"/>
            <w:vAlign w:val="bottom"/>
            <w:gridSpan w:val="2"/>
          </w:tcPr>
          <w:p>
            <w:pPr>
              <w:jc w:val="right"/>
              <w:ind w:right="215"/>
              <w:spacing w:after="0"/>
              <w:rPr>
                <w:sz w:val="20"/>
                <w:szCs w:val="20"/>
                <w:color w:val="auto"/>
              </w:rPr>
            </w:pPr>
            <w:r>
              <w:rPr>
                <w:rFonts w:ascii="Arial" w:cs="Arial" w:eastAsia="Arial" w:hAnsi="Arial"/>
                <w:sz w:val="17"/>
                <w:szCs w:val="17"/>
                <w:b w:val="1"/>
                <w:bCs w:val="1"/>
                <w:color w:val="auto"/>
              </w:rPr>
              <w:t>Nine Months Ended</w:t>
            </w:r>
          </w:p>
        </w:tc>
      </w:tr>
      <w:tr>
        <w:trPr>
          <w:trHeight w:val="216"/>
        </w:trPr>
        <w:tc>
          <w:tcPr>
            <w:tcW w:w="7200" w:type="dxa"/>
            <w:vAlign w:val="bottom"/>
          </w:tcPr>
          <w:p>
            <w:pPr>
              <w:spacing w:after="0"/>
              <w:rPr>
                <w:sz w:val="18"/>
                <w:szCs w:val="18"/>
                <w:color w:val="auto"/>
              </w:rPr>
            </w:pPr>
          </w:p>
        </w:tc>
        <w:tc>
          <w:tcPr>
            <w:tcW w:w="4000" w:type="dxa"/>
            <w:vAlign w:val="bottom"/>
            <w:gridSpan w:val="2"/>
          </w:tcPr>
          <w:p>
            <w:pPr>
              <w:jc w:val="right"/>
              <w:ind w:right="415"/>
              <w:spacing w:after="0"/>
              <w:rPr>
                <w:sz w:val="20"/>
                <w:szCs w:val="20"/>
                <w:color w:val="auto"/>
              </w:rPr>
            </w:pPr>
            <w:r>
              <w:rPr>
                <w:rFonts w:ascii="Arial" w:cs="Arial" w:eastAsia="Arial" w:hAnsi="Arial"/>
                <w:sz w:val="17"/>
                <w:szCs w:val="17"/>
                <w:b w:val="1"/>
                <w:bCs w:val="1"/>
                <w:color w:val="auto"/>
              </w:rPr>
              <w:t>September 30,</w:t>
            </w:r>
          </w:p>
        </w:tc>
      </w:tr>
      <w:tr>
        <w:trPr>
          <w:trHeight w:val="222"/>
        </w:trPr>
        <w:tc>
          <w:tcPr>
            <w:tcW w:w="72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r>
      <w:tr>
        <w:trPr>
          <w:trHeight w:val="212"/>
        </w:trPr>
        <w:tc>
          <w:tcPr>
            <w:tcW w:w="7200" w:type="dxa"/>
            <w:vAlign w:val="bottom"/>
          </w:tcPr>
          <w:p>
            <w:pPr>
              <w:ind w:left="20"/>
              <w:spacing w:after="0"/>
              <w:rPr>
                <w:sz w:val="20"/>
                <w:szCs w:val="20"/>
                <w:color w:val="auto"/>
              </w:rPr>
            </w:pPr>
            <w:r>
              <w:rPr>
                <w:rFonts w:ascii="Arial" w:cs="Arial" w:eastAsia="Arial" w:hAnsi="Arial"/>
                <w:sz w:val="17"/>
                <w:szCs w:val="17"/>
                <w:b w:val="1"/>
                <w:bCs w:val="1"/>
                <w:color w:val="auto"/>
              </w:rPr>
              <w:t>Millions</w:t>
            </w:r>
          </w:p>
        </w:tc>
        <w:tc>
          <w:tcPr>
            <w:tcW w:w="3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$89.2</w:t>
            </w:r>
          </w:p>
        </w:tc>
        <w:tc>
          <w:tcPr>
            <w:tcW w:w="880" w:type="dxa"/>
            <w:vAlign w:val="bottom"/>
          </w:tcPr>
          <w:p>
            <w:pPr>
              <w:jc w:val="right"/>
              <w:spacing w:after="0"/>
              <w:rPr>
                <w:sz w:val="20"/>
                <w:szCs w:val="20"/>
                <w:color w:val="auto"/>
              </w:rPr>
            </w:pPr>
            <w:r>
              <w:rPr>
                <w:rFonts w:ascii="Arial" w:cs="Arial" w:eastAsia="Arial" w:hAnsi="Arial"/>
                <w:sz w:val="17"/>
                <w:szCs w:val="17"/>
                <w:color w:val="auto"/>
              </w:rPr>
              <w:t>$120.2</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AFUDC – Equity</w:t>
            </w:r>
          </w:p>
        </w:tc>
        <w:tc>
          <w:tcPr>
            <w:tcW w:w="3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7200" w:type="dxa"/>
            <w:vAlign w:val="bottom"/>
          </w:tcPr>
          <w:p>
            <w:pPr>
              <w:ind w:left="220"/>
              <w:spacing w:after="0"/>
              <w:rPr>
                <w:sz w:val="20"/>
                <w:szCs w:val="20"/>
                <w:color w:val="auto"/>
              </w:rPr>
            </w:pPr>
            <w:r>
              <w:rPr>
                <w:rFonts w:ascii="Arial" w:cs="Arial" w:eastAsia="Arial" w:hAnsi="Arial"/>
                <w:sz w:val="17"/>
                <w:szCs w:val="17"/>
                <w:color w:val="auto"/>
              </w:rPr>
              <w:t>Income from Equity Investments – Net of Dividends</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1.8</w:t>
            </w: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Investments and Property, Plant and Equipment</w:t>
            </w:r>
          </w:p>
        </w:tc>
        <w:tc>
          <w:tcPr>
            <w:tcW w:w="3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200" w:type="dxa"/>
            <w:vAlign w:val="bottom"/>
          </w:tcPr>
          <w:p>
            <w:pPr>
              <w:ind w:left="220"/>
              <w:spacing w:after="0"/>
              <w:rPr>
                <w:sz w:val="20"/>
                <w:szCs w:val="20"/>
                <w:color w:val="auto"/>
              </w:rPr>
            </w:pPr>
            <w:r>
              <w:rPr>
                <w:rFonts w:ascii="Arial" w:cs="Arial" w:eastAsia="Arial" w:hAnsi="Arial"/>
                <w:sz w:val="17"/>
                <w:szCs w:val="17"/>
                <w:color w:val="auto"/>
              </w:rPr>
              <w:t>Depreciation Expense</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173.4</w:t>
            </w:r>
          </w:p>
        </w:tc>
        <w:tc>
          <w:tcPr>
            <w:tcW w:w="880" w:type="dxa"/>
            <w:vAlign w:val="bottom"/>
          </w:tcPr>
          <w:p>
            <w:pPr>
              <w:jc w:val="right"/>
              <w:spacing w:after="0"/>
              <w:rPr>
                <w:sz w:val="20"/>
                <w:szCs w:val="20"/>
                <w:color w:val="auto"/>
              </w:rPr>
            </w:pPr>
            <w:r>
              <w:rPr>
                <w:rFonts w:ascii="Arial" w:cs="Arial" w:eastAsia="Arial" w:hAnsi="Arial"/>
                <w:sz w:val="17"/>
                <w:szCs w:val="17"/>
                <w:color w:val="auto"/>
              </w:rPr>
              <w:t>161.3</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PSAs</w:t>
            </w:r>
          </w:p>
        </w:tc>
        <w:tc>
          <w:tcPr>
            <w:tcW w:w="3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(8.6)</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16"/>
        </w:trPr>
        <w:tc>
          <w:tcPr>
            <w:tcW w:w="7200" w:type="dxa"/>
            <w:vAlign w:val="bottom"/>
          </w:tcPr>
          <w:p>
            <w:pPr>
              <w:ind w:left="220"/>
              <w:spacing w:after="0"/>
              <w:rPr>
                <w:sz w:val="20"/>
                <w:szCs w:val="20"/>
                <w:color w:val="auto"/>
              </w:rPr>
            </w:pPr>
            <w:r>
              <w:rPr>
                <w:rFonts w:ascii="Arial" w:cs="Arial" w:eastAsia="Arial" w:hAnsi="Arial"/>
                <w:sz w:val="17"/>
                <w:szCs w:val="17"/>
                <w:color w:val="auto"/>
              </w:rPr>
              <w:t>Amortization of Other Intangible Assets and Other Assets</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7.4</w:t>
            </w:r>
          </w:p>
        </w:tc>
        <w:tc>
          <w:tcPr>
            <w:tcW w:w="8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 Benefit</w:t>
            </w:r>
          </w:p>
        </w:tc>
        <w:tc>
          <w:tcPr>
            <w:tcW w:w="3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(19.4)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r>
      <w:tr>
        <w:trPr>
          <w:trHeight w:val="216"/>
        </w:trPr>
        <w:tc>
          <w:tcPr>
            <w:tcW w:w="7200" w:type="dxa"/>
            <w:vAlign w:val="bottom"/>
          </w:tcPr>
          <w:p>
            <w:pPr>
              <w:ind w:left="220"/>
              <w:spacing w:after="0"/>
              <w:rPr>
                <w:sz w:val="20"/>
                <w:szCs w:val="20"/>
                <w:color w:val="auto"/>
              </w:rPr>
            </w:pPr>
            <w:r>
              <w:rPr>
                <w:rFonts w:ascii="Arial" w:cs="Arial" w:eastAsia="Arial" w:hAnsi="Arial"/>
                <w:sz w:val="17"/>
                <w:szCs w:val="17"/>
                <w:color w:val="auto"/>
              </w:rPr>
              <w:t>Share-Based and ESOP Compensation Expense</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4.6</w:t>
            </w:r>
          </w:p>
        </w:tc>
        <w:tc>
          <w:tcPr>
            <w:tcW w:w="8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Defined Benefit Pension and Postretirement Benefit Expense</w:t>
            </w:r>
          </w:p>
        </w:tc>
        <w:tc>
          <w:tcPr>
            <w:tcW w:w="31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3.3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7200" w:type="dxa"/>
            <w:vAlign w:val="bottom"/>
          </w:tcPr>
          <w:p>
            <w:pPr>
              <w:ind w:left="220"/>
              <w:spacing w:after="0"/>
              <w:rPr>
                <w:sz w:val="20"/>
                <w:szCs w:val="20"/>
                <w:color w:val="auto"/>
              </w:rPr>
            </w:pPr>
            <w:r>
              <w:rPr>
                <w:rFonts w:ascii="Arial" w:cs="Arial" w:eastAsia="Arial" w:hAnsi="Arial"/>
                <w:sz w:val="17"/>
                <w:szCs w:val="17"/>
                <w:color w:val="auto"/>
              </w:rPr>
              <w:t>Provision for Interim Rate Refund</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Tax Reform Refund</w:t>
            </w:r>
          </w:p>
        </w:tc>
        <w:tc>
          <w:tcPr>
            <w:tcW w:w="31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7200" w:type="dxa"/>
            <w:vAlign w:val="bottom"/>
          </w:tcPr>
          <w:p>
            <w:pPr>
              <w:ind w:left="220"/>
              <w:spacing w:after="0"/>
              <w:rPr>
                <w:sz w:val="20"/>
                <w:szCs w:val="20"/>
                <w:color w:val="auto"/>
              </w:rPr>
            </w:pPr>
            <w:r>
              <w:rPr>
                <w:rFonts w:ascii="Arial" w:cs="Arial" w:eastAsia="Arial" w:hAnsi="Arial"/>
                <w:sz w:val="17"/>
                <w:szCs w:val="17"/>
                <w:color w:val="auto"/>
              </w:rPr>
              <w:t>Bad Debt Expense</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0.9</w:t>
            </w:r>
          </w:p>
        </w:tc>
        <w:tc>
          <w:tcPr>
            <w:tcW w:w="8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3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200" w:type="dxa"/>
            <w:vAlign w:val="bottom"/>
          </w:tcPr>
          <w:p>
            <w:pPr>
              <w:ind w:left="460"/>
              <w:spacing w:after="0"/>
              <w:rPr>
                <w:sz w:val="20"/>
                <w:szCs w:val="20"/>
                <w:color w:val="auto"/>
              </w:rPr>
            </w:pPr>
            <w:r>
              <w:rPr>
                <w:rFonts w:ascii="Arial" w:cs="Arial" w:eastAsia="Arial" w:hAnsi="Arial"/>
                <w:sz w:val="17"/>
                <w:szCs w:val="17"/>
                <w:color w:val="auto"/>
              </w:rPr>
              <w:t>Accounts Receivable</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0.8</w:t>
            </w: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6"/>
        </w:trPr>
        <w:tc>
          <w:tcPr>
            <w:tcW w:w="72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Inventories</w:t>
            </w:r>
          </w:p>
        </w:tc>
        <w:tc>
          <w:tcPr>
            <w:tcW w:w="3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(15.4)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7200" w:type="dxa"/>
            <w:vAlign w:val="bottom"/>
          </w:tcPr>
          <w:p>
            <w:pPr>
              <w:ind w:left="460"/>
              <w:spacing w:after="0"/>
              <w:rPr>
                <w:sz w:val="20"/>
                <w:szCs w:val="20"/>
                <w:color w:val="auto"/>
              </w:rPr>
            </w:pPr>
            <w:r>
              <w:rPr>
                <w:rFonts w:ascii="Arial" w:cs="Arial" w:eastAsia="Arial" w:hAnsi="Arial"/>
                <w:sz w:val="17"/>
                <w:szCs w:val="17"/>
                <w:color w:val="auto"/>
              </w:rPr>
              <w:t>Prepayments and Other</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7.9</w:t>
            </w:r>
          </w:p>
        </w:tc>
        <w:tc>
          <w:tcPr>
            <w:tcW w:w="88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16"/>
        </w:trPr>
        <w:tc>
          <w:tcPr>
            <w:tcW w:w="72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Payable</w:t>
            </w:r>
          </w:p>
        </w:tc>
        <w:tc>
          <w:tcPr>
            <w:tcW w:w="31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4.0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7200" w:type="dxa"/>
            <w:vAlign w:val="bottom"/>
          </w:tcPr>
          <w:p>
            <w:pPr>
              <w:ind w:left="460"/>
              <w:spacing w:after="0"/>
              <w:rPr>
                <w:sz w:val="20"/>
                <w:szCs w:val="20"/>
                <w:color w:val="auto"/>
              </w:rPr>
            </w:pPr>
            <w:r>
              <w:rPr>
                <w:rFonts w:ascii="Arial" w:cs="Arial" w:eastAsia="Arial" w:hAnsi="Arial"/>
                <w:sz w:val="17"/>
                <w:szCs w:val="17"/>
                <w:color w:val="auto"/>
              </w:rPr>
              <w:t>Other Current Liabilities</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20.7</w:t>
            </w:r>
          </w:p>
        </w:tc>
        <w:tc>
          <w:tcPr>
            <w:tcW w:w="88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Contributions to Defined Benefit Pension Plans</w:t>
            </w:r>
          </w:p>
        </w:tc>
        <w:tc>
          <w:tcPr>
            <w:tcW w:w="3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r>
      <w:tr>
        <w:trPr>
          <w:trHeight w:val="216"/>
        </w:trPr>
        <w:tc>
          <w:tcPr>
            <w:tcW w:w="7200" w:type="dxa"/>
            <w:vAlign w:val="bottom"/>
          </w:tcPr>
          <w:p>
            <w:pPr>
              <w:ind w:left="220"/>
              <w:spacing w:after="0"/>
              <w:rPr>
                <w:sz w:val="20"/>
                <w:szCs w:val="20"/>
                <w:color w:val="auto"/>
              </w:rPr>
            </w:pPr>
            <w:r>
              <w:rPr>
                <w:rFonts w:ascii="Arial" w:cs="Arial" w:eastAsia="Arial" w:hAnsi="Arial"/>
                <w:sz w:val="17"/>
                <w:szCs w:val="17"/>
                <w:color w:val="auto"/>
              </w:rPr>
              <w:t>Changes in Regulatory and Other Non-Current Assets</w:t>
            </w:r>
          </w:p>
        </w:tc>
        <w:tc>
          <w:tcPr>
            <w:tcW w:w="3120" w:type="dxa"/>
            <w:vAlign w:val="bottom"/>
          </w:tcPr>
          <w:p>
            <w:pPr>
              <w:jc w:val="right"/>
              <w:ind w:right="155"/>
              <w:spacing w:after="0"/>
              <w:rPr>
                <w:sz w:val="20"/>
                <w:szCs w:val="20"/>
                <w:color w:val="auto"/>
              </w:rPr>
            </w:pPr>
            <w:r>
              <w:rPr>
                <w:rFonts w:ascii="Arial" w:cs="Arial" w:eastAsia="Arial" w:hAnsi="Arial"/>
                <w:sz w:val="17"/>
                <w:szCs w:val="17"/>
                <w:color w:val="auto"/>
              </w:rPr>
              <w:t>(41.3)</w:t>
            </w:r>
          </w:p>
        </w:tc>
        <w:tc>
          <w:tcPr>
            <w:tcW w:w="88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16"/>
        </w:trPr>
        <w:tc>
          <w:tcPr>
            <w:tcW w:w="7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Changes in Regulatory and Other Non-Current Liabilities</w:t>
            </w:r>
          </w:p>
        </w:tc>
        <w:tc>
          <w:tcPr>
            <w:tcW w:w="3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(7.4)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09"/>
        </w:trPr>
        <w:tc>
          <w:tcPr>
            <w:tcW w:w="72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from Operating Activities</w:t>
            </w:r>
          </w:p>
        </w:tc>
        <w:tc>
          <w:tcPr>
            <w:tcW w:w="31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209.2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241.9</w:t>
            </w:r>
          </w:p>
        </w:tc>
      </w:tr>
      <w:tr>
        <w:trPr>
          <w:trHeight w:val="21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7"/>
                <w:szCs w:val="17"/>
                <w:color w:val="auto"/>
              </w:rPr>
              <w:t>Proceeds from Sale of Available-for-sale Securities</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3.3</w:t>
            </w:r>
          </w:p>
        </w:tc>
        <w:tc>
          <w:tcPr>
            <w:tcW w:w="88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Purchase of Available-for-sale Securities</w:t>
            </w:r>
          </w:p>
        </w:tc>
        <w:tc>
          <w:tcPr>
            <w:tcW w:w="3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16"/>
        </w:trPr>
        <w:tc>
          <w:tcPr>
            <w:tcW w:w="7200" w:type="dxa"/>
            <w:vAlign w:val="bottom"/>
          </w:tcPr>
          <w:p>
            <w:pPr>
              <w:ind w:left="220"/>
              <w:spacing w:after="0"/>
              <w:rPr>
                <w:sz w:val="20"/>
                <w:szCs w:val="20"/>
                <w:color w:val="auto"/>
              </w:rPr>
            </w:pPr>
            <w:r>
              <w:rPr>
                <w:rFonts w:ascii="Arial" w:cs="Arial" w:eastAsia="Arial" w:hAnsi="Arial"/>
                <w:sz w:val="17"/>
                <w:szCs w:val="17"/>
                <w:color w:val="auto"/>
              </w:rPr>
              <w:t>Payments for Equity Method Investments</w:t>
            </w:r>
          </w:p>
        </w:tc>
        <w:tc>
          <w:tcPr>
            <w:tcW w:w="3120" w:type="dxa"/>
            <w:vAlign w:val="bottom"/>
          </w:tcPr>
          <w:p>
            <w:pPr>
              <w:jc w:val="right"/>
              <w:ind w:right="155"/>
              <w:spacing w:after="0"/>
              <w:rPr>
                <w:sz w:val="20"/>
                <w:szCs w:val="20"/>
                <w:color w:val="auto"/>
              </w:rPr>
            </w:pPr>
            <w:r>
              <w:rPr>
                <w:rFonts w:ascii="Arial" w:cs="Arial" w:eastAsia="Arial" w:hAnsi="Arial"/>
                <w:sz w:val="17"/>
                <w:szCs w:val="17"/>
                <w:color w:val="auto"/>
              </w:rPr>
              <w:t>(17.4)</w:t>
            </w:r>
          </w:p>
        </w:tc>
        <w:tc>
          <w:tcPr>
            <w:tcW w:w="880" w:type="dxa"/>
            <w:vAlign w:val="bottom"/>
          </w:tcPr>
          <w:p>
            <w:pPr>
              <w:jc w:val="right"/>
              <w:spacing w:after="0"/>
              <w:rPr>
                <w:sz w:val="20"/>
                <w:szCs w:val="20"/>
                <w:color w:val="auto"/>
              </w:rPr>
            </w:pPr>
            <w:r>
              <w:rPr>
                <w:rFonts w:ascii="Arial" w:cs="Arial" w:eastAsia="Arial" w:hAnsi="Arial"/>
                <w:sz w:val="17"/>
                <w:szCs w:val="17"/>
                <w:color w:val="auto"/>
              </w:rPr>
              <w:t>(91.0)</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Additions to Property, Plant and Equipment</w:t>
            </w:r>
          </w:p>
        </w:tc>
        <w:tc>
          <w:tcPr>
            <w:tcW w:w="3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(384.3)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(540.8)</w:t>
            </w:r>
          </w:p>
        </w:tc>
      </w:tr>
      <w:tr>
        <w:trPr>
          <w:trHeight w:val="216"/>
        </w:trPr>
        <w:tc>
          <w:tcPr>
            <w:tcW w:w="72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Investing Activities</w:t>
            </w:r>
          </w:p>
        </w:tc>
        <w:tc>
          <w:tcPr>
            <w:tcW w:w="31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4.3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72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for Investing Activities</w:t>
            </w:r>
          </w:p>
        </w:tc>
        <w:tc>
          <w:tcPr>
            <w:tcW w:w="3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(397.1)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(631.2)</w:t>
            </w:r>
          </w:p>
        </w:tc>
      </w:tr>
      <w:tr>
        <w:trPr>
          <w:trHeight w:val="209"/>
        </w:trPr>
        <w:tc>
          <w:tcPr>
            <w:tcW w:w="720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w:t>
            </w:r>
          </w:p>
        </w:tc>
        <w:tc>
          <w:tcPr>
            <w:tcW w:w="31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31.0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16"/>
        </w:trPr>
        <w:tc>
          <w:tcPr>
            <w:tcW w:w="7200" w:type="dxa"/>
            <w:vAlign w:val="bottom"/>
          </w:tcPr>
          <w:p>
            <w:pPr>
              <w:ind w:left="220"/>
              <w:spacing w:after="0"/>
              <w:rPr>
                <w:sz w:val="20"/>
                <w:szCs w:val="20"/>
                <w:color w:val="auto"/>
              </w:rPr>
            </w:pPr>
            <w:r>
              <w:rPr>
                <w:rFonts w:ascii="Arial" w:cs="Arial" w:eastAsia="Arial" w:hAnsi="Arial"/>
                <w:sz w:val="17"/>
                <w:szCs w:val="17"/>
                <w:color w:val="auto"/>
              </w:rPr>
              <w:t>Proceeds from Issuance of Short-Term and Long-Term Debt</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510.6</w:t>
            </w:r>
          </w:p>
        </w:tc>
        <w:tc>
          <w:tcPr>
            <w:tcW w:w="880" w:type="dxa"/>
            <w:vAlign w:val="bottom"/>
          </w:tcPr>
          <w:p>
            <w:pPr>
              <w:jc w:val="right"/>
              <w:spacing w:after="0"/>
              <w:rPr>
                <w:sz w:val="20"/>
                <w:szCs w:val="20"/>
                <w:color w:val="auto"/>
              </w:rPr>
            </w:pPr>
            <w:r>
              <w:rPr>
                <w:rFonts w:ascii="Arial" w:cs="Arial" w:eastAsia="Arial" w:hAnsi="Arial"/>
                <w:sz w:val="17"/>
                <w:szCs w:val="17"/>
                <w:color w:val="auto"/>
              </w:rPr>
              <w:t>607.4</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Repayments of Short-Term and Long-Term Debt</w:t>
            </w:r>
          </w:p>
        </w:tc>
        <w:tc>
          <w:tcPr>
            <w:tcW w:w="3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(280.9)</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w:t>
            </w:r>
          </w:p>
        </w:tc>
      </w:tr>
      <w:tr>
        <w:trPr>
          <w:trHeight w:val="216"/>
        </w:trPr>
        <w:tc>
          <w:tcPr>
            <w:tcW w:w="7200" w:type="dxa"/>
            <w:vAlign w:val="bottom"/>
          </w:tcPr>
          <w:p>
            <w:pPr>
              <w:ind w:left="220"/>
              <w:spacing w:after="0"/>
              <w:rPr>
                <w:sz w:val="20"/>
                <w:szCs w:val="20"/>
                <w:color w:val="auto"/>
              </w:rPr>
            </w:pPr>
            <w:r>
              <w:rPr>
                <w:rFonts w:ascii="Arial" w:cs="Arial" w:eastAsia="Arial" w:hAnsi="Arial"/>
                <w:sz w:val="17"/>
                <w:szCs w:val="17"/>
                <w:color w:val="auto"/>
              </w:rPr>
              <w:t>Proceeds from Non-Controlling Interest in Subsidiaries</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28.9</w:t>
            </w:r>
          </w:p>
        </w:tc>
        <w:tc>
          <w:tcPr>
            <w:tcW w:w="880" w:type="dxa"/>
            <w:vAlign w:val="bottom"/>
          </w:tcPr>
          <w:p>
            <w:pPr>
              <w:jc w:val="right"/>
              <w:spacing w:after="0"/>
              <w:rPr>
                <w:sz w:val="20"/>
                <w:szCs w:val="20"/>
                <w:color w:val="auto"/>
              </w:rPr>
            </w:pPr>
            <w:r>
              <w:rPr>
                <w:rFonts w:ascii="Arial" w:cs="Arial" w:eastAsia="Arial" w:hAnsi="Arial"/>
                <w:sz w:val="17"/>
                <w:szCs w:val="17"/>
                <w:color w:val="auto"/>
              </w:rPr>
              <w:t>67.8</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on Common Stock</w:t>
            </w:r>
          </w:p>
        </w:tc>
        <w:tc>
          <w:tcPr>
            <w:tcW w:w="3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(98.7)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w:t>
            </w:r>
          </w:p>
        </w:tc>
      </w:tr>
      <w:tr>
        <w:trPr>
          <w:trHeight w:val="216"/>
        </w:trPr>
        <w:tc>
          <w:tcPr>
            <w:tcW w:w="72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Financing Activities</w:t>
            </w:r>
          </w:p>
        </w:tc>
        <w:tc>
          <w:tcPr>
            <w:tcW w:w="31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r>
      <w:tr>
        <w:trPr>
          <w:trHeight w:val="209"/>
        </w:trPr>
        <w:tc>
          <w:tcPr>
            <w:tcW w:w="72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from Financing Activities</w:t>
            </w:r>
          </w:p>
        </w:tc>
        <w:tc>
          <w:tcPr>
            <w:tcW w:w="31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188.1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381.9</w:t>
            </w:r>
          </w:p>
        </w:tc>
      </w:tr>
      <w:tr>
        <w:trPr>
          <w:trHeight w:val="210"/>
        </w:trPr>
        <w:tc>
          <w:tcPr>
            <w:tcW w:w="7200" w:type="dxa"/>
            <w:vAlign w:val="bottom"/>
          </w:tcPr>
          <w:p>
            <w:pPr>
              <w:ind w:left="2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3120" w:type="dxa"/>
            <w:vAlign w:val="bottom"/>
          </w:tcPr>
          <w:p>
            <w:pPr>
              <w:jc w:val="right"/>
              <w:ind w:right="195"/>
              <w:spacing w:after="0"/>
              <w:rPr>
                <w:sz w:val="20"/>
                <w:szCs w:val="20"/>
                <w:color w:val="auto"/>
              </w:rPr>
            </w:pPr>
            <w:r>
              <w:rPr>
                <w:rFonts w:ascii="Arial" w:cs="Arial" w:eastAsia="Arial" w:hAnsi="Arial"/>
                <w:sz w:val="17"/>
                <w:szCs w:val="17"/>
                <w:color w:val="auto"/>
              </w:rPr>
              <w:t>0.2</w:t>
            </w:r>
          </w:p>
        </w:tc>
        <w:tc>
          <w:tcPr>
            <w:tcW w:w="88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16"/>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31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65.2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w:t>
            </w:r>
          </w:p>
        </w:tc>
      </w:tr>
      <w:tr>
        <w:trPr>
          <w:trHeight w:val="210"/>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31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$65.4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$85.1</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34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Quarter Ended</w:t>
            </w:r>
          </w:p>
        </w:tc>
        <w:tc>
          <w:tcPr>
            <w:tcW w:w="21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660" w:type="dxa"/>
            <w:vAlign w:val="bottom"/>
          </w:tcPr>
          <w:p>
            <w:pPr>
              <w:spacing w:after="0"/>
              <w:rPr>
                <w:sz w:val="19"/>
                <w:szCs w:val="19"/>
                <w:color w:val="auto"/>
              </w:rPr>
            </w:pPr>
          </w:p>
        </w:tc>
        <w:tc>
          <w:tcPr>
            <w:tcW w:w="346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21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6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$1,474.1</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$1,447.7</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$1,460.9</w:t>
            </w:r>
          </w:p>
        </w:tc>
        <w:tc>
          <w:tcPr>
            <w:tcW w:w="940" w:type="dxa"/>
            <w:vAlign w:val="bottom"/>
          </w:tcPr>
          <w:p>
            <w:pPr>
              <w:jc w:val="right"/>
              <w:spacing w:after="0"/>
              <w:rPr>
                <w:sz w:val="20"/>
                <w:szCs w:val="20"/>
                <w:color w:val="auto"/>
              </w:rPr>
            </w:pPr>
            <w:r>
              <w:rPr>
                <w:rFonts w:ascii="Arial" w:cs="Arial" w:eastAsia="Arial" w:hAnsi="Arial"/>
                <w:sz w:val="18"/>
                <w:szCs w:val="18"/>
                <w:color w:val="auto"/>
              </w:rPr>
              <w:t>$1,436.7</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2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22.4</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6.5</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5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2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1,496.5</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1,454.2</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1,496.5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1,454.2</w:t>
            </w:r>
          </w:p>
        </w:tc>
      </w:tr>
      <w:tr>
        <w:trPr>
          <w:trHeight w:val="250"/>
        </w:trPr>
        <w:tc>
          <w:tcPr>
            <w:tcW w:w="566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(30.3)</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(23.3)</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2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2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2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(29.9)</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(23.1)</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50"/>
        </w:trPr>
        <w:tc>
          <w:tcPr>
            <w:tcW w:w="566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878.8</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841.3</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864.8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818.8</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27.6</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40.7</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107.3</w:t>
            </w:r>
          </w:p>
        </w:tc>
        <w:tc>
          <w:tcPr>
            <w:tcW w:w="94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Dividends</w:t>
            </w:r>
          </w:p>
        </w:tc>
        <w:tc>
          <w:tcPr>
            <w:tcW w:w="2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(33.0)</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(32.1)</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(98.7)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23"/>
        </w:trPr>
        <w:tc>
          <w:tcPr>
            <w:tcW w:w="5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2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873.4</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849.9</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873.4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w:t>
            </w:r>
          </w:p>
        </w:tc>
      </w:tr>
      <w:tr>
        <w:trPr>
          <w:trHeight w:val="250"/>
        </w:trPr>
        <w:tc>
          <w:tcPr>
            <w:tcW w:w="566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 in Subsidiaries</w:t>
            </w:r>
          </w:p>
        </w:tc>
        <w:tc>
          <w:tcPr>
            <w:tcW w:w="2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519.3</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166.5</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505.6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Proceeds from Non-Controlling Interest in Subsidiaries</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28.9</w:t>
            </w:r>
          </w:p>
        </w:tc>
        <w:tc>
          <w:tcPr>
            <w:tcW w:w="94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Distributions to Non-Controlling Interest</w:t>
            </w:r>
          </w:p>
        </w:tc>
        <w:tc>
          <w:tcPr>
            <w:tcW w:w="2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2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514.5</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164.6</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514.5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50"/>
        </w:trPr>
        <w:tc>
          <w:tcPr>
            <w:tcW w:w="56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3"/>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$2,854.5</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$2,445.6</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$2,854.5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$2,445.6</w:t>
            </w:r>
          </w:p>
        </w:tc>
      </w:tr>
      <w:tr>
        <w:trPr>
          <w:trHeight w:val="250"/>
        </w:trPr>
        <w:tc>
          <w:tcPr>
            <w:tcW w:w="56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Dividends Per Share of Common Stock</w:t>
            </w:r>
          </w:p>
        </w:tc>
        <w:tc>
          <w:tcPr>
            <w:tcW w:w="2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$0.63</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$0.6175</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2020,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nine months ended September 30, 2021, are not necessarily indicative of results that may be expected for any other interim period or for the year ending December 31, 2021. For further information, refer to the Consolidated Financial Statements and notes included in our 2020 Form 10-K.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color w:val="auto"/>
        </w:rPr>
        <w:t>We consider all investments purchased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As of September 30, 2021, restricted cash amounts included in Prepayments and Other on the Consolidated Balance Sheet include collateral deposits required under an ALLETE Clean Energy loan agreement. The restricted cash amounts included in Other Non-Current Assets represent collateral deposits required under ALLETE Clean Energy loan and tax equity financing agreements as well as PSAs. The following table provides a reconciliation of cash, cash equivalents and restricted cash reported within the Consolidated Balance Sheet that aggregate to the amounts presented in the Consolidated Statement of Cash Flows.</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$59.0</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$44.3</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$79.0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0.8</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20.1</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69"/>
        </w:trPr>
        <w:tc>
          <w:tcPr>
            <w:tcW w:w="5040" w:type="dxa"/>
            <w:vAlign w:val="bottom"/>
          </w:tcPr>
          <w:p>
            <w:pPr>
              <w:ind w:left="20"/>
              <w:spacing w:after="0" w:line="169" w:lineRule="exact"/>
              <w:rPr>
                <w:sz w:val="20"/>
                <w:szCs w:val="20"/>
                <w:color w:val="auto"/>
              </w:rPr>
            </w:pPr>
            <w:r>
              <w:rPr>
                <w:rFonts w:ascii="Arial" w:cs="Arial" w:eastAsia="Arial" w:hAnsi="Arial"/>
                <w:sz w:val="18"/>
                <w:szCs w:val="18"/>
                <w:color w:val="auto"/>
                <w:w w:val="95"/>
              </w:rPr>
              <w:t>Cash, Cash Equivalents and Restricted Cash on the Consolidated</w:t>
            </w:r>
          </w:p>
        </w:tc>
        <w:tc>
          <w:tcPr>
            <w:tcW w:w="1700" w:type="dxa"/>
            <w:vAlign w:val="bottom"/>
            <w:vMerge w:val="restart"/>
          </w:tcPr>
          <w:p>
            <w:pPr>
              <w:jc w:val="right"/>
              <w:ind w:right="210"/>
              <w:spacing w:after="0"/>
              <w:rPr>
                <w:sz w:val="20"/>
                <w:szCs w:val="20"/>
                <w:color w:val="auto"/>
              </w:rPr>
            </w:pPr>
            <w:r>
              <w:rPr>
                <w:rFonts w:ascii="Arial" w:cs="Arial" w:eastAsia="Arial" w:hAnsi="Arial"/>
                <w:sz w:val="18"/>
                <w:szCs w:val="18"/>
                <w:color w:val="auto"/>
              </w:rPr>
              <w:t>$65.4</w:t>
            </w:r>
          </w:p>
        </w:tc>
        <w:tc>
          <w:tcPr>
            <w:tcW w:w="1540" w:type="dxa"/>
            <w:vAlign w:val="bottom"/>
            <w:vMerge w:val="restart"/>
          </w:tcPr>
          <w:p>
            <w:pPr>
              <w:jc w:val="right"/>
              <w:ind w:right="210"/>
              <w:spacing w:after="0"/>
              <w:rPr>
                <w:sz w:val="20"/>
                <w:szCs w:val="20"/>
                <w:color w:val="auto"/>
              </w:rPr>
            </w:pPr>
            <w:r>
              <w:rPr>
                <w:rFonts w:ascii="Arial" w:cs="Arial" w:eastAsia="Arial" w:hAnsi="Arial"/>
                <w:sz w:val="18"/>
                <w:szCs w:val="18"/>
                <w:color w:val="auto"/>
              </w:rPr>
              <w:t>$65.2</w:t>
            </w:r>
          </w:p>
        </w:tc>
        <w:tc>
          <w:tcPr>
            <w:tcW w:w="1580" w:type="dxa"/>
            <w:vAlign w:val="bottom"/>
            <w:vMerge w:val="restart"/>
          </w:tcPr>
          <w:p>
            <w:pPr>
              <w:jc w:val="right"/>
              <w:ind w:right="210"/>
              <w:spacing w:after="0"/>
              <w:rPr>
                <w:sz w:val="20"/>
                <w:szCs w:val="20"/>
                <w:color w:val="auto"/>
              </w:rPr>
            </w:pPr>
            <w:r>
              <w:rPr>
                <w:rFonts w:ascii="Arial" w:cs="Arial" w:eastAsia="Arial" w:hAnsi="Arial"/>
                <w:sz w:val="18"/>
                <w:szCs w:val="18"/>
                <w:color w:val="auto"/>
              </w:rPr>
              <w:t>$85.1</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Statement of Cash Flows</w:t>
            </w:r>
          </w:p>
        </w:tc>
        <w:tc>
          <w:tcPr>
            <w:tcW w:w="170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tbl>
      <w:tblPr>
        <w:tblLayout w:type="fixed"/>
        <w:tblInd w:w="0" w:type="dxa"/>
        <w:tblCellMar>
          <w:top w:w="0" w:type="dxa"/>
          <w:left w:w="0" w:type="dxa"/>
          <w:bottom w:w="0" w:type="dxa"/>
          <w:right w:w="0" w:type="dxa"/>
        </w:tblCellMar>
      </w:tblPr>
      <w:tr>
        <w:trPr>
          <w:trHeight w:val="181"/>
        </w:trPr>
        <w:tc>
          <w:tcPr>
            <w:tcW w:w="5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Inventories – Net</w:t>
            </w:r>
          </w:p>
        </w:tc>
        <w:tc>
          <w:tcPr>
            <w:tcW w:w="4080" w:type="dxa"/>
            <w:vAlign w:val="bottom"/>
          </w:tcPr>
          <w:p>
            <w:pPr>
              <w:jc w:val="right"/>
              <w:ind w:right="150"/>
              <w:spacing w:after="0" w:line="181" w:lineRule="exact"/>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auto"/>
            </w:tcBorders>
            <w:vMerge w:val="continue"/>
          </w:tcPr>
          <w:p>
            <w:pPr>
              <w:spacing w:after="0"/>
              <w:rPr>
                <w:sz w:val="19"/>
                <w:szCs w:val="19"/>
                <w:color w:val="auto"/>
              </w:rPr>
            </w:pPr>
          </w:p>
        </w:tc>
        <w:tc>
          <w:tcPr>
            <w:tcW w:w="4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4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4080" w:type="dxa"/>
            <w:vAlign w:val="bottom"/>
          </w:tcPr>
          <w:p>
            <w:pPr>
              <w:jc w:val="right"/>
              <w:ind w:right="210"/>
              <w:spacing w:after="0"/>
              <w:rPr>
                <w:sz w:val="20"/>
                <w:szCs w:val="20"/>
                <w:color w:val="auto"/>
              </w:rPr>
            </w:pPr>
            <w:r>
              <w:rPr>
                <w:rFonts w:ascii="Arial" w:cs="Arial" w:eastAsia="Arial" w:hAnsi="Arial"/>
                <w:sz w:val="18"/>
                <w:szCs w:val="18"/>
                <w:color w:val="auto"/>
              </w:rPr>
              <w:t>55.2</w:t>
            </w:r>
          </w:p>
        </w:tc>
        <w:tc>
          <w:tcPr>
            <w:tcW w:w="132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Construction of Wind Energy Facilities </w:t>
            </w:r>
            <w:r>
              <w:rPr>
                <w:rFonts w:ascii="Arial" w:cs="Arial" w:eastAsia="Arial" w:hAnsi="Arial"/>
                <w:sz w:val="16"/>
                <w:szCs w:val="16"/>
                <w:i w:val="1"/>
                <w:iCs w:val="1"/>
                <w:color w:val="auto"/>
              </w:rPr>
              <w:t>(b)</w:t>
            </w:r>
          </w:p>
        </w:tc>
        <w:tc>
          <w:tcPr>
            <w:tcW w:w="4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Inventories – Net</w:t>
            </w:r>
          </w:p>
        </w:tc>
        <w:tc>
          <w:tcPr>
            <w:tcW w:w="4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$89.6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19" w:lineRule="exact"/>
        <w:rPr>
          <w:rFonts w:ascii="Arial" w:cs="Arial" w:eastAsia="Arial" w:hAnsi="Arial"/>
          <w:sz w:val="16"/>
          <w:szCs w:val="16"/>
          <w:i w:val="1"/>
          <w:iCs w:val="1"/>
          <w:color w:val="auto"/>
        </w:rPr>
      </w:pPr>
    </w:p>
    <w:p>
      <w:pPr>
        <w:ind w:left="240" w:hanging="232"/>
        <w:spacing w:after="0"/>
        <w:tabs>
          <w:tab w:leader="none" w:pos="24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Project costs related to ALLETE Clean Energy’s Northern Wind and Red Barn wind projects which are expected be sold in late 2022. (See Other Current Liabilities.)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ind w:left="100"/>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her Non-Current Assets</w:t>
            </w:r>
          </w:p>
        </w:tc>
        <w:tc>
          <w:tcPr>
            <w:tcW w:w="208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620" w:type="dxa"/>
            <w:vAlign w:val="bottom"/>
            <w:gridSpan w:val="2"/>
            <w:vMerge w:val="continue"/>
          </w:tcPr>
          <w:p>
            <w:pPr>
              <w:spacing w:after="0"/>
              <w:rPr>
                <w:sz w:val="19"/>
                <w:szCs w:val="19"/>
                <w:color w:val="auto"/>
              </w:rPr>
            </w:pPr>
          </w:p>
        </w:tc>
        <w:tc>
          <w:tcPr>
            <w:tcW w:w="20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illions</w:t>
            </w: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 xml:space="preserve">ntract Assets </w:t>
            </w:r>
            <w:r>
              <w:rPr>
                <w:rFonts w:ascii="Arial" w:cs="Arial" w:eastAsia="Arial" w:hAnsi="Arial"/>
                <w:sz w:val="16"/>
                <w:szCs w:val="16"/>
                <w:i w:val="1"/>
                <w:iCs w:val="1"/>
                <w:color w:val="auto"/>
              </w:rPr>
              <w:t>(a)</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$23.4</w:t>
            </w: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erating Lease Right-of-use Assets</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17.7</w:t>
            </w: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LLETE Properties</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17.6</w:t>
            </w: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stricted Cash</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130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7620" w:type="dxa"/>
            <w:vAlign w:val="bottom"/>
            <w:gridSpan w:val="2"/>
          </w:tcPr>
          <w:p>
            <w:pPr>
              <w:spacing w:after="0"/>
              <w:rPr>
                <w:sz w:val="20"/>
                <w:szCs w:val="20"/>
                <w:color w:val="auto"/>
              </w:rPr>
            </w:pPr>
            <w:r>
              <w:rPr>
                <w:rFonts w:ascii="Arial" w:cs="Arial" w:eastAsia="Arial" w:hAnsi="Arial"/>
                <w:sz w:val="18"/>
                <w:szCs w:val="18"/>
                <w:color w:val="auto"/>
              </w:rPr>
              <w:t>her Postretirement Benefit Plans</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35.8</w:t>
            </w:r>
          </w:p>
        </w:tc>
        <w:tc>
          <w:tcPr>
            <w:tcW w:w="130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her</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82.9</w:t>
            </w:r>
          </w:p>
        </w:tc>
        <w:tc>
          <w:tcPr>
            <w:tcW w:w="130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tal Other Non-Current Assets</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$179.7</w:t>
            </w:r>
          </w:p>
        </w:tc>
        <w:tc>
          <w:tcPr>
            <w:tcW w:w="1300" w:type="dxa"/>
            <w:vAlign w:val="bottom"/>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-1036320</wp:posOffset>
            </wp:positionV>
            <wp:extent cx="690054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0545" cy="14605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-744855</wp:posOffset>
            </wp:positionV>
            <wp:extent cx="690054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0545" cy="14605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-453390</wp:posOffset>
            </wp:positionV>
            <wp:extent cx="690054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0545" cy="145415"/>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-161925</wp:posOffset>
            </wp:positionV>
            <wp:extent cx="690054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0545" cy="154305"/>
                    </a:xfrm>
                    <a:prstGeom prst="rect">
                      <a:avLst/>
                    </a:prstGeom>
                    <a:noFill/>
                  </pic:spPr>
                </pic:pic>
              </a:graphicData>
            </a:graphic>
          </wp:anchor>
        </w:drawing>
      </w:r>
    </w:p>
    <w:p>
      <w:pPr>
        <w:spacing w:after="0" w:line="65" w:lineRule="exact"/>
        <w:rPr>
          <w:sz w:val="20"/>
          <w:szCs w:val="20"/>
          <w:color w:val="auto"/>
        </w:rPr>
      </w:pPr>
    </w:p>
    <w:p>
      <w:pPr>
        <w:ind w:left="440" w:hanging="332"/>
        <w:spacing w:after="0" w:line="275" w:lineRule="auto"/>
        <w:tabs>
          <w:tab w:leader="none" w:pos="494"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her Current Liabilities</w:t>
            </w:r>
          </w:p>
        </w:tc>
        <w:tc>
          <w:tcPr>
            <w:tcW w:w="452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180" w:type="dxa"/>
            <w:vAlign w:val="bottom"/>
            <w:gridSpan w:val="2"/>
            <w:vMerge w:val="continue"/>
          </w:tcPr>
          <w:p>
            <w:pPr>
              <w:spacing w:after="0"/>
              <w:rPr>
                <w:sz w:val="19"/>
                <w:szCs w:val="19"/>
                <w:color w:val="auto"/>
              </w:rPr>
            </w:pPr>
          </w:p>
        </w:tc>
        <w:tc>
          <w:tcPr>
            <w:tcW w:w="452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llions</w:t>
            </w:r>
          </w:p>
        </w:tc>
        <w:tc>
          <w:tcPr>
            <w:tcW w:w="45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stomer Deposits </w:t>
            </w:r>
            <w:r>
              <w:rPr>
                <w:rFonts w:ascii="Arial" w:cs="Arial" w:eastAsia="Arial" w:hAnsi="Arial"/>
                <w:sz w:val="16"/>
                <w:szCs w:val="16"/>
                <w:i w:val="1"/>
                <w:iCs w:val="1"/>
                <w:color w:val="auto"/>
              </w:rPr>
              <w:t>(a)</w:t>
            </w:r>
          </w:p>
        </w:tc>
        <w:tc>
          <w:tcPr>
            <w:tcW w:w="4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As</w:t>
            </w:r>
          </w:p>
        </w:tc>
        <w:tc>
          <w:tcPr>
            <w:tcW w:w="4520" w:type="dxa"/>
            <w:vAlign w:val="bottom"/>
          </w:tcPr>
          <w:p>
            <w:pPr>
              <w:jc w:val="right"/>
              <w:ind w:right="190"/>
              <w:spacing w:after="0"/>
              <w:rPr>
                <w:sz w:val="20"/>
                <w:szCs w:val="20"/>
                <w:color w:val="auto"/>
              </w:rPr>
            </w:pPr>
            <w:r>
              <w:rPr>
                <w:rFonts w:ascii="Arial" w:cs="Arial" w:eastAsia="Arial" w:hAnsi="Arial"/>
                <w:sz w:val="18"/>
                <w:szCs w:val="18"/>
                <w:color w:val="auto"/>
              </w:rPr>
              <w:t>12.6</w:t>
            </w:r>
          </w:p>
        </w:tc>
        <w:tc>
          <w:tcPr>
            <w:tcW w:w="12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20"/>
                <w:szCs w:val="20"/>
                <w:color w:val="auto"/>
              </w:rPr>
            </w:pPr>
            <w:r>
              <w:rPr>
                <w:rFonts w:ascii="Arial" w:cs="Arial" w:eastAsia="Arial" w:hAnsi="Arial"/>
                <w:sz w:val="13"/>
                <w:szCs w:val="13"/>
                <w:color w:val="auto"/>
                <w:w w:val="78"/>
              </w:rPr>
              <w:t>el</w:t>
            </w:r>
          </w:p>
        </w:tc>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Adjustment Clause</w:t>
            </w:r>
          </w:p>
        </w:tc>
        <w:tc>
          <w:tcPr>
            <w:tcW w:w="4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erating Lease Liabilities</w:t>
            </w:r>
          </w:p>
        </w:tc>
        <w:tc>
          <w:tcPr>
            <w:tcW w:w="4520" w:type="dxa"/>
            <w:vAlign w:val="bottom"/>
          </w:tcPr>
          <w:p>
            <w:pPr>
              <w:jc w:val="right"/>
              <w:ind w:right="190"/>
              <w:spacing w:after="0"/>
              <w:rPr>
                <w:sz w:val="20"/>
                <w:szCs w:val="20"/>
                <w:color w:val="auto"/>
              </w:rPr>
            </w:pPr>
            <w:r>
              <w:rPr>
                <w:rFonts w:ascii="Arial" w:cs="Arial" w:eastAsia="Arial" w:hAnsi="Arial"/>
                <w:sz w:val="18"/>
                <w:szCs w:val="18"/>
                <w:color w:val="auto"/>
              </w:rPr>
              <w:t>5.0</w:t>
            </w: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her</w:t>
            </w:r>
          </w:p>
        </w:tc>
        <w:tc>
          <w:tcPr>
            <w:tcW w:w="4520" w:type="dxa"/>
            <w:vAlign w:val="bottom"/>
          </w:tcPr>
          <w:p>
            <w:pPr>
              <w:jc w:val="right"/>
              <w:ind w:right="190"/>
              <w:spacing w:after="0"/>
              <w:rPr>
                <w:sz w:val="20"/>
                <w:szCs w:val="20"/>
                <w:color w:val="auto"/>
              </w:rPr>
            </w:pPr>
            <w:r>
              <w:rPr>
                <w:rFonts w:ascii="Arial" w:cs="Arial" w:eastAsia="Arial" w:hAnsi="Arial"/>
                <w:sz w:val="18"/>
                <w:szCs w:val="18"/>
                <w:color w:val="auto"/>
              </w:rPr>
              <w:t>36.3</w:t>
            </w:r>
          </w:p>
        </w:tc>
        <w:tc>
          <w:tcPr>
            <w:tcW w:w="128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tal Other Current Liabilities</w:t>
            </w:r>
          </w:p>
        </w:tc>
        <w:tc>
          <w:tcPr>
            <w:tcW w:w="4520" w:type="dxa"/>
            <w:vAlign w:val="bottom"/>
          </w:tcPr>
          <w:p>
            <w:pPr>
              <w:jc w:val="right"/>
              <w:ind w:right="190"/>
              <w:spacing w:after="0"/>
              <w:rPr>
                <w:sz w:val="20"/>
                <w:szCs w:val="20"/>
                <w:color w:val="auto"/>
              </w:rPr>
            </w:pPr>
            <w:r>
              <w:rPr>
                <w:rFonts w:ascii="Arial" w:cs="Arial" w:eastAsia="Arial" w:hAnsi="Arial"/>
                <w:sz w:val="18"/>
                <w:szCs w:val="18"/>
                <w:color w:val="auto"/>
              </w:rPr>
              <w:t>$84.0</w:t>
            </w:r>
          </w:p>
        </w:tc>
        <w:tc>
          <w:tcPr>
            <w:tcW w:w="128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-307975</wp:posOffset>
            </wp:positionV>
            <wp:extent cx="690943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9435" cy="146050"/>
                    </a:xfrm>
                    <a:prstGeom prst="rect">
                      <a:avLst/>
                    </a:prstGeom>
                    <a:noFill/>
                  </pic:spPr>
                </pic:pic>
              </a:graphicData>
            </a:graphic>
          </wp:anchor>
        </w:drawing>
      </w:r>
    </w:p>
    <w:p>
      <w:pPr>
        <w:spacing w:after="0" w:line="51" w:lineRule="exact"/>
        <w:rPr>
          <w:sz w:val="20"/>
          <w:szCs w:val="20"/>
          <w:color w:val="auto"/>
        </w:rPr>
      </w:pPr>
    </w:p>
    <w:p>
      <w:pPr>
        <w:ind w:left="440" w:hanging="332"/>
        <w:spacing w:after="0" w:line="275" w:lineRule="auto"/>
        <w:tabs>
          <w:tab w:leader="none" w:pos="35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Primarily related to deposits received by ALLETE Clean Energy for the Northern Wind and Red Barn wind projects which are expected be sold in late 2022. (See Inventories – Net.)</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432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vMerge w:val="continue"/>
          </w:tcPr>
          <w:p>
            <w:pPr>
              <w:spacing w:after="0"/>
              <w:rPr>
                <w:sz w:val="19"/>
                <w:szCs w:val="19"/>
                <w:color w:val="auto"/>
              </w:rPr>
            </w:pPr>
          </w:p>
        </w:tc>
        <w:tc>
          <w:tcPr>
            <w:tcW w:w="4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Retirement Obligation </w:t>
            </w:r>
            <w:r>
              <w:rPr>
                <w:rFonts w:ascii="Arial" w:cs="Arial" w:eastAsia="Arial" w:hAnsi="Arial"/>
                <w:sz w:val="16"/>
                <w:szCs w:val="16"/>
                <w:i w:val="1"/>
                <w:iCs w:val="1"/>
                <w:color w:val="auto"/>
              </w:rPr>
              <w:t>(a)</w:t>
            </w:r>
          </w:p>
        </w:tc>
        <w:tc>
          <w:tcPr>
            <w:tcW w:w="4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$170.9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PSAs</w:t>
            </w:r>
          </w:p>
        </w:tc>
        <w:tc>
          <w:tcPr>
            <w:tcW w:w="4320" w:type="dxa"/>
            <w:vAlign w:val="bottom"/>
          </w:tcPr>
          <w:p>
            <w:pPr>
              <w:jc w:val="right"/>
              <w:ind w:right="210"/>
              <w:spacing w:after="0"/>
              <w:rPr>
                <w:sz w:val="20"/>
                <w:szCs w:val="20"/>
                <w:color w:val="auto"/>
              </w:rPr>
            </w:pPr>
            <w:r>
              <w:rPr>
                <w:rFonts w:ascii="Arial" w:cs="Arial" w:eastAsia="Arial" w:hAnsi="Arial"/>
                <w:sz w:val="18"/>
                <w:szCs w:val="18"/>
                <w:color w:val="auto"/>
              </w:rPr>
              <w:t>42.6</w:t>
            </w:r>
          </w:p>
        </w:tc>
        <w:tc>
          <w:tcPr>
            <w:tcW w:w="132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Liabilities</w:t>
            </w:r>
          </w:p>
        </w:tc>
        <w:tc>
          <w:tcPr>
            <w:tcW w:w="4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$278.1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440" w:hanging="332"/>
        <w:spacing w:after="0" w:line="261" w:lineRule="auto"/>
        <w:tabs>
          <w:tab w:leader="none" w:pos="4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$25.0 million in Other Non-Current Assets on the Consolidated Balance Sheet as of September 30, 2021, and December 31, 2020.</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Other Income</w:t>
            </w:r>
          </w:p>
        </w:tc>
        <w:tc>
          <w:tcPr>
            <w:tcW w:w="30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302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and Other Postretirement Benefit Plan Non-Service Credits </w:t>
            </w:r>
            <w:r>
              <w:rPr>
                <w:rFonts w:ascii="Arial" w:cs="Arial" w:eastAsia="Arial" w:hAnsi="Arial"/>
                <w:sz w:val="16"/>
                <w:szCs w:val="16"/>
                <w:i w:val="1"/>
                <w:iCs w:val="1"/>
                <w:color w:val="auto"/>
              </w:rPr>
              <w:t>(a)</w:t>
            </w:r>
          </w:p>
        </w:tc>
        <w:tc>
          <w:tcPr>
            <w:tcW w:w="3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Interest and Investment Income</w:t>
            </w:r>
          </w:p>
        </w:tc>
        <w:tc>
          <w:tcPr>
            <w:tcW w:w="3020" w:type="dxa"/>
            <w:vAlign w:val="bottom"/>
          </w:tcPr>
          <w:p>
            <w:pPr>
              <w:jc w:val="right"/>
              <w:ind w:right="530"/>
              <w:spacing w:after="0"/>
              <w:rPr>
                <w:sz w:val="20"/>
                <w:szCs w:val="20"/>
                <w:color w:val="auto"/>
              </w:rPr>
            </w:pPr>
            <w:r>
              <w:rPr>
                <w:rFonts w:ascii="Arial" w:cs="Arial" w:eastAsia="Arial" w:hAnsi="Arial"/>
                <w:sz w:val="18"/>
                <w:szCs w:val="18"/>
                <w:color w:val="auto"/>
              </w:rPr>
              <w:t>1.7</w:t>
            </w: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 Equity</w:t>
            </w:r>
          </w:p>
        </w:tc>
        <w:tc>
          <w:tcPr>
            <w:tcW w:w="3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(1.7)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30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$6.1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bl>
    <w:p>
      <w:pPr>
        <w:spacing w:after="0" w:line="71" w:lineRule="exact"/>
        <w:rPr>
          <w:sz w:val="20"/>
          <w:szCs w:val="20"/>
          <w:color w:val="auto"/>
        </w:rPr>
      </w:pPr>
    </w:p>
    <w:p>
      <w:pPr>
        <w:ind w:left="440" w:hanging="332"/>
        <w:spacing w:after="0" w:line="275" w:lineRule="auto"/>
        <w:tabs>
          <w:tab w:leader="none" w:pos="4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9. Pension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60960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812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 Net of Amounts Capitalized</w:t>
            </w:r>
          </w:p>
        </w:tc>
        <w:tc>
          <w:tcPr>
            <w:tcW w:w="2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$54.9</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$48.8</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Accounts Payable for Capital Additions to Property, Plant and Equipment</w:t>
            </w:r>
          </w:p>
        </w:tc>
        <w:tc>
          <w:tcPr>
            <w:tcW w:w="2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30"/>
        </w:trPr>
        <w:tc>
          <w:tcPr>
            <w:tcW w:w="8120" w:type="dxa"/>
            <w:vAlign w:val="bottom"/>
          </w:tcPr>
          <w:p>
            <w:pPr>
              <w:ind w:left="220"/>
              <w:spacing w:after="0"/>
              <w:rPr>
                <w:sz w:val="20"/>
                <w:szCs w:val="20"/>
                <w:color w:val="auto"/>
              </w:rPr>
            </w:pPr>
            <w:r>
              <w:rPr>
                <w:rFonts w:ascii="Arial" w:cs="Arial" w:eastAsia="Arial" w:hAnsi="Arial"/>
                <w:sz w:val="18"/>
                <w:szCs w:val="18"/>
                <w:color w:val="auto"/>
              </w:rPr>
              <w:t>Capitalized Asset Retirement Costs</w:t>
            </w:r>
          </w:p>
        </w:tc>
        <w:tc>
          <w:tcPr>
            <w:tcW w:w="220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$2.1</w:t>
            </w:r>
          </w:p>
        </w:tc>
      </w:tr>
      <w:tr>
        <w:trPr>
          <w:trHeight w:val="229"/>
        </w:trPr>
        <w:tc>
          <w:tcPr>
            <w:tcW w:w="8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AFUDC–Equity</w:t>
            </w:r>
          </w:p>
        </w:tc>
        <w:tc>
          <w:tcPr>
            <w:tcW w:w="2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$1.7</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r>
    </w:tbl>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Non-controlling interest in subsidiaries on the Consolidated Balance Sheet and net loss attributable to non-controlling interest on the Consolidated Statement of Income represent the portion of equity ownership and earnings, respectively, of subsidiaries that are not attributable to equity holders of ALLETE. These amounts are primarily related to the tax equity financing structures for ALLETE Clean Energy’s 106 MW Glen Ullin, 80 MW South Peak and 303 MW Diamond Spring wind energy facilities as well as ALLETE’s equity investment in the 250 MW Nobles 2 wind energy facility.</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22, 2021, South Shore Energy, ALLETE’s non-rate regulated, Wisconsin subsidiary, entered into an agreement with a wholly-owned subsidiary of Basin pursuant to which South Shore Energy agreed to sell to Basin a portion of its interest in NTEC for approximately $20 million representing reimbursement of current costs plus a fee for prior development costs and risks incurred. Pursuant to this transaction, which closed on October 1, 2021, South Shore Energy sold a portion of its undivided ownership interest in NTEC to Basin, such that, South Shore Energy now owns a 20 percent undivided ownership interest in NTEC, Basin owns a 30 percent undivided ownership interest in NTEC and Dairyland Power Cooperative continues to own a 50 percent undivided ownership interest in NTEC. The closing of the transaction resulted in the recognition of an approximately $8.5 million after-tax gain recorded in Corporate and Other in the fourth quarter of 2021, related to prior development costs and risks incurred. NTEC is an approximately 600 MW proposed combined-cycle natural gas-fired generating facility to be built in Superior, Wisconsin. Construction of NTEC is subject to obtaining additional permits from local, state and federal authorities. The total project cost is estimated to be approximately $700 million, of which South Shore Energy’s portion is expected to be approximately $140 million. South Shore Energy’s portion of NTEC project costs incurred through September 30, 2021, is approximately $15 million of which approximately $8 million related to development costs sold to Basin.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REGULATORY MATTERS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2020 Form 10-K, with additional disclosure provided in the following paragraphs.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MPUC, Minnesota Power also recognizes revenue under cost recovery riders for transmission, renewable, and environmental investments and expenditures. Revenue from cost recovery riders was $29.2 million for the nine months ended September 30, 2021 ($22.6 million for the nine months ended September 30, 2020).</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2020 Minnesota General Rate Case. </w:t>
      </w:r>
      <w:r>
        <w:rPr>
          <w:rFonts w:ascii="Arial" w:cs="Arial" w:eastAsia="Arial" w:hAnsi="Arial"/>
          <w:sz w:val="17"/>
          <w:szCs w:val="17"/>
          <w:color w:val="auto"/>
        </w:rPr>
        <w:t>In November 2019, Minnesota Power filed a retail rate increase request with the MPUC seeking an average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10.6 percent for retail customers. The rate filing sought a return on equity of 10.05 percent and a 53.81 percent equity ratio. On an annualized basis, the requested final rate increase would have generated approximately $66 million in additional revenue. In December 2019 orders, the MPUC accepted the filing as complete and authorized an annual interim rate increase of $36.1 million beginning January 1, 2020.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 June 2020 order, the MPUC approved Minnesota Power’s petition and proposal to resolve and withdraw the general rate case. Effective May 1, 2020, customer rates were set at an increase of 4.1 percent with the removal of the power marketing margin credit from base rates. Actual power marketing margins will be reflected in the fuel adjustment clause. Reserves for interim rates of $11.7 million were recorded in the second quarter of 2020 and refunded in the third and fourth quarters of 2020.</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2022 Minnesota General Rate Case. </w:t>
      </w:r>
      <w:r>
        <w:rPr>
          <w:rFonts w:ascii="Arial" w:cs="Arial" w:eastAsia="Arial" w:hAnsi="Arial"/>
          <w:sz w:val="18"/>
          <w:szCs w:val="18"/>
          <w:color w:val="auto"/>
        </w:rPr>
        <w:t>On November 1, 2021,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18 percent for retail customers. The rate filing seeks a return on equity of 10.25 percent and a 53.81 percent equity ratio. On an annualized basis, the requested final rate increase would generate approximately $108 million in additional revenue. Once the filing is accepted as complete, an annual interim rate increase of approximately $87 million, subject to refund, which would be an average increase of approximately 14 percent for retail customers, is expected to be implemented within 60 days, subject to MPUC adjustment and authorization. We cannot predict the level of interim or final rates that may be authorized by the MPUC.</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Minnesota Power Land Sales. </w:t>
      </w:r>
      <w:r>
        <w:rPr>
          <w:rFonts w:ascii="Arial" w:cs="Arial" w:eastAsia="Arial" w:hAnsi="Arial"/>
          <w:sz w:val="18"/>
          <w:szCs w:val="18"/>
          <w:color w:val="auto"/>
        </w:rPr>
        <w:t>In August 2020, Minnesota Power filed a petition with the MPUC for approval to sell land that surrounds several reservoirs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hydroelectric system and is no longer required to maintain its operations. The land has an estimated value of approximately $100 million, and Minnesota Power proposed to credit ratepayers the net proceeds from the sales in a future rate case or through its renewable resources rider to mitigate future rate increases. At a hearing on October 14, 2021, the MPUC decided to allow the land sales to occur and the proceeds refunded to ratepayers subject to certain conditions and required compliance filings.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Minnesota Power has an approved environmental improvement rider for investments and expenditures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of the Boswell Unit 4 mercury emissions reduction plan completed in 2015. Updated customer billing rates for the environmental improvement rider were approved by the MPUC in a November 2018 order. On January 19, 2021, Minnesota Power filed a petition seeking MPUC approval to end the environmental improvement rider, which was approved in an order dated April 20, 2021.</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Solar Cost Recovery Rider</w:t>
      </w:r>
      <w:r>
        <w:rPr>
          <w:rFonts w:ascii="Arial" w:cs="Arial" w:eastAsia="Arial" w:hAnsi="Arial"/>
          <w:sz w:val="17"/>
          <w:szCs w:val="17"/>
          <w:color w:val="auto"/>
        </w:rPr>
        <w:t>. In June 2020, Minnesota Power filed a petition seeking MPUC approval of a customer billing rate for solar costs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and expenditures for meeting the state of Minnesota’s solar energy standard, which was approved by the MPUC in an order dated April 20, 2021. New customer billing rates for the solar cost recovery rider were implemented on June 1, 2021. On October 21, 2021, Minnesota Power submitted its 2022 solar factor filing. Upon approval of the filing, Minnesota Power will be authorized to include updated billing rates on customer bills.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Electric Vehicle Charging Infrastructure Petition. </w:t>
      </w:r>
      <w:r>
        <w:rPr>
          <w:rFonts w:ascii="Arial" w:cs="Arial" w:eastAsia="Arial" w:hAnsi="Arial"/>
          <w:sz w:val="18"/>
          <w:szCs w:val="18"/>
          <w:color w:val="auto"/>
        </w:rPr>
        <w:t>On April 8, 2021, Minnesota Power filed a petition seeking approval to install and own DC fast charger</w:t>
      </w:r>
      <w:r>
        <w:rPr>
          <w:rFonts w:ascii="Arial" w:cs="Arial" w:eastAsia="Arial" w:hAnsi="Arial"/>
          <w:sz w:val="18"/>
          <w:szCs w:val="18"/>
          <w:i w:val="1"/>
          <w:iCs w:val="1"/>
          <w:color w:val="auto"/>
        </w:rPr>
        <w:t xml:space="preserve"> </w:t>
      </w:r>
      <w:r>
        <w:rPr>
          <w:rFonts w:ascii="Arial" w:cs="Arial" w:eastAsia="Arial" w:hAnsi="Arial"/>
          <w:sz w:val="18"/>
          <w:szCs w:val="18"/>
          <w:color w:val="auto"/>
        </w:rPr>
        <w:t>stations for electric vehicles across its service territory, implement accompanying rates for those stations, and track and recover investments and expenses for the project. In an order dated October 22, 2021, the MPUC approved Minnesota Power’s petition.</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COVID-19 Related Deferred Accounting</w:t>
      </w:r>
      <w:r>
        <w:rPr>
          <w:rFonts w:ascii="Arial" w:cs="Arial" w:eastAsia="Arial" w:hAnsi="Arial"/>
          <w:sz w:val="16"/>
          <w:szCs w:val="16"/>
          <w:color w:val="auto"/>
        </w:rPr>
        <w:t>. In an order dated March 24, 2020, the PSCW authorized public utilities, including SWL&amp;P, to defer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by the utility resulting from its compliance with state government or regulator orders during Wisconsin’s declared public health emergency for COVID-19. On April 20, 2020, Minnesota Power along with other regulated electric and natural gas service providers in Minnesota filed a joint petition to request MPUC authorization to track incremental costs and expenses incurred as a result of the COVID-19 pandemic, and to defer and record such costs as a regulatory asset, subject to recovery in a future proceeding. In an order dated May 22, 2020, the MPUC approved the joint petition requiring the joint petitioners to track cost and revenue impacts resulting from the COVID-19 pandemic with review for recovery in a future rate proceeding. As of September 30, 2021, Minnesota Power has not deferred any costs or lost revenue, and SWL&amp;P has deferred an immaterial amount of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Minnesota Power submitted a petition in November 2020 to the MPUC requesting authority to track and record as a regulatory asset lost large industrial customer revenue resulting from the idling of USS Corporation’s Keetac plant and Verso Corporation’s paper mill in Duluth, Minnesota. Keetac and Verso Corporation represent revenue of approximately $30 million annually, net of associated expense savings such as fuel costs. Minnesota Power proposed in this petition to defer any lost revenue related to the idling of the Keetac facility and the Verso Corporation paper mill to its next general rate case or other proceeding for review for recovery by the MPUC. In an order dated May 13, 2021, the MPUC denied Minnesota Power’s request.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Fuel Adjustment Clause</w:t>
      </w:r>
      <w:r>
        <w:rPr>
          <w:rFonts w:ascii="Arial" w:cs="Arial" w:eastAsia="Arial" w:hAnsi="Arial"/>
          <w:sz w:val="18"/>
          <w:szCs w:val="18"/>
          <w:color w:val="auto"/>
        </w:rPr>
        <w:t>. In March 2020, Minnesota Power filed its fuel adjustment clause report covering the period July 2018 through December 2019. In</w:t>
      </w:r>
      <w:r>
        <w:rPr>
          <w:rFonts w:ascii="Arial" w:cs="Arial" w:eastAsia="Arial" w:hAnsi="Arial"/>
          <w:sz w:val="18"/>
          <w:szCs w:val="18"/>
          <w:i w:val="1"/>
          <w:iCs w:val="1"/>
          <w:color w:val="auto"/>
        </w:rPr>
        <w:t xml:space="preserve"> </w:t>
      </w:r>
      <w:r>
        <w:rPr>
          <w:rFonts w:ascii="Arial" w:cs="Arial" w:eastAsia="Arial" w:hAnsi="Arial"/>
          <w:sz w:val="18"/>
          <w:szCs w:val="18"/>
          <w:color w:val="auto"/>
        </w:rPr>
        <w:t>a September 2020 order, the MPUC referred the review of Minnesota Power’s forced outage costs during the period of the report, which totaled approximately $8 million, to an administrative law judge (ALJ) for a contested case hearing to recommend to the MPUC if any of those costs should be returned to customers. On August 11, 2021, the ALJ recommended that Minnesota Power refund approximately $5 million to ratepayers; the ALJ’s recommendation is not binding on the MPUC. Minnesota Power submitted exceptions to the ALJ’s report to the MPUC stating that it disagreed with the ALJ’s recommendation and that no refund should be made as the Company operated its facilities in accordance with good utility practice. A decision from the MPUC is expected in the fourth quarter of 2021.</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Conservation Improvement Program. </w:t>
      </w:r>
      <w:r>
        <w:rPr>
          <w:rFonts w:ascii="Arial" w:cs="Arial" w:eastAsia="Arial" w:hAnsi="Arial"/>
          <w:sz w:val="18"/>
          <w:szCs w:val="18"/>
          <w:color w:val="auto"/>
        </w:rPr>
        <w:t>On April 1, 2021, Minnesota Power submitted its 2020 consolidated filing detailing Minnesota Power’s CIP</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results and requesting a CIP financial incentive of $2.4 million based upon MPUC procedures, which was recognized in the third quarter of 2021 upon approval by the MPUC in an order dated September 7, 2021. In 2020, a CIP financial incentive of $2.4 million was recognized in the third quarter upon approval by the MPUC of Minnesota Power’s 2019 CIP consolidated filing. CIP financial incentives are recognized in the period in which the MPUC approves the filing.</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2021 Integrated Resource Plan. </w:t>
      </w:r>
      <w:r>
        <w:rPr>
          <w:rFonts w:ascii="Arial" w:cs="Arial" w:eastAsia="Arial" w:hAnsi="Arial"/>
          <w:sz w:val="18"/>
          <w:szCs w:val="18"/>
          <w:color w:val="auto"/>
        </w:rPr>
        <w:t>On February 1, 2021, Minnesota Power filed its latest IRP with the MPUC, which outlines its clean-energy transition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through 2035. These plans include expanding its renewable energy supply, achieving coal-free operations at its facilities by 2035, and investing in a resilient and flexible transmission and distribution grid.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mid-2022.</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Nemadji Trail Energy Center. </w:t>
      </w:r>
      <w:r>
        <w:rPr>
          <w:rFonts w:ascii="Arial" w:cs="Arial" w:eastAsia="Arial" w:hAnsi="Arial"/>
          <w:sz w:val="16"/>
          <w:szCs w:val="16"/>
          <w:color w:val="auto"/>
        </w:rPr>
        <w:t>In 2017, Minnesota Power submitted a resource package to the MPUC which included requesting approval of a natural gas</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dedication and other affiliated-interest agreements for NTEC, an approximately 600 MW proposed combined-cycle natural gas-fired generating facility to be built in Superior, Wisconsin, which will be jointly owned by Dairyland Power Cooperative, Basin and South Shore Energy, ALLETE’s non-rate regulated, Wisconsin subsidiary. Minnesota Power is expected to purchase approximately 20 percent of the facility's output starting in 2025 pursuant to the capacity dedication agreement. (See Note 1. Operations and Significant Accounting Policies – Subsequent Events.) In a January 2019 order, the MPUC approved Minnesota Power’s request for approval of the NTEC natural gas capacity dedication and other affiliated-interest agreements. In 2019, the Minnesota Court of Appeals reversed and remanded the MPUC’s decision to approve certain affiliated-interest agreements. On April 21, 2021, the Minnesota Supreme Court reversed the Minnesota Court of Appeal’s decision by ruling that the MPUC is not required to conduct a review under the Minnesota Environmental Policy Act before approving affiliated-interest agreements that govern construction and operation of a Wisconsin power plant by a Minnesota utility, and remanded the case back to the Minnesota Court of Appeals for review of remaining issues on appeal. On August 23, 2021, the Minnesota Court of Appeals affirmed the decision by the MPUC to approve certain affiliated-interest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Verso Corporation Electric Service Agreement. </w:t>
      </w:r>
      <w:r>
        <w:rPr>
          <w:rFonts w:ascii="Arial" w:cs="Arial" w:eastAsia="Arial" w:hAnsi="Arial"/>
          <w:sz w:val="16"/>
          <w:szCs w:val="16"/>
          <w:color w:val="auto"/>
        </w:rPr>
        <w:t>On August 2, 2021, Minnesota Power filed a petition with the MPUC requesting the MPUC to interpret</w:t>
      </w:r>
      <w:r>
        <w:rPr>
          <w:rFonts w:ascii="Arial" w:cs="Arial" w:eastAsia="Arial" w:hAnsi="Arial"/>
          <w:sz w:val="16"/>
          <w:szCs w:val="16"/>
          <w:b w:val="1"/>
          <w:bCs w:val="1"/>
          <w:color w:val="auto"/>
        </w:rPr>
        <w:t xml:space="preserve"> </w:t>
      </w:r>
      <w:r>
        <w:rPr>
          <w:rFonts w:ascii="Arial" w:cs="Arial" w:eastAsia="Arial" w:hAnsi="Arial"/>
          <w:sz w:val="16"/>
          <w:szCs w:val="16"/>
          <w:color w:val="auto"/>
        </w:rPr>
        <w:t>the electric service agreement (ESA) between Minnesota Power and Verso Corporation finding that Verso Corporation has tariff obligations and owes minimum firm demand payments during the term of the ESA. Minnesota Power filed this petition in response to Verso Corporation ceasing to make its minimum firm demand payments under the ESA. At a hearing on October 14, 2021, the MPUC agreed with Minnesota Power’s petition and concluded that the MPUC has jurisdiction to interpret the relevant provisions of the ESA, and the ESA requires Verso Corporation to continue full minimum firm demand payments for a period of two years from the January 29, 2021, notice of termination, regardless of Minnesota Power’s electricity sales to a new customer at the former Verso Corporation facility. Minnesota Power has a receivable related to the ESA of approximately $1.2 million as of September 30, 2021. In addition, Verso Corporation owes Minnesota Power payments under a steam agreement, which is proceeding through arbitration. Minnesota Power has a receivable under the steam agreement of approximately $2.4 million as of September 30, 2021. Minnesota Power expects to fully collect these outstanding account receivable balances as well as Verso Corporation’s remaining obligations under the ESA.</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guidance for the effect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318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vMerge w:val="continue"/>
          </w:tcPr>
          <w:p>
            <w:pPr>
              <w:spacing w:after="0"/>
              <w:rPr>
                <w:sz w:val="19"/>
                <w:szCs w:val="19"/>
                <w:color w:val="auto"/>
              </w:rPr>
            </w:pPr>
          </w:p>
        </w:tc>
        <w:tc>
          <w:tcPr>
            <w:tcW w:w="3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$247.6</w:t>
            </w:r>
          </w:p>
        </w:tc>
        <w:tc>
          <w:tcPr>
            <w:tcW w:w="1460" w:type="dxa"/>
            <w:vAlign w:val="bottom"/>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107.2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Cost Recovery Riders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61.8</w:t>
            </w:r>
          </w:p>
        </w:tc>
        <w:tc>
          <w:tcPr>
            <w:tcW w:w="146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 Obligations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Fuel Adjustment Clause</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30.1</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Manufactured Gas Plant</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PPACA Income Tax Deferral</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4.4</w:t>
            </w:r>
          </w:p>
        </w:tc>
        <w:tc>
          <w:tcPr>
            <w:tcW w:w="14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Boswell Units 1 and 2 Net Plant and Equipment</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Non-Current Regulatory Assets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$502.9</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(a)</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Fuel Adjustment Clause</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$2.6</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Transmission Formula Rates Refund</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Liabilities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9.0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359.3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Wholesale and Retail Contra AFUDC</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84.4</w:t>
            </w:r>
          </w:p>
        </w:tc>
        <w:tc>
          <w:tcPr>
            <w:tcW w:w="146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Removal Obligations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47.4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North Dakota Investment Tax Credits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12.3</w:t>
            </w:r>
          </w:p>
        </w:tc>
        <w:tc>
          <w:tcPr>
            <w:tcW w:w="14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Conservation Improvement Program</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Non-Current Regulatory Liabilities</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509.5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Regulatory Liabilities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$518.5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Current regulatory liabilities are presented within Other Current Liabilities on the Consolidated Balance Sheet.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2021 Form 10-Q</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3. EQUITY INVESTMENTS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ATC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Borders>
              <w:top w:val="single" w:sz="8" w:color="auto"/>
            </w:tcBorders>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2020</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Equity in ATC Earnings</w:t>
            </w:r>
          </w:p>
        </w:tc>
        <w:tc>
          <w:tcPr>
            <w:tcW w:w="36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Distributed ATC Earnings</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September 30, 2021</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authorized return on equity is 10.02 percent, or 10.52 percent including an incentive adder for participation in a regional transmission organization, based on a May 2020 FERC order that granted rehearing of a 2019 FERC order. These FERC orders are subject to various outstanding legal challenges related to the refund period ordered by the FERC. If these legal challenges are successful, ATC may be required to provide refunds to its customers of up to approximately $66 million of which our share would be approximately $5 million pre-tax.</w:t>
      </w:r>
    </w:p>
    <w:p>
      <w:pPr>
        <w:spacing w:after="0" w:line="210"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subsidiary, ALLETE South Wind, owns 49 percent of Nobles 2, the entity that owns and operates the 250 MW wind energy</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in southwestern Minnesota pursuant to a 20-year PPA with Minnesota Power. We account for our investment in Nobles 2 under the equity method of accounting.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Nobles 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3980" w:type="dxa"/>
            <w:vAlign w:val="bottom"/>
            <w:tcBorders>
              <w:top w:val="single" w:sz="8" w:color="auto"/>
            </w:tcBorders>
          </w:tcPr>
          <w:p>
            <w:pPr>
              <w:spacing w:after="0"/>
              <w:rPr>
                <w:sz w:val="19"/>
                <w:szCs w:val="19"/>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2020</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39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Equity in Nobles 2 Earnings </w:t>
            </w:r>
            <w:r>
              <w:rPr>
                <w:rFonts w:ascii="Arial" w:cs="Arial" w:eastAsia="Arial" w:hAnsi="Arial"/>
                <w:sz w:val="16"/>
                <w:szCs w:val="16"/>
                <w:i w:val="1"/>
                <w:iCs w:val="1"/>
                <w:color w:val="auto"/>
              </w:rPr>
              <w:t>(a)</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Distributed Nobles 2 Earnings</w:t>
            </w:r>
          </w:p>
        </w:tc>
        <w:tc>
          <w:tcPr>
            <w:tcW w:w="3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September 30, 2021</w:t>
            </w:r>
          </w:p>
        </w:tc>
        <w:tc>
          <w:tcPr>
            <w:tcW w:w="3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Company also recorded net loss attributable to non-controlling interest of $4.4 million related to its investment in Nobles 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6. Fair Value to the Consolidated Financial Statements in our 2020 Form 10-K.</w:t>
      </w: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September 30, 2021, and December 31, 2020.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NOTE 4. FAIR VALUE (Continued)</w:t>
            </w:r>
          </w:p>
        </w:tc>
        <w:tc>
          <w:tcPr>
            <w:tcW w:w="1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2"/>
        </w:trPr>
        <w:tc>
          <w:tcPr>
            <w:tcW w:w="6220" w:type="dxa"/>
            <w:vAlign w:val="bottom"/>
          </w:tcPr>
          <w:p>
            <w:pPr>
              <w:spacing w:after="0"/>
              <w:rPr>
                <w:sz w:val="21"/>
                <w:szCs w:val="21"/>
                <w:color w:val="auto"/>
              </w:rPr>
            </w:pPr>
          </w:p>
        </w:tc>
        <w:tc>
          <w:tcPr>
            <w:tcW w:w="4340" w:type="dxa"/>
            <w:vAlign w:val="bottom"/>
            <w:gridSpan w:val="3"/>
          </w:tcPr>
          <w:p>
            <w:pPr>
              <w:ind w:left="1420"/>
              <w:spacing w:after="0"/>
              <w:rPr>
                <w:sz w:val="20"/>
                <w:szCs w:val="20"/>
                <w:color w:val="auto"/>
              </w:rPr>
            </w:pPr>
            <w:r>
              <w:rPr>
                <w:rFonts w:ascii="Arial" w:cs="Arial" w:eastAsia="Arial" w:hAnsi="Arial"/>
                <w:sz w:val="18"/>
                <w:szCs w:val="18"/>
                <w:b w:val="1"/>
                <w:bCs w:val="1"/>
                <w:color w:val="auto"/>
                <w:w w:val="94"/>
              </w:rPr>
              <w:t>Fair Value as of September 30, 2021</w:t>
            </w:r>
          </w:p>
        </w:tc>
        <w:tc>
          <w:tcPr>
            <w:tcW w:w="660" w:type="dxa"/>
            <w:vAlign w:val="bottom"/>
          </w:tcPr>
          <w:p>
            <w:pPr>
              <w:spacing w:after="0"/>
              <w:rPr>
                <w:sz w:val="21"/>
                <w:szCs w:val="21"/>
                <w:color w:val="auto"/>
              </w:rPr>
            </w:pPr>
          </w:p>
        </w:tc>
      </w:tr>
      <w:tr>
        <w:trPr>
          <w:trHeight w:val="23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$9.2</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8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$8.4</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6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8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2.8</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$12.0</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$8.4</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196"/>
        </w:trPr>
        <w:tc>
          <w:tcPr>
            <w:tcW w:w="6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8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$21.5</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$21.5</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18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$12.0</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$(13.1)</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4460" w:type="dxa"/>
            <w:vAlign w:val="bottom"/>
            <w:gridSpan w:val="3"/>
          </w:tcPr>
          <w:p>
            <w:pPr>
              <w:ind w:left="1560"/>
              <w:spacing w:after="0"/>
              <w:rPr>
                <w:sz w:val="20"/>
                <w:szCs w:val="20"/>
                <w:color w:val="auto"/>
              </w:rPr>
            </w:pPr>
            <w:r>
              <w:rPr>
                <w:rFonts w:ascii="Arial" w:cs="Arial" w:eastAsia="Arial" w:hAnsi="Arial"/>
                <w:sz w:val="18"/>
                <w:szCs w:val="18"/>
                <w:b w:val="1"/>
                <w:bCs w:val="1"/>
                <w:color w:val="auto"/>
                <w:w w:val="95"/>
              </w:rPr>
              <w:t>Fair Value as of December 31, 2020</w:t>
            </w:r>
          </w:p>
        </w:tc>
        <w:tc>
          <w:tcPr>
            <w:tcW w:w="660" w:type="dxa"/>
            <w:vAlign w:val="bottom"/>
          </w:tcPr>
          <w:p>
            <w:pPr>
              <w:spacing w:after="0"/>
              <w:rPr>
                <w:sz w:val="19"/>
                <w:szCs w:val="19"/>
                <w:color w:val="auto"/>
              </w:rPr>
            </w:pPr>
          </w:p>
        </w:tc>
      </w:tr>
      <w:tr>
        <w:trPr>
          <w:trHeight w:val="234"/>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$7.2</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6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5.5</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$12.7</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$10.4</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196"/>
        </w:trPr>
        <w:tc>
          <w:tcPr>
            <w:tcW w:w="61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$21.0</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$21.0</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$12.7</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$(10.6)</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8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hanging="332"/>
        <w:spacing w:after="0" w:line="262" w:lineRule="auto"/>
        <w:tabs>
          <w:tab w:leader="none" w:pos="34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As of September 30, 2021, the aggregate amount of available-for-sale corporate and governmental debt securities maturing in one year or less was $1.5 million, in one year to less than three years was $3.4 million, in three years to less than five years was $3.0 million and in five or more years was $0.5 million.</w:t>
      </w:r>
    </w:p>
    <w:p>
      <w:pPr>
        <w:spacing w:after="0" w:line="1" w:lineRule="exact"/>
        <w:rPr>
          <w:rFonts w:ascii="Arial" w:cs="Arial" w:eastAsia="Arial" w:hAnsi="Arial"/>
          <w:sz w:val="15"/>
          <w:szCs w:val="15"/>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of the item listed in the following table was based on quoted market prices for the same or similar instruments (Level 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4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Carrying Amount</w:t>
            </w: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4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September 30, 2021</w:t>
            </w:r>
          </w:p>
        </w:tc>
        <w:tc>
          <w:tcPr>
            <w:tcW w:w="4420" w:type="dxa"/>
            <w:vAlign w:val="bottom"/>
          </w:tcPr>
          <w:p>
            <w:pPr>
              <w:jc w:val="right"/>
              <w:ind w:right="230"/>
              <w:spacing w:after="0"/>
              <w:rPr>
                <w:sz w:val="20"/>
                <w:szCs w:val="20"/>
                <w:color w:val="auto"/>
              </w:rPr>
            </w:pPr>
            <w:r>
              <w:rPr>
                <w:rFonts w:ascii="Arial" w:cs="Arial" w:eastAsia="Arial" w:hAnsi="Arial"/>
                <w:sz w:val="18"/>
                <w:szCs w:val="18"/>
                <w:color w:val="auto"/>
              </w:rPr>
              <w:t>$2,036.1</w:t>
            </w:r>
          </w:p>
        </w:tc>
        <w:tc>
          <w:tcPr>
            <w:tcW w:w="1660" w:type="dxa"/>
            <w:vAlign w:val="bottom"/>
          </w:tcPr>
          <w:p>
            <w:pPr>
              <w:jc w:val="right"/>
              <w:spacing w:after="0"/>
              <w:rPr>
                <w:sz w:val="20"/>
                <w:szCs w:val="20"/>
                <w:color w:val="auto"/>
              </w:rPr>
            </w:pPr>
            <w:r>
              <w:rPr>
                <w:rFonts w:ascii="Arial" w:cs="Arial" w:eastAsia="Arial" w:hAnsi="Arial"/>
                <w:sz w:val="18"/>
                <w:szCs w:val="18"/>
                <w:color w:val="auto"/>
              </w:rPr>
              <w:t>$2,262.2</w:t>
            </w:r>
          </w:p>
        </w:tc>
      </w:tr>
      <w:tr>
        <w:trPr>
          <w:trHeight w:val="230"/>
        </w:trPr>
        <w:tc>
          <w:tcPr>
            <w:tcW w:w="5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December 31, 2020</w:t>
            </w:r>
          </w:p>
        </w:tc>
        <w:tc>
          <w:tcPr>
            <w:tcW w:w="4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$1,806.4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$2,122.0</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Excludes unamortized debt issuance costs.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quarter and nine months ended September 30, 2021, and the year ended December 31, 2020, there were no indicators of impairment for these non-financial assets.</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continue to monitor changes in the broader energy markets along with wind resources that could indicate impairment at ALLETE Clean Energy wind energy facilities upon contract expirations. A continued decline in energy prices or lower wind resources could result in a future impairment.</w:t>
      </w:r>
    </w:p>
    <w:p>
      <w:pPr>
        <w:sectPr>
          <w:pgSz w:w="11900" w:h="16838" w:orient="portrait"/>
          <w:cols w:equalWidth="0" w:num="1">
            <w:col w:w="11240"/>
          </w:cols>
          <w:pgMar w:left="320" w:top="891"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2021 Form 10-Q</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NOTE 5. SHORT-TERM AND LONG-TERM DEBT</w:t>
            </w:r>
          </w:p>
        </w:tc>
        <w:tc>
          <w:tcPr>
            <w:tcW w:w="2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880" w:type="dxa"/>
            <w:vAlign w:val="bottom"/>
            <w:gridSpan w:val="3"/>
          </w:tcPr>
          <w:p>
            <w:pPr>
              <w:spacing w:after="0"/>
              <w:rPr>
                <w:sz w:val="20"/>
                <w:szCs w:val="20"/>
                <w:color w:val="auto"/>
              </w:rPr>
            </w:pPr>
            <w:r>
              <w:rPr>
                <w:rFonts w:ascii="Arial" w:cs="Arial" w:eastAsia="Arial" w:hAnsi="Arial"/>
                <w:sz w:val="18"/>
                <w:szCs w:val="18"/>
                <w:color w:val="auto"/>
                <w:w w:val="97"/>
              </w:rPr>
              <w:t>The following tables present the Company’s short-term and long-term debt as of September 30, 2021, and December 31, 2020: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September 30, 2021</w:t>
            </w: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$377.6</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1,658.5</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(9.1)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1,649.4</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$2,036.1</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$(9.3)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$2,026.8</w:t>
            </w:r>
          </w:p>
        </w:tc>
        <w:tc>
          <w:tcPr>
            <w:tcW w:w="0" w:type="dxa"/>
            <w:vAlign w:val="bottom"/>
          </w:tcPr>
          <w:p>
            <w:pPr>
              <w:spacing w:after="0"/>
              <w:rPr>
                <w:sz w:val="1"/>
                <w:szCs w:val="1"/>
                <w:color w:val="auto"/>
              </w:rPr>
            </w:pPr>
          </w:p>
        </w:tc>
      </w:tr>
      <w:tr>
        <w:trPr>
          <w:trHeight w:val="304"/>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$204.0</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1,602.4</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(9.2)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$1,806.4</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$(9.5)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$26.2 million outstanding in standby letters of credit and $25.2 million outstanding draws under our lines of credit as of September 30, 2021 ($22.3 million in standby letters of credit and no outstanding draws as of December 31,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2021, ALLETE entered into a $150 million unsecured term loan agreement (Term Loan). An additional draw of $35 million through the exercise of an accordion feature was made during the second quarter of 2021. As of September 30, 2021, we have borrowed the full amount of $185 million. The Term Loan is due March 24, 2022, and may be repaid at any time. Interest is payable monthly at a rate per annum equal to LIBOR plus 0.75 percent. Proceeds from the Term Loan were used for general corporate purposes.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 2021, ALLETE issued $100 million of its First Mortgage Bonds (Bonds) to certain institutional buyers in the private placement market. The Bonds, which bear interest at 2.79 percent, will mature in September 2031 and pay interest semi-annually in March and September of each year, commencing on March 1, 2022. ALLETE has the option to prepay all or a portion of the Bonds at its discretion, subject to a make-whole provision. The Bonds are subject to additional terms and conditions which are customary for these types of transactions. Proceeds from the sale of the Bonds were used to fund utility capital investment and for general corporate purposes. The Bonds were sold in reliance on an exemption from registration under Section 4(a)(2) of the Securities Act of 1933, as amended, to institutional accredited investors.</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2021, our ratio was approximately 0.43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September 30, 2021,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COMMITMENTS, GUARANTEES AND CONTINGENCIES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8. Commitments, Guarantees and Contingencies to the Consolidated Financial Statements in our 2020 Form 10-K, with additional disclosure provided in the following paragraphs.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September 30, 2021, Square Butte had total debt outstanding of $256.9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nine months ended September 30, 2021, was $60.3 million ($59.9 million for the same period in 2020). This reflects Minnesota Power’s pro rata share of total Square Butte costs based on the 50 percent output entitlement. Included in this amount was Minnesota Power’s pro rata share of interest expense of $4.3 million ($5.4 million for the same period in 2020). Minnesota Power’s payments to Square Butte are approved as a purchased power expense for ratemaking purposes by both the MPUC and the FERC.</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28 percent in 2021 and in 2020.</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2021. Minnesota Power also has coal transportation agreements in place for the delivery of a significant portion of its coal requirements through December 2021. The costs of fuel and related transportation costs for Minnesota Power’s generation are recoverable from Minnesota Power’s retail and municipal utility customers through the fuel adjustment clause.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thermal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baghouses and low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The CSAPR requires certain states in the eastern half of the U.S., including Minnesota, to reduce power plant</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and SO</w:t>
      </w:r>
      <w:r>
        <w:rPr>
          <w:rFonts w:ascii="Arial" w:cs="Arial" w:eastAsia="Arial" w:hAnsi="Arial"/>
          <w:sz w:val="22"/>
          <w:szCs w:val="22"/>
          <w:color w:val="auto"/>
          <w:vertAlign w:val="subscript"/>
        </w:rPr>
        <w:t>2</w:t>
      </w:r>
      <w:r>
        <w:rPr>
          <w:rFonts w:ascii="Arial" w:cs="Arial" w:eastAsia="Arial" w:hAnsi="Arial"/>
          <w:sz w:val="17"/>
          <w:szCs w:val="17"/>
          <w:color w:val="auto"/>
        </w:rPr>
        <w:t xml:space="preserve"> allowances issued and pending issuance, we currently expect generation levels and emission rates will result in continued compliance with the CSAPR. The EPA’s CSAPR Update Rule issued on March 15, 2021, to revise the 2016 CSAPR Update does not apply to the state of Minnesota and is therefore not currently projected to affect Minnesota Power’s CSAPR compliance. The State of Minnesota has not been identified in litigation as a culpable upwind emission source to downwind states, and previous EPA air quality modeling has demonstrated that Minnesota is not a significant contributor to downwind air quality attainment challenges. Minnesota Power will continue to monitor ongoing CSAPR rulemakings and compliance implementation.</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National Ambient Air Quality Standards (NAAQS). </w:t>
      </w:r>
      <w:r>
        <w:rPr>
          <w:rFonts w:ascii="Arial" w:cs="Arial" w:eastAsia="Arial" w:hAnsi="Arial"/>
          <w:sz w:val="17"/>
          <w:szCs w:val="17"/>
          <w:color w:val="auto"/>
        </w:rPr>
        <w:t>The EPA is required to review the NAAQS every five years. If the EPA determines that a state’s air</w:t>
      </w:r>
      <w:r>
        <w:rPr>
          <w:rFonts w:ascii="Arial" w:cs="Arial" w:eastAsia="Arial" w:hAnsi="Arial"/>
          <w:sz w:val="17"/>
          <w:szCs w:val="17"/>
          <w:i w:val="1"/>
          <w:iCs w:val="1"/>
          <w:color w:val="auto"/>
        </w:rPr>
        <w:t xml:space="preserve"> </w:t>
      </w:r>
      <w:r>
        <w:rPr>
          <w:rFonts w:ascii="Arial" w:cs="Arial" w:eastAsia="Arial" w:hAnsi="Arial"/>
          <w:sz w:val="17"/>
          <w:szCs w:val="17"/>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currently expected to be material. The EPA is currently reviewing the secondary NAAQS for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and SO</w:t>
      </w:r>
      <w:r>
        <w:rPr>
          <w:rFonts w:ascii="Arial" w:cs="Arial" w:eastAsia="Arial" w:hAnsi="Arial"/>
          <w:sz w:val="22"/>
          <w:szCs w:val="22"/>
          <w:color w:val="auto"/>
          <w:vertAlign w:val="subscript"/>
        </w:rPr>
        <w:t>2</w:t>
      </w:r>
      <w:r>
        <w:rPr>
          <w:rFonts w:ascii="Arial" w:cs="Arial" w:eastAsia="Arial" w:hAnsi="Arial"/>
          <w:sz w:val="17"/>
          <w:szCs w:val="17"/>
          <w:color w:val="auto"/>
        </w:rPr>
        <w:t>, as well as particulate matter. On June 10, 2021, the EPA announced it will reconsider the December 2020 final rule retaining the 2012 particulate matter NAAQS, with a proposed rulemaking anticipated in mid-2022. The EPA has not stated its intent with regard to the 2020 Ozone NAAQS rule finalized in December 2020.</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or other changes in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EPA Regulation of GHG Emissions. </w:t>
      </w:r>
      <w:r>
        <w:rPr>
          <w:rFonts w:ascii="Arial" w:cs="Arial" w:eastAsia="Arial" w:hAnsi="Arial"/>
          <w:sz w:val="16"/>
          <w:szCs w:val="16"/>
          <w:color w:val="auto"/>
        </w:rPr>
        <w:t>In 2019, the EPA finalized several separate rulemakings regarding regulating carbon emissions from electric utility</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generating units. These rulemakings included repealing the Clean Power Plan (CPP) and adopting the Affordable Clean Energy Rule under Section 111(d) of the Clean Air Act (CAA) to regulate CO2 emissions at existing coal-fired power plants. The CPP was first announced as a proposed rule under Section 111(d) of the CAA for existing power plants entitled “Carbon Pollution Emission Guidelines for Existing Stationary Sources: Electric Generating Units”. The Affordable Clean Energy Rule established emissions guidelines for states to use when developing plans to limit CO2 coal-fired power plants. The EPA also published regulations for the state implementation of the Affordable Clean Energy Rule and other Section 111(d) rules. Affected facilities for Minnesota Power included Boswell Units 3 and 4, and Taconite Harbor Units 1 and 2, which are currently economically idled.</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19, 2021, the D.C. Circuit issued an opinion vacating the Affordable Clean Energy Rule and remanded the Affordable Clean Energy Rule back to the EPA for further consideration, consistent with the D.C. Circuit’s finding that the EPA erred in interpreting the CAA, pending rehearing or appeal. The EPA has indicated that it is working on a new set of emission guidelines to establish a Best System of Emissions Reduction for existing fossil fuel-fired electric generating units to direct states in regulating GHGs within their borders; however, no timeline has been disclosed. Minnesota Power will continue to monitor any related guidelines and rulemakings issued by the EPA or state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22, 2021, the Biden Administration announced a goal to reach 100 percent carbon pollution-free electricity by 2035 as part of the Nationally Determined Contributions pledge, which is part of an international effort to limit global warming. At this time, no specific regulatory pathway to achieve these reductions has been proposed. Minnesota Power will continue to monitor these developments.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Minnesota had already initiated several measures consistent with those called for under the now repealed CPP and vacated Affordable Clean Energy Rule. Minnesota Power continues implementing its EnergyForward strategic plan that provides for significant emission reductions and diversifying its electricity generation mix to include more renewable and natural gas energy. We are unable to predict the GHG emission compliance costs we might incur as a result of a replacement for the Affordable Clean Energy Rule or other future laws, regulations or administrative policies; however, the costs could be material. Minnesota Power would seek recovery of additional costs through a rate proceeding.</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on January 13, 2021, the EPA issued a rulemaking to apply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 New Source Performance Standards (NSPS) to new, modified and reconstructed fossil fuel-fired electric generating units under Section 111(b) of the CAA. Minnesota Power is monitoring the NSPS final rule and any further Section 111(b) developments including their potential impact to the Company. The Company’s proposed combined-cycle natural gas-fired generating facility, NTEC, is expected to meet these NSPS requirements.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Steam Electric Power Generating Effluent Limitations Guidelines. </w:t>
      </w:r>
      <w:r>
        <w:rPr>
          <w:rFonts w:ascii="Arial" w:cs="Arial" w:eastAsia="Arial" w:hAnsi="Arial"/>
          <w:sz w:val="17"/>
          <w:szCs w:val="17"/>
          <w:color w:val="auto"/>
        </w:rPr>
        <w:t>In 2015, the EPA issued revised federal effluent limitation guidelines (ELG)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 The rule also established new subcategories for retiring high-flow and low-utilization units, and established a voluntary incentives program for FGD wastewater. In accordance with the January 2021 Executive Order 13990, the EPA was mandated to conduct a review of actions and polices taken during the prior administration, including the 2020 ELG Rule. On September 14, 2021, the EPA published a notice of availability for preliminary effluent guidelines program plan. In the plan, the EPA confirmed the agency is initiating a rulemaking process to strengthen wastewater pollution limitations from FGD and bottom ash transport water discharges while the 2020 ELG Rule remains in effect. The EPA is expected to publish a proposed rule in the fall of 2022.</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ELG's potential impact on Minnesota Power operations is primarily at Boswell. Boswell currently discharges bottom ash contact water through its NPDES permit, and also has a closed-loop FGD system that does not discharge to surface waters, but may do so in the future. With Boswell’s planned conversion to dry FGD handling and storage, ongoing FGD water generation will be reduced, and the majority of FGD waters will be legacy waters to be dewatered from existing impoundments. Re-use and onsite consumption for the majority of FGD waters is planned at Boswell.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ELG rule, most bottom ash transport water discharge to surface waters must cease no later than December 31, 2025, except for small discharges needed to retain water balance. The majority of bottom ash transport water will either need to be re-used in a closed-loop process or routed to a FGD scrubber. At Boswell, the bottom ash handling systems are planned to be converted to a dry process, which will eliminate the discharge of bottom ash transport water.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EPA’s additional reconsideration of legacy wastewater discharge requirements has the potential to reduce timelines for dewatering Boswell’s existing ponds. The timing of a draft rule addressing legacy wastewater and leachate is currently unknown.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this time, we estimate that the planned dry conversion of bottom ash handling and storage at Boswell in response to the CCR revisions requiring closure of clay-lined impoundments, as well as other water re-use practices, will reduce or eliminate the need for additional significant compliance costs for ELG bottom ash water and FGD requirements. Compliance costs we might incur related to other ELG waste streams (e.g., legacy leachate) or other potential future water discharge regulations cannot be estimated; however, the costs could be material, including costs associated with wastewater treatment and re-use. Minnesota Power would seek recovery of additional costs through a rate proceeding.</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Permitted Water Discharges – Sulfate</w:t>
      </w:r>
      <w:r>
        <w:rPr>
          <w:rFonts w:ascii="Arial" w:cs="Arial" w:eastAsia="Arial" w:hAnsi="Arial"/>
          <w:sz w:val="16"/>
          <w:szCs w:val="16"/>
          <w:color w:val="auto"/>
        </w:rPr>
        <w:t>. In 2017, the MPCA released a draft water quality standard in an attempt to update Minnesota’s existing 10 mg/L</w:t>
      </w:r>
      <w:r>
        <w:rPr>
          <w:rFonts w:ascii="Arial" w:cs="Arial" w:eastAsia="Arial" w:hAnsi="Arial"/>
          <w:sz w:val="16"/>
          <w:szCs w:val="16"/>
          <w:i w:val="1"/>
          <w:iCs w:val="1"/>
          <w:color w:val="auto"/>
        </w:rPr>
        <w:t xml:space="preserve"> </w:t>
      </w:r>
      <w:r>
        <w:rPr>
          <w:rFonts w:ascii="Arial" w:cs="Arial" w:eastAsia="Arial" w:hAnsi="Arial"/>
          <w:sz w:val="16"/>
          <w:szCs w:val="16"/>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2021, the MPCA’s proposed list of impaired waters submitted pursuant to the Clean Water Act was partially rejected by the EPA due to the absence of wild rice waters listed for sulfate impairment. The EPA subsequently proposed a list of 30 wild rice waters in a separate listing process on April 29, 2021, followed by a list of three additional wild rice waters proposed separately on September 1, 2021. A final impaired waters listing is expected to follow, which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if any. Minnesota Power would seek recovery of additional costs through a rate proceeding.</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Solid and Hazardous Waste. </w:t>
      </w:r>
      <w:r>
        <w:rPr>
          <w:rFonts w:ascii="Arial" w:cs="Arial" w:eastAsia="Arial" w:hAnsi="Arial"/>
          <w:sz w:val="18"/>
          <w:szCs w:val="18"/>
          <w:color w:val="auto"/>
        </w:rPr>
        <w:t>The Resource Conservation and Recovery Act of 1976 regulates the management and disposal of solid and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wastes. We are required to notify the EPA of hazardous waste activity and, consequently, routinely submit reports to the EPA.</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produces the majority of its coal ash at Boswell, with small amounts of ash generated at Hibbard</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Coal Combustion Residuals from Electric Utilities (CCR). </w:t>
      </w:r>
      <w:r>
        <w:rPr>
          <w:rFonts w:ascii="Arial" w:cs="Arial" w:eastAsia="Arial" w:hAnsi="Arial"/>
          <w:sz w:val="17"/>
          <w:szCs w:val="17"/>
          <w:color w:val="auto"/>
        </w:rPr>
        <w:t>In 2015, the EPA published the final rule regulating CCR as nonhazardous waste under Subtitle</w:t>
      </w:r>
      <w:r>
        <w:rPr>
          <w:rFonts w:ascii="Arial" w:cs="Arial" w:eastAsia="Arial" w:hAnsi="Arial"/>
          <w:sz w:val="17"/>
          <w:szCs w:val="17"/>
          <w:i w:val="1"/>
          <w:iCs w:val="1"/>
          <w:color w:val="auto"/>
        </w:rPr>
        <w:t xml:space="preserve"> </w:t>
      </w:r>
      <w:r>
        <w:rPr>
          <w:rFonts w:ascii="Arial" w:cs="Arial" w:eastAsia="Arial" w:hAnsi="Arial"/>
          <w:sz w:val="17"/>
          <w:szCs w:val="17"/>
          <w:color w:val="auto"/>
        </w:rPr>
        <w:t>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be incurred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2018, a U.S. District Court for the District of Columbia decision vacated specific provisions of the CCR rule. The court decision resulted in a change to the status of three existing clay-lined impoundments at Boswell that must now be considered unlined. The EPA proposed additional rule revisions in 2019 to address outstanding issues from litigation and closure timelines for unlined impoundments, respectively. The first of these rules, CCR Part A Rule, was finalized in September 2020. The Part A Rule revision requires unlined impoundments to cease disposal of waste as soon as technically feasible but no later than April 11, 2021. This deadline has tolled forward as the EPA did not make any variance application determinations by that date. Minnesota Power sought EPA approval to extend the closure date for the two active Boswell impoundments in November 2020 through a variance application, and continues to operate the impoundments pending a final determination by the EPA. Additionally, the EPA released a proposed Part B rulemaking in February 2020 that addressed options for beneficial reuse of CCR materials, alternative liner demonstrations, and other CCR regulatory revisions. Portions of the Part B Rule addressing alternative liner equivalency standards were finalized in November 2020. According to the EPA’s regulatory agenda, finalization of the remainder of the proposed Part B Rule was expected in mid-2021, but has not yet been published. Expected compliance costs at Boswell due to the court decision and subsequent rule revisions are reflected in our estimate of compliance costs for the CCR rule noted previously. Minnesota Power would seek recovery of additional costs through a rate proceeding.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located in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SWL&amp;P has been working with the Wisconsin Department of Natural Resources (WDNR) in determining the extent and location of contamination at the site and surrounding properties. As of September 30, 2021, we have recorded a liability of approximately $13 million for remediation costs at this site after incorporating detailed design components specific to the site (approximately $7 million as of December 31, 2020); however, SWL&amp;P continues to work with the WDNR on the extent of contamination which may result in additional remediation costs being identified. SWL&amp;P has also recorded an associated regulatory asset as we expect recovery of these remediation costs to be allowed by the PSCW. Remediation costs are expected to be incurred through 2023.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Surety Bonds.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multiple credit facility agreements in place that provide the ability to issue standby letters of credit to satisfy contractual security requirements across our businesses. As of September 30, 2021, we had $123.9 million of outstanding letters of credit issued, including those issued under our revolving credit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Regulated Operations. </w:t>
      </w:r>
      <w:r>
        <w:rPr>
          <w:rFonts w:ascii="Arial" w:cs="Arial" w:eastAsia="Arial" w:hAnsi="Arial"/>
          <w:sz w:val="18"/>
          <w:szCs w:val="18"/>
          <w:color w:val="auto"/>
        </w:rPr>
        <w:t>As of September 30, 2021, we had $4.9 million outstanding in standby letters of credit at our Regulated Operations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pledged as security to MISO and a state agency.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2039. As of September 30, 2021, ALLETE Clean Energy has $81.9 million outstanding in standby letters of credit, the majority of which are pledged as security under these PSAs and PSAs for wind energy facilities under development. ALLETE Clean Energy does not believe it is likely that any of these outstanding letters of credit will be drawn upon.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South Shore Energy.</w:t>
      </w:r>
      <w:r>
        <w:rPr>
          <w:rFonts w:ascii="Arial" w:cs="Arial" w:eastAsia="Arial" w:hAnsi="Arial"/>
          <w:sz w:val="18"/>
          <w:szCs w:val="18"/>
          <w:color w:val="auto"/>
        </w:rPr>
        <w:t xml:space="preserve"> As of September 30, 2021, South Shore Energy had $23.9 million outstanding in standby letters of credit pledged as security in connection with the development of NTEC. South Shore Energy does not believe it is likely that any of these outstanding letters of credit will be drawn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Investment in Nobles 2</w:t>
      </w:r>
      <w:r>
        <w:rPr>
          <w:rFonts w:ascii="Arial" w:cs="Arial" w:eastAsia="Arial" w:hAnsi="Arial"/>
          <w:sz w:val="17"/>
          <w:szCs w:val="17"/>
          <w:color w:val="auto"/>
        </w:rPr>
        <w:t>. The Nobles 2 wind energy facility requires standby letters of credit as security for certain contractual obligations. As of September 30, 2021, ALLETE South Wind has $13.2 million outstanding in standby letters of credit, related to its portion of the security requirements relative to its ownership in Nobles 2. We do not believe it is likely that any of these outstanding letters of credit will be drawn upon.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BNI Energy</w:t>
      </w:r>
      <w:r>
        <w:rPr>
          <w:rFonts w:ascii="Arial" w:cs="Arial" w:eastAsia="Arial" w:hAnsi="Arial"/>
          <w:sz w:val="18"/>
          <w:szCs w:val="18"/>
          <w:color w:val="auto"/>
        </w:rPr>
        <w:t>. As of September 30, 2021, BNI Energy had surety bonds outstanding of $71.2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$70.7 million. BNI Energy does not believe it is likely that any of these outstanding surety bonds will be drawn upon.</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ALLETE Properties</w:t>
      </w:r>
      <w:r>
        <w:rPr>
          <w:rFonts w:ascii="Arial" w:cs="Arial" w:eastAsia="Arial" w:hAnsi="Arial"/>
          <w:sz w:val="16"/>
          <w:szCs w:val="16"/>
          <w:color w:val="auto"/>
        </w:rPr>
        <w:t>. As of September 30, 2021, ALLETE Properties had surety bonds outstanding and letters of credit to governmental entities totaling $2.0 million primarily related to development and maintenance obligations for various projects. The estimated cost of the remaining development work is $1.0 million. ALLETE Properties does not believe it is likely that any of these outstanding surety bonds or letters of credit will be drawn upon.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Community Development District Obligations. </w:t>
      </w:r>
      <w:r>
        <w:rPr>
          <w:rFonts w:ascii="Arial" w:cs="Arial" w:eastAsia="Arial" w:hAnsi="Arial"/>
          <w:sz w:val="18"/>
          <w:szCs w:val="18"/>
          <w:color w:val="auto"/>
        </w:rPr>
        <w:t>As of September 30, 2021, we owned 48 percent of the assessable land in the Town Center District (48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as of December 31, 2020). As of September 30, 2021, ownership levels, our annual assessments related to capital improvement and special assessment bonds for the ALLETE Properties project within the district is approximately $1.8 million. As we sell property at this project, the obligation to pay special assessments will pass to the new landowners. In accordance with accounting guidance, these bonds are not reflected as debt on our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 AND COMMON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Basic and Diluted</w:t>
            </w: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Diluted</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Securities</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$27.6</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$40.7</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52.4</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51.9</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$0.53</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$0.78</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$107.3</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$107.3</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$127.1</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52.3</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51.8</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$2.05</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$2.45</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NOTE 8. INCOME TAX EXPENSE</w:t>
            </w:r>
          </w:p>
        </w:tc>
        <w:tc>
          <w:tcPr>
            <w:tcW w:w="2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6"/>
        </w:trPr>
        <w:tc>
          <w:tcPr>
            <w:tcW w:w="5020" w:type="dxa"/>
            <w:vAlign w:val="bottom"/>
          </w:tcPr>
          <w:p>
            <w:pPr>
              <w:spacing w:after="0"/>
              <w:rPr>
                <w:sz w:val="24"/>
                <w:szCs w:val="24"/>
                <w:color w:val="auto"/>
              </w:rPr>
            </w:pPr>
          </w:p>
        </w:tc>
        <w:tc>
          <w:tcPr>
            <w:tcW w:w="40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2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020" w:type="dxa"/>
            <w:vAlign w:val="bottom"/>
          </w:tcPr>
          <w:p>
            <w:pPr>
              <w:spacing w:after="0"/>
              <w:rPr>
                <w:sz w:val="19"/>
                <w:szCs w:val="19"/>
                <w:color w:val="auto"/>
              </w:rPr>
            </w:pPr>
          </w:p>
        </w:tc>
        <w:tc>
          <w:tcPr>
            <w:tcW w:w="40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2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0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2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Federal</w:t>
            </w:r>
          </w:p>
        </w:tc>
        <w:tc>
          <w:tcPr>
            <w:tcW w:w="29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9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0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Income Tax Expense</w:t>
            </w:r>
          </w:p>
        </w:tc>
        <w:tc>
          <w:tcPr>
            <w:tcW w:w="2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2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$(5.8)</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$(26.3)</w:t>
            </w:r>
          </w:p>
        </w:tc>
        <w:tc>
          <w:tcPr>
            <w:tcW w:w="98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9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0.9</w:t>
            </w:r>
          </w:p>
        </w:tc>
        <w:tc>
          <w:tcPr>
            <w:tcW w:w="11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7.3</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7.1</w:t>
            </w:r>
          </w:p>
        </w:tc>
      </w:tr>
      <w:tr>
        <w:trPr>
          <w:trHeight w:val="229"/>
        </w:trPr>
        <w:tc>
          <w:tcPr>
            <w:tcW w:w="5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 Amortization</w:t>
            </w:r>
          </w:p>
        </w:tc>
        <w:tc>
          <w:tcPr>
            <w:tcW w:w="2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0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Income Tax Benefit</w:t>
            </w:r>
          </w:p>
        </w:tc>
        <w:tc>
          <w:tcPr>
            <w:tcW w:w="2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Benefit</w:t>
            </w:r>
          </w:p>
        </w:tc>
        <w:tc>
          <w:tcPr>
            <w:tcW w:w="2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r>
    </w:tbl>
    <w:p>
      <w:pPr>
        <w:spacing w:after="0" w:line="98" w:lineRule="exact"/>
        <w:rPr>
          <w:sz w:val="20"/>
          <w:szCs w:val="20"/>
          <w:color w:val="auto"/>
        </w:rPr>
      </w:pPr>
    </w:p>
    <w:p>
      <w:pPr>
        <w:ind w:left="340" w:hanging="332"/>
        <w:spacing w:after="0" w:line="272" w:lineRule="auto"/>
        <w:tabs>
          <w:tab w:leader="none" w:pos="340"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For each of the three and nine months ended September 30, 2021 and 2020, the federal and state current tax expense was minimal due to NOLs which resulted from the bonus depreciation provisions of certain tax legislation. Federal and state NOLs are being carried forward to offset current and future taxable income.</w:t>
      </w:r>
    </w:p>
    <w:p>
      <w:pPr>
        <w:spacing w:after="0" w:line="1" w:lineRule="exact"/>
        <w:rPr>
          <w:rFonts w:ascii="Arial" w:cs="Arial" w:eastAsia="Arial" w:hAnsi="Arial"/>
          <w:sz w:val="15"/>
          <w:szCs w:val="15"/>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three and nine months ended September 30, 2021 and 2020, the federal income tax benefit is primarily due to production tax credits.</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3040" w:type="dxa"/>
            <w:vAlign w:val="bottom"/>
            <w:gridSpan w:val="2"/>
          </w:tcPr>
          <w:p>
            <w:pPr>
              <w:ind w:left="1100"/>
              <w:spacing w:after="0"/>
              <w:rPr>
                <w:sz w:val="20"/>
                <w:szCs w:val="20"/>
                <w:color w:val="auto"/>
              </w:rPr>
            </w:pPr>
            <w:r>
              <w:rPr>
                <w:rFonts w:ascii="Arial" w:cs="Arial" w:eastAsia="Arial" w:hAnsi="Arial"/>
                <w:sz w:val="18"/>
                <w:szCs w:val="18"/>
                <w:b w:val="1"/>
                <w:bCs w:val="1"/>
                <w:color w:val="auto"/>
              </w:rPr>
              <w:t>Quarter Ended</w:t>
            </w:r>
          </w:p>
        </w:tc>
        <w:tc>
          <w:tcPr>
            <w:tcW w:w="23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0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23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Rate to Total Income Tax Expense</w:t>
            </w:r>
          </w:p>
        </w:tc>
        <w:tc>
          <w:tcPr>
            <w:tcW w:w="18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8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$19.2</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$33.3</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$69.9</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$92.4</w:t>
            </w: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Statutory Federal Income Tax Rate</w:t>
            </w:r>
          </w:p>
        </w:tc>
        <w:tc>
          <w:tcPr>
            <w:tcW w:w="1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21 %</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21 %</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Computed at Statutory Federal Rate</w:t>
            </w:r>
          </w:p>
        </w:tc>
        <w:tc>
          <w:tcPr>
            <w:tcW w:w="1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$7.0</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$14.7</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$19.4</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Increase (Decrease) in Income Tax Due to:</w:t>
            </w:r>
          </w:p>
        </w:tc>
        <w:tc>
          <w:tcPr>
            <w:tcW w:w="1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 (Credit) – Net of Federal Income Tax Benefit</w:t>
            </w:r>
          </w:p>
        </w:tc>
        <w:tc>
          <w:tcPr>
            <w:tcW w:w="1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0.7</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Production Tax Credits</w:t>
            </w:r>
          </w:p>
        </w:tc>
        <w:tc>
          <w:tcPr>
            <w:tcW w:w="1860" w:type="dxa"/>
            <w:vAlign w:val="bottom"/>
          </w:tcPr>
          <w:p>
            <w:pPr>
              <w:ind w:left="1120"/>
              <w:spacing w:after="0"/>
              <w:rPr>
                <w:sz w:val="20"/>
                <w:szCs w:val="20"/>
                <w:color w:val="auto"/>
              </w:rPr>
            </w:pPr>
            <w:r>
              <w:rPr>
                <w:rFonts w:ascii="Arial" w:cs="Arial" w:eastAsia="Arial" w:hAnsi="Arial"/>
                <w:sz w:val="18"/>
                <w:szCs w:val="18"/>
                <w:color w:val="auto"/>
              </w:rPr>
              <w:t>(9.5)</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(12.5)</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(36.6)</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(45.9)</w:t>
            </w: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Differences – Excess Deferred Tax</w:t>
            </w:r>
          </w:p>
        </w:tc>
        <w:tc>
          <w:tcPr>
            <w:tcW w:w="18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(2.1)</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(6.7)</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Non-Controlling Interest in Subsidiaries</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0.8</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0.4</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3.9</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1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0.5</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30"/>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0.4</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(0.9)</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r>
      <w:tr>
        <w:trPr>
          <w:trHeight w:val="223"/>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Income Tax Benefit</w:t>
            </w:r>
          </w:p>
        </w:tc>
        <w:tc>
          <w:tcPr>
            <w:tcW w:w="18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$(4.9)</w:t>
            </w: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$(5.5)</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$(19.3)</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nine months ended September 30, 2021, the effective tax rate was a benefit of 27.6 percent (benefit of 30.1 percent for the nine months ended September 30, 2020). The effective tax rate for 2021 and 2020 was primarily impacted by production tax credits.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September 30, 2021, we had gross unrecognized tax benefits of $1.5 million ($1.4 million as of December 31, 2020).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has no open federal or state audits, and is no longer subject to federal examination for years before 2017, or state examination for years before 2016.</w:t>
      </w:r>
    </w:p>
    <w:p>
      <w:pPr>
        <w:sectPr>
          <w:pgSz w:w="11900" w:h="16838" w:orient="portrait"/>
          <w:cols w:equalWidth="0" w:num="1">
            <w:col w:w="11240"/>
          </w:cols>
          <w:pgMar w:left="320" w:top="1242"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2021 Form 10-Q</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9. PENSION AND OTHER POSTRETIREMENT BENEFIT PLANS</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560" w:type="dxa"/>
            <w:vAlign w:val="bottom"/>
          </w:tcPr>
          <w:p>
            <w:pPr>
              <w:spacing w:after="0"/>
              <w:rPr>
                <w:sz w:val="24"/>
                <w:szCs w:val="2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Pension</w:t>
            </w: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2020</w:t>
            </w: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$2.7</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$0.9</w:t>
            </w: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6.1</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6.9</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(10.8)</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(1.9)</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Net Loss</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4.7</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$2.7</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$8.2</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18.4</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20.9</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(32.5)</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(32.0)</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(7.3)</w:t>
            </w: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Amortization of Net Loss</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14.1</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9.6</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$8.1</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$6.4</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(credit) are included in the line item “Other” under Other Income (Expense) on the Consolidated Statement of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nine months ended September 30, 2021, we contributed $10.3 million in cash to the defined benefit pension plans</w:t>
      </w:r>
      <w:r>
        <w:rPr>
          <w:rFonts w:ascii="Arial" w:cs="Arial" w:eastAsia="Arial" w:hAnsi="Arial"/>
          <w:sz w:val="18"/>
          <w:szCs w:val="18"/>
          <w:b w:val="1"/>
          <w:bCs w:val="1"/>
          <w:color w:val="auto"/>
        </w:rPr>
        <w:t xml:space="preserve"> </w:t>
      </w:r>
      <w:r>
        <w:rPr>
          <w:rFonts w:ascii="Arial" w:cs="Arial" w:eastAsia="Arial" w:hAnsi="Arial"/>
          <w:sz w:val="18"/>
          <w:szCs w:val="18"/>
          <w:color w:val="auto"/>
        </w:rPr>
        <w:t>($10.7 million for the nine months ended September 30, 2020); we do not expect to make additional contributions to our defined benefit pension plans in 2021. For the nine months ended September 30, 2021 and 2020, we made no contributions to our other postretirement benefit plans; we do not expect to make any contributions to our other postretirement benefit plans in 2021.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two reportable segments: Regulated Operations and ALLETE Clean Energy. We measure performance of our operations through budgeting and monitoring of contributions to consolidated net income by each business segment.</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two operating segments,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approximately 4,000 acres of land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NOTE 10. BUSINESS SEGMENTS (Continued)</w:t>
            </w:r>
          </w:p>
        </w:tc>
        <w:tc>
          <w:tcPr>
            <w:tcW w:w="2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390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Quarter Ended</w:t>
            </w:r>
          </w:p>
        </w:tc>
        <w:tc>
          <w:tcPr>
            <w:tcW w:w="18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90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9"/>
                <w:szCs w:val="19"/>
                <w:color w:val="auto"/>
              </w:rPr>
            </w:pPr>
          </w:p>
        </w:tc>
        <w:tc>
          <w:tcPr>
            <w:tcW w:w="18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2021</w:t>
            </w:r>
          </w:p>
        </w:tc>
        <w:tc>
          <w:tcPr>
            <w:tcW w:w="10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5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Regulated Operations</w:t>
            </w:r>
          </w:p>
        </w:tc>
        <w:tc>
          <w:tcPr>
            <w:tcW w:w="2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$37.0</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44.3</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124.7</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139.7</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109.6</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407.8</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Power Suppliers</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41.2</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 xml:space="preserve">CIP Financial Incentive </w:t>
            </w:r>
            <w:r>
              <w:rPr>
                <w:rFonts w:ascii="Arial" w:cs="Arial" w:eastAsia="Arial" w:hAnsi="Arial"/>
                <w:sz w:val="16"/>
                <w:szCs w:val="16"/>
                <w:i w:val="1"/>
                <w:iCs w:val="1"/>
                <w:color w:val="auto"/>
              </w:rPr>
              <w:t>(a)</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25.8</w:t>
            </w:r>
          </w:p>
        </w:tc>
        <w:tc>
          <w:tcPr>
            <w:tcW w:w="13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29.7</w:t>
            </w:r>
          </w:p>
        </w:tc>
        <w:tc>
          <w:tcPr>
            <w:tcW w:w="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4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Regulated Operations</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304.8</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255.1</w:t>
            </w: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888.2</w:t>
            </w: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ALLETE Clean Energy</w:t>
            </w:r>
          </w:p>
        </w:tc>
        <w:tc>
          <w:tcPr>
            <w:tcW w:w="2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PSA</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14.0</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ALLETE Clean Energy</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16.9</w:t>
            </w:r>
          </w:p>
        </w:tc>
        <w:tc>
          <w:tcPr>
            <w:tcW w:w="13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14.8</w:t>
            </w:r>
          </w:p>
        </w:tc>
        <w:tc>
          <w:tcPr>
            <w:tcW w:w="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25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Long-term Contract</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3.4</w:t>
            </w:r>
          </w:p>
        </w:tc>
        <w:tc>
          <w:tcPr>
            <w:tcW w:w="13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4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Corporate and Other</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23.7</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24.0</w:t>
            </w: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Operating Revenue</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$345.4</w:t>
            </w:r>
          </w:p>
        </w:tc>
        <w:tc>
          <w:tcPr>
            <w:tcW w:w="13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$293.9</w:t>
            </w:r>
          </w:p>
        </w:tc>
        <w:tc>
          <w:tcPr>
            <w:tcW w:w="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$1,020.2</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ALLETE</w:t>
            </w:r>
          </w:p>
        </w:tc>
        <w:tc>
          <w:tcPr>
            <w:tcW w:w="2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 Operations</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$32.9</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Clean Energy</w:t>
            </w:r>
          </w:p>
        </w:tc>
        <w:tc>
          <w:tcPr>
            <w:tcW w:w="2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2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3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4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Total Net Income Attributable to ALLETE</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$27.6</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$40.7</w:t>
            </w: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5480" w:type="dxa"/>
            <w:vAlign w:val="bottom"/>
          </w:tcPr>
          <w:p>
            <w:pPr>
              <w:spacing w:after="0"/>
              <w:rPr>
                <w:sz w:val="20"/>
                <w:szCs w:val="20"/>
                <w:color w:val="auto"/>
              </w:rPr>
            </w:pPr>
            <w:r>
              <w:rPr>
                <w:rFonts w:ascii="Arial" w:cs="Arial" w:eastAsia="Arial" w:hAnsi="Arial"/>
                <w:sz w:val="16"/>
                <w:szCs w:val="16"/>
                <w:i w:val="1"/>
                <w:iCs w:val="1"/>
                <w:color w:val="auto"/>
              </w:rPr>
              <w:t>(a)  See Note 2. Regulatory Matters.</w:t>
            </w:r>
          </w:p>
        </w:tc>
        <w:tc>
          <w:tcPr>
            <w:tcW w:w="25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8"/>
        </w:trPr>
        <w:tc>
          <w:tcPr>
            <w:tcW w:w="1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8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llions</w:t>
            </w:r>
          </w:p>
        </w:tc>
        <w:tc>
          <w:tcPr>
            <w:tcW w:w="2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sets</w:t>
            </w:r>
          </w:p>
        </w:tc>
        <w:tc>
          <w:tcPr>
            <w:tcW w:w="2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Regulated Operations</w:t>
            </w:r>
          </w:p>
        </w:tc>
        <w:tc>
          <w:tcPr>
            <w:tcW w:w="2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$4,207.4</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8"/>
              </w:rPr>
              <w:t>$4,196.8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vMerge w:val="continue"/>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ALLETE Clean Energy</w:t>
            </w:r>
          </w:p>
        </w:tc>
        <w:tc>
          <w:tcPr>
            <w:tcW w:w="2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1,691.4</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1,483.3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vMerge w:val="continue"/>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and Other</w:t>
            </w:r>
          </w:p>
        </w:tc>
        <w:tc>
          <w:tcPr>
            <w:tcW w:w="2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5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$6,332.2</w:t>
            </w:r>
          </w:p>
        </w:tc>
        <w:tc>
          <w:tcPr>
            <w:tcW w:w="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$6,084.6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-1019175</wp:posOffset>
            </wp:positionV>
            <wp:extent cx="690054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00545" cy="1454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60960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89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our 2020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including Part II, Item 1A Risk Factors, and our 2020 Form 10-K under the headings: “Forward-Looking Statements” located on page 6 and “Risk Factors” located in Part I, Item 1A, beginning on page 23 of our 2020 Form 10-K. The risks and uncertainties described in this Form 10-Q and our 2020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COVID-19 pandemic has had widespread impacts on the global economy and on our employees, customers, contractors, and suppliers. Additional disclosures regarding the impacts of the COVID-19 pandemic are located in our 2020 Form 10-K located in Outlook – Regulated Operations – Industrial Customers and Prospective Additional Load, Liquidity and Capital Resources – Liquidity Position and Part I, Item 1A. Risk Factors.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Regulatory Matters.)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focuses on developing, acquiring, and operating clean and renewable energy projects. ALLETE Clean Energy currently owns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operates, in seven states, more than 1,000 MW of nameplate capacity wind energy generation that is contracted under PSAs of various durations. In addition, ALLETE Clean Energy currently has an approximately 300 MW wind energy facility under construction. ALLETE Clean Energy also engages in the development of wind energy facilities to operate under long-term PSAs or for sale to others upon completion.</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an entity that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a 250 MW wind energy facility in southwestern Minnesota; South Shore Energy, our non-rate regulated, Wisconsin subsidiary developing NTEC, an approximately 600 MW proposed combined-cycle natural gas-fired generating facility; ALLETE Properties, our legacy Florida real estate investment; other business development and corporate expenditures; unallocated interest expense; a small amount of non-rate base generation; approximately 4,000 acres of land in Minnesota, and earnings on cash and investments.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2021, unless otherwise indicated. All subsidiaries are wholly-owned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net income discussion summarizes a comparison of the nine months ended September 30, 2021, to the nine months ended September 30, 2020.</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Net income attributable to ALLETE for the nine months ended September 30, 2021, was $107.3 million, or $2.05 per diluted share, compared to $127.1 million, or $2.45 per diluted share, for the same period in 2020. Net income in 2021 included an approximately $5 million after-tax, or $0.10 per share, negative impact related to ALLETE Clean Energy’s Diamond Spring wind energy facility due to an extreme winter storm event in the southwest United States in February 2021. This winter storm event caused volatility in power prices in the regional power market resulting in losses being incurred under one of the facility’s power sales agreements during portions of the winter storm event. Net income in 2020 included margins of $10.2 million after-tax, or $0.20 per share, in Regulated Operations for sales under a 100 MW PSA which expired in April 2020. Net income in 2020 also included reserves for interim rates of $8.3 million after-tax, or $0.16 per share, for the refund of interim rates collected between January 1, 2020, and April 30, 2020.</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net income attributable to ALLETE was $99.4 million for the nine months ended September 30, 2021, compared to $111.0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same period in 2020. Net income at Minnesota Power was lower than 2020 primarily due to: lower margins from Other Power Suppliers resulting from the expiration of a PSA; and higher operating and maintenance, property tax and depreciation expenses. These negative impacts were partially offset by increased earnings related to the GNTL; and higher kWh sales to residential, commercial and municipal customers. Net income in 2020 also included reserves for interim rates of $8.3 million after-tax for the refund of interim rates collected between January 1, 2020, and April 30, 2020. Net income at SWL&amp;P was lower than 2020 primarily due to higher operating expenses. Our after-tax equity earnings in ATC were lower compared to 2020 primarily due to period over period changes in ATC’s estimate of a refund liability related to the FERC decision on MISO return on equity complaints in 2020.</w:t>
      </w:r>
    </w:p>
    <w:p>
      <w:pPr>
        <w:spacing w:after="0" w:line="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net income attributable to ALLETE was $11.7 million for the nine months ended September 30, 2021, compared to $16.8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same period in 2020. Net income in 2021 included an approximately $5 million after-tax negative impact related to ALLETE Clean Energy’s Diamond Spring wind energy facility due to an extreme winter storm event in the southwest United States in February 2021 as well as a lower wind resources at other wind energy facilities. These negative impacts were partially offset by expense management efforts.</w:t>
      </w:r>
    </w:p>
    <w:p>
      <w:pPr>
        <w:spacing w:after="0" w:line="18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loss attributable to ALLETE was $3.8 million for the nine months ended September 30, 2021, compared to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$0.7 million for the same period in 2020. The net loss in 2021 included higher expenses and additional income tax expense recorded in 2021 as GAAP requires the recognition of income taxes at the estimated annual effective tax rate. These negative impacts were partially offset by earnings from our investment in Nobles 2 which commenced operations in December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 ENDED SEPTEMBER 30, 2021 AND 2020</w:t>
            </w:r>
          </w:p>
        </w:tc>
        <w:tc>
          <w:tcPr>
            <w:tcW w:w="2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792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$304.8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29"/>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480" w:type="dxa"/>
            <w:vAlign w:val="bottom"/>
          </w:tcPr>
          <w:p>
            <w:pPr>
              <w:jc w:val="right"/>
              <w:ind w:right="230"/>
              <w:spacing w:after="0"/>
              <w:rPr>
                <w:sz w:val="20"/>
                <w:szCs w:val="20"/>
                <w:color w:val="auto"/>
              </w:rPr>
            </w:pPr>
            <w:r>
              <w:rPr>
                <w:rFonts w:ascii="Arial" w:cs="Arial" w:eastAsia="Arial" w:hAnsi="Arial"/>
                <w:sz w:val="18"/>
                <w:szCs w:val="18"/>
                <w:color w:val="auto"/>
              </w:rPr>
              <w:t>140.1</w:t>
            </w:r>
          </w:p>
        </w:tc>
        <w:tc>
          <w:tcPr>
            <w:tcW w:w="84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80" w:type="dxa"/>
            <w:vAlign w:val="bottom"/>
          </w:tcPr>
          <w:p>
            <w:pPr>
              <w:jc w:val="right"/>
              <w:ind w:right="230"/>
              <w:spacing w:after="0"/>
              <w:rPr>
                <w:sz w:val="20"/>
                <w:szCs w:val="20"/>
                <w:color w:val="auto"/>
              </w:rPr>
            </w:pPr>
            <w:r>
              <w:rPr>
                <w:rFonts w:ascii="Arial" w:cs="Arial" w:eastAsia="Arial" w:hAnsi="Arial"/>
                <w:sz w:val="18"/>
                <w:szCs w:val="18"/>
                <w:color w:val="auto"/>
              </w:rPr>
              <w:t>53.2</w:t>
            </w:r>
          </w:p>
        </w:tc>
        <w:tc>
          <w:tcPr>
            <w:tcW w:w="84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29"/>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440" w:type="dxa"/>
            <w:vAlign w:val="bottom"/>
          </w:tcPr>
          <w:p>
            <w:pPr>
              <w:spacing w:after="0"/>
              <w:rPr>
                <w:sz w:val="19"/>
                <w:szCs w:val="19"/>
                <w:color w:val="auto"/>
              </w:rPr>
            </w:pPr>
          </w:p>
        </w:tc>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80" w:type="dxa"/>
            <w:vAlign w:val="bottom"/>
          </w:tcPr>
          <w:p>
            <w:pPr>
              <w:jc w:val="right"/>
              <w:ind w:right="170"/>
              <w:spacing w:after="0"/>
              <w:rPr>
                <w:sz w:val="20"/>
                <w:szCs w:val="20"/>
                <w:color w:val="auto"/>
              </w:rPr>
            </w:pPr>
            <w:r>
              <w:rPr>
                <w:rFonts w:ascii="Arial" w:cs="Arial" w:eastAsia="Arial" w:hAnsi="Arial"/>
                <w:sz w:val="18"/>
                <w:szCs w:val="18"/>
                <w:color w:val="auto"/>
              </w:rPr>
              <w:t>(14.5)</w:t>
            </w: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440" w:type="dxa"/>
            <w:vAlign w:val="bottom"/>
          </w:tcPr>
          <w:p>
            <w:pPr>
              <w:spacing w:after="0"/>
              <w:rPr>
                <w:sz w:val="19"/>
                <w:szCs w:val="19"/>
                <w:color w:val="auto"/>
              </w:rPr>
            </w:pPr>
          </w:p>
        </w:tc>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29"/>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44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$32.9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bl>
    <w:p>
      <w:pPr>
        <w:spacing w:after="0" w:line="33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Utility </w:t>
      </w:r>
      <w:r>
        <w:rPr>
          <w:rFonts w:ascii="Arial" w:cs="Arial" w:eastAsia="Arial" w:hAnsi="Arial"/>
          <w:sz w:val="17"/>
          <w:szCs w:val="17"/>
          <w:color w:val="auto"/>
        </w:rPr>
        <w:t>increased $49.7 million from 2020 primarily due to higher fuel adjustment clause recoveries and higher kWh sales.</w:t>
      </w:r>
    </w:p>
    <w:p>
      <w:pPr>
        <w:spacing w:after="0" w:line="26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Fuel adjustment clause revenue increased $27.4 million due to higher fuel and purchased power costs attributable to retail and municipal customers.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Revenue from kWh sales increased $23.6 million from 2020 reflecting higher sales to commercial and industrial customers as well as other power suppliers. Sales to commercial and industrial customers increased primarily due to improving business conditions related to the COVID-19 pandemic and its impact on customer operations. Many commercial and industrial customers operated at reduced levels or were temporarily closed or idled during the third quarter of 2020 as a result of the COVID-19 pandemic and related governmental responses while business conditions have improved in 2021. These higher sales to commercial and industrial customers were partially offset by lower sales to Verso Corporation which indefinitely idled its paper mill in Duluth, Minnesota in 2020. (See Outlook – Regulated Operations – Industrial Customers and Prospective Additional Load.) Sales to other power suppliers, which are sold at market-based prices into the MISO market on a daily basis or through PSAs of various durations, increased primarily due to additional kWh sales made to mitigate the uncertainty of customers’ energy needs and potential load loss due to the COVID-19 pandemic.</w:t>
      </w:r>
    </w:p>
    <w:p>
      <w:pPr>
        <w:spacing w:after="0" w:line="26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268</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268</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360</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345</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15</w:t>
            </w:r>
          </w:p>
        </w:tc>
        <w:tc>
          <w:tcPr>
            <w:tcW w:w="68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1,778</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1,410</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26.1 %</w:t>
            </w:r>
          </w:p>
        </w:tc>
      </w:tr>
      <w:tr>
        <w:trPr>
          <w:trHeight w:val="229"/>
        </w:trPr>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147</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147</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2,553</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2,170</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1,253</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967</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286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29.6 %</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3,806</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3,137</w:t>
            </w:r>
          </w:p>
        </w:tc>
        <w:tc>
          <w:tcPr>
            <w:tcW w:w="14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669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QUARTER ENDED SEPTEMBER 30, 2021 AND 2020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32 percent of regulated operating revenue in 2021 (29 percent in 2020). Revenue from electric sales to paper, pulp and secondary wood product customers accounted for 5 percent of regulated operating revenue in 2021 (6 percent in 2020). Revenue from electric sales to pipelines and other industrial customers accounted for 8 percent of regulated operating revenue in 2021 (8 percent in 2020).</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$59.0 million, or 28 percent, from 2020.</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$46.7 million, or 50 percent, from 2020 primarily due to higher purchased power prices,</w:t>
      </w:r>
      <w:r>
        <w:rPr>
          <w:rFonts w:ascii="Arial" w:cs="Arial" w:eastAsia="Arial" w:hAnsi="Arial"/>
          <w:sz w:val="18"/>
          <w:szCs w:val="18"/>
          <w:i w:val="1"/>
          <w:iCs w:val="1"/>
          <w:color w:val="auto"/>
        </w:rPr>
        <w:t xml:space="preserve"> </w:t>
      </w:r>
      <w:r>
        <w:rPr>
          <w:rFonts w:ascii="Arial" w:cs="Arial" w:eastAsia="Arial" w:hAnsi="Arial"/>
          <w:sz w:val="18"/>
          <w:szCs w:val="18"/>
          <w:color w:val="auto"/>
        </w:rPr>
        <w:t>kWh sales and fuel costs. Fuel and purchased power expense related to our retail and municipal customers is recovered through the fuel adjustment clause.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$4.3 million, or 29 percent, from 2020 primarily due to higher MISO-related expense.</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$5.1 million, or 11 percent, from 2020 primarily due to an increase in contract and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materials purchased for generation facilities and higher vegetation management expenses. In addition, 2021 included higher labor and benefit expenses as compared to 2020.</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$1.3 million, or 3 percent, from 2020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$1.6 million, or 13 percent, from 2020 primarily due to higher property tax expense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taxable market values.</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was similar to 2020 reflecting lower production tax credits and the timing of income taxes in 2021 compared to 2020, mostly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lower pre-tax income. The income tax benefit in 2021 included less income tax benefit recorded in 2021 as GAAP requires the recognition of income taxes at the estimated annual effective tax rate.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our annual effective tax rate in 2021 to be a lower income tax benefit than in 2020 primarily due to lower production tax credits.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6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4"/>
        </w:trPr>
        <w:tc>
          <w:tcPr>
            <w:tcW w:w="440" w:type="dxa"/>
            <w:vAlign w:val="bottom"/>
          </w:tcPr>
          <w:p>
            <w:pPr>
              <w:spacing w:after="0"/>
              <w:rPr>
                <w:sz w:val="24"/>
                <w:szCs w:val="24"/>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3600" w:type="dxa"/>
            <w:vAlign w:val="bottom"/>
            <w:tcBorders>
              <w:bottom w:val="single" w:sz="8" w:color="auto"/>
            </w:tcBorders>
          </w:tcPr>
          <w:p>
            <w:pPr>
              <w:ind w:left="292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44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642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3600" w:type="dxa"/>
            <w:vAlign w:val="bottom"/>
          </w:tcPr>
          <w:p>
            <w:pPr>
              <w:jc w:val="right"/>
              <w:ind w:right="290"/>
              <w:spacing w:after="0"/>
              <w:rPr>
                <w:sz w:val="20"/>
                <w:szCs w:val="20"/>
                <w:color w:val="auto"/>
              </w:rPr>
            </w:pPr>
            <w:r>
              <w:rPr>
                <w:rFonts w:ascii="Arial" w:cs="Arial" w:eastAsia="Arial" w:hAnsi="Arial"/>
                <w:sz w:val="18"/>
                <w:szCs w:val="18"/>
                <w:color w:val="auto"/>
              </w:rPr>
              <w:t>$14.0</w:t>
            </w: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440" w:type="dxa"/>
            <w:vAlign w:val="bottom"/>
          </w:tcPr>
          <w:p>
            <w:pPr>
              <w:spacing w:after="0"/>
              <w:rPr>
                <w:sz w:val="19"/>
                <w:szCs w:val="19"/>
                <w:color w:val="auto"/>
              </w:rPr>
            </w:pPr>
          </w:p>
        </w:tc>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3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44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60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44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440" w:type="dxa"/>
            <w:vAlign w:val="bottom"/>
          </w:tcPr>
          <w:p>
            <w:pPr>
              <w:spacing w:after="0"/>
              <w:rPr>
                <w:sz w:val="19"/>
                <w:szCs w:val="19"/>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3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440" w:type="dxa"/>
            <w:vAlign w:val="bottom"/>
          </w:tcPr>
          <w:p>
            <w:pPr>
              <w:spacing w:after="0"/>
              <w:rPr>
                <w:sz w:val="19"/>
                <w:szCs w:val="19"/>
                <w:color w:val="auto"/>
              </w:rPr>
            </w:pPr>
          </w:p>
        </w:tc>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360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(7.3)</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(6.1)</w:t>
            </w:r>
          </w:p>
        </w:tc>
      </w:tr>
      <w:tr>
        <w:trPr>
          <w:trHeight w:val="230"/>
        </w:trPr>
        <w:tc>
          <w:tcPr>
            <w:tcW w:w="440" w:type="dxa"/>
            <w:vAlign w:val="bottom"/>
          </w:tcPr>
          <w:p>
            <w:pPr>
              <w:spacing w:after="0"/>
              <w:rPr>
                <w:sz w:val="19"/>
                <w:szCs w:val="19"/>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3600" w:type="dxa"/>
            <w:vAlign w:val="bottom"/>
            <w:tcBorders>
              <w:bottom w:val="single" w:sz="8" w:color="auto"/>
            </w:tcBorders>
          </w:tcPr>
          <w:p>
            <w:pPr>
              <w:ind w:left="2920"/>
              <w:spacing w:after="0"/>
              <w:rPr>
                <w:sz w:val="20"/>
                <w:szCs w:val="20"/>
                <w:color w:val="auto"/>
              </w:rPr>
            </w:pPr>
            <w:r>
              <w:rPr>
                <w:rFonts w:ascii="Arial" w:cs="Arial" w:eastAsia="Arial" w:hAnsi="Arial"/>
                <w:sz w:val="18"/>
                <w:szCs w:val="18"/>
                <w:color w:val="auto"/>
              </w:rPr>
              <w:t>(0.3)</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7"/>
              </w:rPr>
              <w:t>(0.4)</w:t>
            </w:r>
          </w:p>
        </w:tc>
      </w:tr>
      <w:tr>
        <w:trPr>
          <w:trHeight w:val="223"/>
        </w:trPr>
        <w:tc>
          <w:tcPr>
            <w:tcW w:w="440" w:type="dxa"/>
            <w:vAlign w:val="bottom"/>
          </w:tcPr>
          <w:p>
            <w:pPr>
              <w:spacing w:after="0"/>
              <w:rPr>
                <w:sz w:val="19"/>
                <w:szCs w:val="19"/>
                <w:color w:val="auto"/>
              </w:rPr>
            </w:pPr>
          </w:p>
        </w:tc>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360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(7.6)</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(6.5)</w:t>
            </w:r>
          </w:p>
        </w:tc>
      </w:tr>
      <w:tr>
        <w:trPr>
          <w:trHeight w:val="230"/>
        </w:trPr>
        <w:tc>
          <w:tcPr>
            <w:tcW w:w="440" w:type="dxa"/>
            <w:vAlign w:val="bottom"/>
          </w:tcPr>
          <w:p>
            <w:pPr>
              <w:spacing w:after="0"/>
              <w:rPr>
                <w:sz w:val="19"/>
                <w:szCs w:val="19"/>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600" w:type="dxa"/>
            <w:vAlign w:val="bottom"/>
            <w:tcBorders>
              <w:bottom w:val="single" w:sz="8" w:color="auto"/>
            </w:tcBorders>
          </w:tcPr>
          <w:p>
            <w:pPr>
              <w:ind w:left="2920"/>
              <w:spacing w:after="0"/>
              <w:rPr>
                <w:sz w:val="20"/>
                <w:szCs w:val="20"/>
                <w:color w:val="auto"/>
              </w:rPr>
            </w:pPr>
            <w:r>
              <w:rPr>
                <w:rFonts w:ascii="Arial" w:cs="Arial" w:eastAsia="Arial" w:hAnsi="Arial"/>
                <w:sz w:val="18"/>
                <w:szCs w:val="18"/>
                <w:color w:val="auto"/>
              </w:rPr>
              <w:t>(4.2)</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7"/>
              </w:rPr>
              <w:t>(5.7)</w:t>
            </w:r>
          </w:p>
        </w:tc>
      </w:tr>
      <w:tr>
        <w:trPr>
          <w:trHeight w:val="223"/>
        </w:trPr>
        <w:tc>
          <w:tcPr>
            <w:tcW w:w="44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3600" w:type="dxa"/>
            <w:vAlign w:val="bottom"/>
            <w:tcBorders>
              <w:bottom w:val="single" w:sz="8" w:color="auto"/>
            </w:tcBorders>
            <w:shd w:val="clear" w:color="auto" w:fill="CCEEFF"/>
          </w:tcPr>
          <w:p>
            <w:pPr>
              <w:ind w:left="2920"/>
              <w:spacing w:after="0"/>
              <w:rPr>
                <w:sz w:val="20"/>
                <w:szCs w:val="20"/>
                <w:color w:val="auto"/>
              </w:rPr>
            </w:pPr>
            <w:r>
              <w:rPr>
                <w:rFonts w:ascii="Arial" w:cs="Arial" w:eastAsia="Arial" w:hAnsi="Arial"/>
                <w:sz w:val="18"/>
                <w:szCs w:val="18"/>
                <w:color w:val="auto"/>
              </w:rPr>
              <w:t>(3.4)</w:t>
            </w:r>
          </w:p>
        </w:tc>
        <w:tc>
          <w:tcPr>
            <w:tcW w:w="7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7"/>
              </w:rPr>
              <w:t>(0.8)</w:t>
            </w:r>
          </w:p>
        </w:tc>
      </w:tr>
      <w:tr>
        <w:trPr>
          <w:trHeight w:val="223"/>
        </w:trPr>
        <w:tc>
          <w:tcPr>
            <w:tcW w:w="440" w:type="dxa"/>
            <w:vAlign w:val="bottom"/>
          </w:tcPr>
          <w:p>
            <w:pPr>
              <w:spacing w:after="0"/>
              <w:rPr>
                <w:sz w:val="19"/>
                <w:szCs w:val="19"/>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600" w:type="dxa"/>
            <w:vAlign w:val="bottom"/>
            <w:tcBorders>
              <w:bottom w:val="single" w:sz="8" w:color="auto"/>
            </w:tcBorders>
          </w:tcPr>
          <w:p>
            <w:pPr>
              <w:ind w:left="2920"/>
              <w:spacing w:after="0"/>
              <w:rPr>
                <w:sz w:val="20"/>
                <w:szCs w:val="20"/>
                <w:color w:val="auto"/>
              </w:rPr>
            </w:pPr>
            <w:r>
              <w:rPr>
                <w:rFonts w:ascii="Arial" w:cs="Arial" w:eastAsia="Arial" w:hAnsi="Arial"/>
                <w:sz w:val="18"/>
                <w:szCs w:val="18"/>
                <w:color w:val="auto"/>
              </w:rPr>
              <w:t>(2.6)</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7"/>
              </w:rPr>
              <w:t>(1.9)</w:t>
            </w:r>
          </w:p>
        </w:tc>
      </w:tr>
      <w:tr>
        <w:trPr>
          <w:trHeight w:val="223"/>
        </w:trPr>
        <w:tc>
          <w:tcPr>
            <w:tcW w:w="44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ALLETE</w:t>
            </w:r>
          </w:p>
        </w:tc>
        <w:tc>
          <w:tcPr>
            <w:tcW w:w="3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QUARTER ENDED SEPTEMBER 30, 2021 AND 2020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$2.1 million, or 14 percent, from 2020 primarily due to revenue from the Diamond Spring wind energy facility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commenced operations in December 2020.</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w w:val="93"/>
              </w:rPr>
              <w:t>Quarter Ended 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kWh</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260" w:type="dxa"/>
            <w:vAlign w:val="bottom"/>
          </w:tcPr>
          <w:p>
            <w:pPr>
              <w:jc w:val="right"/>
              <w:spacing w:after="0"/>
              <w:rPr>
                <w:sz w:val="20"/>
                <w:szCs w:val="20"/>
                <w:color w:val="auto"/>
              </w:rPr>
            </w:pPr>
            <w:r>
              <w:rPr>
                <w:rFonts w:ascii="Arial" w:cs="Arial" w:eastAsia="Arial" w:hAnsi="Arial"/>
                <w:sz w:val="18"/>
                <w:szCs w:val="18"/>
                <w:color w:val="auto"/>
              </w:rPr>
              <w:t>39.8</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$3.6</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41.6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182.5</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South</w:t>
            </w:r>
          </w:p>
        </w:tc>
        <w:tc>
          <w:tcPr>
            <w:tcW w:w="1260" w:type="dxa"/>
            <w:vAlign w:val="bottom"/>
          </w:tcPr>
          <w:p>
            <w:pPr>
              <w:jc w:val="right"/>
              <w:spacing w:after="0"/>
              <w:rPr>
                <w:sz w:val="20"/>
                <w:szCs w:val="20"/>
                <w:color w:val="auto"/>
              </w:rPr>
            </w:pPr>
            <w:r>
              <w:rPr>
                <w:rFonts w:ascii="Arial" w:cs="Arial" w:eastAsia="Arial" w:hAnsi="Arial"/>
                <w:sz w:val="18"/>
                <w:szCs w:val="18"/>
                <w:color w:val="auto"/>
              </w:rPr>
              <w:t>152.6</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4.4</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166.3</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$16.9</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390.4</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decreased $0.6 million, or 6 percent, from 2020 primarily due to expense management efforts, partially offset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operating and maintenance expenses related to the Diamond Spring wind energy facility.</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$2.9 million, or 31 percent, from 2020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Diamond Spring wind energy facility.</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Taxes Other than Income Taxes </w:t>
      </w:r>
      <w:r>
        <w:rPr>
          <w:rFonts w:ascii="Arial" w:cs="Arial" w:eastAsia="Arial" w:hAnsi="Arial"/>
          <w:sz w:val="18"/>
          <w:szCs w:val="18"/>
          <w:color w:val="auto"/>
        </w:rPr>
        <w:t>increased $1.0 million from 2020 primarily due to higher property tax expense related to the Diamond Spring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facility.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$1.5 million from 2020 primarily due to lower production tax credits.</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$0.7 million from 2020 reflecting net losses attributable to non-controlling interest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Diamond Spring wind energy facility and higher net losses attributable to non-controlling interest for the Glen Ullin and South Peak wind energy facilities.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 2021 was similar to the same period in 2020.</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of $4.5 million in 2021 compared to a net loss of $2.8 million in 2020. The net loss in 2021 included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Net income at BNI Energy was $1.8 million in 2021 compared to $2.1 million in 2020. The net loss at ALLETE Properties was $0.5 million in 2021 compared to a net loss of $0.7 million in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43" w:lineRule="exact"/>
        <w:rPr>
          <w:sz w:val="20"/>
          <w:szCs w:val="20"/>
          <w:color w:val="auto"/>
        </w:rPr>
      </w:pPr>
    </w:p>
    <w:p>
      <w:pPr>
        <w:jc w:val="both"/>
        <w:ind w:left="340"/>
        <w:spacing w:after="0" w:line="307" w:lineRule="auto"/>
        <w:rPr>
          <w:sz w:val="20"/>
          <w:szCs w:val="20"/>
          <w:color w:val="auto"/>
        </w:rPr>
      </w:pPr>
      <w:r>
        <w:rPr>
          <w:rFonts w:ascii="Arial" w:cs="Arial" w:eastAsia="Arial" w:hAnsi="Arial"/>
          <w:sz w:val="16"/>
          <w:szCs w:val="16"/>
          <w:color w:val="auto"/>
        </w:rPr>
        <w:t>For the quarter ended September 30, 2021, the effective tax rate was a benefit of 25.5 percent (benefit of 16.5 percent for the quarter ended September 30, 2020). The effective tax rate for 2021 was a higher benefit primarily due to lower pre-tax income, partially offset by lower production tax credits.</w:t>
      </w:r>
    </w:p>
    <w:p>
      <w:pPr>
        <w:spacing w:after="0" w:line="150" w:lineRule="exact"/>
        <w:rPr>
          <w:sz w:val="20"/>
          <w:szCs w:val="20"/>
          <w:color w:val="auto"/>
        </w:rPr>
      </w:pPr>
    </w:p>
    <w:p>
      <w:pPr>
        <w:jc w:val="both"/>
        <w:ind w:left="340"/>
        <w:spacing w:after="0" w:line="235" w:lineRule="auto"/>
        <w:rPr>
          <w:sz w:val="20"/>
          <w:szCs w:val="20"/>
          <w:color w:val="auto"/>
        </w:rPr>
      </w:pPr>
      <w:r>
        <w:rPr>
          <w:rFonts w:ascii="Arial" w:cs="Arial" w:eastAsia="Arial" w:hAnsi="Arial"/>
          <w:sz w:val="18"/>
          <w:szCs w:val="18"/>
          <w:color w:val="auto"/>
        </w:rPr>
        <w:t>We expect our annual effective tax rate in 2021 to be a lower income tax benefit than in 2020 primarily due to lower production tax credits. The estimated annual effective tax rate can differ from what a quarterly effective tax rate would otherwise be on a standalone basis, and this may cause quarter to quarter differences in the timing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2021 AND 2020</w:t>
            </w:r>
          </w:p>
        </w:tc>
        <w:tc>
          <w:tcPr>
            <w:tcW w:w="2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$888.2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r>
      <w:tr>
        <w:trPr>
          <w:trHeight w:val="230"/>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280" w:type="dxa"/>
            <w:vAlign w:val="bottom"/>
          </w:tcPr>
          <w:p>
            <w:pPr>
              <w:jc w:val="right"/>
              <w:ind w:right="230"/>
              <w:spacing w:after="0"/>
              <w:rPr>
                <w:sz w:val="20"/>
                <w:szCs w:val="20"/>
                <w:color w:val="auto"/>
              </w:rPr>
            </w:pPr>
            <w:r>
              <w:rPr>
                <w:rFonts w:ascii="Arial" w:cs="Arial" w:eastAsia="Arial" w:hAnsi="Arial"/>
                <w:sz w:val="18"/>
                <w:szCs w:val="18"/>
                <w:color w:val="auto"/>
              </w:rPr>
              <w:t>389.4</w:t>
            </w:r>
          </w:p>
        </w:tc>
        <w:tc>
          <w:tcPr>
            <w:tcW w:w="840" w:type="dxa"/>
            <w:vAlign w:val="bottom"/>
          </w:tcPr>
          <w:p>
            <w:pPr>
              <w:jc w:val="right"/>
              <w:spacing w:after="0"/>
              <w:rPr>
                <w:sz w:val="20"/>
                <w:szCs w:val="20"/>
                <w:color w:val="auto"/>
              </w:rPr>
            </w:pPr>
            <w:r>
              <w:rPr>
                <w:rFonts w:ascii="Arial" w:cs="Arial" w:eastAsia="Arial" w:hAnsi="Arial"/>
                <w:sz w:val="18"/>
                <w:szCs w:val="18"/>
                <w:color w:val="auto"/>
              </w:rPr>
              <w:t>251.7</w:t>
            </w:r>
          </w:p>
        </w:tc>
      </w:tr>
      <w:tr>
        <w:trPr>
          <w:trHeight w:val="229"/>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56.1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80" w:type="dxa"/>
            <w:vAlign w:val="bottom"/>
          </w:tcPr>
          <w:p>
            <w:pPr>
              <w:jc w:val="right"/>
              <w:ind w:right="230"/>
              <w:spacing w:after="0"/>
              <w:rPr>
                <w:sz w:val="20"/>
                <w:szCs w:val="20"/>
                <w:color w:val="auto"/>
              </w:rPr>
            </w:pPr>
            <w:r>
              <w:rPr>
                <w:rFonts w:ascii="Arial" w:cs="Arial" w:eastAsia="Arial" w:hAnsi="Arial"/>
                <w:sz w:val="18"/>
                <w:szCs w:val="18"/>
                <w:color w:val="auto"/>
              </w:rPr>
              <w:t>158.9</w:t>
            </w:r>
          </w:p>
        </w:tc>
        <w:tc>
          <w:tcPr>
            <w:tcW w:w="840" w:type="dxa"/>
            <w:vAlign w:val="bottom"/>
          </w:tcPr>
          <w:p>
            <w:pPr>
              <w:jc w:val="right"/>
              <w:spacing w:after="0"/>
              <w:rPr>
                <w:sz w:val="20"/>
                <w:szCs w:val="20"/>
                <w:color w:val="auto"/>
              </w:rPr>
            </w:pPr>
            <w:r>
              <w:rPr>
                <w:rFonts w:ascii="Arial" w:cs="Arial" w:eastAsia="Arial" w:hAnsi="Arial"/>
                <w:sz w:val="18"/>
                <w:szCs w:val="18"/>
                <w:color w:val="auto"/>
              </w:rPr>
              <w:t>145.4</w:t>
            </w: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29"/>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r>
        <w:trPr>
          <w:trHeight w:val="223"/>
        </w:trPr>
        <w:tc>
          <w:tcPr>
            <w:tcW w:w="44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29"/>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(43.1)</w:t>
            </w:r>
          </w:p>
        </w:tc>
        <w:tc>
          <w:tcPr>
            <w:tcW w:w="84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44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30"/>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44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2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$99.4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r>
    </w:tbl>
    <w:p>
      <w:pPr>
        <w:spacing w:after="0" w:line="33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increased $167.0 million from 2020 primarily due to higher fuel adjustment clause recoveries, higher kWh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transmission revenue related to the GNTL, higher cost recovery rider revenue and higher FERC formula-based rates. Revenue in 2020 also included reserves for the refund of interim rates collected between January 1, 2020, and April 30, 2020.</w:t>
      </w:r>
    </w:p>
    <w:p>
      <w:pPr>
        <w:spacing w:after="0" w:line="20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Fuel adjustment clause revenue increased $83.6 million due to higher fuel and purchased power costs attributable to retail and municipal customers.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Revenue from kWh sales increased $42.6 million from 2020 reflecting higher sales to residential, commercial, industrial and municipal customers as well as other power suppliers. These increases were partially offset by lower revenue related to the expiration of a 100 MW PSA in April 2020. Sales to commercial and industrial customers increased primarily due to improving business conditions related to the COVID-19 pandemic and its impact on customer operations. Many commercial and industrial customers operated at reduced levels or were temporarily closed or idled during 2020 as a result of the COVID-19 pandemic and related governmental responses while business conditions have improved in 2021. These higher sales to commercial and industrial customers were partially offset by lower sales to and demand revenue from Verso Corporation which indefinitely idled its paper mill in Duluth, Minnesota in 2020. (See Outlook – Regulated Operations – Industrial Customers and Prospective Additional Load.) Sales to residential and municipal customers increased from 2020 primarily due to more favorable weather conditions in 2021 compared to 2020. Sales to other power suppliers, which are sold at market-based prices into the MISO market on a daily basis or through PSAs of various durations, increased primarily due to additional kWh sales made to mitigate the uncertainty of customers’ energy needs and potential load loss due to the COVID-19 pandemic.</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846</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835</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488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70"/>
              <w:spacing w:after="0"/>
              <w:rPr>
                <w:sz w:val="20"/>
                <w:szCs w:val="20"/>
                <w:color w:val="auto"/>
              </w:rPr>
            </w:pPr>
            <w:r>
              <w:rPr>
                <w:rFonts w:ascii="Arial" w:cs="Arial" w:eastAsia="Arial" w:hAnsi="Arial"/>
                <w:sz w:val="18"/>
                <w:szCs w:val="18"/>
                <w:color w:val="auto"/>
              </w:rPr>
              <w:t>1,018</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983</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35</w:t>
            </w:r>
          </w:p>
        </w:tc>
        <w:tc>
          <w:tcPr>
            <w:tcW w:w="68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4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5,351</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4,547</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r>
      <w:tr>
        <w:trPr>
          <w:trHeight w:val="230"/>
        </w:trPr>
        <w:tc>
          <w:tcPr>
            <w:tcW w:w="48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445</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434</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r>
      <w:tr>
        <w:trPr>
          <w:trHeight w:val="223"/>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7,660</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6,799</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861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30"/>
        </w:trPr>
        <w:tc>
          <w:tcPr>
            <w:tcW w:w="4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3,695</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2,495</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1,200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48.1 %</w:t>
            </w:r>
          </w:p>
        </w:tc>
      </w:tr>
      <w:tr>
        <w:trPr>
          <w:trHeight w:val="223"/>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11,355</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9,294</w:t>
            </w:r>
          </w:p>
        </w:tc>
        <w:tc>
          <w:tcPr>
            <w:tcW w:w="14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2,061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2021 Form 10-Q</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COMPARISON OF THE NINE MONTHS ENDED SEPTEMBER 30, 2021 AND 2020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32 percent of regulated operating revenue in 2021 (29 percent in 2020). Revenue from electric sales to paper, pulp and secondary wood product customers accounted for 5 percent of regulated operating revenue in 2021 (6 percent in 2020). Revenue from electric sales to pipelines and other industrial customers accounted for 9 percent of regulated operating revenue in 2021 (9 percent in 2020).</w:t>
      </w:r>
    </w:p>
    <w:p>
      <w:pPr>
        <w:spacing w:after="0" w:line="21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in 2020 included reserves of $11.7 million for the refund of interim rates collected between January 1, 2020, and April 30, 2020. (See Note 2. Regulatory Matters.)</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Transmission revenue related to GNTL increased $13.5 million primarily due to recovery of related expenses resulting from the GNTL being placed into service in June 2020.</w:t>
      </w:r>
    </w:p>
    <w:p>
      <w:pPr>
        <w:spacing w:after="0" w:line="197"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color w:val="auto"/>
        </w:rPr>
        <w:t>Cost recovery rider revenue increased $6.6 million primarily due to fewer production tax credits recognized by Minnesota Power. If production tax credits are recognized at a level below those assumed in Minnesota Power’s base rates, an increase in cost recovery rider revenue is recognized to offset the impact of lower production tax credits on income tax expense.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increased $4.5 million primarily due to higher rates.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$169.4 million, or 28 percent, from 2020.</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$137.7 million, or 55 percent, from 2020 primarily due to higher purchased power prices,</w:t>
      </w:r>
      <w:r>
        <w:rPr>
          <w:rFonts w:ascii="Arial" w:cs="Arial" w:eastAsia="Arial" w:hAnsi="Arial"/>
          <w:sz w:val="18"/>
          <w:szCs w:val="18"/>
          <w:i w:val="1"/>
          <w:iCs w:val="1"/>
          <w:color w:val="auto"/>
        </w:rPr>
        <w:t xml:space="preserve"> </w:t>
      </w:r>
      <w:r>
        <w:rPr>
          <w:rFonts w:ascii="Arial" w:cs="Arial" w:eastAsia="Arial" w:hAnsi="Arial"/>
          <w:sz w:val="18"/>
          <w:szCs w:val="18"/>
          <w:color w:val="auto"/>
        </w:rPr>
        <w:t>kWh sales and fuel costs. Fuel and purchased power expense related to our retail and municipal customers is recovered through the fuel adjustment clause.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$6.3 million, or 13 percent, from 2020 primarily due to higher MISO-related expense.</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$13.5 million, or 9 percent, from 2020 primarily due to an increase in contract and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materials purchased for generation facilities and higher vegetation management expenses. In addition, 2021 included higher labor and benefit expenses as compared to 2020.</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$3.3 million, or 3 percent, from 2020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resulting from the GNTL being placed into service in June 2020.</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$8.6 million, or 24 percent, from 2020 primarily due to higher property tax expense resulting from the GNTL</w:t>
      </w:r>
      <w:r>
        <w:rPr>
          <w:rFonts w:ascii="Arial" w:cs="Arial" w:eastAsia="Arial" w:hAnsi="Arial"/>
          <w:sz w:val="18"/>
          <w:szCs w:val="18"/>
          <w:i w:val="1"/>
          <w:iCs w:val="1"/>
          <w:color w:val="auto"/>
        </w:rPr>
        <w:t xml:space="preserve"> </w:t>
      </w:r>
      <w:r>
        <w:rPr>
          <w:rFonts w:ascii="Arial" w:cs="Arial" w:eastAsia="Arial" w:hAnsi="Arial"/>
          <w:sz w:val="18"/>
          <w:szCs w:val="18"/>
          <w:color w:val="auto"/>
        </w:rPr>
        <w:t>being placed into service in June 2020 as well as higher estimated taxable market values.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decreased $0.9 million, or 5 percent, from 2020 primarily due to period over period changes in ATC’s estimate of a refund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FERC decision on MISO return on equity complaints in 2020.</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$3.8 million, or 46 percent, from 2020 primarily due to lower pension and other postretirement plan non-service credits.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 1. Operations and Significant Accounting Policies.)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Income Tax Benefit </w:t>
      </w:r>
      <w:r>
        <w:rPr>
          <w:rFonts w:ascii="Arial" w:cs="Arial" w:eastAsia="Arial" w:hAnsi="Arial"/>
          <w:sz w:val="17"/>
          <w:szCs w:val="17"/>
          <w:color w:val="auto"/>
        </w:rPr>
        <w:t>decreased $5.1 million from 2020 primarily due to lower production tax credits, partially offset by lower pre-tax income.</w:t>
      </w:r>
    </w:p>
    <w:p>
      <w:pPr>
        <w:spacing w:after="0" w:line="2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expect the annual effective tax rate for Regulated Operations in 2021 to be a lower income tax benefit than in 2020 primarily due to lower production tax credits.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2021 AND 2020 (Continued)</w:t>
            </w:r>
          </w:p>
        </w:tc>
        <w:tc>
          <w:tcPr>
            <w:tcW w:w="18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760" w:type="dxa"/>
            <w:vAlign w:val="bottom"/>
          </w:tcPr>
          <w:p>
            <w:pPr>
              <w:spacing w:after="0"/>
              <w:rPr>
                <w:sz w:val="24"/>
                <w:szCs w:val="24"/>
                <w:color w:val="auto"/>
              </w:rPr>
            </w:pPr>
          </w:p>
        </w:tc>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Nine Months Ended September 30,</w:t>
            </w:r>
          </w:p>
        </w:tc>
        <w:tc>
          <w:tcPr>
            <w:tcW w:w="1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76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792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1800" w:type="dxa"/>
            <w:vAlign w:val="bottom"/>
          </w:tcPr>
          <w:p>
            <w:pPr>
              <w:jc w:val="right"/>
              <w:ind w:right="210"/>
              <w:spacing w:after="0"/>
              <w:rPr>
                <w:sz w:val="20"/>
                <w:szCs w:val="20"/>
                <w:color w:val="auto"/>
              </w:rPr>
            </w:pPr>
            <w:r>
              <w:rPr>
                <w:rFonts w:ascii="Arial" w:cs="Arial" w:eastAsia="Arial" w:hAnsi="Arial"/>
                <w:sz w:val="18"/>
                <w:szCs w:val="18"/>
                <w:color w:val="auto"/>
              </w:rPr>
              <w:t>$50.8</w:t>
            </w:r>
          </w:p>
        </w:tc>
        <w:tc>
          <w:tcPr>
            <w:tcW w:w="76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29"/>
        </w:trPr>
        <w:tc>
          <w:tcPr>
            <w:tcW w:w="760" w:type="dxa"/>
            <w:vAlign w:val="bottom"/>
          </w:tcPr>
          <w:p>
            <w:pPr>
              <w:spacing w:after="0"/>
              <w:rPr>
                <w:sz w:val="19"/>
                <w:szCs w:val="19"/>
                <w:color w:val="auto"/>
              </w:rPr>
            </w:pPr>
          </w:p>
        </w:tc>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76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Operating and Maintenance</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31.6</w:t>
            </w:r>
          </w:p>
        </w:tc>
        <w:tc>
          <w:tcPr>
            <w:tcW w:w="76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76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760" w:type="dxa"/>
            <w:vAlign w:val="bottom"/>
          </w:tcPr>
          <w:p>
            <w:pPr>
              <w:spacing w:after="0"/>
              <w:rPr>
                <w:sz w:val="19"/>
                <w:szCs w:val="19"/>
                <w:color w:val="auto"/>
              </w:rPr>
            </w:pPr>
          </w:p>
        </w:tc>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Taxes Other than Income Taxes</w:t>
            </w:r>
          </w:p>
        </w:tc>
        <w:tc>
          <w:tcPr>
            <w:tcW w:w="1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60" w:type="dxa"/>
            <w:vAlign w:val="bottom"/>
          </w:tcPr>
          <w:p>
            <w:pPr>
              <w:spacing w:after="0"/>
              <w:rPr>
                <w:sz w:val="19"/>
                <w:szCs w:val="19"/>
                <w:color w:val="auto"/>
              </w:rPr>
            </w:pPr>
          </w:p>
        </w:tc>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1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6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Interest Expense</w:t>
            </w:r>
          </w:p>
        </w:tc>
        <w:tc>
          <w:tcPr>
            <w:tcW w:w="180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60" w:type="dxa"/>
            <w:vAlign w:val="bottom"/>
          </w:tcPr>
          <w:p>
            <w:pPr>
              <w:spacing w:after="0"/>
              <w:rPr>
                <w:sz w:val="19"/>
                <w:szCs w:val="19"/>
                <w:color w:val="auto"/>
              </w:rPr>
            </w:pPr>
          </w:p>
        </w:tc>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60" w:type="dxa"/>
            <w:vAlign w:val="bottom"/>
          </w:tcPr>
          <w:p>
            <w:pPr>
              <w:spacing w:after="0"/>
              <w:rPr>
                <w:sz w:val="19"/>
                <w:szCs w:val="19"/>
                <w:color w:val="auto"/>
              </w:rPr>
            </w:pPr>
          </w:p>
        </w:tc>
        <w:tc>
          <w:tcPr>
            <w:tcW w:w="792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1800" w:type="dxa"/>
            <w:vAlign w:val="bottom"/>
          </w:tcPr>
          <w:p>
            <w:pPr>
              <w:jc w:val="right"/>
              <w:ind w:right="210"/>
              <w:spacing w:after="0"/>
              <w:rPr>
                <w:sz w:val="20"/>
                <w:szCs w:val="20"/>
                <w:color w:val="auto"/>
              </w:rPr>
            </w:pPr>
            <w:r>
              <w:rPr>
                <w:rFonts w:ascii="Arial" w:cs="Arial" w:eastAsia="Arial" w:hAnsi="Arial"/>
                <w:sz w:val="18"/>
                <w:szCs w:val="18"/>
                <w:color w:val="auto"/>
              </w:rPr>
              <w:t>(14.8)</w:t>
            </w: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60" w:type="dxa"/>
            <w:vAlign w:val="bottom"/>
          </w:tcPr>
          <w:p>
            <w:pPr>
              <w:spacing w:after="0"/>
              <w:rPr>
                <w:sz w:val="19"/>
                <w:szCs w:val="19"/>
                <w:color w:val="auto"/>
              </w:rPr>
            </w:pPr>
          </w:p>
        </w:tc>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(12.7)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3"/>
        </w:trPr>
        <w:tc>
          <w:tcPr>
            <w:tcW w:w="760" w:type="dxa"/>
            <w:vAlign w:val="bottom"/>
          </w:tcPr>
          <w:p>
            <w:pPr>
              <w:spacing w:after="0"/>
              <w:rPr>
                <w:sz w:val="19"/>
                <w:szCs w:val="19"/>
                <w:color w:val="auto"/>
              </w:rPr>
            </w:pPr>
          </w:p>
        </w:tc>
        <w:tc>
          <w:tcPr>
            <w:tcW w:w="7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1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760" w:type="dxa"/>
            <w:vAlign w:val="bottom"/>
          </w:tcPr>
          <w:p>
            <w:pPr>
              <w:spacing w:after="0"/>
              <w:rPr>
                <w:sz w:val="19"/>
                <w:szCs w:val="19"/>
                <w:color w:val="auto"/>
              </w:rPr>
            </w:pPr>
          </w:p>
        </w:tc>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760" w:type="dxa"/>
            <w:vAlign w:val="bottom"/>
          </w:tcPr>
          <w:p>
            <w:pPr>
              <w:spacing w:after="0"/>
              <w:rPr>
                <w:sz w:val="19"/>
                <w:szCs w:val="19"/>
                <w:color w:val="auto"/>
              </w:rPr>
            </w:pPr>
          </w:p>
        </w:tc>
        <w:tc>
          <w:tcPr>
            <w:tcW w:w="7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Attributable to ALLETE</w:t>
            </w:r>
          </w:p>
        </w:tc>
        <w:tc>
          <w:tcPr>
            <w:tcW w:w="1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$6.9 million, or 13 percent, from 2020 primarily due to revenue from the South Peak and Diamond Spring wind energy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which commenced operations in April 2020 and December 2020, respectively, partially offset by the negative impact related to ALLETE Clean Energy’s Diamond Spring wind energy facility due to an extreme winter storm event in the southwest United States in February 2021.</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kWh</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200" w:type="dxa"/>
            <w:vAlign w:val="bottom"/>
          </w:tcPr>
          <w:p>
            <w:pPr>
              <w:jc w:val="right"/>
              <w:spacing w:after="0"/>
              <w:rPr>
                <w:sz w:val="20"/>
                <w:szCs w:val="20"/>
                <w:color w:val="auto"/>
              </w:rPr>
            </w:pPr>
            <w:r>
              <w:rPr>
                <w:rFonts w:ascii="Arial" w:cs="Arial" w:eastAsia="Arial" w:hAnsi="Arial"/>
                <w:sz w:val="18"/>
                <w:szCs w:val="18"/>
                <w:color w:val="auto"/>
              </w:rPr>
              <w:t>167.1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$15.1</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177.3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23.0</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634.3</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South</w:t>
            </w:r>
          </w:p>
        </w:tc>
        <w:tc>
          <w:tcPr>
            <w:tcW w:w="1200" w:type="dxa"/>
            <w:vAlign w:val="bottom"/>
          </w:tcPr>
          <w:p>
            <w:pPr>
              <w:jc w:val="right"/>
              <w:spacing w:after="0"/>
              <w:rPr>
                <w:sz w:val="20"/>
                <w:szCs w:val="20"/>
                <w:color w:val="auto"/>
              </w:rPr>
            </w:pPr>
            <w:r>
              <w:rPr>
                <w:rFonts w:ascii="Arial" w:cs="Arial" w:eastAsia="Arial" w:hAnsi="Arial"/>
                <w:sz w:val="18"/>
                <w:szCs w:val="18"/>
                <w:color w:val="auto"/>
              </w:rPr>
              <w:t>666.4</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5.8</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15.5</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510.6</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2,013.3</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$59.4</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1,322.2</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and Maintenance </w:t>
      </w:r>
      <w:r>
        <w:rPr>
          <w:rFonts w:ascii="Arial" w:cs="Arial" w:eastAsia="Arial" w:hAnsi="Arial"/>
          <w:sz w:val="17"/>
          <w:szCs w:val="17"/>
          <w:color w:val="auto"/>
        </w:rPr>
        <w:t>expense increased $4.8 million, or 18 percent, from 2020 primarily due to operating and maintenance expenses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South Peak and Diamond Spring wind energy facilities. These increases were offset by expense management efforts.</w:t>
      </w:r>
    </w:p>
    <w:p>
      <w:pPr>
        <w:spacing w:after="0" w:line="17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$10.1 million, or 38 percent, from 2020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South Peak and Diamond Spring wind energy facilities.</w:t>
      </w:r>
    </w:p>
    <w:p>
      <w:pPr>
        <w:spacing w:after="0" w:line="19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Taxes Other than Income Taxes </w:t>
      </w:r>
      <w:r>
        <w:rPr>
          <w:rFonts w:ascii="Arial" w:cs="Arial" w:eastAsia="Arial" w:hAnsi="Arial"/>
          <w:sz w:val="18"/>
          <w:szCs w:val="18"/>
          <w:color w:val="auto"/>
        </w:rPr>
        <w:t>increased $2.9 million from 2020 primarily due to higher property tax expense related to the Diamond Spring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facility.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$1.5 million from 2020 primarily due to lower production tax credits.</w:t>
      </w:r>
    </w:p>
    <w:p>
      <w:pPr>
        <w:spacing w:after="0" w:line="25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$6.9 million from 2020 primarily due to net losses attributable to non-controlling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Diamond Spring wind energy facility.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2021 Form 10-Q</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THE NINE MONTHS ENDED SEPTEMBER 30, 2021 AND 2020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$2.4 million, or 3 percent, from 2020 primarily due to lower revenue at BNI Energy, which operates under cost-plus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fee contracts, as a result of lower expenses and fewer tons sold in 2021 compared to 2020 as well as lower land sales at ALLETE Properties in 2021.</w:t>
      </w: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was $3.8 million in 2021 compared to a net loss of $0.7 million in 2020. The net loss in 2021 included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and additional income tax expense recorded in 2021 as GAAP requires the recognition of income taxes at the estimated annual effective tax rate. These negative impacts were partially offset by earnings from our investment in Nobles 2 which commenced operations in December 2020. Net income at BNI Energy was $5.2 million in 2021 compared to net income of $5.3 million in 2020. The net loss at ALLETE Properties was $1.5 million in 2021 compared to a net loss of $1.7 million in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For the nine months ended September 30, 2021, the effective tax rate was a benefit of 27.6 percent (benefit of 30.1 percent for the nine months ended September 30, 2020). The effective tax rate for 2021 was a lower benefit primarily due to higher non-controlling interest and lower production tax credits.</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expect our annual effective tax rate in 2021 to be a lower benefit as compared to 2020 primarily due to higher non-controlling interest and lower production tax credits. (See Note 8. Income Tax Expense.)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2020 Form 10-K.</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long-term objective of achieving consolidated average annual earnings per share growth within a range of 5 percent to 7 percent.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ALLETE Clean Energy and its Corporate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2021. Over the next several years, the contribution of ALLETE Clean Energy and its Corporate and Other businesses to net income is expected to increase as ALLETE grows these operations. ALLETE expects its businesses to provide regulated, contracted or recurring revenues, and to support sustained growth in net income and cash flow.</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Minnesota Power has a goal of delivering 100 percent carbon-free energy by 2050. (See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Minnesota Power also submitted its IRP with the MPUC on February 1, 2021. The outcome of this IRP is likely to be instrumental in the evolution of our </w:t>
      </w:r>
      <w:r>
        <w:rPr>
          <w:rFonts w:ascii="Arial" w:cs="Arial" w:eastAsia="Arial" w:hAnsi="Arial"/>
          <w:sz w:val="18"/>
          <w:szCs w:val="18"/>
          <w:i w:val="1"/>
          <w:iCs w:val="1"/>
          <w:color w:val="auto"/>
        </w:rPr>
        <w:t xml:space="preserve">EnergyForward </w:t>
      </w:r>
      <w:r>
        <w:rPr>
          <w:rFonts w:ascii="Arial" w:cs="Arial" w:eastAsia="Arial" w:hAnsi="Arial"/>
          <w:sz w:val="18"/>
          <w:szCs w:val="18"/>
          <w:color w:val="auto"/>
        </w:rPr>
        <w:t>strategic plan that provides for significant emission reductions and diversifying our electricity generation mix to include more renewables,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is expected to provide potential earnings growth over the long-term. (See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2022 Minnesota General Rate Case. </w:t>
      </w:r>
      <w:r>
        <w:rPr>
          <w:rFonts w:ascii="Arial" w:cs="Arial" w:eastAsia="Arial" w:hAnsi="Arial"/>
          <w:sz w:val="18"/>
          <w:szCs w:val="18"/>
          <w:color w:val="auto"/>
        </w:rPr>
        <w:t>On November 1, 2021,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18 percent for retail customers. The rate filing seeks a return on equity of 10.25 percent and a 53.81 percent equity ratio. On an annualized basis, the requested final rate increase would generate approximately $108 million in additional revenue. Once the filing is accepted as complete, an annual interim rate increase of approximately $87 million, subject to refund, which would be an average increase of approximately 14 percent for retail customers, is expected to be implemented within 60 days, subject to MPUC adjustment and authorization. We cannot predict the level of interim or final rates that may be authorized by the MPUC.</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Minnesota Power Land Sales. </w:t>
      </w:r>
      <w:r>
        <w:rPr>
          <w:rFonts w:ascii="Arial" w:cs="Arial" w:eastAsia="Arial" w:hAnsi="Arial"/>
          <w:sz w:val="18"/>
          <w:szCs w:val="18"/>
          <w:color w:val="auto"/>
        </w:rPr>
        <w:t>In August 2020, Minnesota Power filed a petition with the MPUC for approval to sell land that surrounds several reservoirs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hydroelectric system and is no longer required to maintain its operations. The land has an estimated value of approximately $100 million, and Minnesota Power proposed to credit ratepayers the net proceeds from the sales in a future rate case or through its renewable resources rider to mitigate future rate increases. At a hearing on October 14, 2021, the MPUC decided to allow the land sales to occur and the proceeds refunded to ratepayers subject to certain conditions and required compliance filings.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47 percent of our regulated utility kWh sales in the nine months ended September 30, 2021, were made to our industrial customers (49 percent in the nine months ended September 30, 2020).</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Taconite</w:t>
      </w:r>
      <w:r>
        <w:rPr>
          <w:rFonts w:ascii="Arial" w:cs="Arial" w:eastAsia="Arial" w:hAnsi="Arial"/>
          <w:sz w:val="18"/>
          <w:szCs w:val="18"/>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which continue to lead the world in environmental performance among steelmaking countries. According to the U.S. Department of Energy, steel production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Meeting the demand for more renewable energy and the need for additional infrastructure to transport green energy from the point of generation to the end user both require steel. Historically, less than 10 percent of Minnesota taconite production has been exported outside of North America.</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81 percent of capacity during the first nine months of 2021 compared to 66 percent in the first nine months of 2020. The World Steel Association, an association of steel producers, national and regional steel industry associations, and steel research institutes representing approximately 85 percent of world steel production, projected in October 2021 that U.S. steel consumption will increase in 2021 by approximately 15 percent compared to 2020 as well as increase in 2022 by approximately 6 percent compared to 2021.</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u w:val="single" w:color="auto"/>
          <w:color w:val="auto"/>
        </w:rPr>
        <w:t>USS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April 2020, USS Corporation stated it would idle its Keetac facility in Keewatin, Minnesota, in response to the sudden and dramatic</w:t>
      </w:r>
      <w:r>
        <w:rPr>
          <w:rFonts w:ascii="Arial" w:cs="Arial" w:eastAsia="Arial" w:hAnsi="Arial"/>
          <w:sz w:val="16"/>
          <w:szCs w:val="16"/>
          <w:i w:val="1"/>
          <w:iCs w:val="1"/>
          <w:color w:val="auto"/>
        </w:rPr>
        <w:t xml:space="preserve"> </w:t>
      </w:r>
      <w:r>
        <w:rPr>
          <w:rFonts w:ascii="Arial" w:cs="Arial" w:eastAsia="Arial" w:hAnsi="Arial"/>
          <w:sz w:val="16"/>
          <w:szCs w:val="16"/>
          <w:color w:val="auto"/>
        </w:rPr>
        <w:t>decline in business conditions resulting from the COVID-19 pandemic. In addition, in May 2020, USS Corporation announced that production was expected to be temporarily reduced at its Minntac Plant in Mountain Iron, Minnesota. USS Corporation resumed normal production at its Minntac Plant beginning in late July 2020 and resumed operations at its Keetac facility in December 2020. In October 2021, USS Corporation announced that it will be</w:t>
      </w:r>
    </w:p>
    <w:p>
      <w:pPr>
        <w:spacing w:after="0" w:line="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increasing its blast furnace operating rates at its Gary, Indiana steel mill through the installation of a 500,000 ton per year pig iron caster. When completed in early 2023, this pig iron produced from Minnesota iron ore would be used at USS Corporation’s Big River steel making facility in Osceola, Arkansas. USS Corporation has the capability to produce approximately 15 million and 5 million tons annually at its Minntac and Keetac plants, respectively.</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Cliffs</w:t>
      </w:r>
      <w:r>
        <w:rPr>
          <w:rFonts w:ascii="Arial" w:cs="Arial" w:eastAsia="Arial" w:hAnsi="Arial"/>
          <w:sz w:val="18"/>
          <w:szCs w:val="18"/>
          <w:color w:val="auto"/>
        </w:rPr>
        <w:t>. In December 2020, Cliffs announced that it had completed the previously announced acquisition of substantially all of the operations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ArcelorMittal USA LLC and its subsidiaries. Cliffs had stated that upon closure of the acquisition Cliffs would be the largest flat-rolled steel producer and the largest iron ore pellet producer in North America. The acquisition included ArcelorMittal’s Minorca mine in Virginia, Minnesota, and its ownership share of Hibbing Taconite in Hibbing, Minnesota, which are both large industrial customers of Minnesota Power. Cliffs is now Minnesota Power’s largest customer. The acquisition has increased customer concentration risk for the Company and could lead to further capacity consolidation for both steel blast furnaces and the related Minnesota iron ore production.</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2021, Cliffs indicated it plans to move direct reduced-grade pellet production to its Minorca mine and Northshore Mining would become a “swing facility” due to the high royalty rates at its Babbitt, Minnesota mine. No announcement was made on the timing of this change in operation or the amount of investment required at Minorca to transition to this new product for ultimate use in its blast furnaces.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Northshore Mining</w:t>
      </w:r>
      <w:r>
        <w:rPr>
          <w:rFonts w:ascii="Arial" w:cs="Arial" w:eastAsia="Arial" w:hAnsi="Arial"/>
          <w:sz w:val="18"/>
          <w:szCs w:val="18"/>
          <w:i w:val="1"/>
          <w:iCs w:val="1"/>
          <w:color w:val="auto"/>
        </w:rPr>
        <w:t xml:space="preserve">. </w:t>
      </w:r>
      <w:r>
        <w:rPr>
          <w:rFonts w:ascii="Arial" w:cs="Arial" w:eastAsia="Arial" w:hAnsi="Arial"/>
          <w:sz w:val="18"/>
          <w:szCs w:val="18"/>
          <w:color w:val="auto"/>
        </w:rPr>
        <w:t>Cliffs completed construction of a hot briquetted iron production plant in Toledo, Ohio, in 2020, which utilizes direct reduced-grade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pellets from Northshore Mining. In April 2020, Cliffs announced that, based on market conditions, it would be temporarily idling Northshore Mining. Cliffs idled production at Northshore Mining in April 2020 and resumed normal production at the facility in August 2020. Northshore Mining has the capability to produce approximately 6 million tons annually. Minnesota Power has a PSA through 2031 with Silver Bay Power, which provides the majority of the electric service requirements for Northshore Mining. (See </w:t>
      </w:r>
      <w:r>
        <w:rPr>
          <w:rFonts w:ascii="Arial" w:cs="Arial" w:eastAsia="Arial" w:hAnsi="Arial"/>
          <w:sz w:val="18"/>
          <w:szCs w:val="18"/>
          <w:i w:val="1"/>
          <w:iCs w:val="1"/>
          <w:color w:val="auto"/>
        </w:rPr>
        <w:t>Silver Bay Power</w:t>
      </w:r>
      <w:r>
        <w:rPr>
          <w:rFonts w:ascii="Arial" w:cs="Arial" w:eastAsia="Arial" w:hAnsi="Arial"/>
          <w:sz w:val="18"/>
          <w:szCs w:val="18"/>
          <w:color w:val="auto"/>
        </w:rPr>
        <w:t>.)</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Silver Bay Power</w:t>
      </w:r>
      <w:r>
        <w:rPr>
          <w:rFonts w:ascii="Arial" w:cs="Arial" w:eastAsia="Arial" w:hAnsi="Arial"/>
          <w:sz w:val="17"/>
          <w:szCs w:val="17"/>
          <w:i w:val="1"/>
          <w:iCs w:val="1"/>
          <w:color w:val="auto"/>
        </w:rPr>
        <w:t xml:space="preserve">. </w:t>
      </w:r>
      <w:r>
        <w:rPr>
          <w:rFonts w:ascii="Arial" w:cs="Arial" w:eastAsia="Arial" w:hAnsi="Arial"/>
          <w:sz w:val="17"/>
          <w:szCs w:val="17"/>
          <w:color w:val="auto"/>
        </w:rPr>
        <w:t>In 2016, Minnesota Power and Silver Bay Power entered into a PSA through 2031. Silver Bay Power supplies approximately 90 MW of</w:t>
      </w:r>
      <w:r>
        <w:rPr>
          <w:rFonts w:ascii="Arial" w:cs="Arial" w:eastAsia="Arial" w:hAnsi="Arial"/>
          <w:sz w:val="17"/>
          <w:szCs w:val="17"/>
          <w:i w:val="1"/>
          <w:iCs w:val="1"/>
          <w:color w:val="auto"/>
        </w:rPr>
        <w:t xml:space="preserve"> </w:t>
      </w:r>
      <w:r>
        <w:rPr>
          <w:rFonts w:ascii="Arial" w:cs="Arial" w:eastAsia="Arial" w:hAnsi="Arial"/>
          <w:sz w:val="17"/>
          <w:szCs w:val="17"/>
          <w:color w:val="auto"/>
        </w:rPr>
        <w:t>load to Northshore Mining, an affiliate of Silver Bay Power, which had previously been served predominately through self-generation by Silver Bay Power. Starting in 2016,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Hibbing Taconite</w:t>
      </w:r>
      <w:r>
        <w:rPr>
          <w:rFonts w:ascii="Arial" w:cs="Arial" w:eastAsia="Arial" w:hAnsi="Arial"/>
          <w:sz w:val="18"/>
          <w:szCs w:val="18"/>
          <w:color w:val="auto"/>
        </w:rPr>
        <w:t>. In April 2020, ArcelorMittal announced that Hibbing Taconite in Hibbing, Minnesota, would idle production due to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Hibbing Taconite resumed normal production in August 2020. Hibbing Taconite’s current mineable ore reserves are expected to be exhausted in 2025. Cliffs, which in December 2020 became majority owner and resumed management of Hibbing Taconite, has stated that it has a plan to extend the mine life of Hibbing Taconite with ore reserves already under control of Cliffs. There are ample ore reserves in northeastern Minnesota that could supply operations for decades to come, and Minnesota Power’s taconite customers routinely develop and extend their mine plans to optimize assets. Hibbing Taconite has the capability to produce approximately 8 million tons annually.</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Minnesota Sulfate Wild Rice Water Quality Standard</w:t>
      </w:r>
      <w:r>
        <w:rPr>
          <w:rFonts w:ascii="Arial" w:cs="Arial" w:eastAsia="Arial" w:hAnsi="Arial"/>
          <w:sz w:val="18"/>
          <w:szCs w:val="18"/>
          <w:color w:val="auto"/>
        </w:rPr>
        <w:t>. On April 29, 2021, the EPA identified rivers and lakes in Minnesota in which wild rice grows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sulfate levels that exceed Minnesota’s sulfate limit for wild rice waters. On September 1, 2021, three additional wild rice waters with sulfate levels that exceed Minnesota’s sulfate limit were identified. The EPA directed the MPCA to add these rivers and lakes to its list of impaired waters which can be used to set limits in discharge permits for industrial activities such as mining. Minnesota Power’s taconite customers could be adversely impacted if they are required to significantly reduce sulfate discharges.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Paper, Pulp and Secondary Wood Products</w:t>
      </w:r>
      <w:r>
        <w:rPr>
          <w:rFonts w:ascii="Arial" w:cs="Arial" w:eastAsia="Arial" w:hAnsi="Arial"/>
          <w:sz w:val="18"/>
          <w:szCs w:val="18"/>
          <w:color w:val="auto"/>
        </w:rPr>
        <w:t xml:space="preserve">. The North American paper and pulp industry faces declining demand due to the impact of electronic substitution for print and changing customer needs. As a result, certain paper and pulp customers have reduced their existing operations in recent years and have pursued or are pursuing product changes in response to the declining demand. We expect operating levels in 2021 at the four major paper and pulp mills we serve to be lower than 2020 primarily due to the indefinite idling of Verso Corporation’s paper mill in Duluth, Minnesota. (See </w:t>
      </w:r>
      <w:r>
        <w:rPr>
          <w:rFonts w:ascii="Arial" w:cs="Arial" w:eastAsia="Arial" w:hAnsi="Arial"/>
          <w:sz w:val="18"/>
          <w:szCs w:val="18"/>
          <w:i w:val="1"/>
          <w:iCs w:val="1"/>
          <w:color w:val="auto"/>
        </w:rPr>
        <w:t>Verso</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w:t>
      </w:r>
      <w:r>
        <w:rPr>
          <w:rFonts w:ascii="Arial" w:cs="Arial" w:eastAsia="Arial" w:hAnsi="Arial"/>
          <w:sz w:val="18"/>
          <w:szCs w:val="18"/>
          <w:color w:val="auto"/>
        </w:rPr>
        <w: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Verso Corporation</w:t>
      </w:r>
      <w:r>
        <w:rPr>
          <w:rFonts w:ascii="Arial" w:cs="Arial" w:eastAsia="Arial" w:hAnsi="Arial"/>
          <w:sz w:val="18"/>
          <w:szCs w:val="18"/>
          <w:color w:val="auto"/>
        </w:rPr>
        <w:t>. In June 2020, Verso Corporation indefinitely idled its paper mill in Duluth, Minnesota (Duluth Mill). Verso Corporation stated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was due to the accelerated decline in graphic paper demand resulting from the COVID-19 pandemic and has disclosed it is considering options for the Duluth Mill, including marketing for a sale. On January 29, 2021, Verso Corporation provided notice of termination for its contract effective in January 2025, with no demand charge expected after February 2023 (minimal demand charge through January 2023). On May 17, 2021, Verso Corporation announced the completion of the sale of the Duluth Mill to ST Paper LLC. At that time, ST Paper LLC stated it plans to convert the Duluth Mill to produce tissue.</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August 2, 2021, Minnesota Power filed a petition with the MPUC requesting the MPUC to interpret the electric service agreement (ESA) between Minnesota Power and Verso Corporation finding that Verso Corporation has tariff obligations and owes minimum firm demand payments during the term of the ESA. Minnesota Power filed this petition in response to Verso Corporation ceasing to make its minimum firm demand payments under the ESA. At a hearing on October 14, 2021, the MPUC agreed with Minnesota Power’s petition and concluded that the MPUC has jurisdiction to interpret the relevant provisions of the ESA, and the ESA requires Verso Corporation to continue full minimum firm demand payments for a period of two years from the January 29, 2021, notice of termination, regardless of Minnesota Power’s electricity sales to a new customer at the former Verso Corporation facility. Minnesota Power has a receivable related to the ESA of approximately $1.2 million as of September 30, 2021. In addition, Verso Corporation owes Minnesota Power payments under a steam agreement, which is proceeding through arbitration. Minnesota Power has a receivable under the steam agreement of approximately $2.4 million as of September 30, 2021. Minnesota Power expects to fully collect these outstanding account receivable balances as well as Verso Corporation’s remaining obligations under the ESA.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r>
        <w:rPr>
          <w:rFonts w:ascii="Arial" w:cs="Arial" w:eastAsia="Arial" w:hAnsi="Arial"/>
          <w:sz w:val="18"/>
          <w:szCs w:val="18"/>
          <w:color w:val="auto"/>
        </w:rPr>
        <w: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Husky Energy</w:t>
      </w:r>
      <w:r>
        <w:rPr>
          <w:rFonts w:ascii="Arial" w:cs="Arial" w:eastAsia="Arial" w:hAnsi="Arial"/>
          <w:sz w:val="18"/>
          <w:szCs w:val="18"/>
          <w:color w:val="auto"/>
        </w:rPr>
        <w:t>. In 2018, a fire at Husky Energy’s refinery in Superior, Wisconsin, disrupted operations at the facility. Under normal operating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SWL&amp;P provides approximately 14 MW of average monthly demand to Husky Energy in addition to water service. In 2019, Husky Energy announced that it had received the required permit approvals to begin reconstruction. In June 2020, Husky Energy announced that rebuild construction at the refinery had resumed following a suspension in March 2020 due to the COVID-19 pandemic. The facility remains at minimal operations, and the refinery is not expected to resume normal operations until 2023. In October 2020, Husky Energy announced a transaction to combine with Cenovus Energy Inc., which closed in the first quarter of 2021.</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northeastern Minnesota continue to progress in the development of natural resource-based projects that represent long-term growth potential and load diversity for Minnesota Power. We cannot predict the outcome of these projects.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and the U.S. Army Corps of Engineers have both issued final Records of Decision, finding the final EIS adequate.</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PolyMet was issued all necessary permits to construct and operate its new mining operation; however, in early 2020, the Minnesota Court of Appeals reversed decisions granting PolyMet’s permit to mine, dam-safety permits and air permits. PolyMet filed petitions for further review with the Minnesota Supreme Court seeking to overturn the Minnesota Court of Appeals decisions. In February 2021, the Minnesota Supreme Court overturned a decision by the Minnesota Court of Appeals that had remanded the air permit back to the MPCA and returned the case to the Minnesota Court of Appeals. On July 19, 2021, the Minnesota Court of Appeals remanded PolyMet’s air permit to the MPCA seeking additional explanation supporting the MPCA’s permitting decision. On March 8, 2021, the U.S. District Court of Minnesota granted an EPA request to conduct a 90-day review of downstream water quality under Section 401(a)(2) of the Clean Water Act. Given the EPA's downstream water quality determination is necessary for PolyMet's federal Section 404 wetlands permit, on March 17, 2021, the U.S. Army Corps of Engineers notified PolyMet it had suspended the permit for the duration of the EPA's review. On April 28, 2021, the Minnesota Supreme Court reversed the Minnesota Court of Appeals decision on the dam-safety permits while also upholding its decision on PolyMet’s permit to mine. The decision requires the DNR to hold a contested case hearing regarding the effectiveness of bentonite clay capping for eventual closure of PolyMet’s planned tailings basin and to also determine a fixed term for the permit to mine. Minnesota Power could supply between 45 MW and 50 MW of load under a 10-year power supply contract with PolyMet that would begin upon start-up of operations.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EnergyForward. </w:t>
      </w:r>
      <w:r>
        <w:rPr>
          <w:rFonts w:ascii="Arial" w:cs="Arial" w:eastAsia="Arial" w:hAnsi="Arial"/>
          <w:sz w:val="18"/>
          <w:szCs w:val="18"/>
          <w:color w:val="auto"/>
        </w:rPr>
        <w:t>Minnesota Power is executing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EnergyForward</w:t>
      </w:r>
      <w:r>
        <w:rPr>
          <w:rFonts w:ascii="Arial" w:cs="Arial" w:eastAsia="Arial" w:hAnsi="Arial"/>
          <w:sz w:val="18"/>
          <w:szCs w:val="18"/>
          <w:color w:val="auto"/>
        </w:rPr>
        <w:t>, its strategy assuring reliability, protecting affordability and further improving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environmental performance. The plan includes completed and planned investments in wind, solar, natural gas and hydroelectric power, construction of additional transmission capacity, the installation of emissions control technology and the idling and retirement of certain coal-fired generating facilities. Minnesota Power has a vision to deliver 100 percent carbon-free energy to customers by 2050, continuing its commitment to climate, customers and communities through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strategy. This vision builds on Minnesota Power’s recent achievement of now providing 50 percent renewable energy to its customers.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2021 Integrated Resource Plan. </w:t>
      </w:r>
      <w:r>
        <w:rPr>
          <w:rFonts w:ascii="Arial" w:cs="Arial" w:eastAsia="Arial" w:hAnsi="Arial"/>
          <w:sz w:val="18"/>
          <w:szCs w:val="18"/>
          <w:color w:val="auto"/>
        </w:rPr>
        <w:t>On February 1, 2021, Minnesota Power filed its latest IRP with the MPUC, which outlines its clean-energy transition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2035. These plans include expanding its renewable energy supply to 70 percent by 2030, achieving coal-free operations at its facilities by 2035, and investing in a resilient and flexible transmission and distribution grid. Minnesota Power has also set a target to achieve an 80 percent reduction in carbon emissions by 2035 compared to 2005 levels.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mid-2022.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Minnesota Power has transformed its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Nemadji Trail Energy Center. </w:t>
      </w:r>
      <w:r>
        <w:rPr>
          <w:rFonts w:ascii="Arial" w:cs="Arial" w:eastAsia="Arial" w:hAnsi="Arial"/>
          <w:sz w:val="18"/>
          <w:szCs w:val="18"/>
          <w:color w:val="auto"/>
        </w:rPr>
        <w:t>In 2017, Minnesota Power submitted a resource package to the MPUC which included requesting approval of a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dedication and other affiliated-interest agreements for NTEC, an approximately 600 MW proposed combined-cycle natural gas-fired generating facility to be built in Superior, Wisconsin, which will be jointly owned by Dairyland Power Cooperative, Basin and South Shore Energy, ALLETE’s non-rate regulated, Wisconsin subsidiary. Minnesota Power is expected to purchase approximately 20 percent of the facility's output starting in 2025 pursuant to the capacity dedication agreement.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 continues to execute its renewable energy strategy and expects approximately 50 percent of its energy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supplied by renewable energy sources in 2021. Minnesota Power also has a goal of delivering 100 percent carbon-free energy by 2050. (See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has an approved cost recovery rider for certain renewable investments and expenditures. The cost recovery rider allows Minnesota Power to charge retail customers on a current basis for the costs of certain renewable investments plus a return on the capital invested. Updated customer billing rates were approved by the MPUC in an order dated December 10, 2020.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Nobles 2 PPA</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PPA with Nobles 2 that provides for Minnesota Power to purchase the energy and associated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a 250 MW wind energy facility in southwestern Minnesota through 2040. The agreement provides for the purchase of output from the facility at fixed energy prices. There are no fixed capacity charges, and Minnesota Power will only pay for energy as it is delivered. (See </w:t>
      </w:r>
      <w:r>
        <w:rPr>
          <w:rFonts w:ascii="Arial" w:cs="Arial" w:eastAsia="Arial" w:hAnsi="Arial"/>
          <w:sz w:val="18"/>
          <w:szCs w:val="18"/>
          <w:i w:val="1"/>
          <w:iCs w:val="1"/>
          <w:color w:val="auto"/>
        </w:rPr>
        <w:t>Corporate and Other –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in Nobles 2</w:t>
      </w:r>
      <w:r>
        <w:rPr>
          <w:rFonts w:ascii="Arial" w:cs="Arial" w:eastAsia="Arial" w:hAnsi="Arial"/>
          <w:sz w:val="18"/>
          <w:szCs w:val="18"/>
          <w:color w:val="auto"/>
        </w:rPr>
        <w:t>.)</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Manitoba Hydro</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has three long-term PPAs with Manitoba Hydro. Under the first PPA, Minnesota Power is purchasing surplus energy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April 2022. This energy-only agreement primarily consists of surplus hydro energy on Manitoba Hydro’s system that is delivered to Minnesota Power on a non-firm basis. Under this agreement, Minnesota Power will purchase at least one million MWh of energy over the contract term. The second PPA provides for Minnesota Power to purchase 250 MW of capacity and energy from Manitoba Hydro through May 2035. The third PPA provides for Minnesota Power to purchase up to 133 MW of energy from Manitoba Hydro through June 2040.</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Solar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solar energy supply consists of Camp Ripley, a 10 MW solar energy facility at the Camp Ripley Minnesota Army</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Guard base and training facility near Little Falls, Minnesota, and a community solar garden in northeastern Minnesota, which is comprised of a 1 MW solar array owned and operated by a third party with the output purchased by Minnesota Power and a 40 kW solar array that is owned and operated by Minnesota Power. SWL&amp;P also plans to construct a 470 kW solar array as part of a community solar garden in Superior, Wisconsin, which was approved by the PSCW in October 2020.</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Minnesota Power filed a proposal with the MPUC to accelerate plans for solar energy with an estimated $40 million investment in approximately 20 MW of solar energy projects in Minnesota which was approved in an order dated June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3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has approval for current cost recovery of investments and expenditures related to compliance with the Minnesota Solar Energy Standard. In June 2020, Minnesota Power filed a petition seeking MPUC approval of a customer billing rate for solar costs related to investments and expenditures for meeting the state of Minnesota’s solar energy standard, which were approved by the MPUC at a hearing on April 14, 2021. New customer billing rates for the solar cost recovery rider were implemented on June 1, 2021.</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9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 MW long-term PPA entered into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was required. As a result, Minnesota Power constructed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 In June 2020, Minnesota Power placed the GNTL into service with project costs of approximately $310 million incurred by Minnesota Power. Total project costs, including those costs contributed by a subsidiary of Manitoba Hydro, totaled approximately $660 million. Also in June 2020, Manitoba Hydro placed the MMTP into service. The 250 MW PPA with Manitoba Hydro commenced when the GNTL was placed into service.</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Our wholly-owned subsidiary, ALLETE Transmission Holdings, owns approximately 8 percent of ATC, a Wisconsin-based utility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and maintains electric transmission assets in portions of Wisconsin, Michigan, Minnesota and Illinois. We account for our investment in ATC under the equity method of accounting. (See Note 3. Equity Investments.) As of September 30, 2021, our equity investment in ATC was $153.0 million ($149.0 million as of December 31, 2020).</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authorized return on equity is 10.02 percent, or 10.52 percent including an incentive adder for participation in a regional transmission organization, based on a May 2020 FERC order that granted rehearing of a 2019 FERC order. These FERC orders are subject to various outstanding legal challenges related to the refund period ordered by the FERC. If these legal challenges are successful, ATC may be required to provide refunds to its customers of up to approximately $66 million of which our share would be approximately $5 million pre-tax.</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2020 through 2029, identifies a need for between $2.9 billion and $3.5 billion in transmission system investments. These investments by ATC, if undertaken, are expected to be funded through a combination of internally generated cash, debt and investor contributions. As opportunities arise, we plan to make additional investments in ATC through capital calls based upon our pro rata ownership interest in ATC.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focuses on developing, acquiring, and operating clean and renewable energy projects. ALLETE Clean Energy currently owns and operates, in seven states, more than 1,000 MW of nameplate capacity wind energy generation that is contracted under PSAs of various durations. In addition, ALLETE Clean Energy currently has an approximately 300 MW wind energy facility under construction. ALLETE Clean Energy also engages in the development of wind energy facilities to operate under long-term PSAs or for sale to others upon completion.</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such as the extension of production tax credit and investment tax credits, societal expectations and continual technology advances. State renewable portfolio standards, state or federal regulations to limit GHG emissions and the extension of production tax credit and investment tax credits are examples of environmental regulation or public policy that we believe will drive renewable energy development.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production tax credit requalification of existing facilities or the sale of facilities.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expects acquisitions or development of new facilities will be primarily wind, solar, energy storage or storage ready facilities across North America. ALLETE Clean Energy is also targeting the development of new facilities up to 300 MW each, which will have long-term PSAs in place for the output or may be sold upon completion.</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Portions of our ALLETE Clean Energy business are experiencing return pressures that are impacting our earnings per share growth from increased competition, and lower forward price curves, as a growing amount of investment capital is being directed into wind generation opportunities. In addition, current and potential new project developments can be negatively affected by a lower ALLETE stock price, which may result in such projects not being accretive, or otherwise unable to satisfy our financial objectives criteria to proceed. In response to these market pressures, we are actively evaluating additional growth opportunities to deliver more comprehensive clean energy solutions for customers at ALLETE Clean Energy, which may include solar, storage solutions, and related energy infrastructure investments and services. We believe that the renewable energy industry is entering a new phase of growth and that we are well-positioned to serve customers and drive future growth at ALLETE. ALLETE Clean Energy will continue to optimize its existing wind energy facility portfolio, seek development of its remaining safe harbor inventory of tax credit qualified turbines, and explore other renewable energy opportunities to expand its service offerings to further enhance its growth and profitability.</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Federal production tax credit qualification is important to the economics of project development, and ALLETE Clean Energy has invested in equipment to meet production tax credit safe harbor provisions which provides an opportunity to seek development of its remaining safe harbor production tax credit qualified equipment through 2025 based on the most recent PTC safe harbor extension by the IRS. ALLETE Clean Energy has completed its investment of approximately $80 million for production tax credit requalification of approximately 470 WTGs at its Storm Lake I, Storm Lake II, Lake Benton and Condon wind energy facilities. We anticipate annual production tax credits relating to these projects of approximately $20 million annually through 2027 and decreasing thereafter through 2030. Disruptions in our supply chains or a lack of available financing resulting from the ongoing COVID-19 pandemic, if they occur, could jeopardize our ability to complete certain capital projects in time to qualify them for production tax credits. To date we have not experienced disruptions in our supply chains related to the COVID-19 pandemic.</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ALLETE Clean Energy acquired the rights to the approximately 300 MW Caddo wind development project in Oklahoma from Apex Clean Energy. The Caddo wind project is fully contracted to sell wind power under long-term power sales agreements. Construction is expected to be completed in late 2021.</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February 4, 2021, ALLETE Clean Energy entered into a purchase and sale agreement with a subsidiary of Xcel Energy Inc. to sell a 120 MW wind energy facility for approximately $210 million. ALLETE Clean Energy will repower and expand its Northern Wind project, consisting of its 98 MW Chanarambie and Viking wind energy facilities located in southwest Minnesota, as part of the transaction. Construction is expected to begin in late 2021 with the Northern Wind project expected to continue operating until early 2022. At a hearing on June 10, 2021, the MPUC approved the sale, which is expected to close in late 2022, subject to receipt of permits.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5, 2021, ALLETE Clean Energy announced it has acquired the rights to the approximately 92 MW Red Barn wind development project and the approximately 68 MW Whitetail renewable development project in southwestern Wisconsin. ALLETE Clean Energy also signed an asset sale agreement for the completed Red Barn wind project with Wisconsin Public Service Corporation and Madison Gas and Electric Company. Construction and sale of the Red Barn wind project is expected to be completed in late 2022, subject to receipt of regulatory approvals and 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Region</w:t>
            </w:r>
          </w:p>
        </w:tc>
        <w:tc>
          <w:tcPr>
            <w:tcW w:w="36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Wind Energy Facility</w:t>
            </w:r>
          </w:p>
        </w:tc>
        <w:tc>
          <w:tcPr>
            <w:tcW w:w="290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Capacity MW</w:t>
            </w: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PSA MW</w:t>
            </w:r>
          </w:p>
        </w:tc>
        <w:tc>
          <w:tcPr>
            <w:tcW w:w="18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PSA Expiration</w:t>
            </w:r>
          </w:p>
        </w:tc>
      </w:tr>
      <w:tr>
        <w:trPr>
          <w:trHeight w:val="223"/>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w:t>
            </w:r>
          </w:p>
        </w:tc>
        <w:tc>
          <w:tcPr>
            <w:tcW w:w="3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Armenia Mountain</w:t>
            </w:r>
          </w:p>
        </w:tc>
        <w:tc>
          <w:tcPr>
            <w:tcW w:w="290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93"/>
              </w:rPr>
              <w:t>101</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2024</w:t>
            </w: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Midwest</w:t>
            </w:r>
          </w:p>
        </w:tc>
        <w:tc>
          <w:tcPr>
            <w:tcW w:w="3680" w:type="dxa"/>
            <w:vAlign w:val="bottom"/>
          </w:tcPr>
          <w:p>
            <w:pPr>
              <w:ind w:left="540"/>
              <w:spacing w:after="0"/>
              <w:rPr>
                <w:sz w:val="20"/>
                <w:szCs w:val="20"/>
                <w:color w:val="auto"/>
              </w:rPr>
            </w:pPr>
            <w:r>
              <w:rPr>
                <w:rFonts w:ascii="Arial" w:cs="Arial" w:eastAsia="Arial" w:hAnsi="Arial"/>
                <w:sz w:val="18"/>
                <w:szCs w:val="18"/>
                <w:color w:val="auto"/>
              </w:rPr>
              <w:t xml:space="preserve">Chanarambie/Viking </w:t>
            </w:r>
            <w:r>
              <w:rPr>
                <w:rFonts w:ascii="Arial" w:cs="Arial" w:eastAsia="Arial" w:hAnsi="Arial"/>
                <w:sz w:val="16"/>
                <w:szCs w:val="16"/>
                <w:i w:val="1"/>
                <w:iCs w:val="1"/>
                <w:color w:val="auto"/>
              </w:rPr>
              <w:t>(a)</w:t>
            </w:r>
          </w:p>
        </w:tc>
        <w:tc>
          <w:tcPr>
            <w:tcW w:w="2900" w:type="dxa"/>
            <w:vAlign w:val="bottom"/>
          </w:tcPr>
          <w:p>
            <w:pPr>
              <w:jc w:val="center"/>
              <w:ind w:left="870"/>
              <w:spacing w:after="0"/>
              <w:rPr>
                <w:sz w:val="20"/>
                <w:szCs w:val="20"/>
                <w:color w:val="auto"/>
              </w:rPr>
            </w:pPr>
            <w:r>
              <w:rPr>
                <w:rFonts w:ascii="Arial" w:cs="Arial" w:eastAsia="Arial" w:hAnsi="Arial"/>
                <w:sz w:val="18"/>
                <w:szCs w:val="18"/>
                <w:color w:val="auto"/>
                <w:w w:val="89"/>
              </w:rPr>
              <w:t>98</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1</w:t>
            </w:r>
          </w:p>
        </w:tc>
        <w:tc>
          <w:tcPr>
            <w:tcW w:w="29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2023</w:t>
            </w:r>
          </w:p>
        </w:tc>
      </w:tr>
      <w:tr>
        <w:trPr>
          <w:trHeight w:val="230"/>
        </w:trPr>
        <w:tc>
          <w:tcPr>
            <w:tcW w:w="1220" w:type="dxa"/>
            <w:vAlign w:val="bottom"/>
          </w:tcPr>
          <w:p>
            <w:pPr>
              <w:spacing w:after="0"/>
              <w:rPr>
                <w:sz w:val="19"/>
                <w:szCs w:val="19"/>
                <w:color w:val="auto"/>
              </w:rPr>
            </w:pPr>
          </w:p>
        </w:tc>
        <w:tc>
          <w:tcPr>
            <w:tcW w:w="3680" w:type="dxa"/>
            <w:vAlign w:val="bottom"/>
          </w:tcPr>
          <w:p>
            <w:pPr>
              <w:ind w:left="860"/>
              <w:spacing w:after="0"/>
              <w:rPr>
                <w:sz w:val="20"/>
                <w:szCs w:val="20"/>
                <w:color w:val="auto"/>
              </w:rPr>
            </w:pPr>
            <w:r>
              <w:rPr>
                <w:rFonts w:ascii="Arial" w:cs="Arial" w:eastAsia="Arial" w:hAnsi="Arial"/>
                <w:sz w:val="18"/>
                <w:szCs w:val="18"/>
                <w:color w:val="auto"/>
              </w:rPr>
              <w:t>PSA 2</w:t>
            </w:r>
          </w:p>
        </w:tc>
        <w:tc>
          <w:tcPr>
            <w:tcW w:w="29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2023</w:t>
            </w:r>
          </w:p>
        </w:tc>
      </w:tr>
      <w:tr>
        <w:trPr>
          <w:trHeight w:val="229"/>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Lake Benton</w:t>
            </w:r>
          </w:p>
        </w:tc>
        <w:tc>
          <w:tcPr>
            <w:tcW w:w="290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3"/>
              </w:rPr>
              <w:t>104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2028</w:t>
            </w:r>
          </w:p>
        </w:tc>
      </w:tr>
      <w:tr>
        <w:trPr>
          <w:trHeight w:val="229"/>
        </w:trPr>
        <w:tc>
          <w:tcPr>
            <w:tcW w:w="1220" w:type="dxa"/>
            <w:vAlign w:val="bottom"/>
          </w:tcPr>
          <w:p>
            <w:pPr>
              <w:spacing w:after="0"/>
              <w:rPr>
                <w:sz w:val="19"/>
                <w:szCs w:val="19"/>
                <w:color w:val="auto"/>
              </w:rPr>
            </w:pPr>
          </w:p>
        </w:tc>
        <w:tc>
          <w:tcPr>
            <w:tcW w:w="3680" w:type="dxa"/>
            <w:vAlign w:val="bottom"/>
          </w:tcPr>
          <w:p>
            <w:pPr>
              <w:ind w:left="540"/>
              <w:spacing w:after="0"/>
              <w:rPr>
                <w:sz w:val="20"/>
                <w:szCs w:val="20"/>
                <w:color w:val="auto"/>
              </w:rPr>
            </w:pPr>
            <w:r>
              <w:rPr>
                <w:rFonts w:ascii="Arial" w:cs="Arial" w:eastAsia="Arial" w:hAnsi="Arial"/>
                <w:sz w:val="18"/>
                <w:szCs w:val="18"/>
                <w:color w:val="auto"/>
              </w:rPr>
              <w:t>Storm Lake I</w:t>
            </w:r>
          </w:p>
        </w:tc>
        <w:tc>
          <w:tcPr>
            <w:tcW w:w="2900" w:type="dxa"/>
            <w:vAlign w:val="bottom"/>
          </w:tcPr>
          <w:p>
            <w:pPr>
              <w:jc w:val="center"/>
              <w:ind w:left="890"/>
              <w:spacing w:after="0"/>
              <w:rPr>
                <w:sz w:val="20"/>
                <w:szCs w:val="20"/>
                <w:color w:val="auto"/>
              </w:rPr>
            </w:pPr>
            <w:r>
              <w:rPr>
                <w:rFonts w:ascii="Arial" w:cs="Arial" w:eastAsia="Arial" w:hAnsi="Arial"/>
                <w:sz w:val="18"/>
                <w:szCs w:val="18"/>
                <w:color w:val="auto"/>
                <w:w w:val="93"/>
              </w:rPr>
              <w:t>108</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2027</w:t>
            </w:r>
          </w:p>
        </w:tc>
      </w:tr>
      <w:tr>
        <w:trPr>
          <w:trHeight w:val="230"/>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Storm Lake II</w:t>
            </w:r>
          </w:p>
        </w:tc>
        <w:tc>
          <w:tcPr>
            <w:tcW w:w="290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9"/>
              </w:rPr>
              <w:t>77</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680" w:type="dxa"/>
            <w:vAlign w:val="bottom"/>
          </w:tcPr>
          <w:p>
            <w:pPr>
              <w:ind w:left="860"/>
              <w:spacing w:after="0"/>
              <w:rPr>
                <w:sz w:val="20"/>
                <w:szCs w:val="20"/>
                <w:color w:val="auto"/>
              </w:rPr>
            </w:pPr>
            <w:r>
              <w:rPr>
                <w:rFonts w:ascii="Arial" w:cs="Arial" w:eastAsia="Arial" w:hAnsi="Arial"/>
                <w:sz w:val="18"/>
                <w:szCs w:val="18"/>
                <w:color w:val="auto"/>
              </w:rPr>
              <w:t>PSA 1</w:t>
            </w:r>
          </w:p>
        </w:tc>
        <w:tc>
          <w:tcPr>
            <w:tcW w:w="29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90%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29"/>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2032</w:t>
            </w:r>
          </w:p>
        </w:tc>
      </w:tr>
      <w:tr>
        <w:trPr>
          <w:trHeight w:val="230"/>
        </w:trPr>
        <w:tc>
          <w:tcPr>
            <w:tcW w:w="12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17</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2028</w:t>
            </w:r>
          </w:p>
        </w:tc>
      </w:tr>
      <w:tr>
        <w:trPr>
          <w:trHeight w:val="223"/>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t>
            </w:r>
          </w:p>
        </w:tc>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Diamond Spring</w:t>
            </w:r>
          </w:p>
        </w:tc>
        <w:tc>
          <w:tcPr>
            <w:tcW w:w="290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3"/>
              </w:rPr>
              <w:t>303</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680" w:type="dxa"/>
            <w:vAlign w:val="bottom"/>
          </w:tcPr>
          <w:p>
            <w:pPr>
              <w:ind w:left="860"/>
              <w:spacing w:after="0"/>
              <w:rPr>
                <w:sz w:val="20"/>
                <w:szCs w:val="20"/>
                <w:color w:val="auto"/>
              </w:rPr>
            </w:pPr>
            <w:r>
              <w:rPr>
                <w:rFonts w:ascii="Arial" w:cs="Arial" w:eastAsia="Arial" w:hAnsi="Arial"/>
                <w:sz w:val="18"/>
                <w:szCs w:val="18"/>
                <w:color w:val="auto"/>
              </w:rPr>
              <w:t>PSA 1</w:t>
            </w:r>
          </w:p>
        </w:tc>
        <w:tc>
          <w:tcPr>
            <w:tcW w:w="29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58%</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2035</w:t>
            </w:r>
          </w:p>
        </w:tc>
      </w:tr>
      <w:tr>
        <w:trPr>
          <w:trHeight w:val="229"/>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2032</w:t>
            </w:r>
          </w:p>
        </w:tc>
      </w:tr>
      <w:tr>
        <w:trPr>
          <w:trHeight w:val="230"/>
        </w:trPr>
        <w:tc>
          <w:tcPr>
            <w:tcW w:w="12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PSA 3</w:t>
            </w:r>
          </w:p>
        </w:tc>
        <w:tc>
          <w:tcPr>
            <w:tcW w:w="2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16%</w:t>
            </w:r>
          </w:p>
        </w:tc>
        <w:tc>
          <w:tcPr>
            <w:tcW w:w="1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2035</w:t>
            </w:r>
          </w:p>
        </w:tc>
      </w:tr>
      <w:tr>
        <w:trPr>
          <w:trHeight w:val="223"/>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w:t>
            </w:r>
          </w:p>
        </w:tc>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Condon</w:t>
            </w:r>
          </w:p>
        </w:tc>
        <w:tc>
          <w:tcPr>
            <w:tcW w:w="290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9"/>
              </w:rPr>
              <w:t>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30"/>
        </w:trPr>
        <w:tc>
          <w:tcPr>
            <w:tcW w:w="1220" w:type="dxa"/>
            <w:vAlign w:val="bottom"/>
          </w:tcPr>
          <w:p>
            <w:pPr>
              <w:spacing w:after="0"/>
              <w:rPr>
                <w:sz w:val="19"/>
                <w:szCs w:val="19"/>
                <w:color w:val="auto"/>
              </w:rPr>
            </w:pPr>
          </w:p>
        </w:tc>
        <w:tc>
          <w:tcPr>
            <w:tcW w:w="3680" w:type="dxa"/>
            <w:vAlign w:val="bottom"/>
          </w:tcPr>
          <w:p>
            <w:pPr>
              <w:ind w:left="540"/>
              <w:spacing w:after="0"/>
              <w:rPr>
                <w:sz w:val="20"/>
                <w:szCs w:val="20"/>
                <w:color w:val="auto"/>
              </w:rPr>
            </w:pPr>
            <w:r>
              <w:rPr>
                <w:rFonts w:ascii="Arial" w:cs="Arial" w:eastAsia="Arial" w:hAnsi="Arial"/>
                <w:sz w:val="18"/>
                <w:szCs w:val="18"/>
                <w:color w:val="auto"/>
              </w:rPr>
              <w:t>Glen Ullin</w:t>
            </w:r>
          </w:p>
        </w:tc>
        <w:tc>
          <w:tcPr>
            <w:tcW w:w="2900" w:type="dxa"/>
            <w:vAlign w:val="bottom"/>
          </w:tcPr>
          <w:p>
            <w:pPr>
              <w:jc w:val="center"/>
              <w:ind w:left="890"/>
              <w:spacing w:after="0"/>
              <w:rPr>
                <w:sz w:val="20"/>
                <w:szCs w:val="20"/>
                <w:color w:val="auto"/>
              </w:rPr>
            </w:pPr>
            <w:r>
              <w:rPr>
                <w:rFonts w:ascii="Arial" w:cs="Arial" w:eastAsia="Arial" w:hAnsi="Arial"/>
                <w:sz w:val="18"/>
                <w:szCs w:val="18"/>
                <w:color w:val="auto"/>
                <w:w w:val="93"/>
              </w:rPr>
              <w:t>106</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2039</w:t>
            </w:r>
          </w:p>
        </w:tc>
      </w:tr>
      <w:tr>
        <w:trPr>
          <w:trHeight w:val="229"/>
        </w:trPr>
        <w:tc>
          <w:tcPr>
            <w:tcW w:w="1220" w:type="dxa"/>
            <w:vAlign w:val="bottom"/>
            <w:tcBorders>
              <w:bottom w:val="single" w:sz="8" w:color="auto"/>
            </w:tcBorders>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South Peak</w:t>
            </w:r>
          </w:p>
        </w:tc>
        <w:tc>
          <w:tcPr>
            <w:tcW w:w="290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89"/>
              </w:rPr>
              <w:t>80</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2035</w:t>
            </w:r>
          </w:p>
        </w:tc>
      </w:tr>
    </w:tbl>
    <w:p>
      <w:pPr>
        <w:spacing w:after="0" w:line="98" w:lineRule="exact"/>
        <w:rPr>
          <w:sz w:val="20"/>
          <w:szCs w:val="20"/>
          <w:color w:val="auto"/>
        </w:rPr>
      </w:pPr>
    </w:p>
    <w:p>
      <w:pPr>
        <w:ind w:left="340" w:right="20" w:hanging="332"/>
        <w:spacing w:after="0" w:line="254"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Under contract for sale to a subsidiary of Xcel Energy Inc. The sale is expected to close in late 2022, subject to receipt of permits. ALLETE Clean Energy will repower and expand the wind energy facilities as part of the transaction.</w:t>
      </w:r>
    </w:p>
    <w:p>
      <w:pPr>
        <w:spacing w:after="0"/>
        <w:rPr>
          <w:sz w:val="20"/>
          <w:szCs w:val="20"/>
          <w:color w:val="auto"/>
        </w:rPr>
      </w:pPr>
      <w:r>
        <w:rPr>
          <w:rFonts w:ascii="Arial" w:cs="Arial" w:eastAsia="Arial" w:hAnsi="Arial"/>
          <w:sz w:val="18"/>
          <w:szCs w:val="18"/>
          <w:b w:val="1"/>
          <w:bCs w:val="1"/>
          <w:color w:val="auto"/>
        </w:rPr>
        <w:t>Corporate and Other.</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3.6 million tons of lignite coal in 2021 (4.2 million tons were sold in 2020) and has sold 2.9 million tons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2021 (3.1 million tons were sold for the nine months ended September 30, 2020). BNI Energy operates under cost-plus fixed fee agreements extending through December 31, 2037.</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Investment in Nobles 2</w:t>
      </w:r>
      <w:r>
        <w:rPr>
          <w:rFonts w:ascii="Arial" w:cs="Arial" w:eastAsia="Arial" w:hAnsi="Arial"/>
          <w:sz w:val="18"/>
          <w:szCs w:val="18"/>
          <w:color w:val="auto"/>
        </w:rPr>
        <w:t>. Our subsidiary, ALLETE South Wind, owns a 49 percent equity interest in Nobles 2, the entity that owns and operates the 250 MW</w:t>
      </w:r>
      <w:r>
        <w:rPr>
          <w:rFonts w:ascii="Arial" w:cs="Arial" w:eastAsia="Arial" w:hAnsi="Arial"/>
          <w:sz w:val="18"/>
          <w:szCs w:val="18"/>
          <w:i w:val="1"/>
          <w:iCs w:val="1"/>
          <w:color w:val="auto"/>
        </w:rPr>
        <w:t xml:space="preserve"> </w:t>
      </w:r>
      <w:r>
        <w:rPr>
          <w:rFonts w:ascii="Arial" w:cs="Arial" w:eastAsia="Arial" w:hAnsi="Arial"/>
          <w:sz w:val="18"/>
          <w:szCs w:val="18"/>
          <w:color w:val="auto"/>
        </w:rPr>
        <w:t>wind energy facility in southwestern Minnesota pursuant to a 20-year PPA with Minnesota Power. We account for our investment in Nobles 2 under the equity method of accounting. (See Note 3. Equity Investments.) As of September 30, 2021, our equity investment in Nobles 2 was $164.8 million ($152.2 million at December 31, 2020).</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South Shore Energy. </w:t>
      </w:r>
      <w:r>
        <w:rPr>
          <w:rFonts w:ascii="Arial" w:cs="Arial" w:eastAsia="Arial" w:hAnsi="Arial"/>
          <w:sz w:val="18"/>
          <w:szCs w:val="18"/>
          <w:color w:val="auto"/>
        </w:rPr>
        <w:t>South Shore Energy, ALLETE’s non-rate regulated, Wisconsin subsidiary, is developing NTEC, an approximately 600 MW proposed</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combined-cycle natural gas-fired generating facility to be built in Superior, Wisconsin, which will be jointly owned by Dairyland Power Cooperative, Basin and South Shore Energy. Minnesota Power is expected to purchase approximately 20 percent of the facility's output starting in 2025 pursuant to a capacity dedication agreement. Construction of NTEC is subject to obtaining additional permits from local, state and federal authorities. The total project cost is estimated to be approximately $700 million, of which South Shore Energy’s portion is expected to be approximately $140 million. South Shore Energy’s portion of NTEC project costs incurred through September 30, 2021, is approximately $15 million of which approximately $8 million related to development costs sold to Basin.</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22, 2021, South Shore Energy entered into an agreement with a wholly-owned subsidiary of Basin pursuant to which South Shore Energy agreed to sell to Basin a portion of its interest in NTEC for approximately $20 million representing reimbursement of current costs plus a fee for prior development costs and risks incurred. Pursuant to this transaction, which closed on October 1, 2021, South Shore Energy sold a portion of its undivided ownership interest in NTEC to Basin, such that, South Shore Energy now owns a 20 percent undivided ownership interest in NTEC, Basin owns a 30 percent undivided ownership interest in NTEC and Dairyland Power Cooperative continues to own a 50 percent undivided ownership interest in NTEC. The closing of the transaction resulted in the recognition of an approximately $8.5 million after-tax gain recorded in Corporate and Other in the fourth quarter of 2021, related to prior development costs and risks incurred.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2021 Form 10-Q</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legacy Florida real estate investment. ALLETE Properties’ primary project in Florida is Town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at Palm Coast, with approximately 700 acres of land available for sale. In addition to this project, ALLETE Properties has approximately 600 acres of other land available for sale. Market conditions can impact land sales and could result in our inability to cover our cost basis and operating expenses including fixed carrying costs such as community development district assessments and property taxes.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strategy incorporates the possibility of a bulk sale of the entire ALLETE Properties portfolio. Proceeds from a bulk sale would be strategically deployed to support growth initiatives at our Regulated Operations and ALLETE Clean Energy. ALLETE Properties also continues to pursue sales of individual parcels over time and will continue to maintain key entitlements and infrastructure.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ALLETE’s aggregate federal and multi-state statutory tax rate is approximately 28 percent for 2021. ALLETE also has tax credits and other tax adjustments that reduce the combined statutory rate to the effective tax rate. These tax credits and adjustments historically have included items such as investment tax credits, production tax credits, non-controlling interest, AFUDC-Equity,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25 to 30 percent for 2021 primarily due to federal production tax credits as a result of wind energy generation. We also expect that our effective tax rate will be lower than the combined statutory rate over the next 10 years due to production tax credits attributable to our wind energy generation.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Liquidity Position. </w:t>
      </w:r>
      <w:r>
        <w:rPr>
          <w:rFonts w:ascii="Arial" w:cs="Arial" w:eastAsia="Arial" w:hAnsi="Arial"/>
          <w:sz w:val="17"/>
          <w:szCs w:val="17"/>
          <w:color w:val="auto"/>
        </w:rPr>
        <w:t>ALLETE is well-positioned to meet the Company’s liquidity needs. As of September 30, 2021, we had cash and cash equivalents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$59.0 million, $380.6 million in available consolidated lines of credit, 2.6 million original issue shares of common stock available for issuance through a distribution agreement with Lampert Capital Markets and a debt-to-capital ratio of 42 percent. (See </w:t>
      </w:r>
      <w:r>
        <w:rPr>
          <w:rFonts w:ascii="Arial" w:cs="Arial" w:eastAsia="Arial" w:hAnsi="Arial"/>
          <w:sz w:val="17"/>
          <w:szCs w:val="17"/>
          <w:i w:val="1"/>
          <w:iCs w:val="1"/>
          <w:color w:val="auto"/>
        </w:rPr>
        <w:t>Working Capital</w:t>
      </w:r>
      <w:r>
        <w:rPr>
          <w:rFonts w:ascii="Arial" w:cs="Arial" w:eastAsia="Arial" w:hAnsi="Arial"/>
          <w:sz w:val="17"/>
          <w:szCs w:val="17"/>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4"/>
                <w:szCs w:val="24"/>
                <w:color w:val="auto"/>
              </w:rPr>
            </w:pPr>
          </w:p>
        </w:tc>
        <w:tc>
          <w:tcPr>
            <w:tcW w:w="222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$2,340.0</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$2,294.6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220" w:type="dxa"/>
            <w:vAlign w:val="bottom"/>
          </w:tcPr>
          <w:p>
            <w:pPr>
              <w:jc w:val="right"/>
              <w:ind w:right="250"/>
              <w:spacing w:after="0"/>
              <w:rPr>
                <w:sz w:val="20"/>
                <w:szCs w:val="20"/>
                <w:color w:val="auto"/>
              </w:rPr>
            </w:pPr>
            <w:r>
              <w:rPr>
                <w:rFonts w:ascii="Arial" w:cs="Arial" w:eastAsia="Arial" w:hAnsi="Arial"/>
                <w:sz w:val="18"/>
                <w:szCs w:val="18"/>
                <w:color w:val="auto"/>
              </w:rPr>
              <w:t>514.5</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505.6</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2,036.1</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42</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1,806.4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$4,890.6</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$4,606.6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5720" w:type="dxa"/>
            <w:vAlign w:val="bottom"/>
          </w:tcPr>
          <w:p>
            <w:pPr>
              <w:spacing w:after="0"/>
              <w:rPr>
                <w:sz w:val="20"/>
                <w:szCs w:val="20"/>
                <w:color w:val="auto"/>
              </w:rPr>
            </w:pPr>
            <w:r>
              <w:rPr>
                <w:rFonts w:ascii="Arial" w:cs="Arial" w:eastAsia="Arial" w:hAnsi="Arial"/>
                <w:sz w:val="16"/>
                <w:szCs w:val="16"/>
                <w:i w:val="1"/>
                <w:iCs w:val="1"/>
                <w:color w:val="auto"/>
              </w:rPr>
              <w:t>(a)  Excludes unamortized debt issuance costs.</w:t>
            </w: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Nine Months Ended September 30,</w:t>
            </w:r>
          </w:p>
        </w:tc>
        <w:tc>
          <w:tcPr>
            <w:tcW w:w="2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$65.2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Cash Flows from (used for)</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209.2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(397.1)</w:t>
            </w:r>
          </w:p>
        </w:tc>
        <w:tc>
          <w:tcPr>
            <w:tcW w:w="740" w:type="dxa"/>
            <w:vAlign w:val="bottom"/>
          </w:tcPr>
          <w:p>
            <w:pPr>
              <w:jc w:val="right"/>
              <w:spacing w:after="0"/>
              <w:rPr>
                <w:sz w:val="20"/>
                <w:szCs w:val="20"/>
                <w:color w:val="auto"/>
              </w:rPr>
            </w:pPr>
            <w:r>
              <w:rPr>
                <w:rFonts w:ascii="Arial" w:cs="Arial" w:eastAsia="Arial" w:hAnsi="Arial"/>
                <w:sz w:val="18"/>
                <w:szCs w:val="18"/>
                <w:color w:val="auto"/>
              </w:rPr>
              <w:t>(631.2)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2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188.1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Change in Cash, Cash Equivalents and Restricted Cash</w:t>
            </w:r>
          </w:p>
        </w:tc>
        <w:tc>
          <w:tcPr>
            <w:tcW w:w="2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0.2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$65.4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lower in 2021 compared to 2020. Cash from operating activities in 2021 included lower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compared to 2020, higher payments for inventories and timing in recovery and refund of the fuel adjustment clause. Cash from operating activities in 2020 included provision of payments for interim rates collected as part of the 2020 general rate case.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lower in 2021 compared to 2020. Cash used for investing activities in 2021 reflected lower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to property, plant and equipment and fewer payments for equity method investments compared to 2020.</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lower in 2021 compared to 2020 primarily due to higher repayments of short-term and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lower proceeds from the issuance of short-term and long-term debt, and lower proceeds from non-controlling interest in subsidiaries in 2021. These decreases were partially offset by higher proceeds from the issuance of common stock in 2021.</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Working Capital. </w:t>
      </w:r>
      <w:r>
        <w:rPr>
          <w:rFonts w:ascii="Arial" w:cs="Arial" w:eastAsia="Arial" w:hAnsi="Arial"/>
          <w:sz w:val="16"/>
          <w:szCs w:val="16"/>
          <w:color w:val="auto"/>
        </w:rPr>
        <w:t>Additional working capital, if and when needed, generally is provided by consolidated bank lines of credit and the issuance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long-term debt, common stock and commercial paper. As of September 30, 2021, we had consolidated bank lines of credit aggregating $432.0 million ($407.0 million as of December 31, 2020), the majority of which expire in January 2024. We had $26.2 million outstanding in standby letters of credit and $25.2 million outstanding draws under our lines of credit as of September 30, 2021 ($22.3 million in standby letters of credit and no outstanding draws as of December 31, 2020). We also have other credit facility agreements in place that provide the ability to issue up to $100.0 million in standby letters of credit. As of September 30, 2021, we had $85.7 million outstanding in standby letters of credit under these agreements.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of September 30, 2021, we had 3.2 million original issue shares of our common stock available for issuance through Invest Direct, our direct stock purchase and dividend reinvestment plan, and 2.6 million original issue shares of common stock available for issuance through a distribution agreement with Lampert Capital Markets, as amended most recently in May 2020. The amount and timing of future sales of our securities will depend upon market conditions and our specific needs.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nine months ended September 30, 2021, we issued 0.3 million shares of common stock through Invest Direct, the Employee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Plan, and the Retirement Savings and Stock Ownership Plan, resulting in net proceeds of $14.6 million (0.3 million shares were issued for the nine months ended September 30, 2020, resulting in net proceeds of $12.8 million).</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2021, 0.2 million shares of common stock were issued under the agreement with Lampert Capital Markets, resulting in net proceeds of $16.4 million (no shares were issued for the nine months ended September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5. Short-Term and Long-Term Debt for information regarding our financial covenants.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actuarially determined minimum contribution requirements and contributions required to avoid benefit restrictions for the defined benefit pension plans. (See Note 9. Pension and Other Postretirement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2020 Form 10-K, with additional disclosure in Note 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Credit Ratings</w:t>
            </w:r>
          </w:p>
        </w:tc>
        <w:tc>
          <w:tcPr>
            <w:tcW w:w="4280" w:type="dxa"/>
            <w:vAlign w:val="bottom"/>
          </w:tcPr>
          <w:p>
            <w:pPr>
              <w:jc w:val="center"/>
              <w:ind w:left="2732"/>
              <w:spacing w:after="0"/>
              <w:rPr>
                <w:sz w:val="20"/>
                <w:szCs w:val="20"/>
                <w:color w:val="auto"/>
              </w:rPr>
            </w:pPr>
            <w:r>
              <w:rPr>
                <w:rFonts w:ascii="Arial" w:cs="Arial" w:eastAsia="Arial" w:hAnsi="Arial"/>
                <w:sz w:val="18"/>
                <w:szCs w:val="18"/>
                <w:b w:val="1"/>
                <w:bCs w:val="1"/>
                <w:color w:val="auto"/>
                <w:w w:val="95"/>
              </w:rPr>
              <w:t>S&amp;P Global</w:t>
            </w: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Moody’s</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auto"/>
            </w:tcBorders>
            <w:vMerge w:val="continue"/>
          </w:tcPr>
          <w:p>
            <w:pPr>
              <w:spacing w:after="0"/>
              <w:rPr>
                <w:sz w:val="19"/>
                <w:szCs w:val="19"/>
                <w:color w:val="auto"/>
              </w:rPr>
            </w:pPr>
          </w:p>
        </w:tc>
        <w:tc>
          <w:tcPr>
            <w:tcW w:w="4280" w:type="dxa"/>
            <w:vAlign w:val="bottom"/>
            <w:tcBorders>
              <w:bottom w:val="single" w:sz="8" w:color="auto"/>
            </w:tcBorders>
          </w:tcPr>
          <w:p>
            <w:pPr>
              <w:jc w:val="center"/>
              <w:ind w:left="2732"/>
              <w:spacing w:after="0"/>
              <w:rPr>
                <w:sz w:val="20"/>
                <w:szCs w:val="20"/>
                <w:color w:val="auto"/>
              </w:rPr>
            </w:pPr>
            <w:r>
              <w:rPr>
                <w:rFonts w:ascii="Arial" w:cs="Arial" w:eastAsia="Arial" w:hAnsi="Arial"/>
                <w:sz w:val="18"/>
                <w:szCs w:val="18"/>
                <w:b w:val="1"/>
                <w:bCs w:val="1"/>
                <w:color w:val="auto"/>
                <w:w w:val="87"/>
              </w:rPr>
              <w:t>Ratings</w:t>
            </w: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280" w:type="dxa"/>
            <w:vAlign w:val="bottom"/>
            <w:shd w:val="clear" w:color="auto" w:fill="CCEEFF"/>
          </w:tcPr>
          <w:p>
            <w:pPr>
              <w:jc w:val="center"/>
              <w:ind w:left="2712"/>
              <w:spacing w:after="0"/>
              <w:rPr>
                <w:sz w:val="20"/>
                <w:szCs w:val="20"/>
                <w:color w:val="auto"/>
              </w:rPr>
            </w:pPr>
            <w:r>
              <w:rPr>
                <w:rFonts w:ascii="Arial" w:cs="Arial" w:eastAsia="Arial" w:hAnsi="Arial"/>
                <w:sz w:val="18"/>
                <w:szCs w:val="18"/>
                <w:color w:val="auto"/>
                <w:w w:val="99"/>
              </w:rPr>
              <w:t>BBB</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280" w:type="dxa"/>
            <w:vAlign w:val="bottom"/>
          </w:tcPr>
          <w:p>
            <w:pPr>
              <w:jc w:val="center"/>
              <w:ind w:left="2712"/>
              <w:spacing w:after="0"/>
              <w:rPr>
                <w:sz w:val="20"/>
                <w:szCs w:val="20"/>
                <w:color w:val="auto"/>
              </w:rPr>
            </w:pPr>
            <w:r>
              <w:rPr>
                <w:rFonts w:ascii="Arial" w:cs="Arial" w:eastAsia="Arial" w:hAnsi="Arial"/>
                <w:sz w:val="18"/>
                <w:szCs w:val="18"/>
                <w:color w:val="auto"/>
                <w:w w:val="99"/>
              </w:rPr>
              <w:t>A-2</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P-2</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280" w:type="dxa"/>
            <w:vAlign w:val="bottom"/>
            <w:tcBorders>
              <w:bottom w:val="single" w:sz="8" w:color="auto"/>
            </w:tcBorders>
            <w:shd w:val="clear" w:color="auto" w:fill="CCEEFF"/>
          </w:tcPr>
          <w:p>
            <w:pPr>
              <w:jc w:val="center"/>
              <w:ind w:left="2732"/>
              <w:spacing w:after="0"/>
              <w:rPr>
                <w:sz w:val="20"/>
                <w:szCs w:val="20"/>
                <w:color w:val="auto"/>
              </w:rPr>
            </w:pPr>
            <w:r>
              <w:rPr>
                <w:rFonts w:ascii="Arial" w:cs="Arial" w:eastAsia="Arial" w:hAnsi="Arial"/>
                <w:sz w:val="16"/>
                <w:szCs w:val="16"/>
                <w:i w:val="1"/>
                <w:iCs w:val="1"/>
                <w:color w:val="auto"/>
                <w:w w:val="91"/>
              </w:rPr>
              <w:t>(a)</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98"/>
        </w:trPr>
        <w:tc>
          <w:tcPr>
            <w:tcW w:w="5680" w:type="dxa"/>
            <w:vAlign w:val="bottom"/>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2021 are expected to be approximately $500 million. For the nine months ended September 30, 2021,</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totaled $378.1 million ($457.1 million for the nine months ended September 30, 2020). The expenditures were primarily made in the ALLETE Clean Energy and Regulated Operations segments.</w:t>
      </w:r>
    </w:p>
    <w:p>
      <w:pPr>
        <w:spacing w:after="0" w:line="20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a result of the sale of a portion of NTEC by South Shore Energy to Basin, the expected capital expenditures for NTEC by South Shore Energy for the years 2021 through 2025 are now expected to be approximately $140 million. (See Outlook – Corporate and Other – South Shore Energy.)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ALLETE had 1,373 employees, of which 1,341 were full-time.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and SWL&amp;P have an aggregate of 468 employees covered under collective bargaining agreements, of which most are members of International Brotherhood of Electrical Workers (IBEW) Local 31. The current labor agreements with IBEW Local 31 expire on April 30, 2023, for Minnesota Power and on January 31, 2022, for SWL&amp;P.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Energy has 175 employees, of which 129 are subject to a labor agreement with IBEW Local 1593. The current labor agreement with IBEW Local 1593 expires on March 31,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2021 Form 10-Q</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September 30, 2021,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September 30, 2021, an increase of 100 basis points in interest rates would impact the amount of pre-tax interest expense by $3.4 million. This amount was determined by considering the impact of a hypothetical 100 basis point increase to the average variable interest rate on the variable rate debt outstanding as of September 30, 2021.</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As of September 30, 2021, evaluations were performed, under the supervision and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21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2021 Form 10-Q</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8. Commitments, Guarantees and Contingencies to the Consolidated Financial Statements in our 2020 Form 10-K and Note 2. Regulatory Matters and Note 6. Commitments, Guarantees and Contingencies herein. Such information is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2020 Form 10-K includes a detailed discussion of our risk factors. The information presented below updates, and should be read in conjunction with, the risk factors disclosed in Part I, Item 1A. Risk Factors of our 2020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ALLETE Clean Energy / Corporate and Other Risks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price of electricity may be volatile, which may impact results of operations at ALLETE Clean Energy wind energy facilities under contracts with customer and industrial (C&amp;I) customers.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Unusual, adverse weather conditions or other natural events can cause volatility in market prices for electricity and adversely affect our financial position, results of operations and cash flows. ALLETE Clean Energy’s power sales agreements with its three C&amp;I customers at its Diamond Spring wind energy facility are contracts for differences where power is delivered to the market, and a fixed price is paid by the customers to ALLETE Clean Energy, and differences between the market price and the fixed price are paid to or received from the customers. One of these power sales agreements settles with the customer based on day-ahead electricity prices, while deliveries to the market are settled based on real-time electricity prices. This settlement provision can result in an adverse impact to the Company when market prices are extremely volatile as happened in February 2021 during an extreme winter weather event in the southwest United States. This winter weather event caused extreme volatility, with large differences in the day-ahead and real-time market prices; the settlement provision resulted in an approximately $5 million after-tax negative impact related to the Diamond Spring wind energy facility.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proxy statement for ALLETE’s 2021 Annual Meeting of Shareholders, which was filed with the SEC on March 25, 2021, contained typographical errors in the section entitled “Other Business—Shareholder Proposals for the 2022 Annual Meeting” related to the dates by which a shareholder must (a) submit a shareholder proposal to be considered for inclusion in the proxy materials for ALLETE’s 2022 annual meeting of shareholders (2022 Annual Meeting) and (b) provide notice to ALLETE if a shareholder would like to bring business before the 2022 Annual Meeting. The corrected information is set forth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the 2022 Annual Meeting</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proposals from shareholders submitted pursuant to SEC Rule 14a-8 under the Exchange Act to be considered for inclusion in the proxy statement relating to the 2022 Annual Meeting scheduled for May 10, 2022, must be received by the Secretary of ALLETE at 30 West Superior Street, Duluth, MN 55802-2093 not later than November 25, 2021.</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ALLETE’s Bylaws provide that for proposals, other than those described in the preceding paragraph, including nominations for director and other shareholder proposals to be properly brought before an annual meeting by a shareholder, the shareholder must have delivered timely notice to ALLETE’s Secretary. To be timely, notice for business to be brought before an annual meeting of shareholders generally must be received not less than 90 days nor more than 120 days prior to the anniversary of the immediately preceding annual meeting. Therefore, for the 2022 Annual Meeting scheduled for May 10, 2022, ALLETE must receive notice between January 11, 2022, and February 10, 2022. Notice must also comply with the applicable informational and other requirements set forth in ALLETE’s Bylaws.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persons to be named as proxies in the proxy card relating to the 2022 Annual Meeting may have the discretion to vote their proxies in accordance with their judgment on any matter as to which ALLETE did not have advance notice in accordance with the notice provisions in ALLETE’s Bylaws, without discussion of such matter in the proxy statement relating to the 2022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214745"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14745" cy="257175"/>
                    </a:xfrm>
                    <a:prstGeom prst="rect">
                      <a:avLst/>
                    </a:prstGeom>
                    <a:noFill/>
                  </pic:spPr>
                </pic:pic>
              </a:graphicData>
            </a:graphic>
          </wp:anchor>
        </w:drawing>
      </w:r>
    </w:p>
    <w:p>
      <w:pPr>
        <w:ind w:left="1080" w:right="1480" w:hanging="1054"/>
        <w:spacing w:after="0" w:line="234" w:lineRule="auto"/>
        <w:tabs>
          <w:tab w:leader="none" w:pos="1080" w:val="left"/>
        </w:tabs>
        <w:numPr>
          <w:ilvl w:val="0"/>
          <w:numId w:val="13"/>
        </w:numPr>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Forty-Second Supplemental Indenture, dated as of September 1, 2021, between ALLETE, Inc. and The Bank of New</w:t>
        </w:r>
      </w:hyperlink>
      <w:r>
        <w:rPr>
          <w:rFonts w:ascii="Arial" w:cs="Arial" w:eastAsia="Arial" w:hAnsi="Arial"/>
          <w:sz w:val="18"/>
          <w:szCs w:val="18"/>
          <w:u w:val="single" w:color="auto"/>
          <w:color w:val="0000FF"/>
        </w:rPr>
        <w:t xml:space="preserve"> </w:t>
      </w:r>
      <w:hyperlink w:anchor="page54">
        <w:r>
          <w:rPr>
            <w:rFonts w:ascii="Arial" w:cs="Arial" w:eastAsia="Arial" w:hAnsi="Arial"/>
            <w:sz w:val="18"/>
            <w:szCs w:val="18"/>
            <w:u w:val="single" w:color="auto"/>
            <w:color w:val="0000FF"/>
          </w:rPr>
          <w:t>York Mellon, as corporate trustee, and Eva Waite, as co-trustee.</w:t>
        </w:r>
      </w:hyperlink>
    </w:p>
    <w:p>
      <w:pPr>
        <w:spacing w:after="0" w:line="1" w:lineRule="exact"/>
        <w:rPr>
          <w:rFonts w:ascii="Arial" w:cs="Arial" w:eastAsia="Arial" w:hAnsi="Arial"/>
          <w:sz w:val="18"/>
          <w:szCs w:val="18"/>
          <w:u w:val="single" w:color="auto"/>
          <w:color w:val="0000FF"/>
        </w:rPr>
      </w:pPr>
    </w:p>
    <w:p>
      <w:pPr>
        <w:ind w:left="1080" w:right="1480" w:hanging="1059"/>
        <w:spacing w:after="0" w:line="23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31(a)</w:t>
      </w:r>
      <w:r>
        <w:rPr>
          <w:sz w:val="20"/>
          <w:szCs w:val="20"/>
          <w:color w:val="auto"/>
        </w:rPr>
        <w:tab/>
      </w:r>
      <w:hyperlink w:anchor="page71">
        <w:r>
          <w:rPr>
            <w:rFonts w:ascii="Arial" w:cs="Arial" w:eastAsia="Arial" w:hAnsi="Arial"/>
            <w:sz w:val="18"/>
            <w:szCs w:val="18"/>
            <w:u w:val="single" w:color="auto"/>
            <w:color w:val="0000FF"/>
          </w:rPr>
          <w:t>Rule 13a-14(a)/15d-14(a) Certification by the Chief Executive Officer Pursuant to Section 302 of the Sarbanes-Oxley</w:t>
        </w:r>
      </w:hyperlink>
      <w:r>
        <w:rPr>
          <w:rFonts w:ascii="Arial" w:cs="Arial" w:eastAsia="Arial" w:hAnsi="Arial"/>
          <w:sz w:val="18"/>
          <w:szCs w:val="18"/>
          <w:u w:val="single" w:color="auto"/>
          <w:color w:val="0000FF"/>
        </w:rPr>
        <w:t xml:space="preserve"> </w:t>
      </w:r>
      <w:hyperlink w:anchor="page71">
        <w:r>
          <w:rPr>
            <w:rFonts w:ascii="Arial" w:cs="Arial" w:eastAsia="Arial" w:hAnsi="Arial"/>
            <w:sz w:val="18"/>
            <w:szCs w:val="18"/>
            <w:u w:val="single" w:color="auto"/>
            <w:color w:val="0000FF"/>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14745" cy="257175"/>
                    </a:xfrm>
                    <a:prstGeom prst="rect">
                      <a:avLst/>
                    </a:prstGeom>
                    <a:noFill/>
                  </pic:spPr>
                </pic:pic>
              </a:graphicData>
            </a:graphic>
          </wp:anchor>
        </w:drawing>
      </w:r>
    </w:p>
    <w:p>
      <w:pPr>
        <w:ind w:left="1080" w:right="1460" w:hanging="1059"/>
        <w:spacing w:after="0" w:line="23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31(b)</w:t>
      </w:r>
      <w:r>
        <w:rPr>
          <w:sz w:val="20"/>
          <w:szCs w:val="20"/>
          <w:color w:val="auto"/>
        </w:rPr>
        <w:tab/>
      </w:r>
      <w:hyperlink w:anchor="page72">
        <w:r>
          <w:rPr>
            <w:rFonts w:ascii="Arial" w:cs="Arial" w:eastAsia="Arial" w:hAnsi="Arial"/>
            <w:sz w:val="18"/>
            <w:szCs w:val="18"/>
            <w:u w:val="single" w:color="auto"/>
            <w:color w:val="0000FF"/>
          </w:rPr>
          <w:t>Rule 13a-14(a)/15d-14(a) Certification by the Chief Financial Officer Pursuant to Section 302 of the Sarbanes-Oxley</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Act of 2002.</w:t>
        </w:r>
      </w:hyperlink>
    </w:p>
    <w:p>
      <w:pPr>
        <w:spacing w:after="0" w:line="1" w:lineRule="exact"/>
        <w:rPr>
          <w:sz w:val="20"/>
          <w:szCs w:val="20"/>
          <w:color w:val="auto"/>
        </w:rPr>
      </w:pPr>
    </w:p>
    <w:p>
      <w:pPr>
        <w:ind w:left="1080" w:right="1460" w:hanging="1054"/>
        <w:spacing w:after="0" w:line="234" w:lineRule="auto"/>
        <w:tabs>
          <w:tab w:leader="none" w:pos="1080" w:val="left"/>
        </w:tabs>
        <w:numPr>
          <w:ilvl w:val="0"/>
          <w:numId w:val="14"/>
        </w:numPr>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Section 1350 Certification of Periodic Report by the Chief Executive Officer and the Chief Financial Officer Pursuant to</w:t>
        </w:r>
      </w:hyperlink>
      <w:r>
        <w:rPr>
          <w:rFonts w:ascii="Arial" w:cs="Arial" w:eastAsia="Arial" w:hAnsi="Arial"/>
          <w:sz w:val="18"/>
          <w:szCs w:val="18"/>
          <w:u w:val="single" w:color="auto"/>
          <w:color w:val="0000FF"/>
        </w:rPr>
        <w:t xml:space="preserve"> </w:t>
      </w:r>
      <w:hyperlink w:anchor="page73">
        <w:r>
          <w:rPr>
            <w:rFonts w:ascii="Arial" w:cs="Arial" w:eastAsia="Arial" w:hAnsi="Arial"/>
            <w:sz w:val="18"/>
            <w:szCs w:val="18"/>
            <w:u w:val="single" w:color="auto"/>
            <w:color w:val="0000FF"/>
          </w:rPr>
          <w:t>Section 906 of the 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14745" cy="146050"/>
                    </a:xfrm>
                    <a:prstGeom prst="rect">
                      <a:avLst/>
                    </a:prstGeom>
                    <a:noFill/>
                  </pic:spPr>
                </pic:pic>
              </a:graphicData>
            </a:graphic>
          </wp:anchor>
        </w:drawing>
      </w:r>
    </w:p>
    <w:p>
      <w:pPr>
        <w:ind w:left="20"/>
        <w:spacing w:after="0"/>
        <w:tabs>
          <w:tab w:leader="none" w:pos="10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74">
        <w:r>
          <w:rPr>
            <w:rFonts w:ascii="Arial" w:cs="Arial" w:eastAsia="Arial" w:hAnsi="Arial"/>
            <w:sz w:val="18"/>
            <w:szCs w:val="18"/>
            <w:u w:val="single" w:color="auto"/>
            <w:color w:val="0000FF"/>
          </w:rPr>
          <w:t>Mine Safety.</w:t>
        </w:r>
      </w:hyperlink>
    </w:p>
    <w:p>
      <w:pPr>
        <w:spacing w:after="0" w:line="23" w:lineRule="exact"/>
        <w:rPr>
          <w:rFonts w:ascii="Arial" w:cs="Arial" w:eastAsia="Arial" w:hAnsi="Arial"/>
          <w:sz w:val="18"/>
          <w:szCs w:val="18"/>
          <w:u w:val="single" w:color="auto"/>
          <w:color w:val="0000FF"/>
        </w:rPr>
      </w:pPr>
    </w:p>
    <w:p>
      <w:pPr>
        <w:jc w:val="both"/>
        <w:ind w:left="1080" w:right="1460" w:hanging="1054"/>
        <w:spacing w:after="0" w:line="219" w:lineRule="auto"/>
        <w:tabs>
          <w:tab w:leader="none" w:pos="1080" w:val="left"/>
        </w:tabs>
        <w:numPr>
          <w:ilvl w:val="0"/>
          <w:numId w:val="15"/>
        </w:numPr>
        <w:rPr>
          <w:rFonts w:ascii="Arial" w:cs="Arial" w:eastAsia="Arial" w:hAnsi="Arial"/>
          <w:sz w:val="18"/>
          <w:szCs w:val="18"/>
          <w:b w:val="1"/>
          <w:bCs w:val="1"/>
          <w:u w:val="single" w:color="auto"/>
          <w:color w:val="0000FF"/>
        </w:rPr>
      </w:pPr>
      <w:hyperlink w:anchor="page75">
        <w:r>
          <w:rPr>
            <w:rFonts w:ascii="Arial" w:cs="Arial" w:eastAsia="Arial" w:hAnsi="Arial"/>
            <w:sz w:val="18"/>
            <w:szCs w:val="18"/>
            <w:b w:val="1"/>
            <w:bCs w:val="1"/>
            <w:u w:val="single" w:color="auto"/>
            <w:color w:val="0000FF"/>
          </w:rPr>
          <w:t>ALLETE News Release dated November 4, 2021, announcing 2021 third quarter earnings. (This exhibit has been</w:t>
        </w:r>
      </w:hyperlink>
      <w:r>
        <w:rPr>
          <w:rFonts w:ascii="Arial" w:cs="Arial" w:eastAsia="Arial" w:hAnsi="Arial"/>
          <w:sz w:val="18"/>
          <w:szCs w:val="18"/>
          <w:b w:val="1"/>
          <w:bCs w:val="1"/>
          <w:u w:val="single" w:color="auto"/>
          <w:color w:val="0000FF"/>
        </w:rPr>
        <w:t xml:space="preserve"> </w:t>
      </w:r>
      <w:hyperlink w:anchor="page75">
        <w:r>
          <w:rPr>
            <w:rFonts w:ascii="Arial" w:cs="Arial" w:eastAsia="Arial" w:hAnsi="Arial"/>
            <w:sz w:val="18"/>
            <w:szCs w:val="18"/>
            <w:b w:val="1"/>
            <w:bCs w:val="1"/>
            <w:u w:val="single" w:color="auto"/>
            <w:color w:val="0000FF"/>
          </w:rPr>
          <w:t>furnished and shall not be deemed “filed” for purposes of Section 18 of the Securities Exchange Act of 1934, nor</w:t>
        </w:r>
      </w:hyperlink>
      <w:r>
        <w:rPr>
          <w:rFonts w:ascii="Arial" w:cs="Arial" w:eastAsia="Arial" w:hAnsi="Arial"/>
          <w:sz w:val="18"/>
          <w:szCs w:val="18"/>
          <w:b w:val="1"/>
          <w:bCs w:val="1"/>
          <w:u w:val="single" w:color="auto"/>
          <w:color w:val="0000FF"/>
        </w:rPr>
        <w:t xml:space="preserve"> </w:t>
      </w:r>
      <w:hyperlink w:anchor="page75">
        <w:r>
          <w:rPr>
            <w:rFonts w:ascii="Arial" w:cs="Arial" w:eastAsia="Arial" w:hAnsi="Arial"/>
            <w:sz w:val="18"/>
            <w:szCs w:val="18"/>
            <w:b w:val="1"/>
            <w:bCs w:val="1"/>
            <w:u w:val="single" w:color="auto"/>
            <w:color w:val="0000FF"/>
          </w:rPr>
          <w:t>shall it be deemed incorporated by reference in any filing under the Securities Act of 1933, except as shall be</w:t>
        </w:r>
      </w:hyperlink>
      <w:r>
        <w:rPr>
          <w:rFonts w:ascii="Arial" w:cs="Arial" w:eastAsia="Arial" w:hAnsi="Arial"/>
          <w:sz w:val="18"/>
          <w:szCs w:val="18"/>
          <w:b w:val="1"/>
          <w:bCs w:val="1"/>
          <w:u w:val="single" w:color="auto"/>
          <w:color w:val="0000FF"/>
        </w:rPr>
        <w:t xml:space="preserve"> </w:t>
      </w:r>
      <w:hyperlink w:anchor="page75">
        <w:r>
          <w:rPr>
            <w:rFonts w:ascii="Arial" w:cs="Arial" w:eastAsia="Arial" w:hAnsi="Arial"/>
            <w:sz w:val="18"/>
            <w:szCs w:val="18"/>
            <w:b w:val="1"/>
            <w:bCs w:val="1"/>
            <w:u w:val="single" w:color="auto"/>
            <w:color w:val="0000FF"/>
          </w:rPr>
          <w:t>expressly set forth by specific reference in such filing.)</w:t>
        </w:r>
      </w:hyperlink>
    </w:p>
    <w:tbl>
      <w:tblPr>
        <w:tblLayout w:type="fixed"/>
        <w:tblInd w:w="0" w:type="dxa"/>
        <w:tblCellMar>
          <w:top w:w="0" w:type="dxa"/>
          <w:left w:w="0" w:type="dxa"/>
          <w:bottom w:w="0" w:type="dxa"/>
          <w:right w:w="0" w:type="dxa"/>
        </w:tblCellMar>
      </w:tblPr>
      <w:tr>
        <w:trPr>
          <w:trHeight w:val="176"/>
        </w:trPr>
        <w:tc>
          <w:tcPr>
            <w:tcW w:w="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101.INS</w:t>
            </w:r>
          </w:p>
        </w:tc>
        <w:tc>
          <w:tcPr>
            <w:tcW w:w="89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w:t>
            </w:r>
          </w:p>
        </w:tc>
      </w:tr>
      <w:tr>
        <w:trPr>
          <w:trHeight w:val="230"/>
        </w:trPr>
        <w:tc>
          <w:tcPr>
            <w:tcW w:w="880" w:type="dxa"/>
            <w:vAlign w:val="bottom"/>
            <w:shd w:val="clear" w:color="auto" w:fill="CCEEFF"/>
          </w:tcPr>
          <w:p>
            <w:pPr>
              <w:spacing w:after="0"/>
              <w:rPr>
                <w:sz w:val="19"/>
                <w:szCs w:val="19"/>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892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Calculation</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892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Label</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8920" w:type="dxa"/>
            <w:vAlign w:val="bottom"/>
          </w:tcPr>
          <w:p>
            <w:pPr>
              <w:ind w:left="200"/>
              <w:spacing w:after="0"/>
              <w:rPr>
                <w:sz w:val="20"/>
                <w:szCs w:val="20"/>
                <w:color w:val="auto"/>
              </w:rPr>
            </w:pPr>
            <w:r>
              <w:rPr>
                <w:rFonts w:ascii="Arial" w:cs="Arial" w:eastAsia="Arial" w:hAnsi="Arial"/>
                <w:sz w:val="18"/>
                <w:szCs w:val="18"/>
                <w:color w:val="auto"/>
              </w:rPr>
              <w:t>XBRL Presentation</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94" w:lineRule="exact"/>
        <w:rPr>
          <w:rFonts w:ascii="Arial" w:cs="Arial" w:eastAsia="Arial" w:hAnsi="Arial"/>
          <w:sz w:val="18"/>
          <w:szCs w:val="18"/>
          <w:b w:val="1"/>
          <w:bCs w:val="1"/>
          <w:u w:val="single" w:color="auto"/>
          <w:color w:val="0000FF"/>
        </w:rPr>
      </w:pPr>
    </w:p>
    <w:p>
      <w:pPr>
        <w:spacing w:after="0" w:line="277" w:lineRule="auto"/>
        <w:rPr>
          <w:sz w:val="20"/>
          <w:szCs w:val="20"/>
          <w:color w:val="auto"/>
        </w:rPr>
      </w:pPr>
      <w:r>
        <w:rPr>
          <w:rFonts w:ascii="Arial" w:cs="Arial" w:eastAsia="Arial" w:hAnsi="Arial"/>
          <w:sz w:val="18"/>
          <w:szCs w:val="18"/>
          <w:color w:val="auto"/>
        </w:rPr>
        <w:t>ALLETE agrees to furnish to the SEC upon request any instrument with respect to long-term debt that ALLETE has not filed as an exhibit pursuant to the exemption provided by Item 601(b)(4)(iii)(A) of Regulation S-K.</w:t>
      </w:r>
    </w:p>
    <w:p>
      <w:pPr>
        <w:spacing w:after="0" w:line="395" w:lineRule="exact"/>
        <w:rPr>
          <w:rFonts w:ascii="Arial" w:cs="Arial" w:eastAsia="Arial" w:hAnsi="Arial"/>
          <w:sz w:val="18"/>
          <w:szCs w:val="18"/>
          <w:b w:val="1"/>
          <w:bCs w:val="1"/>
          <w:u w:val="single" w:color="auto"/>
          <w:color w:val="0000FF"/>
        </w:rPr>
      </w:pPr>
    </w:p>
    <w:p>
      <w:pPr>
        <w:jc w:val="center"/>
        <w:ind w:right="-19"/>
        <w:spacing w:after="0"/>
        <w:rPr>
          <w:sz w:val="20"/>
          <w:szCs w:val="20"/>
          <w:color w:val="auto"/>
        </w:rPr>
      </w:pPr>
      <w:r>
        <w:rPr>
          <w:rFonts w:ascii="Arial" w:cs="Arial" w:eastAsia="Arial" w:hAnsi="Arial"/>
          <w:sz w:val="14"/>
          <w:szCs w:val="14"/>
          <w:color w:val="auto"/>
        </w:rPr>
        <w:t>ALLETE, Inc. Third Quarter 2021 Form 10-Q</w:t>
      </w:r>
    </w:p>
    <w:p>
      <w:pPr>
        <w:spacing w:after="0" w:line="13" w:lineRule="exact"/>
        <w:rPr>
          <w:rFonts w:ascii="Arial" w:cs="Arial" w:eastAsia="Arial" w:hAnsi="Arial"/>
          <w:sz w:val="18"/>
          <w:szCs w:val="18"/>
          <w:b w:val="1"/>
          <w:bCs w:val="1"/>
          <w:u w:val="single" w:color="auto"/>
          <w:color w:val="0000FF"/>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November 4, 2021</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J. Adams</w:t>
            </w:r>
          </w:p>
        </w:tc>
      </w:tr>
      <w:tr>
        <w:trPr>
          <w:trHeight w:val="222"/>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Robert J. Adams</w:t>
            </w:r>
          </w:p>
        </w:tc>
      </w:tr>
      <w:tr>
        <w:trPr>
          <w:trHeight w:val="229"/>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5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November 4, 2021</w:t>
            </w:r>
          </w:p>
        </w:tc>
        <w:tc>
          <w:tcPr>
            <w:tcW w:w="270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22"/>
        </w:trPr>
        <w:tc>
          <w:tcPr>
            <w:tcW w:w="28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Steven W. Morris</w:t>
            </w:r>
          </w:p>
        </w:tc>
      </w:tr>
      <w:tr>
        <w:trPr>
          <w:trHeight w:val="229"/>
        </w:trPr>
        <w:tc>
          <w:tcPr>
            <w:tcW w:w="28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r>
      <w:tr>
        <w:trPr>
          <w:trHeight w:val="230"/>
        </w:trPr>
        <w:tc>
          <w:tcPr>
            <w:tcW w:w="28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683"/>
        </w:trPr>
        <w:tc>
          <w:tcPr>
            <w:tcW w:w="2800" w:type="dxa"/>
            <w:vAlign w:val="bottom"/>
          </w:tcPr>
          <w:p>
            <w:pPr>
              <w:spacing w:after="0"/>
              <w:rPr>
                <w:sz w:val="24"/>
                <w:szCs w:val="24"/>
                <w:color w:val="auto"/>
              </w:rPr>
            </w:pPr>
          </w:p>
        </w:tc>
        <w:tc>
          <w:tcPr>
            <w:tcW w:w="8400" w:type="dxa"/>
            <w:vAlign w:val="bottom"/>
            <w:gridSpan w:val="2"/>
          </w:tcPr>
          <w:p>
            <w:pPr>
              <w:jc w:val="center"/>
              <w:ind w:right="2710"/>
              <w:spacing w:after="0"/>
              <w:rPr>
                <w:sz w:val="20"/>
                <w:szCs w:val="20"/>
                <w:color w:val="auto"/>
              </w:rPr>
            </w:pPr>
            <w:r>
              <w:rPr>
                <w:rFonts w:ascii="Arial" w:cs="Arial" w:eastAsia="Arial" w:hAnsi="Arial"/>
                <w:sz w:val="14"/>
                <w:szCs w:val="14"/>
                <w:color w:val="auto"/>
                <w:w w:val="97"/>
              </w:rPr>
              <w:t>ALLETE, Inc. Third Quarter 2021 Form 10-Q</w:t>
            </w:r>
          </w:p>
        </w:tc>
      </w:tr>
      <w:tr>
        <w:trPr>
          <w:trHeight w:val="182"/>
        </w:trPr>
        <w:tc>
          <w:tcPr>
            <w:tcW w:w="2800" w:type="dxa"/>
            <w:vAlign w:val="bottom"/>
          </w:tcPr>
          <w:p>
            <w:pPr>
              <w:spacing w:after="0"/>
              <w:rPr>
                <w:sz w:val="15"/>
                <w:szCs w:val="15"/>
                <w:color w:val="auto"/>
              </w:rPr>
            </w:pPr>
          </w:p>
        </w:tc>
        <w:tc>
          <w:tcPr>
            <w:tcW w:w="8400" w:type="dxa"/>
            <w:vAlign w:val="bottom"/>
            <w:gridSpan w:val="2"/>
          </w:tcPr>
          <w:p>
            <w:pPr>
              <w:jc w:val="right"/>
              <w:ind w:right="5430"/>
              <w:spacing w:after="0"/>
              <w:rPr>
                <w:sz w:val="20"/>
                <w:szCs w:val="20"/>
                <w:color w:val="auto"/>
              </w:rPr>
            </w:pPr>
            <w:r>
              <w:rPr>
                <w:rFonts w:ascii="Arial" w:cs="Arial" w:eastAsia="Arial" w:hAnsi="Arial"/>
                <w:sz w:val="14"/>
                <w:szCs w:val="14"/>
                <w:color w:val="auto"/>
              </w:rPr>
              <w:t>53</w:t>
            </w:r>
          </w:p>
        </w:tc>
      </w:tr>
    </w:tbl>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2639060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ALLETE, Inc</w:t>
      </w:r>
      <w:r>
        <w:rPr>
          <w:rFonts w:ascii="Arial" w:cs="Arial" w:eastAsia="Arial" w:hAnsi="Arial"/>
          <w:sz w:val="19"/>
          <w:szCs w:val="19"/>
          <w:b w:val="1"/>
          <w:bCs w:val="1"/>
          <w:color w:val="auto"/>
        </w:rPr>
        <w:t>.</w:t>
      </w:r>
    </w:p>
    <w:p>
      <w:pPr>
        <w:jc w:val="center"/>
        <w:spacing w:after="0"/>
        <w:rPr>
          <w:sz w:val="20"/>
          <w:szCs w:val="20"/>
          <w:color w:val="auto"/>
        </w:rPr>
      </w:pPr>
      <w:r>
        <w:rPr>
          <w:rFonts w:ascii="Arial" w:cs="Arial" w:eastAsia="Arial" w:hAnsi="Arial"/>
          <w:sz w:val="20"/>
          <w:szCs w:val="20"/>
          <w:b w:val="1"/>
          <w:bCs w:val="1"/>
          <w:color w:val="auto"/>
        </w:rPr>
        <w:t>(formerly Minnesota Power &amp; Light Company</w:t>
      </w:r>
    </w:p>
    <w:p>
      <w:pPr>
        <w:jc w:val="center"/>
        <w:spacing w:after="0"/>
        <w:rPr>
          <w:sz w:val="20"/>
          <w:szCs w:val="20"/>
          <w:color w:val="auto"/>
        </w:rPr>
      </w:pPr>
      <w:r>
        <w:rPr>
          <w:rFonts w:ascii="Arial" w:cs="Arial" w:eastAsia="Arial" w:hAnsi="Arial"/>
          <w:sz w:val="20"/>
          <w:szCs w:val="20"/>
          <w:b w:val="1"/>
          <w:bCs w:val="1"/>
          <w:color w:val="auto"/>
        </w:rPr>
        <w:t>and formerly Minnesota Power, Inc.)</w:t>
      </w:r>
    </w:p>
    <w:p>
      <w:pPr>
        <w:spacing w:after="0" w:line="86"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TO</w:t>
      </w:r>
    </w:p>
    <w:p>
      <w:pPr>
        <w:spacing w:after="0" w:line="108"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THE BANK OF NEW YORK MELLON</w:t>
      </w:r>
    </w:p>
    <w:p>
      <w:pPr>
        <w:ind w:left="4220"/>
        <w:spacing w:after="0" w:line="233" w:lineRule="auto"/>
        <w:rPr>
          <w:sz w:val="20"/>
          <w:szCs w:val="20"/>
          <w:color w:val="auto"/>
        </w:rPr>
      </w:pPr>
      <w:r>
        <w:rPr>
          <w:rFonts w:ascii="Arial" w:cs="Arial" w:eastAsia="Arial" w:hAnsi="Arial"/>
          <w:sz w:val="20"/>
          <w:szCs w:val="20"/>
          <w:b w:val="1"/>
          <w:bCs w:val="1"/>
          <w:color w:val="auto"/>
        </w:rPr>
        <w:t>(formerly The Bank of New York</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(formerly Irving Trust Company))</w:t>
      </w:r>
    </w:p>
    <w:p>
      <w:pPr>
        <w:spacing w:after="0" w:line="86"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AND</w:t>
      </w:r>
    </w:p>
    <w:p>
      <w:pPr>
        <w:spacing w:after="0" w:line="94"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Eva Waite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(successor to Richard H. West, J. A. Austin, E. J. McCabe, D. W. May, J. A. Vaughan,</w:t>
      </w:r>
    </w:p>
    <w:p>
      <w:pPr>
        <w:ind w:right="1680" w:firstLine="1689"/>
        <w:spacing w:after="0" w:line="388" w:lineRule="auto"/>
        <w:rPr>
          <w:sz w:val="20"/>
          <w:szCs w:val="20"/>
          <w:color w:val="auto"/>
        </w:rPr>
      </w:pPr>
      <w:r>
        <w:rPr>
          <w:rFonts w:ascii="Arial" w:cs="Arial" w:eastAsia="Arial" w:hAnsi="Arial"/>
          <w:sz w:val="19"/>
          <w:szCs w:val="19"/>
          <w:b w:val="1"/>
          <w:bCs w:val="1"/>
          <w:color w:val="auto"/>
        </w:rPr>
        <w:t>W. T. Cunningham, Douglas J. MacInnes, Ming Ryan, Philip L. Watson and Andres Serrano) As Trustees under ALLETE, Inc.’s Mortgage and Deed of Trust dated as of September 1, 1945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Forty-second Supplemental Indenture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Providing, among other things, for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Mortgage Bonds, 2.79% Series due September 1, 2031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(Sixty-second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Dated as of September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{00454906.DOCX; 3}</w:t>
      </w:r>
    </w:p>
    <w:p>
      <w:pPr>
        <w:sectPr>
          <w:pgSz w:w="11900" w:h="16838" w:orient="portrait"/>
          <w:cols w:equalWidth="0" w:num="1">
            <w:col w:w="11240"/>
          </w:cols>
          <w:pgMar w:left="320" w:top="132" w:right="3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FORTY-SECOND SUPPLEMENTAL INDENTURE</w:t>
      </w:r>
    </w:p>
    <w:p>
      <w:pPr>
        <w:spacing w:after="0" w:line="18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9"/>
          <w:szCs w:val="19"/>
          <w:b w:val="1"/>
          <w:bCs w:val="1"/>
          <w:color w:val="auto"/>
        </w:rPr>
        <w:t xml:space="preserve">THIS INDENTURE, </w:t>
      </w:r>
      <w:r>
        <w:rPr>
          <w:rFonts w:ascii="Arial" w:cs="Arial" w:eastAsia="Arial" w:hAnsi="Arial"/>
          <w:sz w:val="19"/>
          <w:szCs w:val="19"/>
          <w:color w:val="auto"/>
        </w:rPr>
        <w:t>dated as of September 1, 2021, by and between ALLETE, Inc. (formerly Minnesota Power &amp; Light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formerly 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240 Greenwich Street, New York, New York 10286 (hereinafter sometimes called the “Corporate Trustee”), and Eva Waite (successor to Richard H. West, J. A. Austin, E. J. McCabe, D. W. May, J. A. Vaughan, W. T. Cunningham, Douglas J. MacInnes, Ming Ryan, Philip L. Watson and Andres Serrano), whose post office address is c/o The Bank of New York Mellon, 240 Greenwich Street, New York, New York 10286 (said Eva Waite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“Forty-second Supplemental Indenture”) being supplemental thereto:</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Mortgage was filed and recorded in various official records in the State of Minnesota; and</w:t>
      </w:r>
    </w:p>
    <w:p>
      <w:pPr>
        <w:spacing w:after="0" w:line="189"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6"/>
          <w:szCs w:val="16"/>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84"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7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Whereas, under the Sixth Supplemental Indenture, dated as of August 1, 1975, to which reference is hereinafter made, D. W. May in turn succeeded E. J. McCabe as Co-Trustee under the Mortgage; and</w:t>
      </w:r>
    </w:p>
    <w:p>
      <w:pPr>
        <w:spacing w:after="0" w:line="169"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6"/>
          <w:szCs w:val="16"/>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84"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2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7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Whereas, on May 8, 2001, the Company filed Amended and Restated Articles of Incorporation with the Secretary of State of the State of Minnesota changing its name from Minnesota Power, Inc. to ALLETE, Inc.;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Whereas, under the Thirty-second Supplemental Indenture, dated as of August 1, 2010, to which reference is hereinafter made, Ming Ryan in turn succeeded Douglas J. MacInnes as Co-Trustee under the Mortgage; and</w:t>
      </w:r>
    </w:p>
    <w:p>
      <w:pPr>
        <w:spacing w:after="0" w:line="16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 the State of North Dakota; and</w:t>
      </w:r>
    </w:p>
    <w:p>
      <w:pPr>
        <w:spacing w:after="0" w:line="17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an instrument, dated as of July 31, 2015, was executed and delivered under which Andres Serrano in turn succeeded Philip L. Watson as Co-Trustee under the Mortgage effective at the close of business on August 14, 2015, and such instrument was filed and recorded in various official records in the State of Minnesota and the State of North Dakota; and</w:t>
      </w:r>
    </w:p>
    <w:p>
      <w:pPr>
        <w:spacing w:after="0" w:line="17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an instrument, dated as of July 29, 2021, was executed and delivered under which Eva Waite in turn succeeded Andres Serrano as Co-Trustee under the Mortgage effective at the close of business on July 29, 2021, and such instrument was filed and recorded in various official records in the State of Minnesota and the State of North Dakota; and</w:t>
      </w:r>
    </w:p>
    <w:p>
      <w:pPr>
        <w:spacing w:after="0" w:line="17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0"/>
          <w:szCs w:val="20"/>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for said purposes, among others, the Company executed and delivered the following indentures supplemental to the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2"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700" w:type="dxa"/>
        <w:tblCellMar>
          <w:top w:w="0" w:type="dxa"/>
          <w:left w:w="0" w:type="dxa"/>
          <w:bottom w:w="0" w:type="dxa"/>
          <w:right w:w="0" w:type="dxa"/>
        </w:tblCellMar>
      </w:tblPr>
      <w:tr>
        <w:trPr>
          <w:trHeight w:val="250"/>
        </w:trPr>
        <w:tc>
          <w:tcPr>
            <w:tcW w:w="68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20"/>
                <w:szCs w:val="20"/>
                <w:b w:val="1"/>
                <w:bCs w:val="1"/>
                <w:color w:val="auto"/>
                <w:w w:val="85"/>
              </w:rPr>
              <w:t>Designation</w:t>
            </w:r>
          </w:p>
        </w:tc>
        <w:tc>
          <w:tcPr>
            <w:tcW w:w="3560" w:type="dxa"/>
            <w:vAlign w:val="bottom"/>
          </w:tcPr>
          <w:p>
            <w:pPr>
              <w:spacing w:after="0"/>
              <w:rPr>
                <w:sz w:val="21"/>
                <w:szCs w:val="21"/>
                <w:color w:val="auto"/>
              </w:rPr>
            </w:pPr>
          </w:p>
        </w:tc>
        <w:tc>
          <w:tcPr>
            <w:tcW w:w="3600" w:type="dxa"/>
            <w:vAlign w:val="bottom"/>
            <w:gridSpan w:val="3"/>
          </w:tcPr>
          <w:p>
            <w:pPr>
              <w:ind w:left="2060"/>
              <w:spacing w:after="0"/>
              <w:rPr>
                <w:sz w:val="20"/>
                <w:szCs w:val="20"/>
                <w:color w:val="auto"/>
              </w:rPr>
            </w:pPr>
            <w:r>
              <w:rPr>
                <w:rFonts w:ascii="Arial" w:cs="Arial" w:eastAsia="Arial" w:hAnsi="Arial"/>
                <w:sz w:val="20"/>
                <w:szCs w:val="20"/>
                <w:b w:val="1"/>
                <w:bCs w:val="1"/>
                <w:color w:val="auto"/>
              </w:rPr>
              <w:t>Dated as of</w:t>
            </w:r>
          </w:p>
        </w:tc>
      </w:tr>
      <w:tr>
        <w:trPr>
          <w:trHeight w:val="27"/>
        </w:trPr>
        <w:tc>
          <w:tcPr>
            <w:tcW w:w="6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5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r>
      <w:tr>
        <w:trPr>
          <w:trHeight w:val="294"/>
        </w:trPr>
        <w:tc>
          <w:tcPr>
            <w:tcW w:w="5240" w:type="dxa"/>
            <w:vAlign w:val="bottom"/>
            <w:gridSpan w:val="3"/>
          </w:tcPr>
          <w:p>
            <w:pPr>
              <w:spacing w:after="0"/>
              <w:rPr>
                <w:sz w:val="20"/>
                <w:szCs w:val="20"/>
                <w:color w:val="auto"/>
              </w:rPr>
            </w:pPr>
            <w:r>
              <w:rPr>
                <w:rFonts w:ascii="Arial" w:cs="Arial" w:eastAsia="Arial" w:hAnsi="Arial"/>
                <w:sz w:val="20"/>
                <w:szCs w:val="20"/>
                <w:color w:val="auto"/>
              </w:rPr>
              <w:t>First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March 1, 1949</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Second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July 1, 1951</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Third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March 1, 1957</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Fourth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January 1, 1968</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Fifth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April 1, 1971</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Sixth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August 1, 1975</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Seventh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89"/>
              </w:rPr>
              <w:t>September 1, 1976</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Eighth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89"/>
              </w:rPr>
              <w:t>September 1, 1977</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Ninth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April 1, 1978</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August 1, 1978</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Eleventh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2"/>
              </w:rPr>
              <w:t>December 1, 1982</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Twelfth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April 1, 1987</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Thirteenth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March 1, 1992</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Fourteenth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June 1, 1992</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Fifteenth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July 1, 1992</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Sixteenth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July 1, 1992</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Seventeenth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9"/>
              </w:rPr>
              <w:t>February 1, 1993</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Eighteenth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July 1, 1993</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Nineteenth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9"/>
              </w:rPr>
              <w:t>February 1, 1997</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Twentieth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2"/>
              </w:rPr>
              <w:t>November 1, 1997</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Twenty-first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October 1, 2000</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Twenty-second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July 1, 2003</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Twenty-third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August 1, 2004</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Twenty-fourth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March 1, 2005</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Twenty-fifth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2"/>
              </w:rPr>
              <w:t>December 1, 2005</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Twenty-sixth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October 1, 2006</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Twenty-seventh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9"/>
              </w:rPr>
              <w:t>February 1, 2008</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Twenty-eighth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May 1, 2008</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Twenty-ninth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2"/>
              </w:rPr>
              <w:t>November 1, 2008</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Thirtieth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January 1, 2009</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Thirty-first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9"/>
              </w:rPr>
              <w:t>February 1, 2010</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Thirty-second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August 1, 2010</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Thirty-third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July 1, 2012</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Thirty-fourth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April 1, 2013</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Thirty-fifth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March 1, 2014</w:t>
            </w: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Thirty-sixth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June 1, 2014</w:t>
            </w:r>
          </w:p>
        </w:tc>
      </w:tr>
      <w:tr>
        <w:trPr>
          <w:trHeight w:val="250"/>
        </w:trPr>
        <w:tc>
          <w:tcPr>
            <w:tcW w:w="5240" w:type="dxa"/>
            <w:vAlign w:val="bottom"/>
            <w:gridSpan w:val="3"/>
          </w:tcPr>
          <w:p>
            <w:pPr>
              <w:spacing w:after="0"/>
              <w:rPr>
                <w:sz w:val="20"/>
                <w:szCs w:val="20"/>
                <w:color w:val="auto"/>
              </w:rPr>
            </w:pPr>
            <w:r>
              <w:rPr>
                <w:rFonts w:ascii="Arial" w:cs="Arial" w:eastAsia="Arial" w:hAnsi="Arial"/>
                <w:sz w:val="20"/>
                <w:szCs w:val="20"/>
                <w:color w:val="auto"/>
              </w:rPr>
              <w:t>Thirty-seventh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89"/>
              </w:rPr>
              <w:t>September 1, 2014</w:t>
            </w:r>
          </w:p>
        </w:tc>
      </w:tr>
      <w:tr>
        <w:trPr>
          <w:trHeight w:val="236"/>
        </w:trPr>
        <w:tc>
          <w:tcPr>
            <w:tcW w:w="5240" w:type="dxa"/>
            <w:vAlign w:val="bottom"/>
            <w:gridSpan w:val="3"/>
          </w:tcPr>
          <w:p>
            <w:pPr>
              <w:ind w:left="40"/>
              <w:spacing w:after="0"/>
              <w:rPr>
                <w:sz w:val="20"/>
                <w:szCs w:val="20"/>
                <w:color w:val="auto"/>
              </w:rPr>
            </w:pPr>
            <w:r>
              <w:rPr>
                <w:rFonts w:ascii="Arial" w:cs="Arial" w:eastAsia="Arial" w:hAnsi="Arial"/>
                <w:sz w:val="20"/>
                <w:szCs w:val="20"/>
                <w:color w:val="auto"/>
              </w:rPr>
              <w:t>Thirty-eighth Supplemental Indenture</w:t>
            </w:r>
          </w:p>
        </w:tc>
        <w:tc>
          <w:tcPr>
            <w:tcW w:w="20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20"/>
                <w:szCs w:val="20"/>
                <w:color w:val="auto"/>
                <w:w w:val="86"/>
              </w:rPr>
              <w:t>September 1, 2015</w:t>
            </w:r>
          </w:p>
        </w:tc>
      </w:tr>
      <w:tr>
        <w:trPr>
          <w:trHeight w:val="230"/>
        </w:trPr>
        <w:tc>
          <w:tcPr>
            <w:tcW w:w="5240" w:type="dxa"/>
            <w:vAlign w:val="bottom"/>
            <w:gridSpan w:val="3"/>
          </w:tcPr>
          <w:p>
            <w:pPr>
              <w:ind w:left="40"/>
              <w:spacing w:after="0"/>
              <w:rPr>
                <w:sz w:val="20"/>
                <w:szCs w:val="20"/>
                <w:color w:val="auto"/>
              </w:rPr>
            </w:pPr>
            <w:r>
              <w:rPr>
                <w:rFonts w:ascii="Arial" w:cs="Arial" w:eastAsia="Arial" w:hAnsi="Arial"/>
                <w:sz w:val="20"/>
                <w:szCs w:val="20"/>
                <w:color w:val="auto"/>
              </w:rPr>
              <w:t>Thirty-ninth Supplemental Indenture</w:t>
            </w:r>
          </w:p>
        </w:tc>
        <w:tc>
          <w:tcPr>
            <w:tcW w:w="206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20"/>
                <w:szCs w:val="20"/>
                <w:color w:val="auto"/>
              </w:rPr>
              <w:t>April 1, 2018</w:t>
            </w:r>
          </w:p>
        </w:tc>
      </w:tr>
      <w:tr>
        <w:trPr>
          <w:trHeight w:val="230"/>
        </w:trPr>
        <w:tc>
          <w:tcPr>
            <w:tcW w:w="5240" w:type="dxa"/>
            <w:vAlign w:val="bottom"/>
            <w:gridSpan w:val="3"/>
          </w:tcPr>
          <w:p>
            <w:pPr>
              <w:ind w:left="40"/>
              <w:spacing w:after="0"/>
              <w:rPr>
                <w:sz w:val="20"/>
                <w:szCs w:val="20"/>
                <w:color w:val="auto"/>
              </w:rPr>
            </w:pPr>
            <w:r>
              <w:rPr>
                <w:rFonts w:ascii="Arial" w:cs="Arial" w:eastAsia="Arial" w:hAnsi="Arial"/>
                <w:sz w:val="20"/>
                <w:szCs w:val="20"/>
                <w:color w:val="auto"/>
              </w:rPr>
              <w:t>Fortieth Supplemental Indenture</w:t>
            </w:r>
          </w:p>
        </w:tc>
        <w:tc>
          <w:tcPr>
            <w:tcW w:w="206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20"/>
                <w:szCs w:val="20"/>
                <w:color w:val="auto"/>
              </w:rPr>
              <w:t>March 1, 2019</w:t>
            </w:r>
          </w:p>
        </w:tc>
      </w:tr>
      <w:tr>
        <w:trPr>
          <w:trHeight w:val="250"/>
        </w:trPr>
        <w:tc>
          <w:tcPr>
            <w:tcW w:w="5240" w:type="dxa"/>
            <w:vAlign w:val="bottom"/>
            <w:gridSpan w:val="3"/>
          </w:tcPr>
          <w:p>
            <w:pPr>
              <w:ind w:left="40"/>
              <w:spacing w:after="0"/>
              <w:rPr>
                <w:sz w:val="20"/>
                <w:szCs w:val="20"/>
                <w:color w:val="auto"/>
              </w:rPr>
            </w:pPr>
            <w:r>
              <w:rPr>
                <w:rFonts w:ascii="Arial" w:cs="Arial" w:eastAsia="Arial" w:hAnsi="Arial"/>
                <w:sz w:val="20"/>
                <w:szCs w:val="20"/>
                <w:color w:val="auto"/>
              </w:rPr>
              <w:t>Forty-first Supplemental Indenture</w:t>
            </w:r>
          </w:p>
        </w:tc>
        <w:tc>
          <w:tcPr>
            <w:tcW w:w="2060" w:type="dxa"/>
            <w:vAlign w:val="bottom"/>
          </w:tcPr>
          <w:p>
            <w:pPr>
              <w:spacing w:after="0"/>
              <w:rPr>
                <w:sz w:val="21"/>
                <w:szCs w:val="21"/>
                <w:color w:val="auto"/>
              </w:rPr>
            </w:pPr>
          </w:p>
        </w:tc>
        <w:tc>
          <w:tcPr>
            <w:tcW w:w="1540" w:type="dxa"/>
            <w:vAlign w:val="bottom"/>
            <w:gridSpan w:val="2"/>
          </w:tcPr>
          <w:p>
            <w:pPr>
              <w:ind w:left="40"/>
              <w:spacing w:after="0"/>
              <w:rPr>
                <w:sz w:val="20"/>
                <w:szCs w:val="20"/>
                <w:color w:val="auto"/>
              </w:rPr>
            </w:pPr>
            <w:r>
              <w:rPr>
                <w:rFonts w:ascii="Arial" w:cs="Arial" w:eastAsia="Arial" w:hAnsi="Arial"/>
                <w:sz w:val="20"/>
                <w:szCs w:val="20"/>
                <w:color w:val="auto"/>
              </w:rPr>
              <w:t>August 1, 2020</w:t>
            </w:r>
          </w:p>
        </w:tc>
      </w:tr>
    </w:tbl>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which supplemental indentures were filed and recorded in various official records in the State of Minnesota and the State of North Dakota; and</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the Company has heretofore issued, in accordance with the provisions of the Mortgage, as heretofore supplemented, the following series of First Mortgage Bonds: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32" w:right="3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880" w:type="dxa"/>
            <w:vAlign w:val="bottom"/>
            <w:gridSpan w:val="3"/>
          </w:tcPr>
          <w:p>
            <w:pPr>
              <w:jc w:val="center"/>
              <w:ind w:left="1841"/>
              <w:spacing w:after="0"/>
              <w:rPr>
                <w:sz w:val="20"/>
                <w:szCs w:val="20"/>
                <w:color w:val="auto"/>
              </w:rPr>
            </w:pPr>
            <w:r>
              <w:rPr>
                <w:rFonts w:ascii="Arial" w:cs="Arial" w:eastAsia="Arial" w:hAnsi="Arial"/>
                <w:sz w:val="20"/>
                <w:szCs w:val="20"/>
                <w:b w:val="1"/>
                <w:bCs w:val="1"/>
                <w:color w:val="auto"/>
                <w:w w:val="92"/>
              </w:rPr>
              <w:t>Principal</w:t>
            </w:r>
          </w:p>
        </w:tc>
        <w:tc>
          <w:tcPr>
            <w:tcW w:w="5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Principal</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20"/>
                <w:szCs w:val="20"/>
                <w:b w:val="1"/>
                <w:bCs w:val="1"/>
                <w:color w:val="auto"/>
                <w:w w:val="92"/>
              </w:rPr>
              <w:t>Amount</w:t>
            </w:r>
          </w:p>
        </w:tc>
        <w:tc>
          <w:tcPr>
            <w:tcW w:w="5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Amount</w:t>
            </w:r>
          </w:p>
        </w:tc>
        <w:tc>
          <w:tcPr>
            <w:tcW w:w="0" w:type="dxa"/>
            <w:vAlign w:val="bottom"/>
          </w:tcPr>
          <w:p>
            <w:pPr>
              <w:spacing w:after="0"/>
              <w:rPr>
                <w:sz w:val="1"/>
                <w:szCs w:val="1"/>
                <w:color w:val="auto"/>
              </w:rPr>
            </w:pPr>
          </w:p>
        </w:tc>
      </w:tr>
      <w:tr>
        <w:trPr>
          <w:trHeight w:val="212"/>
        </w:trPr>
        <w:tc>
          <w:tcPr>
            <w:tcW w:w="520" w:type="dxa"/>
            <w:vAlign w:val="bottom"/>
            <w:vMerge w:val="restart"/>
          </w:tcPr>
          <w:p>
            <w:pPr>
              <w:spacing w:after="0"/>
              <w:rPr>
                <w:sz w:val="20"/>
                <w:szCs w:val="20"/>
                <w:color w:val="auto"/>
              </w:rPr>
            </w:pPr>
            <w:r>
              <w:rPr>
                <w:rFonts w:ascii="Arial" w:cs="Arial" w:eastAsia="Arial" w:hAnsi="Arial"/>
                <w:sz w:val="20"/>
                <w:szCs w:val="20"/>
                <w:b w:val="1"/>
                <w:bCs w:val="1"/>
                <w:color w:val="auto"/>
                <w:w w:val="83"/>
              </w:rPr>
              <w:t>Series</w:t>
            </w:r>
          </w:p>
        </w:tc>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40" w:type="dxa"/>
            <w:vAlign w:val="bottom"/>
            <w:gridSpan w:val="2"/>
          </w:tcPr>
          <w:p>
            <w:pPr>
              <w:jc w:val="center"/>
              <w:ind w:right="600"/>
              <w:spacing w:after="0" w:line="212" w:lineRule="exact"/>
              <w:rPr>
                <w:sz w:val="20"/>
                <w:szCs w:val="20"/>
                <w:color w:val="auto"/>
              </w:rPr>
            </w:pPr>
            <w:r>
              <w:rPr>
                <w:rFonts w:ascii="Arial" w:cs="Arial" w:eastAsia="Arial" w:hAnsi="Arial"/>
                <w:sz w:val="20"/>
                <w:szCs w:val="20"/>
                <w:b w:val="1"/>
                <w:bCs w:val="1"/>
                <w:color w:val="auto"/>
                <w:w w:val="85"/>
              </w:rPr>
              <w:t>Issued</w:t>
            </w:r>
          </w:p>
        </w:tc>
        <w:tc>
          <w:tcPr>
            <w:tcW w:w="1620" w:type="dxa"/>
            <w:vAlign w:val="bottom"/>
            <w:gridSpan w:val="2"/>
          </w:tcPr>
          <w:p>
            <w:pPr>
              <w:jc w:val="center"/>
              <w:ind w:left="461"/>
              <w:spacing w:after="0" w:line="212" w:lineRule="exact"/>
              <w:rPr>
                <w:sz w:val="20"/>
                <w:szCs w:val="20"/>
                <w:color w:val="auto"/>
              </w:rPr>
            </w:pPr>
            <w:r>
              <w:rPr>
                <w:rFonts w:ascii="Arial" w:cs="Arial" w:eastAsia="Arial" w:hAnsi="Arial"/>
                <w:sz w:val="20"/>
                <w:szCs w:val="20"/>
                <w:b w:val="1"/>
                <w:bCs w:val="1"/>
                <w:color w:val="auto"/>
                <w:w w:val="89"/>
              </w:rPr>
              <w:t>Outstanding</w:t>
            </w:r>
          </w:p>
        </w:tc>
        <w:tc>
          <w:tcPr>
            <w:tcW w:w="0" w:type="dxa"/>
            <w:vAlign w:val="bottom"/>
          </w:tcPr>
          <w:p>
            <w:pPr>
              <w:spacing w:after="0"/>
              <w:rPr>
                <w:sz w:val="1"/>
                <w:szCs w:val="1"/>
                <w:color w:val="auto"/>
              </w:rPr>
            </w:pPr>
          </w:p>
        </w:tc>
      </w:tr>
      <w:tr>
        <w:trPr>
          <w:trHeight w:val="228"/>
        </w:trPr>
        <w:tc>
          <w:tcPr>
            <w:tcW w:w="52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7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240" w:type="dxa"/>
            <w:vAlign w:val="bottom"/>
            <w:gridSpan w:val="3"/>
          </w:tcPr>
          <w:p>
            <w:pPr>
              <w:spacing w:after="0"/>
              <w:rPr>
                <w:sz w:val="20"/>
                <w:szCs w:val="20"/>
                <w:color w:val="auto"/>
              </w:rPr>
            </w:pPr>
            <w:r>
              <w:rPr>
                <w:rFonts w:ascii="Arial" w:cs="Arial" w:eastAsia="Arial" w:hAnsi="Arial"/>
                <w:sz w:val="20"/>
                <w:szCs w:val="20"/>
                <w:color w:val="auto"/>
              </w:rPr>
              <w:t>3-1/8% Series due 1975</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$26,000,000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3-1/8% Series due 1979</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4,000,000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3-5/8% Series due 1981</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10,000,000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4-3/4% Series due 1987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12,000,000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6-1/2% Series due 1998</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18,000,000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81/8% Series due 2001</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23,000,000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101/2% Series due 2005</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35,000,000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8.70%</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2006</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35,000,000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8.35%</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2007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50,000,000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9-1/4% Series due 2008</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50,000,000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Pollution Control Series A</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111,000,000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Industrial Development Series A</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2,500,000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Industrial Development Series B</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1,800,000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Industrial Development Series C</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1,150,000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Pollution Control Series B</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13,500,000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Pollution Control Series C</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Pollution Control Series D</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3,600,000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7-3/4% Series due 1994</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55,000,000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7-3/8% Series due March 1, 1997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60,000,000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7-3/4% Series due June 1, 2007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55,000,000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7-1/2% Series due August 1, 2007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35,000,000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Pollution Control Series E</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111,000,000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7% Series due March 1, 2008</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50,000,000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6-1/4% Series due July 1, 2003</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25,000,000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7% Series due February 15, 2007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60,000,000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6.68%</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November 15, 2007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20,000,000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Floating Rate Series due October 20, 2003</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250,000,000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Collateral Series A</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255,000,000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240" w:type="dxa"/>
            <w:vAlign w:val="bottom"/>
            <w:gridSpan w:val="3"/>
          </w:tcPr>
          <w:p>
            <w:pPr>
              <w:spacing w:after="0"/>
              <w:rPr>
                <w:sz w:val="20"/>
                <w:szCs w:val="20"/>
                <w:color w:val="auto"/>
              </w:rPr>
            </w:pPr>
            <w:r>
              <w:rPr>
                <w:rFonts w:ascii="Arial" w:cs="Arial" w:eastAsia="Arial" w:hAnsi="Arial"/>
                <w:sz w:val="20"/>
                <w:szCs w:val="20"/>
                <w:color w:val="auto"/>
              </w:rPr>
              <w:t>Pollution Control Series F</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111,000,000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5.28%</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August 1, 2020</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35,000,000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5.69%</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March 1, 2036</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50,000,000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50,000,000</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5.99%</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February 1, 2027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60,000,000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60,000,000</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4.86%</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April 1, 2013</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60,000,000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6.02%</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May 1, 2023</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75,000,000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75,000,000</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6.94%</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January 15, 2014</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18,000,000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7.70%</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January 15, 2016</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20,000,000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8.17%</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January 15, 2019</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42,000,000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4.85%</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April 15, 2021</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15,000,000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5.10%</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April 15, 2025</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30,000,000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30,000,000</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6.00%</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35,000,000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35,000,000</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4.90%</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October 15, 2025</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30,000,000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30,000,000</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5.82%</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45,000,000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45,000,000</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3.20%</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July 15, 2026</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75,000,000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75,000,000</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4.08%</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July 15, 2042</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85,000,000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85,000,000</w:t>
            </w:r>
          </w:p>
        </w:tc>
        <w:tc>
          <w:tcPr>
            <w:tcW w:w="0" w:type="dxa"/>
            <w:vAlign w:val="bottom"/>
          </w:tcPr>
          <w:p>
            <w:pPr>
              <w:spacing w:after="0"/>
              <w:rPr>
                <w:sz w:val="1"/>
                <w:szCs w:val="1"/>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1.83%</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April 15, 2018</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50,000,000</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0"/>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3.30%</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October 15, 2028</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40,000,000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40,000,000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40" w:top="132" w:right="33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4.21%</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October 15, 2043</w:t>
            </w:r>
          </w:p>
        </w:tc>
        <w:tc>
          <w:tcPr>
            <w:tcW w:w="3820" w:type="dxa"/>
            <w:vAlign w:val="bottom"/>
          </w:tcPr>
          <w:p>
            <w:pPr>
              <w:jc w:val="right"/>
              <w:ind w:right="801"/>
              <w:spacing w:after="0"/>
              <w:rPr>
                <w:sz w:val="20"/>
                <w:szCs w:val="20"/>
                <w:color w:val="auto"/>
              </w:rPr>
            </w:pPr>
            <w:r>
              <w:rPr>
                <w:rFonts w:ascii="Arial" w:cs="Arial" w:eastAsia="Arial" w:hAnsi="Arial"/>
                <w:sz w:val="20"/>
                <w:szCs w:val="20"/>
                <w:color w:val="auto"/>
              </w:rPr>
              <w:t>60,000,000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60,000,000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3.69%</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March 15, 2024</w:t>
            </w:r>
          </w:p>
        </w:tc>
        <w:tc>
          <w:tcPr>
            <w:tcW w:w="3820" w:type="dxa"/>
            <w:vAlign w:val="bottom"/>
          </w:tcPr>
          <w:p>
            <w:pPr>
              <w:jc w:val="right"/>
              <w:ind w:right="801"/>
              <w:spacing w:after="0"/>
              <w:rPr>
                <w:sz w:val="20"/>
                <w:szCs w:val="20"/>
                <w:color w:val="auto"/>
              </w:rPr>
            </w:pPr>
            <w:r>
              <w:rPr>
                <w:rFonts w:ascii="Arial" w:cs="Arial" w:eastAsia="Arial" w:hAnsi="Arial"/>
                <w:sz w:val="20"/>
                <w:szCs w:val="20"/>
                <w:color w:val="auto"/>
              </w:rPr>
              <w:t>60,000,000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60,000,000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4.95%</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March 15, 2044</w:t>
            </w:r>
          </w:p>
        </w:tc>
        <w:tc>
          <w:tcPr>
            <w:tcW w:w="3820" w:type="dxa"/>
            <w:vAlign w:val="bottom"/>
          </w:tcPr>
          <w:p>
            <w:pPr>
              <w:jc w:val="right"/>
              <w:ind w:right="801"/>
              <w:spacing w:after="0"/>
              <w:rPr>
                <w:sz w:val="20"/>
                <w:szCs w:val="20"/>
                <w:color w:val="auto"/>
              </w:rPr>
            </w:pPr>
            <w:r>
              <w:rPr>
                <w:rFonts w:ascii="Arial" w:cs="Arial" w:eastAsia="Arial" w:hAnsi="Arial"/>
                <w:sz w:val="20"/>
                <w:szCs w:val="20"/>
                <w:color w:val="auto"/>
              </w:rPr>
              <w:t>40,000,000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40,000,000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3.40%</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July 15, 2022</w:t>
            </w:r>
          </w:p>
        </w:tc>
        <w:tc>
          <w:tcPr>
            <w:tcW w:w="3820" w:type="dxa"/>
            <w:vAlign w:val="bottom"/>
          </w:tcPr>
          <w:p>
            <w:pPr>
              <w:jc w:val="right"/>
              <w:ind w:right="801"/>
              <w:spacing w:after="0"/>
              <w:rPr>
                <w:sz w:val="20"/>
                <w:szCs w:val="20"/>
                <w:color w:val="auto"/>
              </w:rPr>
            </w:pPr>
            <w:r>
              <w:rPr>
                <w:rFonts w:ascii="Arial" w:cs="Arial" w:eastAsia="Arial" w:hAnsi="Arial"/>
                <w:sz w:val="20"/>
                <w:szCs w:val="20"/>
                <w:color w:val="auto"/>
              </w:rPr>
              <w:t>75,000,000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75,000,000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5.05%</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July 15, 2044</w:t>
            </w:r>
          </w:p>
        </w:tc>
        <w:tc>
          <w:tcPr>
            <w:tcW w:w="3820" w:type="dxa"/>
            <w:vAlign w:val="bottom"/>
          </w:tcPr>
          <w:p>
            <w:pPr>
              <w:jc w:val="right"/>
              <w:ind w:right="801"/>
              <w:spacing w:after="0"/>
              <w:rPr>
                <w:sz w:val="20"/>
                <w:szCs w:val="20"/>
                <w:color w:val="auto"/>
              </w:rPr>
            </w:pPr>
            <w:r>
              <w:rPr>
                <w:rFonts w:ascii="Arial" w:cs="Arial" w:eastAsia="Arial" w:hAnsi="Arial"/>
                <w:sz w:val="20"/>
                <w:szCs w:val="20"/>
                <w:color w:val="auto"/>
              </w:rPr>
              <w:t>40,000,000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40,000,000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3.02%</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September 15, 2021</w:t>
            </w:r>
          </w:p>
        </w:tc>
        <w:tc>
          <w:tcPr>
            <w:tcW w:w="3820" w:type="dxa"/>
            <w:vAlign w:val="bottom"/>
          </w:tcPr>
          <w:p>
            <w:pPr>
              <w:jc w:val="right"/>
              <w:ind w:right="801"/>
              <w:spacing w:after="0"/>
              <w:rPr>
                <w:sz w:val="20"/>
                <w:szCs w:val="20"/>
                <w:color w:val="auto"/>
              </w:rPr>
            </w:pPr>
            <w:r>
              <w:rPr>
                <w:rFonts w:ascii="Arial" w:cs="Arial" w:eastAsia="Arial" w:hAnsi="Arial"/>
                <w:sz w:val="20"/>
                <w:szCs w:val="20"/>
                <w:color w:val="auto"/>
              </w:rPr>
              <w:t>60,000,000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60,000,000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3.74%</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September 15, 2029</w:t>
            </w:r>
          </w:p>
        </w:tc>
        <w:tc>
          <w:tcPr>
            <w:tcW w:w="3820" w:type="dxa"/>
            <w:vAlign w:val="bottom"/>
          </w:tcPr>
          <w:p>
            <w:pPr>
              <w:jc w:val="right"/>
              <w:ind w:right="801"/>
              <w:spacing w:after="0"/>
              <w:rPr>
                <w:sz w:val="20"/>
                <w:szCs w:val="20"/>
                <w:color w:val="auto"/>
              </w:rPr>
            </w:pPr>
            <w:r>
              <w:rPr>
                <w:rFonts w:ascii="Arial" w:cs="Arial" w:eastAsia="Arial" w:hAnsi="Arial"/>
                <w:sz w:val="20"/>
                <w:szCs w:val="20"/>
                <w:color w:val="auto"/>
              </w:rPr>
              <w:t>50,000,000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50,000,000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4.39%</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September 15, 2044</w:t>
            </w:r>
          </w:p>
        </w:tc>
        <w:tc>
          <w:tcPr>
            <w:tcW w:w="3820" w:type="dxa"/>
            <w:vAlign w:val="bottom"/>
          </w:tcPr>
          <w:p>
            <w:pPr>
              <w:jc w:val="right"/>
              <w:ind w:right="801"/>
              <w:spacing w:after="0"/>
              <w:rPr>
                <w:sz w:val="20"/>
                <w:szCs w:val="20"/>
                <w:color w:val="auto"/>
              </w:rPr>
            </w:pPr>
            <w:r>
              <w:rPr>
                <w:rFonts w:ascii="Arial" w:cs="Arial" w:eastAsia="Arial" w:hAnsi="Arial"/>
                <w:sz w:val="20"/>
                <w:szCs w:val="20"/>
                <w:color w:val="auto"/>
              </w:rPr>
              <w:t>50,000,000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50,000,000</w:t>
            </w:r>
          </w:p>
        </w:tc>
      </w:tr>
      <w:tr>
        <w:trPr>
          <w:trHeight w:val="250"/>
        </w:trPr>
        <w:tc>
          <w:tcPr>
            <w:tcW w:w="540" w:type="dxa"/>
            <w:vAlign w:val="bottom"/>
          </w:tcPr>
          <w:p>
            <w:pPr>
              <w:jc w:val="right"/>
              <w:spacing w:after="0"/>
              <w:rPr>
                <w:sz w:val="20"/>
                <w:szCs w:val="20"/>
                <w:color w:val="auto"/>
              </w:rPr>
            </w:pPr>
            <w:r>
              <w:rPr>
                <w:rFonts w:ascii="Arial" w:cs="Arial" w:eastAsia="Arial" w:hAnsi="Arial"/>
                <w:sz w:val="20"/>
                <w:szCs w:val="20"/>
                <w:color w:val="auto"/>
                <w:w w:val="88"/>
              </w:rPr>
              <w:t>2.80%</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September 15, 2020</w:t>
            </w:r>
          </w:p>
        </w:tc>
        <w:tc>
          <w:tcPr>
            <w:tcW w:w="3820" w:type="dxa"/>
            <w:vAlign w:val="bottom"/>
          </w:tcPr>
          <w:p>
            <w:pPr>
              <w:jc w:val="right"/>
              <w:ind w:right="801"/>
              <w:spacing w:after="0"/>
              <w:rPr>
                <w:sz w:val="20"/>
                <w:szCs w:val="20"/>
                <w:color w:val="auto"/>
              </w:rPr>
            </w:pPr>
            <w:r>
              <w:rPr>
                <w:rFonts w:ascii="Arial" w:cs="Arial" w:eastAsia="Arial" w:hAnsi="Arial"/>
                <w:sz w:val="20"/>
                <w:szCs w:val="20"/>
                <w:color w:val="auto"/>
              </w:rPr>
              <w:t>40,000,000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7"/>
              </w:rPr>
              <w:t>None</w:t>
            </w:r>
          </w:p>
        </w:tc>
      </w:tr>
      <w:tr>
        <w:trPr>
          <w:trHeight w:val="236"/>
        </w:trPr>
        <w:tc>
          <w:tcPr>
            <w:tcW w:w="5080" w:type="dxa"/>
            <w:vAlign w:val="bottom"/>
            <w:gridSpan w:val="2"/>
          </w:tcPr>
          <w:p>
            <w:pPr>
              <w:ind w:left="60"/>
              <w:spacing w:after="0"/>
              <w:rPr>
                <w:sz w:val="20"/>
                <w:szCs w:val="20"/>
                <w:color w:val="auto"/>
              </w:rPr>
            </w:pPr>
            <w:r>
              <w:rPr>
                <w:rFonts w:ascii="Arial" w:cs="Arial" w:eastAsia="Arial" w:hAnsi="Arial"/>
                <w:sz w:val="20"/>
                <w:szCs w:val="20"/>
                <w:color w:val="auto"/>
              </w:rPr>
              <w:t>3.86% Series due September 16, 2030</w:t>
            </w:r>
          </w:p>
        </w:tc>
        <w:tc>
          <w:tcPr>
            <w:tcW w:w="3820" w:type="dxa"/>
            <w:vAlign w:val="bottom"/>
          </w:tcPr>
          <w:p>
            <w:pPr>
              <w:jc w:val="right"/>
              <w:ind w:right="761"/>
              <w:spacing w:after="0"/>
              <w:rPr>
                <w:sz w:val="20"/>
                <w:szCs w:val="20"/>
                <w:color w:val="auto"/>
              </w:rPr>
            </w:pPr>
            <w:r>
              <w:rPr>
                <w:rFonts w:ascii="Arial" w:cs="Arial" w:eastAsia="Arial" w:hAnsi="Arial"/>
                <w:sz w:val="20"/>
                <w:szCs w:val="20"/>
                <w:color w:val="auto"/>
              </w:rPr>
              <w:t>60,000,000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60,000,000</w:t>
            </w:r>
          </w:p>
        </w:tc>
      </w:tr>
      <w:tr>
        <w:trPr>
          <w:trHeight w:val="229"/>
        </w:trPr>
        <w:tc>
          <w:tcPr>
            <w:tcW w:w="5080" w:type="dxa"/>
            <w:vAlign w:val="bottom"/>
            <w:gridSpan w:val="2"/>
          </w:tcPr>
          <w:p>
            <w:pPr>
              <w:ind w:left="60"/>
              <w:spacing w:after="0"/>
              <w:rPr>
                <w:sz w:val="20"/>
                <w:szCs w:val="20"/>
                <w:color w:val="auto"/>
              </w:rPr>
            </w:pPr>
            <w:r>
              <w:rPr>
                <w:rFonts w:ascii="Arial" w:cs="Arial" w:eastAsia="Arial" w:hAnsi="Arial"/>
                <w:sz w:val="20"/>
                <w:szCs w:val="20"/>
                <w:color w:val="auto"/>
              </w:rPr>
              <w:t>4.07% Series due April 16, 2048</w:t>
            </w:r>
          </w:p>
        </w:tc>
        <w:tc>
          <w:tcPr>
            <w:tcW w:w="3820" w:type="dxa"/>
            <w:vAlign w:val="bottom"/>
          </w:tcPr>
          <w:p>
            <w:pPr>
              <w:jc w:val="right"/>
              <w:ind w:right="761"/>
              <w:spacing w:after="0"/>
              <w:rPr>
                <w:sz w:val="20"/>
                <w:szCs w:val="20"/>
                <w:color w:val="auto"/>
              </w:rPr>
            </w:pPr>
            <w:r>
              <w:rPr>
                <w:rFonts w:ascii="Arial" w:cs="Arial" w:eastAsia="Arial" w:hAnsi="Arial"/>
                <w:sz w:val="20"/>
                <w:szCs w:val="20"/>
                <w:color w:val="auto"/>
              </w:rPr>
              <w:t>60,000,000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60,000,000</w:t>
            </w:r>
          </w:p>
        </w:tc>
      </w:tr>
      <w:tr>
        <w:trPr>
          <w:trHeight w:val="230"/>
        </w:trPr>
        <w:tc>
          <w:tcPr>
            <w:tcW w:w="5080" w:type="dxa"/>
            <w:vAlign w:val="bottom"/>
            <w:gridSpan w:val="2"/>
          </w:tcPr>
          <w:p>
            <w:pPr>
              <w:ind w:left="60"/>
              <w:spacing w:after="0"/>
              <w:rPr>
                <w:sz w:val="20"/>
                <w:szCs w:val="20"/>
                <w:color w:val="auto"/>
              </w:rPr>
            </w:pPr>
            <w:r>
              <w:rPr>
                <w:rFonts w:ascii="Arial" w:cs="Arial" w:eastAsia="Arial" w:hAnsi="Arial"/>
                <w:sz w:val="20"/>
                <w:szCs w:val="20"/>
                <w:color w:val="auto"/>
              </w:rPr>
              <w:t>4.08% Series due March 1, 2029</w:t>
            </w:r>
          </w:p>
        </w:tc>
        <w:tc>
          <w:tcPr>
            <w:tcW w:w="3820" w:type="dxa"/>
            <w:vAlign w:val="bottom"/>
          </w:tcPr>
          <w:p>
            <w:pPr>
              <w:jc w:val="right"/>
              <w:ind w:right="761"/>
              <w:spacing w:after="0"/>
              <w:rPr>
                <w:sz w:val="20"/>
                <w:szCs w:val="20"/>
                <w:color w:val="auto"/>
              </w:rPr>
            </w:pPr>
            <w:r>
              <w:rPr>
                <w:rFonts w:ascii="Arial" w:cs="Arial" w:eastAsia="Arial" w:hAnsi="Arial"/>
                <w:sz w:val="20"/>
                <w:szCs w:val="20"/>
                <w:color w:val="auto"/>
              </w:rPr>
              <w:t>70,000,000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70,000,000</w:t>
            </w:r>
          </w:p>
        </w:tc>
      </w:tr>
      <w:tr>
        <w:trPr>
          <w:trHeight w:val="229"/>
        </w:trPr>
        <w:tc>
          <w:tcPr>
            <w:tcW w:w="5080" w:type="dxa"/>
            <w:vAlign w:val="bottom"/>
            <w:gridSpan w:val="2"/>
          </w:tcPr>
          <w:p>
            <w:pPr>
              <w:ind w:left="60"/>
              <w:spacing w:after="0"/>
              <w:rPr>
                <w:sz w:val="20"/>
                <w:szCs w:val="20"/>
                <w:color w:val="auto"/>
              </w:rPr>
            </w:pPr>
            <w:r>
              <w:rPr>
                <w:rFonts w:ascii="Arial" w:cs="Arial" w:eastAsia="Arial" w:hAnsi="Arial"/>
                <w:sz w:val="20"/>
                <w:szCs w:val="20"/>
                <w:color w:val="auto"/>
              </w:rPr>
              <w:t>4.47% Series due March 1, 2049</w:t>
            </w:r>
          </w:p>
        </w:tc>
        <w:tc>
          <w:tcPr>
            <w:tcW w:w="3820" w:type="dxa"/>
            <w:vAlign w:val="bottom"/>
          </w:tcPr>
          <w:p>
            <w:pPr>
              <w:jc w:val="right"/>
              <w:ind w:right="761"/>
              <w:spacing w:after="0"/>
              <w:rPr>
                <w:sz w:val="20"/>
                <w:szCs w:val="20"/>
                <w:color w:val="auto"/>
              </w:rPr>
            </w:pPr>
            <w:r>
              <w:rPr>
                <w:rFonts w:ascii="Arial" w:cs="Arial" w:eastAsia="Arial" w:hAnsi="Arial"/>
                <w:sz w:val="20"/>
                <w:szCs w:val="20"/>
                <w:color w:val="auto"/>
              </w:rPr>
              <w:t>30,000,000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30,000,000</w:t>
            </w:r>
          </w:p>
        </w:tc>
      </w:tr>
      <w:tr>
        <w:trPr>
          <w:trHeight w:val="229"/>
        </w:trPr>
        <w:tc>
          <w:tcPr>
            <w:tcW w:w="5080" w:type="dxa"/>
            <w:vAlign w:val="bottom"/>
            <w:gridSpan w:val="2"/>
          </w:tcPr>
          <w:p>
            <w:pPr>
              <w:ind w:left="60"/>
              <w:spacing w:after="0"/>
              <w:rPr>
                <w:sz w:val="20"/>
                <w:szCs w:val="20"/>
                <w:color w:val="auto"/>
              </w:rPr>
            </w:pPr>
            <w:r>
              <w:rPr>
                <w:rFonts w:ascii="Arial" w:cs="Arial" w:eastAsia="Arial" w:hAnsi="Arial"/>
                <w:sz w:val="20"/>
                <w:szCs w:val="20"/>
                <w:color w:val="auto"/>
              </w:rPr>
              <w:t>2.50% Series due August 1, 2030</w:t>
            </w:r>
          </w:p>
        </w:tc>
        <w:tc>
          <w:tcPr>
            <w:tcW w:w="3820" w:type="dxa"/>
            <w:vAlign w:val="bottom"/>
          </w:tcPr>
          <w:p>
            <w:pPr>
              <w:jc w:val="right"/>
              <w:ind w:right="761"/>
              <w:spacing w:after="0"/>
              <w:rPr>
                <w:sz w:val="20"/>
                <w:szCs w:val="20"/>
                <w:color w:val="auto"/>
              </w:rPr>
            </w:pPr>
            <w:r>
              <w:rPr>
                <w:rFonts w:ascii="Arial" w:cs="Arial" w:eastAsia="Arial" w:hAnsi="Arial"/>
                <w:sz w:val="20"/>
                <w:szCs w:val="20"/>
                <w:color w:val="auto"/>
              </w:rPr>
              <w:t>46,000,000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46,000,000</w:t>
            </w:r>
          </w:p>
        </w:tc>
      </w:tr>
      <w:tr>
        <w:trPr>
          <w:trHeight w:val="250"/>
        </w:trPr>
        <w:tc>
          <w:tcPr>
            <w:tcW w:w="5080" w:type="dxa"/>
            <w:vAlign w:val="bottom"/>
            <w:gridSpan w:val="2"/>
          </w:tcPr>
          <w:p>
            <w:pPr>
              <w:ind w:left="60"/>
              <w:spacing w:after="0"/>
              <w:rPr>
                <w:sz w:val="20"/>
                <w:szCs w:val="20"/>
                <w:color w:val="auto"/>
              </w:rPr>
            </w:pPr>
            <w:r>
              <w:rPr>
                <w:rFonts w:ascii="Arial" w:cs="Arial" w:eastAsia="Arial" w:hAnsi="Arial"/>
                <w:sz w:val="20"/>
                <w:szCs w:val="20"/>
                <w:color w:val="auto"/>
              </w:rPr>
              <w:t>3.30% Series due August 1, 2050</w:t>
            </w:r>
          </w:p>
        </w:tc>
        <w:tc>
          <w:tcPr>
            <w:tcW w:w="3820" w:type="dxa"/>
            <w:vAlign w:val="bottom"/>
          </w:tcPr>
          <w:p>
            <w:pPr>
              <w:jc w:val="right"/>
              <w:ind w:right="761"/>
              <w:spacing w:after="0"/>
              <w:rPr>
                <w:sz w:val="20"/>
                <w:szCs w:val="20"/>
                <w:color w:val="auto"/>
              </w:rPr>
            </w:pPr>
            <w:r>
              <w:rPr>
                <w:rFonts w:ascii="Arial" w:cs="Arial" w:eastAsia="Arial" w:hAnsi="Arial"/>
                <w:sz w:val="20"/>
                <w:szCs w:val="20"/>
                <w:color w:val="auto"/>
              </w:rPr>
              <w:t>94,000,000</w:t>
            </w:r>
          </w:p>
        </w:tc>
        <w:tc>
          <w:tcPr>
            <w:tcW w:w="1760" w:type="dxa"/>
            <w:vAlign w:val="bottom"/>
          </w:tcPr>
          <w:p>
            <w:pPr>
              <w:jc w:val="center"/>
              <w:ind w:left="761"/>
              <w:spacing w:after="0"/>
              <w:rPr>
                <w:sz w:val="20"/>
                <w:szCs w:val="20"/>
                <w:color w:val="auto"/>
              </w:rPr>
            </w:pPr>
            <w:r>
              <w:rPr>
                <w:rFonts w:ascii="Arial" w:cs="Arial" w:eastAsia="Arial" w:hAnsi="Arial"/>
                <w:sz w:val="20"/>
                <w:szCs w:val="20"/>
                <w:color w:val="auto"/>
                <w:w w:val="89"/>
              </w:rPr>
              <w:t>94,000,000</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which bonds are also hereinafter sometimes called bonds of the First through Sixty-first Series, respectively; and</w:t>
      </w:r>
    </w:p>
    <w:p>
      <w:pPr>
        <w:spacing w:after="0" w:line="202"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96" w:lineRule="exact"/>
        <w:rPr>
          <w:sz w:val="20"/>
          <w:szCs w:val="20"/>
          <w:color w:val="auto"/>
        </w:rPr>
      </w:pPr>
    </w:p>
    <w:p>
      <w:pPr>
        <w:jc w:val="both"/>
        <w:ind w:firstLine="621"/>
        <w:spacing w:after="0" w:line="242" w:lineRule="auto"/>
        <w:rPr>
          <w:sz w:val="20"/>
          <w:szCs w:val="20"/>
          <w:color w:val="auto"/>
        </w:rPr>
      </w:pPr>
      <w:r>
        <w:rPr>
          <w:rFonts w:ascii="Arial" w:cs="Arial" w:eastAsia="Arial" w:hAnsi="Arial"/>
          <w:sz w:val="20"/>
          <w:szCs w:val="20"/>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94"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color w:val="auto"/>
        </w:rPr>
        <w:t>Whereas, the Company now desires to create one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91"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Whereas, the execution and delivery by the Company of this Forty-second Supplemental Indenture, and the terms of the bonds of the Sixty-second Series, hereinafter referred to, have been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authorized by the Board of Directors of the Company by appropriate resolutions of said Board of Directors;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Now, Therefore, This Indenture Witnesseth:</w:t>
      </w:r>
    </w:p>
    <w:p>
      <w:pPr>
        <w:spacing w:after="0" w:line="216" w:lineRule="exact"/>
        <w:rPr>
          <w:sz w:val="20"/>
          <w:szCs w:val="20"/>
          <w:color w:val="auto"/>
        </w:rPr>
      </w:pPr>
    </w:p>
    <w:p>
      <w:pPr>
        <w:jc w:val="both"/>
        <w:ind w:firstLine="621"/>
        <w:spacing w:after="0" w:line="302" w:lineRule="auto"/>
        <w:rPr>
          <w:sz w:val="20"/>
          <w:szCs w:val="20"/>
          <w:color w:val="auto"/>
        </w:rPr>
      </w:pPr>
      <w:r>
        <w:rPr>
          <w:rFonts w:ascii="Arial" w:cs="Arial" w:eastAsia="Arial" w:hAnsi="Arial"/>
          <w:sz w:val="16"/>
          <w:szCs w:val="16"/>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Eva Waite,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Forty-second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21"/>
        <w:spacing w:after="0" w:line="263" w:lineRule="auto"/>
        <w:rPr>
          <w:sz w:val="20"/>
          <w:szCs w:val="20"/>
          <w:color w:val="auto"/>
        </w:rPr>
      </w:pPr>
      <w:r>
        <w:rPr>
          <w:rFonts w:ascii="Arial" w:cs="Arial" w:eastAsia="Arial" w:hAnsi="Arial"/>
          <w:sz w:val="19"/>
          <w:szCs w:val="19"/>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3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has or may hereafter acquire in and to the aforesaid property and franchises and every part and parcel thereof.</w:t>
      </w:r>
    </w:p>
    <w:p>
      <w:pPr>
        <w:spacing w:after="0" w:line="216"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196"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18"/>
          <w:szCs w:val="18"/>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Forty-second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(6) the Company’s franchise to be a corporation; and (7) any property heretofore released pursuant to any provisions of the Mortgage; provided, however, that the property and rights expressly excepted from the lien and operation of this Forty-second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171"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86" w:lineRule="exact"/>
        <w:rPr>
          <w:sz w:val="20"/>
          <w:szCs w:val="20"/>
          <w:color w:val="auto"/>
        </w:rPr>
      </w:pPr>
    </w:p>
    <w:p>
      <w:pPr>
        <w:jc w:val="both"/>
        <w:ind w:firstLine="621"/>
        <w:spacing w:after="0" w:line="385" w:lineRule="auto"/>
        <w:rPr>
          <w:sz w:val="20"/>
          <w:szCs w:val="20"/>
          <w:color w:val="auto"/>
        </w:rPr>
      </w:pPr>
      <w:r>
        <w:rPr>
          <w:rFonts w:ascii="Arial" w:cs="Arial" w:eastAsia="Arial" w:hAnsi="Arial"/>
          <w:sz w:val="16"/>
          <w:szCs w:val="16"/>
          <w:color w:val="auto"/>
        </w:rPr>
        <w:t>In trust nevertheless, for the same purposes and upon the same terms, trusts and conditions and subject to and with the same provisos and covenants as are set forth in the Mortgage, as supplemented, this Forty-second Supplemental Indenture being supplemental thereto.</w:t>
      </w:r>
    </w:p>
    <w:p>
      <w:pPr>
        <w:spacing w:after="0" w:line="85" w:lineRule="exact"/>
        <w:rPr>
          <w:sz w:val="20"/>
          <w:szCs w:val="20"/>
          <w:color w:val="auto"/>
        </w:rPr>
      </w:pPr>
    </w:p>
    <w:p>
      <w:pPr>
        <w:jc w:val="both"/>
        <w:ind w:firstLine="621"/>
        <w:spacing w:after="0" w:line="263" w:lineRule="auto"/>
        <w:rPr>
          <w:sz w:val="20"/>
          <w:szCs w:val="20"/>
          <w:color w:val="auto"/>
        </w:rPr>
      </w:pPr>
      <w:r>
        <w:rPr>
          <w:rFonts w:ascii="Arial" w:cs="Arial" w:eastAsia="Arial" w:hAnsi="Arial"/>
          <w:sz w:val="19"/>
          <w:szCs w:val="19"/>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owned by the Company at the time of the execution of the Mortgage, and had been specifically and at length described in and conveyed to said Trustees by the Mortgage as a part of the property therein stated to be conveyed.</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further covenants and agrees to and with the Trustees and their successors in said trust under the Mortgage as follows: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jc w:val="center"/>
        <w:spacing w:after="0"/>
        <w:rPr>
          <w:sz w:val="20"/>
          <w:szCs w:val="20"/>
          <w:color w:val="auto"/>
        </w:rPr>
      </w:pPr>
      <w:r>
        <w:rPr>
          <w:rFonts w:ascii="Arial" w:cs="Arial" w:eastAsia="Arial" w:hAnsi="Arial"/>
          <w:sz w:val="20"/>
          <w:szCs w:val="20"/>
          <w:b w:val="1"/>
          <w:bCs w:val="1"/>
          <w:color w:val="auto"/>
        </w:rPr>
        <w:t>Sixty-second Series of Bonds</w:t>
      </w:r>
    </w:p>
    <w:p>
      <w:pPr>
        <w:spacing w:after="0" w:line="200" w:lineRule="exact"/>
        <w:rPr>
          <w:sz w:val="20"/>
          <w:szCs w:val="20"/>
          <w:color w:val="auto"/>
        </w:rPr>
      </w:pPr>
    </w:p>
    <w:p>
      <w:pPr>
        <w:spacing w:after="0" w:line="202" w:lineRule="exact"/>
        <w:rPr>
          <w:sz w:val="20"/>
          <w:szCs w:val="20"/>
          <w:color w:val="auto"/>
        </w:rPr>
      </w:pPr>
    </w:p>
    <w:p>
      <w:pPr>
        <w:jc w:val="both"/>
        <w:ind w:firstLine="621"/>
        <w:spacing w:after="0" w:line="271" w:lineRule="auto"/>
        <w:rPr>
          <w:sz w:val="20"/>
          <w:szCs w:val="20"/>
          <w:color w:val="auto"/>
        </w:rPr>
      </w:pPr>
      <w:r>
        <w:rPr>
          <w:rFonts w:ascii="Arial" w:cs="Arial" w:eastAsia="Arial" w:hAnsi="Arial"/>
          <w:sz w:val="18"/>
          <w:szCs w:val="18"/>
          <w:color w:val="auto"/>
        </w:rPr>
        <w:t>Section 1. There shall be a series of bonds designated “2.79% Series due September 1, 2031” (herein sometimes referred to as the “Sixty-second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Sixty-second Series shall be dated as in Section 10 of the Mortgage provided, mature on September 1, 2031 (the “Sixty-second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September 1, 2021 (computed on the basis of a 360-day year of twelve thirty-day months) at the rate of 2.79% per annum, payable semi-annually on March 1 and September 1 of each year, commencing March 1, 2022,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4"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Any payment of principal of or interest on any bond of the Sixty-second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Sixty-second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74" w:lineRule="exact"/>
        <w:rPr>
          <w:sz w:val="20"/>
          <w:szCs w:val="20"/>
          <w:color w:val="auto"/>
        </w:rPr>
      </w:pPr>
    </w:p>
    <w:p>
      <w:pPr>
        <w:jc w:val="both"/>
        <w:ind w:firstLine="629"/>
        <w:spacing w:after="0" w:line="255" w:lineRule="auto"/>
        <w:tabs>
          <w:tab w:leader="none" w:pos="1071" w:val="left"/>
        </w:tabs>
        <w:numPr>
          <w:ilvl w:val="0"/>
          <w:numId w:val="16"/>
        </w:numPr>
        <w:rPr>
          <w:rFonts w:ascii="Arial" w:cs="Arial" w:eastAsia="Arial" w:hAnsi="Arial"/>
          <w:sz w:val="19"/>
          <w:szCs w:val="19"/>
          <w:color w:val="auto"/>
        </w:rPr>
      </w:pPr>
      <w:r>
        <w:rPr>
          <w:rFonts w:ascii="Arial" w:cs="Arial" w:eastAsia="Arial" w:hAnsi="Arial"/>
          <w:sz w:val="19"/>
          <w:szCs w:val="19"/>
          <w:b w:val="1"/>
          <w:bCs w:val="1"/>
          <w:color w:val="auto"/>
        </w:rPr>
        <w:t xml:space="preserve">Optional Prepayment. </w:t>
      </w:r>
      <w:r>
        <w:rPr>
          <w:rFonts w:ascii="Arial" w:cs="Arial" w:eastAsia="Arial" w:hAnsi="Arial"/>
          <w:sz w:val="19"/>
          <w:szCs w:val="19"/>
          <w:color w:val="auto"/>
        </w:rPr>
        <w:t>At any time prior to June 1, 2031 (three months prior to the Sixty-second Series Stated Maturity)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may, at its option, upon notice as provided below, prepay at any time all, or from time to time any part of, the bonds of the Sixty-second Series at 100% of the principal amount so prepaid, and the Make-Whole Amount determined for the Settlement Date specified by the Company in such notice with respect to such principal amount. The Company will give each registered owner of bonds of the Sixty-second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Sixty-second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prepayment (calculated as if the date of such notice were the date of the prepayment), setting forth the details of such computation. Two Business Days prior to such Settlement Date, the Company shall send to each registered owner of bonds of the Sixty-second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85" w:lineRule="exact"/>
        <w:rPr>
          <w:sz w:val="20"/>
          <w:szCs w:val="20"/>
          <w:color w:val="auto"/>
        </w:rPr>
      </w:pPr>
    </w:p>
    <w:p>
      <w:pPr>
        <w:jc w:val="both"/>
        <w:ind w:firstLine="621"/>
        <w:spacing w:after="0" w:line="291" w:lineRule="auto"/>
        <w:rPr>
          <w:sz w:val="20"/>
          <w:szCs w:val="20"/>
          <w:color w:val="auto"/>
        </w:rPr>
      </w:pPr>
      <w:r>
        <w:rPr>
          <w:rFonts w:ascii="Arial" w:cs="Arial" w:eastAsia="Arial" w:hAnsi="Arial"/>
          <w:sz w:val="18"/>
          <w:szCs w:val="18"/>
          <w:color w:val="auto"/>
        </w:rPr>
        <w:t>At any time on or after June 1, 2031, the bonds of the Sixty-second Series will be redeemable at the option of the Company, in whole or in part, on not less than 30 nor more than 60 days’ notice prior to the Settlement Date, at a redemption price equal to 100% of the principal amount of the bonds of the Sixty-second Series to be redeemed, plus accrued and unpaid interest thereon to the Settlement Date.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bonds of the Sixty-second Series are not otherwise subject to voluntary or optional prepayment.</w:t>
      </w:r>
    </w:p>
    <w:p>
      <w:pPr>
        <w:spacing w:after="0" w:line="210" w:lineRule="exact"/>
        <w:rPr>
          <w:sz w:val="20"/>
          <w:szCs w:val="20"/>
          <w:color w:val="auto"/>
        </w:rPr>
      </w:pPr>
    </w:p>
    <w:p>
      <w:pPr>
        <w:jc w:val="both"/>
        <w:ind w:firstLine="901"/>
        <w:spacing w:after="0" w:line="248" w:lineRule="auto"/>
        <w:tabs>
          <w:tab w:leader="none" w:pos="1429"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Sixty-second Series, the</w:t>
      </w:r>
      <w:r>
        <w:rPr>
          <w:rFonts w:ascii="Arial" w:cs="Arial" w:eastAsia="Arial" w:hAnsi="Arial"/>
          <w:sz w:val="20"/>
          <w:szCs w:val="20"/>
          <w:b w:val="1"/>
          <w:bCs w:val="1"/>
          <w:color w:val="auto"/>
        </w:rPr>
        <w:t xml:space="preserve"> </w:t>
      </w:r>
      <w:r>
        <w:rPr>
          <w:rFonts w:ascii="Arial" w:cs="Arial" w:eastAsia="Arial" w:hAnsi="Arial"/>
          <w:sz w:val="20"/>
          <w:szCs w:val="20"/>
          <w:color w:val="auto"/>
        </w:rPr>
        <w:t>principal amount of the bonds of the Sixty-second Series to be prepaid shall be allocated by the Company among all of the bonds of the Sixty-second Series at the time outstanding in proportion, as nearly as practicable, to the respective unpaid principal amounts thereof not theretofore called for prepayment.</w:t>
      </w:r>
    </w:p>
    <w:p>
      <w:pPr>
        <w:spacing w:after="0" w:line="183" w:lineRule="exact"/>
        <w:rPr>
          <w:rFonts w:ascii="Arial" w:cs="Arial" w:eastAsia="Arial" w:hAnsi="Arial"/>
          <w:sz w:val="20"/>
          <w:szCs w:val="20"/>
          <w:color w:val="auto"/>
        </w:rPr>
      </w:pPr>
    </w:p>
    <w:p>
      <w:pPr>
        <w:jc w:val="both"/>
        <w:ind w:firstLine="833"/>
        <w:spacing w:after="0" w:line="269" w:lineRule="auto"/>
        <w:tabs>
          <w:tab w:leader="none" w:pos="1409"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Sixty-second Series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Sixty-second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32"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22" w:lineRule="exact"/>
        <w:rPr>
          <w:sz w:val="20"/>
          <w:szCs w:val="20"/>
          <w:color w:val="auto"/>
        </w:rPr>
      </w:pPr>
    </w:p>
    <w:p>
      <w:pPr>
        <w:jc w:val="both"/>
        <w:ind w:firstLine="622"/>
        <w:spacing w:after="0" w:line="263" w:lineRule="auto"/>
        <w:rPr>
          <w:sz w:val="20"/>
          <w:szCs w:val="20"/>
          <w:color w:val="auto"/>
        </w:rPr>
      </w:pPr>
      <w:r>
        <w:rPr>
          <w:rFonts w:ascii="Arial" w:cs="Arial" w:eastAsia="Arial" w:hAnsi="Arial"/>
          <w:sz w:val="19"/>
          <w:szCs w:val="19"/>
          <w:color w:val="auto"/>
        </w:rPr>
        <w:t>The term “Make-Whole Amount” means, with respect to any bond of the Sixty-second Series, an amount equal to the excess, if any, of the Discounted Value of the Remaining Scheduled Payments with respect to the Called Principal of such bond of the Sixty-second Series over the amount of such Called Principal, provided that the Make-Whole Amount may in no event be less than zero. For the purposes of determining the Make-Whole Amount, the following terms have the following meanings:</w:t>
      </w:r>
    </w:p>
    <w:p>
      <w:pPr>
        <w:spacing w:after="0" w:line="176" w:lineRule="exact"/>
        <w:rPr>
          <w:sz w:val="20"/>
          <w:szCs w:val="20"/>
          <w:color w:val="auto"/>
        </w:rPr>
      </w:pPr>
    </w:p>
    <w:p>
      <w:pPr>
        <w:jc w:val="both"/>
        <w:ind w:right="20" w:firstLine="621"/>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right="20" w:firstLine="621"/>
        <w:spacing w:after="0" w:line="260" w:lineRule="auto"/>
        <w:rPr>
          <w:sz w:val="20"/>
          <w:szCs w:val="20"/>
          <w:color w:val="auto"/>
        </w:rPr>
      </w:pPr>
      <w:r>
        <w:rPr>
          <w:rFonts w:ascii="Arial" w:cs="Arial" w:eastAsia="Arial" w:hAnsi="Arial"/>
          <w:sz w:val="20"/>
          <w:szCs w:val="20"/>
          <w:color w:val="auto"/>
        </w:rPr>
        <w:t>“Called Principal” means, with respect to any bond of the Sixty-second Series, the principal of such bond that is to be prepaid pursuant to subsection (I) of this section.</w:t>
      </w:r>
    </w:p>
    <w:p>
      <w:pPr>
        <w:spacing w:after="0" w:line="177"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Sixty-second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Sixty-second Series is payable) equal to the Reinvestment Yield with respect to such Called Principal.</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“Reinvestment Yield” means, with respect to the Called Principal of any bond of the Sixty-second Series, the sum of (a) 0.50% plus</w:t>
      </w:r>
    </w:p>
    <w:p>
      <w:pPr>
        <w:spacing w:after="0" w:line="39" w:lineRule="exact"/>
        <w:rPr>
          <w:sz w:val="20"/>
          <w:szCs w:val="20"/>
          <w:color w:val="auto"/>
        </w:rPr>
      </w:pPr>
    </w:p>
    <w:p>
      <w:pPr>
        <w:jc w:val="both"/>
        <w:ind w:firstLine="8"/>
        <w:spacing w:after="0" w:line="266"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benchmark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w:t>
      </w:r>
    </w:p>
    <w:p>
      <w:pPr>
        <w:jc w:val="both"/>
        <w:ind w:firstLine="8"/>
        <w:spacing w:after="0" w:line="241" w:lineRule="auto"/>
        <w:tabs>
          <w:tab w:leader="none" w:pos="307"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interpolating linearly between the “Ask Yields” Reported for the applicable most recently issued actively traded on-the-run benchmark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 of the Sixty-second Series.</w:t>
      </w:r>
    </w:p>
    <w:p>
      <w:pPr>
        <w:spacing w:after="0" w:line="194" w:lineRule="exact"/>
        <w:rPr>
          <w:sz w:val="20"/>
          <w:szCs w:val="20"/>
          <w:color w:val="auto"/>
        </w:rPr>
      </w:pPr>
    </w:p>
    <w:p>
      <w:pPr>
        <w:jc w:val="both"/>
        <w:ind w:firstLine="621"/>
        <w:spacing w:after="0" w:line="272" w:lineRule="auto"/>
        <w:rPr>
          <w:sz w:val="20"/>
          <w:szCs w:val="20"/>
          <w:color w:val="auto"/>
        </w:rPr>
      </w:pPr>
      <w:r>
        <w:rPr>
          <w:rFonts w:ascii="Arial" w:cs="Arial" w:eastAsia="Arial" w:hAnsi="Arial"/>
          <w:sz w:val="18"/>
          <w:szCs w:val="18"/>
          <w:color w:val="auto"/>
        </w:rPr>
        <w:t>If such yields are not Reported or the yields Reported as of such time are not ascertainable (including by way of interpolation), then “Reinvestment Yield” means, with respect to the Called Principal of any bond of the Sixty-second Series,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2"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rounded to the number of decimal places as appears in the interest rate of the applicable bond of the Sixty-second Series.</w:t>
      </w:r>
    </w:p>
    <w:p>
      <w:pPr>
        <w:spacing w:after="0" w:line="216"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w:t>
      </w:r>
    </w:p>
    <w:p>
      <w:pPr>
        <w:spacing w:after="0" w:line="194"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Sixty-second Series, all payments of such Called Principal and interest thereon that would be due after the Settlement Date with respect to such Called Principal if no payment of such Called Principal were made prior to its scheduled due, provided that if such Settlement Date is not a date on which interest payments are due to be made under the terms of the bonds of the Sixty-second Series, then the amount of the next succeeding scheduled interest payment will be reduced by the amount of interest accrued to such Settlement Date and required to be paid on such Settlement Date pursuant to subsection (I) of this section.</w:t>
      </w:r>
    </w:p>
    <w:p>
      <w:pPr>
        <w:spacing w:after="0" w:line="196"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Sixty-second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Financial Officer” means the chief financial officer, principal accounting officer, treasurer or comptroller of the Company.</w:t>
      </w:r>
    </w:p>
    <w:p>
      <w:pPr>
        <w:spacing w:after="0" w:line="239" w:lineRule="exact"/>
        <w:rPr>
          <w:sz w:val="20"/>
          <w:szCs w:val="20"/>
          <w:color w:val="auto"/>
        </w:rPr>
      </w:pPr>
    </w:p>
    <w:p>
      <w:pPr>
        <w:jc w:val="both"/>
        <w:ind w:firstLine="629"/>
        <w:spacing w:after="0" w:line="244" w:lineRule="auto"/>
        <w:tabs>
          <w:tab w:leader="none" w:pos="1087" w:val="left"/>
        </w:tabs>
        <w:numPr>
          <w:ilvl w:val="0"/>
          <w:numId w:val="21"/>
        </w:numPr>
        <w:rPr>
          <w:rFonts w:ascii="Arial" w:cs="Arial" w:eastAsia="Arial" w:hAnsi="Arial"/>
          <w:sz w:val="20"/>
          <w:szCs w:val="20"/>
          <w:color w:val="auto"/>
        </w:rPr>
      </w:pPr>
      <w:r>
        <w:rPr>
          <w:rFonts w:ascii="Arial" w:cs="Arial" w:eastAsia="Arial" w:hAnsi="Arial"/>
          <w:sz w:val="20"/>
          <w:szCs w:val="20"/>
          <w:color w:val="auto"/>
        </w:rPr>
        <w:t>At the option of the registered owner, any bonds of the Sixty-second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94"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Bonds of the Sixty-second Series shall be transferable (subject to the provisions of Section 12 of the Mortgage) at the office or agency of the Company in the Borough of Manhattan, The City of New York. The Company shall not be required to make transfers or exchanges of bonds of the Sixty-second Series for a period of ten (10) days next preceding any interest payment date for bonds of such series, or next preceding any designation of bonds of said series to be prepaid, and the Company shall not be required to make transfers or exchanges of any bonds of said series designated in whole or in part for prepayment.</w:t>
      </w:r>
    </w:p>
    <w:p>
      <w:pPr>
        <w:spacing w:after="0" w:line="180"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19"/>
          <w:szCs w:val="19"/>
          <w:color w:val="auto"/>
        </w:rPr>
        <w:t>Upon any exchange or transfer of bonds of the Sixty-second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Sixty-second Series.</w:t>
      </w:r>
    </w:p>
    <w:p>
      <w:pPr>
        <w:spacing w:after="0" w:line="170" w:lineRule="exact"/>
        <w:rPr>
          <w:sz w:val="20"/>
          <w:szCs w:val="20"/>
          <w:color w:val="auto"/>
        </w:rPr>
      </w:pPr>
    </w:p>
    <w:p>
      <w:pPr>
        <w:jc w:val="both"/>
        <w:ind w:right="20" w:firstLine="622"/>
        <w:spacing w:after="0" w:line="250" w:lineRule="auto"/>
        <w:rPr>
          <w:sz w:val="20"/>
          <w:szCs w:val="20"/>
          <w:color w:val="auto"/>
        </w:rPr>
      </w:pPr>
      <w:r>
        <w:rPr>
          <w:rFonts w:ascii="Arial" w:cs="Arial" w:eastAsia="Arial" w:hAnsi="Arial"/>
          <w:sz w:val="20"/>
          <w:szCs w:val="20"/>
          <w:color w:val="auto"/>
        </w:rPr>
        <w:t>After the delivery of this Forty-second Supplemental Indenture and upon compliance with the applicable provisions of the Mortgage and receipt of consideration therefor by the Company, there shall be an initial issue of bonds of the Sixty-second Series for the aggregate principal amount of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jc w:val="center"/>
        <w:spacing w:after="0"/>
        <w:rPr>
          <w:sz w:val="20"/>
          <w:szCs w:val="20"/>
          <w:color w:val="auto"/>
        </w:rPr>
      </w:pPr>
      <w:r>
        <w:rPr>
          <w:rFonts w:ascii="Arial" w:cs="Arial" w:eastAsia="Arial" w:hAnsi="Arial"/>
          <w:sz w:val="20"/>
          <w:szCs w:val="20"/>
          <w:b w:val="1"/>
          <w:bCs w:val="1"/>
          <w:color w:val="auto"/>
        </w:rPr>
        <w:t>Consent to Amendments</w:t>
      </w:r>
    </w:p>
    <w:p>
      <w:pPr>
        <w:spacing w:after="0" w:line="200" w:lineRule="exact"/>
        <w:rPr>
          <w:sz w:val="20"/>
          <w:szCs w:val="20"/>
          <w:color w:val="auto"/>
        </w:rPr>
      </w:pPr>
    </w:p>
    <w:p>
      <w:pPr>
        <w:spacing w:after="0" w:line="256"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Consent to Amendments</w:t>
      </w:r>
      <w:r>
        <w:rPr>
          <w:rFonts w:ascii="Arial" w:cs="Arial" w:eastAsia="Arial" w:hAnsi="Arial"/>
          <w:sz w:val="19"/>
          <w:szCs w:val="19"/>
          <w:color w:val="auto"/>
        </w:rPr>
        <w:t xml:space="preserve"> Each initial and future holder of bonds of the Sixty-second Series, by its acquisition of an interest in such bonds, irrevocably (a) consents to the amendments set forth in Article IV of the Thirty-first Supplemental Indenture, dated as of February 1, 2010,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jc w:val="center"/>
        <w:spacing w:after="0"/>
        <w:rPr>
          <w:sz w:val="20"/>
          <w:szCs w:val="20"/>
          <w:color w:val="auto"/>
        </w:rPr>
      </w:pPr>
      <w:r>
        <w:rPr>
          <w:rFonts w:ascii="Arial" w:cs="Arial" w:eastAsia="Arial" w:hAnsi="Arial"/>
          <w:sz w:val="20"/>
          <w:szCs w:val="20"/>
          <w:b w:val="1"/>
          <w:bCs w:val="1"/>
          <w:color w:val="auto"/>
        </w:rPr>
        <w:t>Reservation of Right to Amend Sections 35(a) and 101 of the Mortgage</w:t>
      </w:r>
    </w:p>
    <w:p>
      <w:pPr>
        <w:spacing w:after="0" w:line="200" w:lineRule="exact"/>
        <w:rPr>
          <w:sz w:val="20"/>
          <w:szCs w:val="20"/>
          <w:color w:val="auto"/>
        </w:rPr>
      </w:pP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Section 1. The Company reserves the right, without any vote, consent or other action by the holders of bonds of the Sixty-second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Series, or any subsequent series, to amend the Mortgage, as herein or heretofore supplemented as follows:</w:t>
      </w:r>
    </w:p>
    <w:p>
      <w:pPr>
        <w:spacing w:after="0" w:line="200" w:lineRule="exact"/>
        <w:rPr>
          <w:sz w:val="20"/>
          <w:szCs w:val="20"/>
          <w:color w:val="auto"/>
        </w:rPr>
      </w:pPr>
    </w:p>
    <w:p>
      <w:pPr>
        <w:ind w:right="20" w:firstLine="1098"/>
        <w:spacing w:after="0" w:line="260" w:lineRule="auto"/>
        <w:tabs>
          <w:tab w:leader="none" w:pos="1423" w:val="left"/>
        </w:tabs>
        <w:numPr>
          <w:ilvl w:val="1"/>
          <w:numId w:val="22"/>
        </w:numPr>
        <w:rPr>
          <w:rFonts w:ascii="Arial" w:cs="Arial" w:eastAsia="Arial" w:hAnsi="Arial"/>
          <w:sz w:val="20"/>
          <w:szCs w:val="20"/>
          <w:color w:val="auto"/>
        </w:rPr>
      </w:pPr>
      <w:r>
        <w:rPr>
          <w:rFonts w:ascii="Arial" w:cs="Arial" w:eastAsia="Arial" w:hAnsi="Arial"/>
          <w:sz w:val="20"/>
          <w:szCs w:val="20"/>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392" w:lineRule="exact"/>
        <w:rPr>
          <w:rFonts w:ascii="Arial" w:cs="Arial" w:eastAsia="Arial" w:hAnsi="Arial"/>
          <w:sz w:val="20"/>
          <w:szCs w:val="20"/>
          <w:color w:val="auto"/>
        </w:rPr>
      </w:pPr>
    </w:p>
    <w:p>
      <w:pPr>
        <w:ind w:left="1340" w:hanging="315"/>
        <w:spacing w:after="0"/>
        <w:tabs>
          <w:tab w:leader="none" w:pos="13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By adding the following at the end of the first sentence of Section 101:</w:t>
      </w:r>
    </w:p>
    <w:p>
      <w:pPr>
        <w:spacing w:after="0" w:line="200" w:lineRule="exact"/>
        <w:rPr>
          <w:sz w:val="20"/>
          <w:szCs w:val="20"/>
          <w:color w:val="auto"/>
        </w:rPr>
      </w:pPr>
    </w:p>
    <w:p>
      <w:pPr>
        <w:spacing w:after="0" w:line="218" w:lineRule="exact"/>
        <w:rPr>
          <w:sz w:val="20"/>
          <w:szCs w:val="20"/>
          <w:color w:val="auto"/>
        </w:rPr>
      </w:pPr>
    </w:p>
    <w:p>
      <w:pPr>
        <w:jc w:val="both"/>
        <w:ind w:left="1300" w:right="1300"/>
        <w:spacing w:after="0" w:line="235" w:lineRule="auto"/>
        <w:rPr>
          <w:sz w:val="20"/>
          <w:szCs w:val="20"/>
          <w:color w:val="auto"/>
        </w:rPr>
      </w:pPr>
      <w:r>
        <w:rPr>
          <w:rFonts w:ascii="Arial" w:cs="Arial" w:eastAsia="Arial" w:hAnsi="Arial"/>
          <w:sz w:val="19"/>
          <w:szCs w:val="19"/>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00" w:lineRule="exact"/>
        <w:rPr>
          <w:sz w:val="20"/>
          <w:szCs w:val="20"/>
          <w:color w:val="auto"/>
        </w:rPr>
      </w:pPr>
    </w:p>
    <w:p>
      <w:pPr>
        <w:spacing w:after="0" w:line="202"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Section 1. Section 126 of the Mortgage, as heretofore amended, is hereby further amended by adding the words “and September 1, 2031” after the words “and August 1, 2030 and August 1, 2050.”</w:t>
      </w:r>
    </w:p>
    <w:p>
      <w:pPr>
        <w:spacing w:after="0" w:line="177" w:lineRule="exact"/>
        <w:rPr>
          <w:sz w:val="20"/>
          <w:szCs w:val="20"/>
          <w:color w:val="auto"/>
        </w:rPr>
      </w:pPr>
    </w:p>
    <w:p>
      <w:pPr>
        <w:jc w:val="both"/>
        <w:ind w:right="20" w:firstLine="621"/>
        <w:spacing w:after="0" w:line="250" w:lineRule="auto"/>
        <w:rPr>
          <w:sz w:val="20"/>
          <w:szCs w:val="20"/>
          <w:color w:val="auto"/>
        </w:rPr>
      </w:pPr>
      <w:r>
        <w:rPr>
          <w:rFonts w:ascii="Arial" w:cs="Arial" w:eastAsia="Arial" w:hAnsi="Arial"/>
          <w:sz w:val="20"/>
          <w:szCs w:val="20"/>
          <w:color w:val="auto"/>
        </w:rPr>
        <w:t>Section 2. Subject to the amendments provided for in this Forty-second Supplemental Indenture, the terms defined in the Mortgage, as heretofore supplemented, shall, for all purposes of this Forty-second Supplemental Indenture, have the meanings specified in the Mortgage, as heretofore supplemented.</w:t>
      </w:r>
    </w:p>
    <w:p>
      <w:pPr>
        <w:spacing w:after="0" w:line="186" w:lineRule="exact"/>
        <w:rPr>
          <w:sz w:val="20"/>
          <w:szCs w:val="20"/>
          <w:color w:val="auto"/>
        </w:rPr>
      </w:pPr>
    </w:p>
    <w:p>
      <w:pPr>
        <w:jc w:val="both"/>
        <w:ind w:right="20" w:firstLine="621"/>
        <w:spacing w:after="0" w:line="291" w:lineRule="auto"/>
        <w:rPr>
          <w:sz w:val="20"/>
          <w:szCs w:val="20"/>
          <w:color w:val="auto"/>
        </w:rPr>
      </w:pPr>
      <w:r>
        <w:rPr>
          <w:rFonts w:ascii="Arial" w:cs="Arial" w:eastAsia="Arial" w:hAnsi="Arial"/>
          <w:sz w:val="18"/>
          <w:szCs w:val="18"/>
          <w:color w:val="auto"/>
        </w:rPr>
        <w:t>Section 3. The holders of bonds of the Sixty-second Series consent that the Company may, but shall not be obligated to, fix a record date for the purpose of determining the holders of bonds of the Sixty-second Series entitled to consent to any amendment, supplement or waiver. If a record date is fixed, those persons who were holders at such record date (or their duly designated proxies), and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32"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86" w:lineRule="exact"/>
        <w:rPr>
          <w:sz w:val="20"/>
          <w:szCs w:val="20"/>
          <w:color w:val="auto"/>
        </w:rPr>
      </w:pPr>
    </w:p>
    <w:p>
      <w:pPr>
        <w:jc w:val="both"/>
        <w:ind w:firstLine="621"/>
        <w:spacing w:after="0" w:line="287" w:lineRule="auto"/>
        <w:rPr>
          <w:sz w:val="20"/>
          <w:szCs w:val="20"/>
          <w:color w:val="auto"/>
        </w:rPr>
      </w:pPr>
      <w:r>
        <w:rPr>
          <w:rFonts w:ascii="Arial" w:cs="Arial" w:eastAsia="Arial" w:hAnsi="Arial"/>
          <w:sz w:val="19"/>
          <w:szCs w:val="19"/>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52" w:lineRule="exact"/>
        <w:rPr>
          <w:sz w:val="20"/>
          <w:szCs w:val="20"/>
          <w:color w:val="auto"/>
        </w:rPr>
      </w:pPr>
    </w:p>
    <w:p>
      <w:pPr>
        <w:jc w:val="both"/>
        <w:ind w:firstLine="621"/>
        <w:spacing w:after="0" w:line="278" w:lineRule="auto"/>
        <w:rPr>
          <w:sz w:val="20"/>
          <w:szCs w:val="20"/>
          <w:color w:val="auto"/>
        </w:rPr>
      </w:pPr>
      <w:r>
        <w:rPr>
          <w:rFonts w:ascii="Arial" w:cs="Arial" w:eastAsia="Arial" w:hAnsi="Arial"/>
          <w:sz w:val="18"/>
          <w:szCs w:val="18"/>
          <w:color w:val="auto"/>
        </w:rPr>
        <w:t>The Trustees shall not be responsible in any manner whatsoever for or in respect of the validity or sufficiency of this Forty-second Supplemental Indenture or for or in respect of the recitals contained herein, all of which recitals are made by the Company solely. In general, each and every term and condition contained in Article XVII of the Mortgage shall apply to and form part of this Forty-second Supplemental Indenture with the same force and effect as if the same were herein set forth in full with such omissions, variations and insertions, if any, as may be appropriate to make the same conform to the provisions of this Forty-second Supplemental Indenture.</w:t>
      </w:r>
    </w:p>
    <w:p>
      <w:pPr>
        <w:spacing w:after="0" w:line="165"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color w:val="auto"/>
        </w:rPr>
        <w:t>Section 5. Whenever in this Forty-second Supplemental Indenture any party hereto is named or referred to, this shall, subject to the provisions of Articles XVI and XVII of the Mortgage, as heretofore supplemented, be deemed to include the successors or assigns of such party, and all the covenants and agreements in this Forty-second Supplemental Indenture contained by or on behalf of the Company, or by or on behalf of the Trustees shall, subject as aforesaid, bind and inure to the benefit of the respective successors and assigns of such party whether so expressed or not.</w:t>
      </w:r>
    </w:p>
    <w:p>
      <w:pPr>
        <w:spacing w:after="0" w:line="194"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9"/>
          <w:szCs w:val="19"/>
          <w:color w:val="auto"/>
        </w:rPr>
        <w:t>Section 6. Nothing in this Forty-second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Forty-second Supplemental Indenture or any covenant, condition, stipulation, promise or agreement hereof, and all the covenants, conditions, stipulations, promises and agreements in this Forty-second Supplemental Indenture contained by and on behalf of the Company shall be for the sole and exclusive benefit of the parties hereto, and of the holders of the bonds and of the coupons Outstanding under the Mortgage.</w:t>
      </w:r>
    </w:p>
    <w:p>
      <w:pPr>
        <w:spacing w:after="0" w:line="178"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Section 7. This Forty-second Supplemental Indenture shall be executed in several counterparts, each of which shall be an original and all of which shall constitute but one and the same instrument.</w:t>
      </w:r>
    </w:p>
    <w:p>
      <w:pPr>
        <w:spacing w:after="0" w:line="177"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Section 8. The Company, the mortgagor named herein, by its execution hereof acknowledges receipt of a full, true and complete copy of this Forty-second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32"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by one of its Vice Presidents or one of its Assistant Vice Presidents, and Eva Waite has hereunto set her hand, all in The City of New York, as of the day and year first above written.</w:t>
      </w:r>
    </w:p>
    <w:p>
      <w:pPr>
        <w:spacing w:after="0" w:line="18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ALLETE, Inc.</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-14605</wp:posOffset>
            </wp:positionV>
            <wp:extent cx="1257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Patrick L. Cutshall</w:t>
      </w:r>
    </w:p>
    <w:p>
      <w:pPr>
        <w:ind w:left="5200"/>
        <w:spacing w:after="0"/>
        <w:rPr>
          <w:sz w:val="20"/>
          <w:szCs w:val="20"/>
          <w:color w:val="auto"/>
        </w:rPr>
      </w:pPr>
      <w:r>
        <w:rPr>
          <w:rFonts w:ascii="Arial" w:cs="Arial" w:eastAsia="Arial" w:hAnsi="Arial"/>
          <w:sz w:val="20"/>
          <w:szCs w:val="20"/>
          <w:color w:val="auto"/>
        </w:rPr>
        <w:t>Vice President and Corporate Treasurer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1257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Margaret A. Thickens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Chief Legal Officer</w:t>
      </w:r>
    </w:p>
    <w:p>
      <w:pPr>
        <w:spacing w:after="0"/>
        <w:rPr>
          <w:sz w:val="20"/>
          <w:szCs w:val="20"/>
          <w:color w:val="auto"/>
        </w:rPr>
      </w:pPr>
      <w:r>
        <w:rPr>
          <w:rFonts w:ascii="Arial" w:cs="Arial" w:eastAsia="Arial" w:hAnsi="Arial"/>
          <w:sz w:val="20"/>
          <w:szCs w:val="20"/>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Trustees’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color w:val="auto"/>
        </w:rPr>
        <w:t>{00454906.DOCX; 3}</w:t>
      </w:r>
      <w:r>
        <w:rPr>
          <w:sz w:val="20"/>
          <w:szCs w:val="20"/>
          <w:color w:val="auto"/>
        </w:rPr>
        <w:tab/>
      </w:r>
      <w:r>
        <w:rPr>
          <w:rFonts w:ascii="Arial" w:cs="Arial" w:eastAsia="Arial" w:hAnsi="Arial"/>
          <w:sz w:val="19"/>
          <w:szCs w:val="19"/>
          <w:color w:val="auto"/>
        </w:rPr>
        <w:t>15</w:t>
      </w:r>
    </w:p>
    <w:p>
      <w:pPr>
        <w:sectPr>
          <w:pgSz w:w="11900" w:h="16838" w:orient="portrait"/>
          <w:cols w:equalWidth="0" w:num="1">
            <w:col w:w="11240"/>
          </w:cols>
          <w:pgMar w:left="320" w:top="132"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The Bank of New York Mellon,</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-14605</wp:posOffset>
            </wp:positionV>
            <wp:extent cx="1257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20"/>
          <w:szCs w:val="20"/>
          <w:color w:val="auto"/>
        </w:rPr>
        <w:t>Rick Fierro</w:t>
      </w:r>
    </w:p>
    <w:p>
      <w:pPr>
        <w:ind w:left="3660"/>
        <w:spacing w:after="0"/>
        <w:rPr>
          <w:sz w:val="20"/>
          <w:szCs w:val="20"/>
          <w:color w:val="auto"/>
        </w:rPr>
      </w:pPr>
      <w:r>
        <w:rPr>
          <w:rFonts w:ascii="Arial" w:cs="Arial" w:eastAsia="Arial" w:hAnsi="Arial"/>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Forty-second Supplemental Indenture dated as of September 1, 2021</w:t>
      </w:r>
    </w:p>
    <w:p>
      <w:pPr>
        <w:spacing w:after="0" w:line="62"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to Mortgage and Deed of Trust dated as of September 1, 1945</w:t>
      </w:r>
    </w:p>
    <w:p>
      <w:pPr>
        <w:sectPr>
          <w:pgSz w:w="11900" w:h="16838" w:orient="portrait"/>
          <w:cols w:equalWidth="0" w:num="1">
            <w:col w:w="10120"/>
          </w:cols>
          <w:pgMar w:left="144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120"/>
          </w:cols>
          <w:pgMar w:left="1440" w:top="132" w:right="33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22"/>
          <w:szCs w:val="22"/>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Corporate Trustee’s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2758440</wp:posOffset>
            </wp:positionH>
            <wp:positionV relativeFrom="paragraph">
              <wp:posOffset>130175</wp:posOffset>
            </wp:positionV>
            <wp:extent cx="1257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Eva Waite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Forty-second Supplemental Indenture dated as of September 1, 2021</w:t>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to Mortgage and Deed of Trust dated as of September 1, 1945</w:t>
      </w:r>
    </w:p>
    <w:p>
      <w:pPr>
        <w:sectPr>
          <w:pgSz w:w="11900" w:h="16838" w:orient="portrait"/>
          <w:cols w:equalWidth="0" w:num="1">
            <w:col w:w="11040"/>
          </w:cols>
          <w:pgMar w:left="5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040"/>
          </w:cols>
          <w:pgMar w:left="520" w:top="132" w:right="33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2021,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November 4, 2021</w:t>
            </w: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44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44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2021,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November 4, 2021</w:t>
            </w: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J. Adams</w:t>
            </w:r>
          </w:p>
        </w:tc>
      </w:tr>
      <w:tr>
        <w:trPr>
          <w:trHeight w:val="222"/>
        </w:trPr>
        <w:tc>
          <w:tcPr>
            <w:tcW w:w="40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Robert J. Adams</w:t>
            </w:r>
          </w:p>
        </w:tc>
      </w:tr>
      <w:tr>
        <w:trPr>
          <w:trHeight w:val="230"/>
        </w:trPr>
        <w:tc>
          <w:tcPr>
            <w:tcW w:w="40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66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September 30, 2021,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4, 2021</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Bethany M. Owen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4, 2021</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J. Adams</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621"/>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Received</w:t>
            </w:r>
          </w:p>
        </w:tc>
        <w:tc>
          <w:tcPr>
            <w:tcW w:w="8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Total</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Pattern of</w:t>
            </w:r>
          </w:p>
        </w:tc>
        <w:tc>
          <w:tcPr>
            <w:tcW w:w="9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Legal</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Mine or Operating</w:t>
            </w: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Violation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8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Legal Actions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continue"/>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104(d)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Section</w:t>
            </w:r>
          </w:p>
        </w:tc>
        <w:tc>
          <w:tcPr>
            <w:tcW w:w="10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Number of</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Potential to</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Actions</w:t>
            </w:r>
          </w:p>
        </w:tc>
        <w:tc>
          <w:tcPr>
            <w:tcW w:w="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Resolved</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Identification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S&amp;S</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and Orders</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110(b)(2)</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Related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104(e)</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 Section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Last Day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During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During</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5"/>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2021, BNI Energy, owner of Center Mine, received six citations under Section 104(a) of the Mine Safety Act, none were significant and substantial (S&amp;S) citations. For the nine months ended September 30, 2021, BNI Energy paid $1,103 in penalties for citations closed during the period. For the nine months ended September 30, 2021, there were no citations, orders, violations or notices under Sections 104(b), 104(d), 107(a), 104(e) or 110(b)(2) of the Mine Safety Act and there were no fatalities.</w:t>
      </w:r>
    </w:p>
    <w:p>
      <w:pPr>
        <w:sectPr>
          <w:pgSz w:w="11900" w:h="16838" w:orient="portrait"/>
          <w:cols w:equalWidth="0" w:num="1">
            <w:col w:w="11240"/>
          </w:cols>
          <w:pgMar w:left="320" w:top="891" w:right="33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1371600" cy="6261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99</w:t>
      </w:r>
    </w:p>
    <w:p>
      <w:pPr>
        <w:spacing w:after="0" w:line="3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November 4, 2021</w:t>
      </w:r>
    </w:p>
    <w:p>
      <w:pPr>
        <w:spacing w:after="0" w:line="27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218-723-3952</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vmeyer@allete.com</w:t>
      </w:r>
    </w:p>
    <w:p>
      <w:pPr>
        <w:spacing w:after="0" w:line="779" w:lineRule="exact"/>
        <w:rPr>
          <w:sz w:val="20"/>
          <w:szCs w:val="20"/>
          <w:color w:val="auto"/>
        </w:rPr>
      </w:pPr>
    </w:p>
    <w:p>
      <w:pPr>
        <w:sectPr>
          <w:pgSz w:w="11900" w:h="16838" w:orient="portrait"/>
          <w:cols w:equalWidth="0" w:num="2">
            <w:col w:w="6460" w:space="720"/>
            <w:col w:w="4040"/>
          </w:cols>
          <w:pgMar w:left="320" w:top="1003" w:right="359" w:bottom="1440" w:gutter="0" w:footer="0" w:header="0"/>
        </w:sectPr>
      </w:pPr>
    </w:p>
    <w:p>
      <w:pPr>
        <w:jc w:val="center"/>
        <w:ind w:right="-19"/>
        <w:spacing w:after="0"/>
        <w:rPr>
          <w:sz w:val="20"/>
          <w:szCs w:val="20"/>
          <w:color w:val="auto"/>
        </w:rPr>
      </w:pPr>
      <w:r>
        <w:rPr>
          <w:rFonts w:ascii="Arial" w:cs="Arial" w:eastAsia="Arial" w:hAnsi="Arial"/>
          <w:sz w:val="25"/>
          <w:szCs w:val="25"/>
          <w:b w:val="1"/>
          <w:bCs w:val="1"/>
          <w:color w:val="auto"/>
        </w:rPr>
        <w:t>ALLETE, Inc. reports third quarter earnings of 53 cents</w:t>
      </w:r>
    </w:p>
    <w:p>
      <w:pPr>
        <w:jc w:val="center"/>
        <w:ind w:right="-19"/>
        <w:spacing w:after="0" w:line="197" w:lineRule="auto"/>
        <w:rPr>
          <w:sz w:val="20"/>
          <w:szCs w:val="20"/>
          <w:color w:val="auto"/>
        </w:rPr>
      </w:pPr>
      <w:r>
        <w:rPr>
          <w:rFonts w:ascii="Arial" w:cs="Arial" w:eastAsia="Arial" w:hAnsi="Arial"/>
          <w:sz w:val="25"/>
          <w:szCs w:val="25"/>
          <w:b w:val="1"/>
          <w:bCs w:val="1"/>
          <w:color w:val="auto"/>
        </w:rPr>
        <w:t>Reaffirms 2021 earnings guidance range</w:t>
      </w:r>
    </w:p>
    <w:p>
      <w:pPr>
        <w:spacing w:after="0" w:line="1" w:lineRule="exact"/>
        <w:rPr>
          <w:sz w:val="20"/>
          <w:szCs w:val="20"/>
          <w:color w:val="auto"/>
        </w:rPr>
      </w:pPr>
    </w:p>
    <w:p>
      <w:pPr>
        <w:ind w:right="360"/>
        <w:spacing w:after="0" w:line="220" w:lineRule="auto"/>
        <w:rPr>
          <w:sz w:val="20"/>
          <w:szCs w:val="20"/>
          <w:color w:val="auto"/>
        </w:rPr>
      </w:pPr>
      <w:r>
        <w:rPr>
          <w:rFonts w:ascii="Arial" w:cs="Arial" w:eastAsia="Arial" w:hAnsi="Arial"/>
          <w:sz w:val="20"/>
          <w:szCs w:val="20"/>
          <w:color w:val="auto"/>
        </w:rPr>
        <w:t>DULUTH, Minn. - ALLETE, Inc. (NYSE: ALE) today reported third quarter 2021 earnings of 53 cents per share on net income of $27.6 million. Last year’s results were 78 cents per share on net income of $40.7 million.</w:t>
      </w:r>
    </w:p>
    <w:p>
      <w:pPr>
        <w:spacing w:after="0" w:line="197"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“ALLETE is making significant progress on strategic initiatives, which will result in future earnings growth, driven by improved returns at our businesses and from our ongoing transformation to cleaner energy,” said ALLETE Chair, President and CEO Bethany Owen. “We are excited about the future as all of our ALLETE businesses execute ALLETE’s sustainability in action strategy, including Minnesota Power’s vision to provide carbon-free energy by 2050 and ALLETE Clean Energy’s strategy to expand beyond wind, enabling its customers to achieve their sustainability goals.”</w:t>
      </w:r>
    </w:p>
    <w:p>
      <w:pPr>
        <w:spacing w:after="0" w:line="221"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ALLETE’s Regulated Operations segment, which includes Minnesota Power, Superior Water, Light and Power and the Company’s investment in the American Transmission Co., recorded net income of $32.9 million, compared to $42.4 million in the third quarter of 2020. Third quarter 2021 earnings reflect lower net income at Minnesota Power primarily due to increased operating and maintenance expense, higher property taxes and negative timing impacts related to the recording of income tax expense compared to 2020, which vary quarter to quarter based on an estimated annual effective tax rate and are expected to reverse during the fourth quarter. Results from 2021 also reflect higher kilowatt-hour sales to residential, commercial and municipal customers, and higher industrial customer margins, partially offset by lower revenue from the idled Verso paper facility.</w:t>
      </w:r>
    </w:p>
    <w:p>
      <w:pPr>
        <w:spacing w:after="0" w:line="21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ALLETE Clean Energy recorded a third quarter 2021 net loss of $800,000 compared to net income of $1.1 million in 2020. Net income in 2021 reflects lower wind resources and availability.</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Corporate and Other, which includes BNI Energy and ALLETE Properties, recorded a third quarter net loss of $4.5 million in 2021 compared to a net loss of $2.8 million in 2020. The increased net loss is primarily due to higher expenses.</w:t>
      </w:r>
    </w:p>
    <w:p>
      <w:pPr>
        <w:spacing w:after="0" w:line="20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“Our consolidated financial results are as expected for the quarter,” said ALLETE Senior Vice President and Chief Financial Officer Bob Adams. “ALLETE’s 2021 full year results are anticipated to be in the range of $3.00 to $3.30 per share, on a consolidated basis, transitioning to increased earnings in 2022 and beyond.”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Webcast on November 4, 2021; conference call slides posted on company website</w:t>
      </w:r>
    </w:p>
    <w:p>
      <w:pPr>
        <w:spacing w:after="0" w:line="222" w:lineRule="exact"/>
        <w:rPr>
          <w:sz w:val="20"/>
          <w:szCs w:val="20"/>
          <w:color w:val="auto"/>
        </w:rPr>
      </w:pPr>
    </w:p>
    <w:p>
      <w:pPr>
        <w:ind w:right="20"/>
        <w:spacing w:after="0" w:line="235" w:lineRule="auto"/>
        <w:rPr>
          <w:sz w:val="20"/>
          <w:szCs w:val="20"/>
          <w:color w:val="auto"/>
        </w:rPr>
      </w:pPr>
      <w:r>
        <w:rPr>
          <w:rFonts w:ascii="Arial" w:cs="Arial" w:eastAsia="Arial" w:hAnsi="Arial"/>
          <w:sz w:val="19"/>
          <w:szCs w:val="19"/>
          <w:color w:val="auto"/>
        </w:rPr>
        <w:t xml:space="preserve">ALLETE’s earnings conference call will be at 10:00 a.m. (EST), November 4, 2021, at which time management will discuss the third quarter of 2021 financial results. Interested parties may listen live by calling 877-303-5852, pass code 8090438, ten minutes prior to the start time, or may listen to the live audio-only webcast and view supporting slides, which will be available on ALLETE’s Investor Relations website </w:t>
      </w:r>
      <w:r>
        <w:rPr>
          <w:rFonts w:ascii="Arial" w:cs="Arial" w:eastAsia="Arial" w:hAnsi="Arial"/>
          <w:sz w:val="20"/>
          <w:szCs w:val="20"/>
          <w:u w:val="single" w:color="auto"/>
          <w:color w:val="auto"/>
        </w:rPr>
        <w:t>http://investor.allete.com/events-presentations</w:t>
      </w:r>
      <w:r>
        <w:rPr>
          <w:rFonts w:ascii="Arial" w:cs="Arial" w:eastAsia="Arial" w:hAnsi="Arial"/>
          <w:sz w:val="18"/>
          <w:szCs w:val="18"/>
          <w:color w:val="auto"/>
        </w:rPr>
        <w:t xml:space="preserve">. A replay of the call will be available through November 11, 2021 by calling (855) 859-2056, pass code 8090438. The webcast will be accessible for one year at </w:t>
      </w:r>
      <w:r>
        <w:rPr>
          <w:rFonts w:ascii="Arial" w:cs="Arial" w:eastAsia="Arial" w:hAnsi="Arial"/>
          <w:sz w:val="20"/>
          <w:szCs w:val="20"/>
          <w:u w:val="single" w:color="auto"/>
          <w:color w:val="auto"/>
        </w:rPr>
        <w:t>www.allete.com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20"/>
          </w:cols>
          <w:pgMar w:left="320" w:top="1003" w:right="359" w:bottom="1440" w:gutter="0" w:footer="0" w:header="0"/>
          <w:type w:val="continuous"/>
        </w:sectPr>
      </w:pPr>
    </w:p>
    <w:bookmarkStart w:id="75" w:name="page76"/>
    <w:bookmarkEnd w:id="75"/>
    <w:p>
      <w:pPr>
        <w:ind w:right="320"/>
        <w:spacing w:after="0" w:line="242" w:lineRule="auto"/>
        <w:rPr>
          <w:sz w:val="20"/>
          <w:szCs w:val="20"/>
          <w:color w:val="auto"/>
        </w:rPr>
      </w:pPr>
      <w:r>
        <w:rPr>
          <w:rFonts w:ascii="Arial" w:cs="Arial" w:eastAsia="Arial" w:hAnsi="Arial"/>
          <w:sz w:val="18"/>
          <w:szCs w:val="18"/>
          <w:color w:val="auto"/>
        </w:rPr>
        <w:t>ALLETE is an energy company headquartered in Duluth, Minn. In addition to its electric utilities, Minnesota Power and Superior Water, Light and Power of Wisconsin, ALLETE owns ALLETE Clean Energy, based in Duluth, BNI Energy in Bismarck, N.D., and has an eight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percent equity interest in the American Transmission Co. More information about ALLETE is available at www.allete.com. </w:t>
      </w:r>
      <w:r>
        <w:rPr>
          <w:rFonts w:ascii="Arial" w:cs="Arial" w:eastAsia="Arial" w:hAnsi="Arial"/>
          <w:sz w:val="19"/>
          <w:szCs w:val="19"/>
          <w:i w:val="1"/>
          <w:iCs w:val="1"/>
          <w:color w:val="auto"/>
        </w:rPr>
        <w:t>ALE-CORP</w:t>
      </w:r>
    </w:p>
    <w:p>
      <w:pPr>
        <w:spacing w:after="0" w:line="227" w:lineRule="exact"/>
        <w:rPr>
          <w:sz w:val="20"/>
          <w:szCs w:val="20"/>
          <w:color w:val="auto"/>
        </w:rPr>
      </w:pPr>
    </w:p>
    <w:p>
      <w:pPr>
        <w:ind w:right="140"/>
        <w:spacing w:after="0" w:line="223" w:lineRule="auto"/>
        <w:rPr>
          <w:sz w:val="20"/>
          <w:szCs w:val="20"/>
          <w:color w:val="auto"/>
        </w:rPr>
      </w:pPr>
      <w:r>
        <w:rPr>
          <w:rFonts w:ascii="Arial" w:cs="Arial" w:eastAsia="Arial" w:hAnsi="Arial"/>
          <w:sz w:val="20"/>
          <w:szCs w:val="20"/>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98" w:lineRule="exact"/>
        <w:rPr>
          <w:sz w:val="20"/>
          <w:szCs w:val="20"/>
          <w:color w:val="auto"/>
        </w:rPr>
      </w:pPr>
    </w:p>
    <w:p>
      <w:pPr>
        <w:jc w:val="both"/>
        <w:ind w:right="120"/>
        <w:spacing w:after="0" w:line="223" w:lineRule="auto"/>
        <w:rPr>
          <w:sz w:val="20"/>
          <w:szCs w:val="20"/>
          <w:color w:val="auto"/>
        </w:rPr>
      </w:pPr>
      <w:r>
        <w:rPr>
          <w:rFonts w:ascii="Arial" w:cs="Arial" w:eastAsia="Arial" w:hAnsi="Arial"/>
          <w:sz w:val="20"/>
          <w:szCs w:val="20"/>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98" w:lineRule="exact"/>
        <w:rPr>
          <w:sz w:val="20"/>
          <w:szCs w:val="20"/>
          <w:color w:val="auto"/>
        </w:rPr>
      </w:pPr>
    </w:p>
    <w:p>
      <w:pPr>
        <w:spacing w:after="0" w:line="218" w:lineRule="auto"/>
        <w:rPr>
          <w:sz w:val="20"/>
          <w:szCs w:val="20"/>
          <w:color w:val="auto"/>
        </w:rPr>
      </w:pPr>
      <w:r>
        <w:rPr>
          <w:rFonts w:ascii="Arial" w:cs="Arial" w:eastAsia="Arial" w:hAnsi="Arial"/>
          <w:sz w:val="20"/>
          <w:szCs w:val="20"/>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such as the charge for the recent Minnesota Power rate case resolution. Management believes that the presentation of non-GAAP financial measures is appropriate and enables investors and analysts to more accurately compare the company's ongoing financial performance over the periods presented. See page 4 in this release for a reconciliation of 2020 annual GAAP earnings guidance range to 2020 annual adjusted earnings guidance range (Non-GAAP).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2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40"/>
          </w:cols>
          <w:pgMar w:left="320" w:top="919"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35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20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5700" w:type="dxa"/>
            <w:vAlign w:val="bottom"/>
          </w:tcPr>
          <w:p>
            <w:pPr>
              <w:spacing w:after="0"/>
              <w:rPr>
                <w:sz w:val="19"/>
                <w:szCs w:val="19"/>
                <w:color w:val="auto"/>
              </w:rPr>
            </w:pPr>
          </w:p>
        </w:tc>
        <w:tc>
          <w:tcPr>
            <w:tcW w:w="35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0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7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Utility</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$304.8</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$255.1</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$888.2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Contracts with Customers – Non-utility</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37.7</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35.9</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123.4</w:t>
            </w:r>
          </w:p>
        </w:tc>
        <w:tc>
          <w:tcPr>
            <w:tcW w:w="90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229"/>
        </w:trPr>
        <w:tc>
          <w:tcPr>
            <w:tcW w:w="5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 Non-utility</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Revenue</w:t>
            </w:r>
          </w:p>
        </w:tc>
        <w:tc>
          <w:tcPr>
            <w:tcW w:w="2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345.4</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293.9</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1,020.2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848.7</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140.1</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93.4</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389.4</w:t>
            </w:r>
          </w:p>
        </w:tc>
        <w:tc>
          <w:tcPr>
            <w:tcW w:w="900" w:type="dxa"/>
            <w:vAlign w:val="bottom"/>
          </w:tcPr>
          <w:p>
            <w:pPr>
              <w:jc w:val="right"/>
              <w:spacing w:after="0"/>
              <w:rPr>
                <w:sz w:val="20"/>
                <w:szCs w:val="20"/>
                <w:color w:val="auto"/>
              </w:rPr>
            </w:pPr>
            <w:r>
              <w:rPr>
                <w:rFonts w:ascii="Arial" w:cs="Arial" w:eastAsia="Arial" w:hAnsi="Arial"/>
                <w:sz w:val="18"/>
                <w:szCs w:val="18"/>
                <w:color w:val="auto"/>
              </w:rPr>
              <w:t>251.7</w:t>
            </w: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Transmission Services – Utility</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19.2</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14.9</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Cost of Sales – Non-utility</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15.2</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15.4</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47.8</w:t>
            </w:r>
          </w:p>
        </w:tc>
        <w:tc>
          <w:tcPr>
            <w:tcW w:w="90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and Maintenance</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66.7</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61.9</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57.5</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53.4</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173.4</w:t>
            </w:r>
          </w:p>
        </w:tc>
        <w:tc>
          <w:tcPr>
            <w:tcW w:w="90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30"/>
        </w:trPr>
        <w:tc>
          <w:tcPr>
            <w:tcW w:w="5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Taxes Other than Income Taxes</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15.6</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13.3</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2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314.3</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252.3</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918.9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734.2</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31.1</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41.6</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101.3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(17.3)</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Equity Earnings</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14.3</w:t>
            </w: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5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2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(11.9)</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19.2</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33.3</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3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(4.9)</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24.1</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38.8</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89.2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$27.6</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$40.7</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$107.3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52.4</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51.9</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5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2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52.5</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52.0</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$0.53</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$0.78</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$0.53</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$0.78</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$2.05</w:t>
            </w: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$0.63</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$0.6175</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000" w:type="dxa"/>
            <w:vAlign w:val="bottom"/>
          </w:tcPr>
          <w:p>
            <w:pPr>
              <w:spacing w:after="0"/>
              <w:rPr>
                <w:sz w:val="19"/>
                <w:szCs w:val="19"/>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Sep. 30</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Dec. 31,</w:t>
            </w:r>
          </w:p>
        </w:tc>
        <w:tc>
          <w:tcPr>
            <w:tcW w:w="400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Sep. 30</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Dec. 31,</w:t>
            </w:r>
          </w:p>
        </w:tc>
      </w:tr>
      <w:tr>
        <w:trPr>
          <w:trHeight w:val="234"/>
        </w:trPr>
        <w:tc>
          <w:tcPr>
            <w:tcW w:w="3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4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219.7</w:t>
            </w:r>
          </w:p>
        </w:tc>
        <w:tc>
          <w:tcPr>
            <w:tcW w:w="900" w:type="dxa"/>
            <w:vAlign w:val="bottom"/>
          </w:tcPr>
          <w:p>
            <w:pPr>
              <w:jc w:val="right"/>
              <w:spacing w:after="0"/>
              <w:rPr>
                <w:sz w:val="20"/>
                <w:szCs w:val="20"/>
                <w:color w:val="auto"/>
              </w:rPr>
            </w:pPr>
            <w:r>
              <w:rPr>
                <w:rFonts w:ascii="Arial" w:cs="Arial" w:eastAsia="Arial" w:hAnsi="Arial"/>
                <w:sz w:val="18"/>
                <w:szCs w:val="18"/>
                <w:color w:val="auto"/>
              </w:rPr>
              <w:t>210.6</w:t>
            </w:r>
          </w:p>
        </w:tc>
        <w:tc>
          <w:tcPr>
            <w:tcW w:w="400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right"/>
              <w:spacing w:after="0"/>
              <w:rPr>
                <w:sz w:val="20"/>
                <w:szCs w:val="20"/>
                <w:color w:val="auto"/>
              </w:rPr>
            </w:pPr>
            <w:r>
              <w:rPr>
                <w:rFonts w:ascii="Arial" w:cs="Arial" w:eastAsia="Arial" w:hAnsi="Arial"/>
                <w:sz w:val="18"/>
                <w:szCs w:val="18"/>
                <w:color w:val="auto"/>
              </w:rPr>
              <w:t>1,649.4</w:t>
            </w:r>
          </w:p>
        </w:tc>
        <w:tc>
          <w:tcPr>
            <w:tcW w:w="840" w:type="dxa"/>
            <w:vAlign w:val="bottom"/>
          </w:tcPr>
          <w:p>
            <w:pPr>
              <w:jc w:val="right"/>
              <w:spacing w:after="0"/>
              <w:rPr>
                <w:sz w:val="20"/>
                <w:szCs w:val="20"/>
                <w:color w:val="auto"/>
              </w:rPr>
            </w:pPr>
            <w:r>
              <w:rPr>
                <w:rFonts w:ascii="Arial" w:cs="Arial" w:eastAsia="Arial" w:hAnsi="Arial"/>
                <w:sz w:val="18"/>
                <w:szCs w:val="18"/>
                <w:color w:val="auto"/>
              </w:rPr>
              <w:t>1,593.2</w:t>
            </w: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5,053.1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4,840.8</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502.9</w:t>
            </w:r>
          </w:p>
        </w:tc>
        <w:tc>
          <w:tcPr>
            <w:tcW w:w="900" w:type="dxa"/>
            <w:vAlign w:val="bottom"/>
          </w:tcPr>
          <w:p>
            <w:pPr>
              <w:jc w:val="right"/>
              <w:spacing w:after="0"/>
              <w:rPr>
                <w:sz w:val="20"/>
                <w:szCs w:val="20"/>
                <w:color w:val="auto"/>
              </w:rPr>
            </w:pPr>
            <w:r>
              <w:rPr>
                <w:rFonts w:ascii="Arial" w:cs="Arial" w:eastAsia="Arial" w:hAnsi="Arial"/>
                <w:sz w:val="18"/>
                <w:szCs w:val="18"/>
                <w:color w:val="auto"/>
              </w:rPr>
              <w:t>480.9</w:t>
            </w:r>
          </w:p>
        </w:tc>
        <w:tc>
          <w:tcPr>
            <w:tcW w:w="400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509.5</w:t>
            </w:r>
          </w:p>
        </w:tc>
        <w:tc>
          <w:tcPr>
            <w:tcW w:w="840" w:type="dxa"/>
            <w:vAlign w:val="bottom"/>
          </w:tcPr>
          <w:p>
            <w:pPr>
              <w:jc w:val="right"/>
              <w:spacing w:after="0"/>
              <w:rPr>
                <w:sz w:val="20"/>
                <w:szCs w:val="20"/>
                <w:color w:val="auto"/>
              </w:rPr>
            </w:pPr>
            <w:r>
              <w:rPr>
                <w:rFonts w:ascii="Arial" w:cs="Arial" w:eastAsia="Arial" w:hAnsi="Arial"/>
                <w:sz w:val="18"/>
                <w:szCs w:val="18"/>
                <w:color w:val="auto"/>
              </w:rPr>
              <w:t>524.8</w:t>
            </w:r>
          </w:p>
        </w:tc>
      </w:tr>
      <w:tr>
        <w:trPr>
          <w:trHeight w:val="25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Defined Benefit Pension and Other Postretirement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148"/>
        </w:trPr>
        <w:tc>
          <w:tcPr>
            <w:tcW w:w="30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Benefit Plans</w:t>
            </w: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179.7</w:t>
            </w:r>
          </w:p>
        </w:tc>
        <w:tc>
          <w:tcPr>
            <w:tcW w:w="900" w:type="dxa"/>
            <w:vAlign w:val="bottom"/>
          </w:tcPr>
          <w:p>
            <w:pPr>
              <w:jc w:val="right"/>
              <w:spacing w:after="0"/>
              <w:rPr>
                <w:sz w:val="20"/>
                <w:szCs w:val="20"/>
                <w:color w:val="auto"/>
              </w:rPr>
            </w:pPr>
            <w:r>
              <w:rPr>
                <w:rFonts w:ascii="Arial" w:cs="Arial" w:eastAsia="Arial" w:hAnsi="Arial"/>
                <w:sz w:val="18"/>
                <w:szCs w:val="18"/>
                <w:color w:val="auto"/>
              </w:rPr>
              <w:t>206.8</w:t>
            </w:r>
          </w:p>
        </w:tc>
        <w:tc>
          <w:tcPr>
            <w:tcW w:w="400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278.1</w:t>
            </w:r>
          </w:p>
        </w:tc>
        <w:tc>
          <w:tcPr>
            <w:tcW w:w="840" w:type="dxa"/>
            <w:vAlign w:val="bottom"/>
          </w:tcPr>
          <w:p>
            <w:pPr>
              <w:jc w:val="right"/>
              <w:spacing w:after="0"/>
              <w:rPr>
                <w:sz w:val="20"/>
                <w:szCs w:val="20"/>
                <w:color w:val="auto"/>
              </w:rPr>
            </w:pPr>
            <w:r>
              <w:rPr>
                <w:rFonts w:ascii="Arial" w:cs="Arial" w:eastAsia="Arial" w:hAnsi="Arial"/>
                <w:sz w:val="18"/>
                <w:szCs w:val="18"/>
                <w:color w:val="auto"/>
              </w:rPr>
              <w:t>285.3</w:t>
            </w:r>
          </w:p>
        </w:tc>
      </w:tr>
      <w:tr>
        <w:trPr>
          <w:trHeight w:val="229"/>
        </w:trPr>
        <w:tc>
          <w:tcPr>
            <w:tcW w:w="30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w:t>
            </w:r>
          </w:p>
        </w:tc>
      </w:tr>
      <w:tr>
        <w:trPr>
          <w:trHeight w:val="22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$6,332.2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$6,084.6</w:t>
            </w:r>
          </w:p>
        </w:tc>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$6,084.6</w:t>
            </w: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 30 West Superior Street, Duluth, Minnesota 55802</w:t>
      </w:r>
    </w:p>
    <w:p>
      <w:pPr>
        <w:sectPr>
          <w:pgSz w:w="11900" w:h="16838" w:orient="portrait"/>
          <w:cols w:equalWidth="0" w:num="1">
            <w:col w:w="11240"/>
          </w:cols>
          <w:pgMar w:left="320" w:top="931"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3740" w:type="dxa"/>
            <w:vAlign w:val="bottom"/>
            <w:gridSpan w:val="2"/>
          </w:tcPr>
          <w:p>
            <w:pPr>
              <w:jc w:val="right"/>
              <w:ind w:right="1130"/>
              <w:spacing w:after="0"/>
              <w:rPr>
                <w:sz w:val="20"/>
                <w:szCs w:val="20"/>
                <w:color w:val="auto"/>
              </w:rPr>
            </w:pPr>
            <w:r>
              <w:rPr>
                <w:rFonts w:ascii="Arial" w:cs="Arial" w:eastAsia="Arial" w:hAnsi="Arial"/>
                <w:sz w:val="18"/>
                <w:szCs w:val="18"/>
                <w:b w:val="1"/>
                <w:bCs w:val="1"/>
                <w:color w:val="auto"/>
              </w:rPr>
              <w:t>Quarter Ended</w:t>
            </w:r>
          </w:p>
        </w:tc>
        <w:tc>
          <w:tcPr>
            <w:tcW w:w="276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19"/>
                <w:szCs w:val="19"/>
                <w:color w:val="auto"/>
              </w:rPr>
            </w:pPr>
          </w:p>
        </w:tc>
      </w:tr>
      <w:tr>
        <w:trPr>
          <w:trHeight w:val="23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248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89"/>
              </w:rPr>
              <w:t>2020</w:t>
            </w:r>
          </w:p>
        </w:tc>
        <w:tc>
          <w:tcPr>
            <w:tcW w:w="180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Operations</w:t>
            </w:r>
          </w:p>
        </w:tc>
        <w:tc>
          <w:tcPr>
            <w:tcW w:w="24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$32.9</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$42.4</w:t>
            </w:r>
          </w:p>
        </w:tc>
        <w:tc>
          <w:tcPr>
            <w:tcW w:w="1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$99.4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ALLETE Clean Energy</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(0.8)</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11.7</w:t>
            </w: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4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(4.5)</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(2.8)</w:t>
            </w:r>
          </w:p>
        </w:tc>
        <w:tc>
          <w:tcPr>
            <w:tcW w:w="18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47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Income Attributable to ALLETE</w:t>
            </w:r>
          </w:p>
        </w:tc>
        <w:tc>
          <w:tcPr>
            <w:tcW w:w="2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$27.6</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$40.7</w:t>
            </w:r>
          </w:p>
        </w:tc>
        <w:tc>
          <w:tcPr>
            <w:tcW w:w="1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$107.3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r>
      <w:tr>
        <w:trPr>
          <w:trHeight w:val="223"/>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4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$0.53</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$0.78</w:t>
            </w:r>
          </w:p>
        </w:tc>
        <w:tc>
          <w:tcPr>
            <w:tcW w:w="18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$2.05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601"/>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Statistical Data</w:t>
            </w: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740" w:type="dxa"/>
            <w:vAlign w:val="bottom"/>
          </w:tcPr>
          <w:p>
            <w:pPr>
              <w:ind w:left="560"/>
              <w:spacing w:after="0"/>
              <w:rPr>
                <w:sz w:val="20"/>
                <w:szCs w:val="20"/>
                <w:color w:val="auto"/>
              </w:rPr>
            </w:pPr>
            <w:r>
              <w:rPr>
                <w:rFonts w:ascii="Arial" w:cs="Arial" w:eastAsia="Arial" w:hAnsi="Arial"/>
                <w:sz w:val="18"/>
                <w:szCs w:val="18"/>
                <w:color w:val="auto"/>
              </w:rPr>
              <w:t>High</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$73.10</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$61.32</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$73.10</w:t>
            </w:r>
          </w:p>
        </w:tc>
        <w:tc>
          <w:tcPr>
            <w:tcW w:w="960" w:type="dxa"/>
            <w:vAlign w:val="bottom"/>
          </w:tcPr>
          <w:p>
            <w:pPr>
              <w:jc w:val="right"/>
              <w:spacing w:after="0"/>
              <w:rPr>
                <w:sz w:val="20"/>
                <w:szCs w:val="20"/>
                <w:color w:val="auto"/>
              </w:rPr>
            </w:pPr>
            <w:r>
              <w:rPr>
                <w:rFonts w:ascii="Arial" w:cs="Arial" w:eastAsia="Arial" w:hAnsi="Arial"/>
                <w:sz w:val="18"/>
                <w:szCs w:val="18"/>
                <w:color w:val="auto"/>
              </w:rPr>
              <w:t>$84.71</w:t>
            </w:r>
          </w:p>
        </w:tc>
      </w:tr>
      <w:tr>
        <w:trPr>
          <w:trHeight w:val="230"/>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Low</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$58.89</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$49.91</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$58.89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r>
      <w:tr>
        <w:trPr>
          <w:trHeight w:val="229"/>
        </w:trPr>
        <w:tc>
          <w:tcPr>
            <w:tcW w:w="4740" w:type="dxa"/>
            <w:vAlign w:val="bottom"/>
          </w:tcPr>
          <w:p>
            <w:pPr>
              <w:ind w:left="560"/>
              <w:spacing w:after="0"/>
              <w:rPr>
                <w:sz w:val="20"/>
                <w:szCs w:val="20"/>
                <w:color w:val="auto"/>
              </w:rPr>
            </w:pPr>
            <w:r>
              <w:rPr>
                <w:rFonts w:ascii="Arial" w:cs="Arial" w:eastAsia="Arial" w:hAnsi="Arial"/>
                <w:sz w:val="18"/>
                <w:szCs w:val="18"/>
                <w:color w:val="auto"/>
              </w:rPr>
              <w:t>Close</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$59.52</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$51.74</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$59.52</w:t>
            </w:r>
          </w:p>
        </w:tc>
        <w:tc>
          <w:tcPr>
            <w:tcW w:w="960" w:type="dxa"/>
            <w:vAlign w:val="bottom"/>
          </w:tcPr>
          <w:p>
            <w:pPr>
              <w:jc w:val="right"/>
              <w:spacing w:after="0"/>
              <w:rPr>
                <w:sz w:val="20"/>
                <w:szCs w:val="20"/>
                <w:color w:val="auto"/>
              </w:rPr>
            </w:pPr>
            <w:r>
              <w:rPr>
                <w:rFonts w:ascii="Arial" w:cs="Arial" w:eastAsia="Arial" w:hAnsi="Arial"/>
                <w:sz w:val="18"/>
                <w:szCs w:val="18"/>
                <w:color w:val="auto"/>
              </w:rPr>
              <w:t>$51.74</w:t>
            </w:r>
          </w:p>
        </w:tc>
      </w:tr>
      <w:tr>
        <w:trPr>
          <w:trHeight w:val="229"/>
        </w:trPr>
        <w:tc>
          <w:tcPr>
            <w:tcW w:w="4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Book Value</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$44.51</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$43.89</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$44.51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r>
      <w:tr>
        <w:trPr>
          <w:trHeight w:val="588"/>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w:t>
            </w:r>
          </w:p>
        </w:tc>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tcPr>
          <w:p>
            <w:pPr>
              <w:ind w:left="560"/>
              <w:spacing w:after="0"/>
              <w:rPr>
                <w:sz w:val="20"/>
                <w:szCs w:val="20"/>
                <w:color w:val="auto"/>
              </w:rPr>
            </w:pPr>
            <w:r>
              <w:rPr>
                <w:rFonts w:ascii="Arial" w:cs="Arial" w:eastAsia="Arial" w:hAnsi="Arial"/>
                <w:sz w:val="18"/>
                <w:szCs w:val="18"/>
                <w:color w:val="auto"/>
              </w:rPr>
              <w:t>Retail and Municipal</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268</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268</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846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474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360</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345</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1,018</w:t>
            </w:r>
          </w:p>
        </w:tc>
        <w:tc>
          <w:tcPr>
            <w:tcW w:w="960" w:type="dxa"/>
            <w:vAlign w:val="bottom"/>
          </w:tcPr>
          <w:p>
            <w:pPr>
              <w:jc w:val="right"/>
              <w:spacing w:after="0"/>
              <w:rPr>
                <w:sz w:val="20"/>
                <w:szCs w:val="20"/>
                <w:color w:val="auto"/>
              </w:rPr>
            </w:pPr>
            <w:r>
              <w:rPr>
                <w:rFonts w:ascii="Arial" w:cs="Arial" w:eastAsia="Arial" w:hAnsi="Arial"/>
                <w:sz w:val="18"/>
                <w:szCs w:val="18"/>
                <w:color w:val="auto"/>
              </w:rPr>
              <w:t>983</w:t>
            </w:r>
          </w:p>
        </w:tc>
      </w:tr>
      <w:tr>
        <w:trPr>
          <w:trHeight w:val="230"/>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1,778</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1,410</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5,351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r>
      <w:tr>
        <w:trPr>
          <w:trHeight w:val="229"/>
        </w:trPr>
        <w:tc>
          <w:tcPr>
            <w:tcW w:w="47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147</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147</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445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2,553</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2,170</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7,660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r>
      <w:tr>
        <w:trPr>
          <w:trHeight w:val="230"/>
        </w:trPr>
        <w:tc>
          <w:tcPr>
            <w:tcW w:w="4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 Power Suppliers</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1,253</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967</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3,695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r>
      <w:tr>
        <w:trPr>
          <w:trHeight w:val="223"/>
        </w:trPr>
        <w:tc>
          <w:tcPr>
            <w:tcW w:w="4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Utility Kilowatt-hours Sold</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3,806</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3,137</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11,355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w:t>
            </w:r>
          </w:p>
        </w:tc>
      </w:tr>
      <w:tr>
        <w:trPr>
          <w:trHeight w:val="56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 Revenue</w:t>
            </w:r>
          </w:p>
        </w:tc>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tcPr>
          <w:p>
            <w:pPr>
              <w:ind w:left="560"/>
              <w:spacing w:after="0"/>
              <w:rPr>
                <w:sz w:val="20"/>
                <w:szCs w:val="20"/>
                <w:color w:val="auto"/>
              </w:rPr>
            </w:pPr>
            <w:r>
              <w:rPr>
                <w:rFonts w:ascii="Arial" w:cs="Arial" w:eastAsia="Arial" w:hAnsi="Arial"/>
                <w:sz w:val="18"/>
                <w:szCs w:val="18"/>
                <w:color w:val="auto"/>
              </w:rPr>
              <w:t>Retail and Municipal Electric Revenue</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$34.8</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$32.2</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$107.3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474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43.2</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36.5</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119.6</w:t>
            </w:r>
          </w:p>
        </w:tc>
        <w:tc>
          <w:tcPr>
            <w:tcW w:w="96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29"/>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139.2</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109.3</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405.7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r>
      <w:tr>
        <w:trPr>
          <w:trHeight w:val="230"/>
        </w:trPr>
        <w:tc>
          <w:tcPr>
            <w:tcW w:w="47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14.4</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11.2</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38.5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23"/>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 Electric Revenue</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231.6</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189.2</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671.1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r>
      <w:tr>
        <w:trPr>
          <w:trHeight w:val="230"/>
        </w:trPr>
        <w:tc>
          <w:tcPr>
            <w:tcW w:w="4740" w:type="dxa"/>
            <w:vAlign w:val="bottom"/>
          </w:tcPr>
          <w:p>
            <w:pPr>
              <w:ind w:left="560"/>
              <w:spacing w:after="0"/>
              <w:rPr>
                <w:sz w:val="20"/>
                <w:szCs w:val="20"/>
                <w:color w:val="auto"/>
              </w:rPr>
            </w:pPr>
            <w:r>
              <w:rPr>
                <w:rFonts w:ascii="Arial" w:cs="Arial" w:eastAsia="Arial" w:hAnsi="Arial"/>
                <w:sz w:val="18"/>
                <w:szCs w:val="18"/>
                <w:color w:val="auto"/>
              </w:rPr>
              <w:t>Other Power Suppliers</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41.2</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30.9</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116.9</w:t>
            </w:r>
          </w:p>
        </w:tc>
        <w:tc>
          <w:tcPr>
            <w:tcW w:w="96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30"/>
        </w:trPr>
        <w:tc>
          <w:tcPr>
            <w:tcW w:w="47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 (Includes Water and Gas Revenue)</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32.0</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35.0</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100.2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23"/>
        </w:trPr>
        <w:tc>
          <w:tcPr>
            <w:tcW w:w="4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Regulated Utility Revenue</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$304.8</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$255.1</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$888.2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w:t>
            </w:r>
          </w:p>
        </w:tc>
      </w:tr>
    </w:tbl>
    <w:p>
      <w:pPr>
        <w:spacing w:after="0" w:line="289" w:lineRule="exact"/>
        <w:rPr>
          <w:sz w:val="20"/>
          <w:szCs w:val="20"/>
          <w:color w:val="auto"/>
        </w:rPr>
      </w:pPr>
    </w:p>
    <w:p>
      <w:pPr>
        <w:ind w:right="160"/>
        <w:spacing w:after="0" w:line="348"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 30 West Superior Street, Duluth, Minnesota 55802</w:t>
      </w:r>
    </w:p>
    <w:sectPr>
      <w:pgSz w:w="11900" w:h="16838" w:orient="portrait"/>
      <w:cols w:equalWidth="0" w:num="1">
        <w:col w:w="11240"/>
      </w:cols>
      <w:pgMar w:left="32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4"/>
      <w:numFmt w:val="bullet"/>
      <w:start w:val="1"/>
    </w:lvl>
  </w:abstractNum>
  <w:abstractNum w:abstractNumId="13">
    <w:nsid w:val="62BBD95A"/>
    <w:multiLevelType w:val="hybridMultilevel"/>
    <w:lvl w:ilvl="0">
      <w:lvlJc w:val="left"/>
      <w:lvlText w:val="%1"/>
      <w:numFmt w:val="decimal"/>
      <w:start w:val="32"/>
    </w:lvl>
  </w:abstractNum>
  <w:abstractNum w:abstractNumId="14">
    <w:nsid w:val="436C6125"/>
    <w:multiLevelType w:val="hybridMultilevel"/>
    <w:lvl w:ilvl="0">
      <w:lvlJc w:val="left"/>
      <w:lvlText w:val="%1"/>
      <w:numFmt w:val="decimal"/>
      <w:start w:val="99"/>
    </w:lvl>
  </w:abstractNum>
  <w:abstractNum w:abstractNumId="15">
    <w:nsid w:val="628C895D"/>
    <w:multiLevelType w:val="hybridMultilevel"/>
    <w:lvl w:ilvl="0">
      <w:lvlJc w:val="left"/>
      <w:lvlText w:val="(%1)"/>
      <w:numFmt w:val="upperLetter"/>
      <w:start w:val="9"/>
    </w:lvl>
  </w:abstractNum>
  <w:abstractNum w:abstractNumId="16">
    <w:nsid w:val="333AB105"/>
    <w:multiLevelType w:val="hybridMultilevel"/>
    <w:lvl w:ilvl="0">
      <w:lvlJc w:val="left"/>
      <w:lvlText w:val="(%1)"/>
      <w:numFmt w:val="upperLetter"/>
      <w:start w:val="35"/>
    </w:lvl>
    <w:lvl w:ilvl="1">
      <w:lvlJc w:val="left"/>
      <w:lvlText w:val="%2"/>
      <w:numFmt w:val="upperLetter"/>
      <w:start w:val="1"/>
    </w:lvl>
  </w:abstractNum>
  <w:abstractNum w:abstractNumId="17">
    <w:nsid w:val="721DA317"/>
    <w:multiLevelType w:val="hybridMultilevel"/>
    <w:lvl w:ilvl="0">
      <w:lvlJc w:val="left"/>
      <w:lvlText w:val="(%1)"/>
      <w:numFmt w:val="upperLetter"/>
      <w:start w:val="61"/>
    </w:lvl>
    <w:lvl w:ilvl="1">
      <w:lvlJc w:val="left"/>
      <w:lvlText w:val="%2"/>
      <w:numFmt w:val="upperLetter"/>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lowerLetter"/>
      <w:start w:val="35"/>
    </w:lvl>
  </w:abstractNum>
  <w:abstractNum w:abstractNumId="20">
    <w:nsid w:val="6763845E"/>
    <w:multiLevelType w:val="hybridMultilevel"/>
    <w:lvl w:ilvl="0">
      <w:lvlJc w:val="left"/>
      <w:lvlText w:val="(%1)"/>
      <w:numFmt w:val="upperLetter"/>
      <w:start w:val="22"/>
    </w:lvl>
  </w:abstractNum>
  <w:abstractNum w:abstractNumId="21">
    <w:nsid w:val="75A2A8D4"/>
    <w:multiLevelType w:val="hybridMultilevel"/>
    <w:lvl w:ilvl="0">
      <w:lvlJc w:val="left"/>
      <w:lvlText w:val="%1"/>
      <w:numFmt w:val="upperLetter"/>
      <w:start w:val="1"/>
    </w:lvl>
    <w:lvl w:ilvl="1">
      <w:lvlJc w:val="left"/>
      <w:lvlText w:val="(%2)"/>
      <w:numFmt w:val="upperLetter"/>
      <w:start w:val="1"/>
    </w:lvl>
  </w:abstractNum>
  <w:abstractNum w:abstractNumId="22">
    <w:nsid w:val="8EDBDAB"/>
    <w:multiLevelType w:val="hybridMultilevel"/>
    <w:lvl w:ilvl="0">
      <w:lvlJc w:val="left"/>
      <w:lvlText w:val="(%1)"/>
      <w:numFmt w:val="upperLetter"/>
      <w:start w:val="2"/>
    </w:lvl>
    <w:lvl w:ilvl="1">
      <w:lvlJc w:val="left"/>
      <w:lvlText w:val="%2"/>
      <w:numFmt w:val="upp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2021-11-04T05:24:44Z</dcterms:created>
  <dcterms:modified xsi:type="dcterms:W3CDTF">2021-11-04T05:24:44Z</dcterms:modified>
</cp:coreProperties>
</file>