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5" w:lineRule="exact"/>
        <w:rPr>
          <w:sz w:val="24"/>
          <w:szCs w:val="24"/>
          <w:color w:val="auto"/>
        </w:rPr>
      </w:pPr>
    </w:p>
    <w:p>
      <w:pPr>
        <w:ind w:left="780" w:right="5700" w:hanging="515"/>
        <w:spacing w:after="0" w:line="546" w:lineRule="auto"/>
        <w:tabs>
          <w:tab w:leader="none" w:pos="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Annual Report Pursuant to Section 13 or 15(d) of the Securities Exchange Act of 1934 For the fiscal year ended </w:t>
      </w:r>
      <w:r>
        <w:rPr>
          <w:rFonts w:ascii="Arial" w:cs="Arial" w:eastAsia="Arial" w:hAnsi="Arial"/>
          <w:sz w:val="14"/>
          <w:szCs w:val="14"/>
          <w:b w:val="1"/>
          <w:bCs w:val="1"/>
          <w:color w:val="auto"/>
        </w:rPr>
        <w:t>December 31, 2008</w:t>
      </w:r>
    </w:p>
    <w:p>
      <w:pPr>
        <w:sectPr>
          <w:pgSz w:w="11900" w:h="16838" w:orient="portrait"/>
          <w:cols w:equalWidth="0" w:num="1">
            <w:col w:w="11460"/>
          </w:cols>
          <w:pgMar w:left="220" w:top="215" w:right="219" w:bottom="1440" w:gutter="0" w:footer="0" w:header="0"/>
        </w:sectPr>
      </w:pPr>
    </w:p>
    <w:p>
      <w:pPr>
        <w:ind w:left="260"/>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340" w:space="440"/>
            <w:col w:w="10680"/>
          </w:cols>
          <w:pgMar w:left="220" w:top="215" w:right="219" w:bottom="1440" w:gutter="0" w:footer="0" w:header="0"/>
          <w:type w:val="continuous"/>
        </w:sectPr>
      </w:pPr>
    </w:p>
    <w:p>
      <w:pPr>
        <w:spacing w:after="0" w:line="5" w:lineRule="exact"/>
        <w:rPr>
          <w:sz w:val="24"/>
          <w:szCs w:val="24"/>
          <w:color w:val="auto"/>
        </w:rPr>
      </w:pPr>
    </w:p>
    <w:p>
      <w:pPr>
        <w:ind w:left="780"/>
        <w:spacing w:after="0"/>
        <w:rPr>
          <w:sz w:val="20"/>
          <w:szCs w:val="20"/>
          <w:color w:val="auto"/>
        </w:rPr>
      </w:pPr>
      <w:r>
        <w:rPr>
          <w:rFonts w:ascii="Arial" w:cs="Arial" w:eastAsia="Arial" w:hAnsi="Arial"/>
          <w:sz w:val="14"/>
          <w:szCs w:val="14"/>
          <w:color w:val="auto"/>
        </w:rPr>
        <w:t>For the transition period from ______________ to ______________</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Commission File No. </w:t>
      </w:r>
      <w:r>
        <w:rPr>
          <w:rFonts w:ascii="Arial" w:cs="Arial" w:eastAsia="Arial" w:hAnsi="Arial"/>
          <w:sz w:val="14"/>
          <w:szCs w:val="14"/>
          <w:b w:val="1"/>
          <w:bCs w:val="1"/>
          <w:color w:val="auto"/>
        </w:rPr>
        <w:t>1-3548</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ALLETE,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460"/>
          </w:cols>
          <w:pgMar w:left="220" w:top="215" w:right="219" w:bottom="1440" w:gutter="0" w:footer="0" w:header="0"/>
          <w:type w:val="continuous"/>
        </w:sectPr>
      </w:pPr>
    </w:p>
    <w:p>
      <w:pPr>
        <w:spacing w:after="0" w:line="215" w:lineRule="exact"/>
        <w:rPr>
          <w:sz w:val="24"/>
          <w:szCs w:val="24"/>
          <w:color w:val="auto"/>
        </w:rPr>
      </w:pPr>
    </w:p>
    <w:p>
      <w:pPr>
        <w:jc w:val="center"/>
        <w:ind w:right="1300"/>
        <w:spacing w:after="0"/>
        <w:rPr>
          <w:sz w:val="20"/>
          <w:szCs w:val="20"/>
          <w:color w:val="auto"/>
        </w:rPr>
      </w:pPr>
      <w:r>
        <w:rPr>
          <w:rFonts w:ascii="Arial" w:cs="Arial" w:eastAsia="Arial" w:hAnsi="Arial"/>
          <w:sz w:val="14"/>
          <w:szCs w:val="14"/>
          <w:b w:val="1"/>
          <w:bCs w:val="1"/>
          <w:color w:val="auto"/>
        </w:rPr>
        <w:t>Minnesota</w:t>
      </w:r>
    </w:p>
    <w:p>
      <w:pPr>
        <w:spacing w:after="0" w:line="25" w:lineRule="exact"/>
        <w:rPr>
          <w:sz w:val="24"/>
          <w:szCs w:val="24"/>
          <w:color w:val="auto"/>
        </w:rPr>
      </w:pPr>
    </w:p>
    <w:p>
      <w:pPr>
        <w:jc w:val="center"/>
        <w:ind w:right="13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760"/>
        <w:spacing w:after="0"/>
        <w:rPr>
          <w:sz w:val="20"/>
          <w:szCs w:val="20"/>
          <w:color w:val="auto"/>
        </w:rPr>
      </w:pPr>
      <w:r>
        <w:rPr>
          <w:rFonts w:ascii="Arial" w:cs="Arial" w:eastAsia="Arial" w:hAnsi="Arial"/>
          <w:sz w:val="14"/>
          <w:szCs w:val="14"/>
          <w:b w:val="1"/>
          <w:bCs w:val="1"/>
          <w:color w:val="auto"/>
        </w:rPr>
        <w:t>41-0418150</w:t>
      </w:r>
    </w:p>
    <w:p>
      <w:pPr>
        <w:spacing w:after="0" w:line="25" w:lineRule="exact"/>
        <w:rPr>
          <w:sz w:val="24"/>
          <w:szCs w:val="24"/>
          <w:color w:val="auto"/>
        </w:rPr>
      </w:pPr>
    </w:p>
    <w:p>
      <w:pPr>
        <w:jc w:val="center"/>
        <w:ind w:right="1760"/>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900" w:space="720"/>
            <w:col w:w="3840"/>
          </w:cols>
          <w:pgMar w:left="220" w:top="215" w:right="219" w:bottom="1440" w:gutter="0" w:footer="0" w:header="0"/>
          <w:type w:val="continuous"/>
        </w:sectPr>
      </w:pPr>
    </w:p>
    <w:p>
      <w:pPr>
        <w:spacing w:after="0" w:line="197" w:lineRule="exact"/>
        <w:rPr>
          <w:sz w:val="24"/>
          <w:szCs w:val="24"/>
          <w:color w:val="auto"/>
        </w:rPr>
      </w:pPr>
    </w:p>
    <w:p>
      <w:pPr>
        <w:ind w:left="4020"/>
        <w:spacing w:after="0"/>
        <w:rPr>
          <w:sz w:val="20"/>
          <w:szCs w:val="20"/>
          <w:color w:val="auto"/>
        </w:rPr>
      </w:pPr>
      <w:r>
        <w:rPr>
          <w:rFonts w:ascii="Arial" w:cs="Arial" w:eastAsia="Arial" w:hAnsi="Arial"/>
          <w:sz w:val="13"/>
          <w:szCs w:val="13"/>
          <w:b w:val="1"/>
          <w:bCs w:val="1"/>
          <w:color w:val="auto"/>
        </w:rPr>
        <w:t>30 West Superior Street, Duluth, Minnesota 55802-2093</w:t>
      </w:r>
    </w:p>
    <w:p>
      <w:pPr>
        <w:spacing w:after="0" w:line="36" w:lineRule="exact"/>
        <w:rPr>
          <w:sz w:val="24"/>
          <w:szCs w:val="24"/>
          <w:color w:val="auto"/>
        </w:rPr>
      </w:pPr>
    </w:p>
    <w:p>
      <w:pPr>
        <w:ind w:left="4040"/>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23"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(218) 279-5000</w:t>
      </w:r>
    </w:p>
    <w:p>
      <w:pPr>
        <w:spacing w:after="0" w:line="11"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(Registrant’s telephone number, including area code)</w:t>
      </w:r>
    </w:p>
    <w:p>
      <w:pPr>
        <w:spacing w:after="0" w:line="11" w:lineRule="exact"/>
        <w:rPr>
          <w:sz w:val="24"/>
          <w:szCs w:val="24"/>
          <w:color w:val="auto"/>
        </w:rPr>
      </w:pPr>
    </w:p>
    <w:p>
      <w:pPr>
        <w:ind w:left="39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460"/>
          </w:cols>
          <w:pgMar w:left="220" w:top="215" w:right="219" w:bottom="1440" w:gutter="0" w:footer="0" w:header="0"/>
          <w:type w:val="continuous"/>
        </w:sectPr>
      </w:pPr>
    </w:p>
    <w:p>
      <w:pPr>
        <w:spacing w:after="0" w:line="391" w:lineRule="exact"/>
        <w:rPr>
          <w:sz w:val="24"/>
          <w:szCs w:val="24"/>
          <w:color w:val="auto"/>
        </w:rPr>
      </w:pPr>
    </w:p>
    <w:p>
      <w:pPr>
        <w:jc w:val="center"/>
        <w:ind w:right="1420"/>
        <w:spacing w:after="0"/>
        <w:rPr>
          <w:sz w:val="20"/>
          <w:szCs w:val="20"/>
          <w:color w:val="auto"/>
        </w:rPr>
      </w:pPr>
      <w:r>
        <w:rPr>
          <w:rFonts w:ascii="Arial" w:cs="Arial" w:eastAsia="Arial" w:hAnsi="Arial"/>
          <w:sz w:val="14"/>
          <w:szCs w:val="14"/>
          <w:color w:val="auto"/>
        </w:rPr>
        <w:t>Title of Each Class</w:t>
      </w:r>
    </w:p>
    <w:p>
      <w:pPr>
        <w:spacing w:after="0" w:line="21" w:lineRule="exact"/>
        <w:rPr>
          <w:sz w:val="24"/>
          <w:szCs w:val="24"/>
          <w:color w:val="auto"/>
        </w:rPr>
      </w:pPr>
    </w:p>
    <w:p>
      <w:pPr>
        <w:jc w:val="center"/>
        <w:ind w:right="1420"/>
        <w:spacing w:after="0"/>
        <w:rPr>
          <w:sz w:val="20"/>
          <w:szCs w:val="20"/>
          <w:color w:val="auto"/>
        </w:rPr>
      </w:pPr>
      <w:r>
        <w:rPr>
          <w:rFonts w:ascii="Arial" w:cs="Arial" w:eastAsia="Arial" w:hAnsi="Arial"/>
          <w:sz w:val="13"/>
          <w:szCs w:val="13"/>
          <w:color w:val="auto"/>
        </w:rPr>
        <w:t>Common Stock, without par value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880"/>
        <w:spacing w:after="0"/>
        <w:rPr>
          <w:sz w:val="20"/>
          <w:szCs w:val="20"/>
          <w:color w:val="auto"/>
        </w:rPr>
      </w:pPr>
      <w:r>
        <w:rPr>
          <w:rFonts w:ascii="Arial" w:cs="Arial" w:eastAsia="Arial" w:hAnsi="Arial"/>
          <w:sz w:val="12"/>
          <w:szCs w:val="12"/>
          <w:color w:val="auto"/>
        </w:rPr>
        <w:t>Name of Each Stock Exchange</w:t>
      </w:r>
    </w:p>
    <w:p>
      <w:pPr>
        <w:spacing w:after="0" w:line="44" w:lineRule="exact"/>
        <w:rPr>
          <w:sz w:val="24"/>
          <w:szCs w:val="24"/>
          <w:color w:val="auto"/>
        </w:rPr>
      </w:pPr>
    </w:p>
    <w:p>
      <w:pPr>
        <w:jc w:val="center"/>
        <w:ind w:right="1880"/>
        <w:spacing w:after="0"/>
        <w:rPr>
          <w:sz w:val="20"/>
          <w:szCs w:val="20"/>
          <w:color w:val="auto"/>
        </w:rPr>
      </w:pPr>
      <w:r>
        <w:rPr>
          <w:rFonts w:ascii="Arial" w:cs="Arial" w:eastAsia="Arial" w:hAnsi="Arial"/>
          <w:sz w:val="14"/>
          <w:szCs w:val="14"/>
          <w:color w:val="auto"/>
        </w:rPr>
        <w:t>on Which Registered</w:t>
      </w:r>
    </w:p>
    <w:p>
      <w:pPr>
        <w:spacing w:after="0" w:line="11" w:lineRule="exact"/>
        <w:rPr>
          <w:sz w:val="24"/>
          <w:szCs w:val="24"/>
          <w:color w:val="auto"/>
        </w:rPr>
      </w:pPr>
    </w:p>
    <w:p>
      <w:pPr>
        <w:jc w:val="center"/>
        <w:ind w:right="1880"/>
        <w:spacing w:after="0"/>
        <w:rPr>
          <w:sz w:val="20"/>
          <w:szCs w:val="20"/>
          <w:color w:val="auto"/>
        </w:rPr>
      </w:pPr>
      <w:r>
        <w:rPr>
          <w:rFonts w:ascii="Arial" w:cs="Arial" w:eastAsia="Arial" w:hAnsi="Arial"/>
          <w:sz w:val="14"/>
          <w:szCs w:val="14"/>
          <w:color w:val="auto"/>
        </w:rPr>
        <w:t>New York Stock Exchange</w:t>
      </w:r>
    </w:p>
    <w:p>
      <w:pPr>
        <w:spacing w:after="0" w:line="192" w:lineRule="exact"/>
        <w:rPr>
          <w:sz w:val="24"/>
          <w:szCs w:val="24"/>
          <w:color w:val="auto"/>
        </w:rPr>
      </w:pPr>
    </w:p>
    <w:p>
      <w:pPr>
        <w:sectPr>
          <w:pgSz w:w="11900" w:h="16838" w:orient="portrait"/>
          <w:cols w:equalWidth="0" w:num="2">
            <w:col w:w="7080" w:space="720"/>
            <w:col w:w="3660"/>
          </w:cols>
          <w:pgMar w:left="220" w:top="215" w:right="21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1460"/>
          </w:cols>
          <w:pgMar w:left="220" w:top="215" w:right="219" w:bottom="1440" w:gutter="0" w:footer="0" w:header="0"/>
          <w:type w:val="continuous"/>
        </w:sectPr>
      </w:pP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1" w:lineRule="exact"/>
        <w:rPr>
          <w:sz w:val="24"/>
          <w:szCs w:val="24"/>
          <w:color w:val="auto"/>
        </w:rPr>
      </w:pPr>
    </w:p>
    <w:p>
      <w:pPr>
        <w:spacing w:after="0"/>
        <w:tabs>
          <w:tab w:leader="none" w:pos="1120" w:val="left"/>
        </w:tabs>
        <w:rPr>
          <w:sz w:val="20"/>
          <w:szCs w:val="20"/>
          <w:color w:val="auto"/>
        </w:rPr>
      </w:pPr>
      <w:r>
        <w:rPr>
          <w:rFonts w:ascii="Arial" w:cs="Arial" w:eastAsia="Arial" w:hAnsi="Arial"/>
          <w:sz w:val="14"/>
          <w:szCs w:val="14"/>
          <w:color w:val="auto"/>
        </w:rPr>
        <w:t>Yes R</w:t>
      </w:r>
      <w:r>
        <w:rPr>
          <w:sz w:val="20"/>
          <w:szCs w:val="20"/>
          <w:color w:val="auto"/>
        </w:rPr>
        <w:tab/>
      </w:r>
      <w:r>
        <w:rPr>
          <w:rFonts w:ascii="Arial" w:cs="Arial" w:eastAsia="Arial" w:hAnsi="Arial"/>
          <w:sz w:val="13"/>
          <w:szCs w:val="13"/>
          <w:color w:val="auto"/>
        </w:rPr>
        <w:t>No £</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1" w:lineRule="exact"/>
        <w:rPr>
          <w:sz w:val="24"/>
          <w:szCs w:val="24"/>
          <w:color w:val="auto"/>
        </w:rPr>
      </w:pPr>
    </w:p>
    <w:p>
      <w:pPr>
        <w:spacing w:after="0"/>
        <w:tabs>
          <w:tab w:leader="none" w:pos="1100" w:val="left"/>
        </w:tabs>
        <w:rPr>
          <w:sz w:val="20"/>
          <w:szCs w:val="20"/>
          <w:color w:val="auto"/>
        </w:rPr>
      </w:pPr>
      <w:r>
        <w:rPr>
          <w:rFonts w:ascii="Arial" w:cs="Arial" w:eastAsia="Arial" w:hAnsi="Arial"/>
          <w:sz w:val="14"/>
          <w:szCs w:val="14"/>
          <w:color w:val="auto"/>
        </w:rPr>
        <w:t>Yes £</w:t>
      </w:r>
      <w:r>
        <w:rPr>
          <w:sz w:val="20"/>
          <w:szCs w:val="20"/>
          <w:color w:val="auto"/>
        </w:rPr>
        <w:tab/>
      </w:r>
      <w:r>
        <w:rPr>
          <w:rFonts w:ascii="Arial" w:cs="Arial" w:eastAsia="Arial" w:hAnsi="Arial"/>
          <w:sz w:val="13"/>
          <w:szCs w:val="13"/>
          <w:color w:val="auto"/>
        </w:rPr>
        <w:t>No R</w:t>
      </w:r>
    </w:p>
    <w:p>
      <w:pPr>
        <w:spacing w:after="0" w:line="196" w:lineRule="exact"/>
        <w:rPr>
          <w:sz w:val="24"/>
          <w:szCs w:val="24"/>
          <w:color w:val="auto"/>
        </w:rPr>
      </w:pPr>
    </w:p>
    <w:p>
      <w:pPr>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1120" w:val="left"/>
        </w:tabs>
        <w:rPr>
          <w:sz w:val="20"/>
          <w:szCs w:val="20"/>
          <w:color w:val="auto"/>
        </w:rPr>
      </w:pPr>
      <w:r>
        <w:rPr>
          <w:rFonts w:ascii="Arial" w:cs="Arial" w:eastAsia="Arial" w:hAnsi="Arial"/>
          <w:sz w:val="14"/>
          <w:szCs w:val="14"/>
          <w:color w:val="auto"/>
        </w:rPr>
        <w:t>Yes R</w:t>
      </w:r>
      <w:r>
        <w:rPr>
          <w:sz w:val="20"/>
          <w:szCs w:val="20"/>
          <w:color w:val="auto"/>
        </w:rPr>
        <w:tab/>
      </w:r>
      <w:r>
        <w:rPr>
          <w:rFonts w:ascii="Arial" w:cs="Arial" w:eastAsia="Arial" w:hAnsi="Arial"/>
          <w:sz w:val="13"/>
          <w:szCs w:val="13"/>
          <w:color w:val="auto"/>
        </w:rPr>
        <w:t>No £</w:t>
      </w:r>
    </w:p>
    <w:p>
      <w:pPr>
        <w:spacing w:after="0" w:line="196" w:lineRule="exact"/>
        <w:rPr>
          <w:sz w:val="24"/>
          <w:szCs w:val="24"/>
          <w:color w:val="auto"/>
        </w:rPr>
      </w:pPr>
    </w:p>
    <w:p>
      <w:pPr>
        <w:spacing w:after="0" w:line="288"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R</w:t>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(as defined in Rule 12b-2 of the Act).</w:t>
      </w:r>
    </w:p>
    <w:p>
      <w:pPr>
        <w:spacing w:after="0" w:line="33" w:lineRule="exact"/>
        <w:rPr>
          <w:sz w:val="24"/>
          <w:szCs w:val="24"/>
          <w:color w:val="auto"/>
        </w:rPr>
      </w:pPr>
    </w:p>
    <w:p>
      <w:pPr>
        <w:spacing w:after="0"/>
        <w:tabs>
          <w:tab w:leader="none" w:pos="3120" w:val="left"/>
          <w:tab w:leader="none" w:pos="5420" w:val="left"/>
          <w:tab w:leader="none" w:pos="8160" w:val="left"/>
        </w:tabs>
        <w:rPr>
          <w:sz w:val="20"/>
          <w:szCs w:val="20"/>
          <w:color w:val="auto"/>
        </w:rPr>
      </w:pPr>
      <w:r>
        <w:rPr>
          <w:rFonts w:ascii="Arial" w:cs="Arial" w:eastAsia="Arial" w:hAnsi="Arial"/>
          <w:sz w:val="14"/>
          <w:szCs w:val="14"/>
          <w:color w:val="auto"/>
        </w:rPr>
        <w:t>Large Accelerated Filer R</w:t>
      </w:r>
      <w:r>
        <w:rPr>
          <w:sz w:val="20"/>
          <w:szCs w:val="20"/>
          <w:color w:val="auto"/>
        </w:rPr>
        <w:tab/>
      </w:r>
      <w:r>
        <w:rPr>
          <w:rFonts w:ascii="Arial" w:cs="Arial" w:eastAsia="Arial" w:hAnsi="Arial"/>
          <w:sz w:val="14"/>
          <w:szCs w:val="14"/>
          <w:color w:val="auto"/>
        </w:rPr>
        <w:t>Accelerated Filer £</w:t>
      </w:r>
      <w:r>
        <w:rPr>
          <w:sz w:val="20"/>
          <w:szCs w:val="20"/>
          <w:color w:val="auto"/>
        </w:rPr>
        <w:tab/>
      </w:r>
      <w:r>
        <w:rPr>
          <w:rFonts w:ascii="Arial" w:cs="Arial" w:eastAsia="Arial" w:hAnsi="Arial"/>
          <w:sz w:val="14"/>
          <w:szCs w:val="14"/>
          <w:color w:val="auto"/>
        </w:rPr>
        <w:t>Non-Accelerated Filer £</w:t>
      </w:r>
      <w:r>
        <w:rPr>
          <w:sz w:val="20"/>
          <w:szCs w:val="20"/>
          <w:color w:val="auto"/>
        </w:rPr>
        <w:tab/>
      </w:r>
      <w:r>
        <w:rPr>
          <w:rFonts w:ascii="Arial" w:cs="Arial" w:eastAsia="Arial" w:hAnsi="Arial"/>
          <w:sz w:val="13"/>
          <w:szCs w:val="13"/>
          <w:color w:val="auto"/>
        </w:rPr>
        <w:t>Smaller Reporting Company £</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5" w:lineRule="exact"/>
        <w:rPr>
          <w:sz w:val="24"/>
          <w:szCs w:val="24"/>
          <w:color w:val="auto"/>
        </w:rPr>
      </w:pPr>
    </w:p>
    <w:p>
      <w:pPr>
        <w:spacing w:after="0"/>
        <w:tabs>
          <w:tab w:leader="none" w:pos="1100" w:val="left"/>
        </w:tabs>
        <w:rPr>
          <w:sz w:val="20"/>
          <w:szCs w:val="20"/>
          <w:color w:val="auto"/>
        </w:rPr>
      </w:pPr>
      <w:r>
        <w:rPr>
          <w:rFonts w:ascii="Arial" w:cs="Arial" w:eastAsia="Arial" w:hAnsi="Arial"/>
          <w:sz w:val="14"/>
          <w:szCs w:val="14"/>
          <w:color w:val="auto"/>
        </w:rPr>
        <w:t>Yes £</w:t>
      </w:r>
      <w:r>
        <w:rPr>
          <w:sz w:val="20"/>
          <w:szCs w:val="20"/>
          <w:color w:val="auto"/>
        </w:rPr>
        <w:tab/>
      </w:r>
      <w:r>
        <w:rPr>
          <w:rFonts w:ascii="Arial" w:cs="Arial" w:eastAsia="Arial" w:hAnsi="Arial"/>
          <w:sz w:val="13"/>
          <w:szCs w:val="13"/>
          <w:color w:val="auto"/>
        </w:rPr>
        <w:t>No R</w:t>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voting stock held by nonaffiliates on June 30, 2008, was $1,293,602,666.</w:t>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 2009, there were 32,624,876 shares of ALLETE Common Stock, without par value, outstanding.</w:t>
      </w:r>
    </w:p>
    <w:p>
      <w:pPr>
        <w:spacing w:after="0" w:line="201" w:lineRule="exact"/>
        <w:rPr>
          <w:sz w:val="24"/>
          <w:szCs w:val="24"/>
          <w:color w:val="auto"/>
        </w:rPr>
      </w:pPr>
    </w:p>
    <w:p>
      <w:pPr>
        <w:ind w:left="45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for the 2009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728027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21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Index</w:t>
            </w:r>
          </w:p>
        </w:tc>
        <w:tc>
          <w:tcPr>
            <w:tcW w:w="8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Definitions</w:t>
            </w:r>
          </w:p>
        </w:tc>
        <w:tc>
          <w:tcPr>
            <w:tcW w:w="824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9100" w:type="dxa"/>
            <w:vAlign w:val="bottom"/>
            <w:gridSpan w:val="2"/>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Safe Harbor Statement Under the Private Securities Litigation Reform Act of 1995</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Part I</w:t>
            </w:r>
          </w:p>
        </w:tc>
        <w:tc>
          <w:tcPr>
            <w:tcW w:w="82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w:t>
            </w:r>
          </w:p>
        </w:tc>
        <w:tc>
          <w:tcPr>
            <w:tcW w:w="8240" w:type="dxa"/>
            <w:vAlign w:val="bottom"/>
          </w:tcPr>
          <w:p>
            <w:pPr>
              <w:ind w:left="200"/>
              <w:spacing w:after="0"/>
              <w:rPr>
                <w:sz w:val="20"/>
                <w:szCs w:val="20"/>
                <w:color w:val="auto"/>
              </w:rPr>
            </w:pPr>
            <w:r>
              <w:rPr>
                <w:rFonts w:ascii="Arial" w:cs="Arial" w:eastAsia="Arial" w:hAnsi="Arial"/>
                <w:sz w:val="14"/>
                <w:szCs w:val="14"/>
                <w:color w:val="auto"/>
              </w:rPr>
              <w:t>Business</w:t>
            </w:r>
          </w:p>
        </w:tc>
        <w:tc>
          <w:tcPr>
            <w:tcW w:w="234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Regulated Operations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880"/>
              <w:spacing w:after="0"/>
              <w:rPr>
                <w:sz w:val="20"/>
                <w:szCs w:val="20"/>
                <w:color w:val="auto"/>
              </w:rPr>
            </w:pPr>
            <w:r>
              <w:rPr>
                <w:rFonts w:ascii="Arial" w:cs="Arial" w:eastAsia="Arial" w:hAnsi="Arial"/>
                <w:sz w:val="14"/>
                <w:szCs w:val="14"/>
                <w:color w:val="auto"/>
              </w:rPr>
              <w:t>Electric Sales / Customers</w:t>
            </w:r>
          </w:p>
        </w:tc>
        <w:tc>
          <w:tcPr>
            <w:tcW w:w="234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Power Supply</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880"/>
              <w:spacing w:after="0"/>
              <w:rPr>
                <w:sz w:val="20"/>
                <w:szCs w:val="20"/>
                <w:color w:val="auto"/>
              </w:rPr>
            </w:pPr>
            <w:r>
              <w:rPr>
                <w:rFonts w:ascii="Arial" w:cs="Arial" w:eastAsia="Arial" w:hAnsi="Arial"/>
                <w:sz w:val="14"/>
                <w:szCs w:val="14"/>
                <w:color w:val="auto"/>
              </w:rPr>
              <w:t>Transmission and Distribution</w:t>
            </w:r>
          </w:p>
        </w:tc>
        <w:tc>
          <w:tcPr>
            <w:tcW w:w="23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Investment in ATC</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880"/>
              <w:spacing w:after="0"/>
              <w:rPr>
                <w:sz w:val="20"/>
                <w:szCs w:val="20"/>
                <w:color w:val="auto"/>
              </w:rPr>
            </w:pPr>
            <w:r>
              <w:rPr>
                <w:rFonts w:ascii="Arial" w:cs="Arial" w:eastAsia="Arial" w:hAnsi="Arial"/>
                <w:sz w:val="14"/>
                <w:szCs w:val="14"/>
                <w:color w:val="auto"/>
              </w:rPr>
              <w:t>Properties</w:t>
            </w:r>
          </w:p>
        </w:tc>
        <w:tc>
          <w:tcPr>
            <w:tcW w:w="23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Regulatory Matters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880"/>
              <w:spacing w:after="0"/>
              <w:rPr>
                <w:sz w:val="20"/>
                <w:szCs w:val="20"/>
                <w:color w:val="auto"/>
              </w:rPr>
            </w:pPr>
            <w:r>
              <w:rPr>
                <w:rFonts w:ascii="Arial" w:cs="Arial" w:eastAsia="Arial" w:hAnsi="Arial"/>
                <w:sz w:val="14"/>
                <w:szCs w:val="14"/>
                <w:color w:val="auto"/>
              </w:rPr>
              <w:t>Regional Organizations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Minnesota Legislation</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880"/>
              <w:spacing w:after="0"/>
              <w:rPr>
                <w:sz w:val="20"/>
                <w:szCs w:val="20"/>
                <w:color w:val="auto"/>
              </w:rPr>
            </w:pPr>
            <w:r>
              <w:rPr>
                <w:rFonts w:ascii="Arial" w:cs="Arial" w:eastAsia="Arial" w:hAnsi="Arial"/>
                <w:sz w:val="14"/>
                <w:szCs w:val="14"/>
                <w:color w:val="auto"/>
              </w:rPr>
              <w:t>Competition</w:t>
            </w:r>
          </w:p>
        </w:tc>
        <w:tc>
          <w:tcPr>
            <w:tcW w:w="234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Franchises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Investments and Other</w:t>
            </w:r>
          </w:p>
        </w:tc>
        <w:tc>
          <w:tcPr>
            <w:tcW w:w="234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BNI Coal</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880"/>
              <w:spacing w:after="0"/>
              <w:rPr>
                <w:sz w:val="20"/>
                <w:szCs w:val="20"/>
                <w:color w:val="auto"/>
              </w:rPr>
            </w:pPr>
            <w:r>
              <w:rPr>
                <w:rFonts w:ascii="Arial" w:cs="Arial" w:eastAsia="Arial" w:hAnsi="Arial"/>
                <w:sz w:val="14"/>
                <w:szCs w:val="14"/>
                <w:color w:val="auto"/>
              </w:rPr>
              <w:t>ALLETE Properties</w:t>
            </w:r>
          </w:p>
        </w:tc>
        <w:tc>
          <w:tcPr>
            <w:tcW w:w="234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Non-Rate Base Generation</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880"/>
              <w:spacing w:after="0"/>
              <w:rPr>
                <w:sz w:val="20"/>
                <w:szCs w:val="20"/>
                <w:color w:val="auto"/>
              </w:rPr>
            </w:pPr>
            <w:r>
              <w:rPr>
                <w:rFonts w:ascii="Arial" w:cs="Arial" w:eastAsia="Arial" w:hAnsi="Arial"/>
                <w:sz w:val="14"/>
                <w:szCs w:val="14"/>
                <w:color w:val="auto"/>
              </w:rPr>
              <w:t>Other</w:t>
            </w:r>
          </w:p>
        </w:tc>
        <w:tc>
          <w:tcPr>
            <w:tcW w:w="234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Environmental Matters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Employees</w:t>
            </w:r>
          </w:p>
        </w:tc>
        <w:tc>
          <w:tcPr>
            <w:tcW w:w="234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Availability of Information</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Executive Officers of the Registrant</w:t>
            </w:r>
          </w:p>
        </w:tc>
        <w:tc>
          <w:tcPr>
            <w:tcW w:w="234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1A.</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Risk Factors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1B.</w:t>
            </w:r>
          </w:p>
        </w:tc>
        <w:tc>
          <w:tcPr>
            <w:tcW w:w="8240" w:type="dxa"/>
            <w:vAlign w:val="bottom"/>
          </w:tcPr>
          <w:p>
            <w:pPr>
              <w:ind w:left="200"/>
              <w:spacing w:after="0"/>
              <w:rPr>
                <w:sz w:val="20"/>
                <w:szCs w:val="20"/>
                <w:color w:val="auto"/>
              </w:rPr>
            </w:pPr>
            <w:r>
              <w:rPr>
                <w:rFonts w:ascii="Arial" w:cs="Arial" w:eastAsia="Arial" w:hAnsi="Arial"/>
                <w:sz w:val="14"/>
                <w:szCs w:val="14"/>
                <w:color w:val="auto"/>
              </w:rPr>
              <w:t>Unresolved Staff Comments</w:t>
            </w:r>
          </w:p>
        </w:tc>
        <w:tc>
          <w:tcPr>
            <w:tcW w:w="234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2.</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Properties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3.</w:t>
            </w:r>
          </w:p>
        </w:tc>
        <w:tc>
          <w:tcPr>
            <w:tcW w:w="8240" w:type="dxa"/>
            <w:vAlign w:val="bottom"/>
          </w:tcPr>
          <w:p>
            <w:pPr>
              <w:ind w:left="200"/>
              <w:spacing w:after="0"/>
              <w:rPr>
                <w:sz w:val="20"/>
                <w:szCs w:val="20"/>
                <w:color w:val="auto"/>
              </w:rPr>
            </w:pPr>
            <w:r>
              <w:rPr>
                <w:rFonts w:ascii="Arial" w:cs="Arial" w:eastAsia="Arial" w:hAnsi="Arial"/>
                <w:sz w:val="14"/>
                <w:szCs w:val="14"/>
                <w:color w:val="auto"/>
              </w:rPr>
              <w:t>Legal Proceedings</w:t>
            </w:r>
          </w:p>
        </w:tc>
        <w:tc>
          <w:tcPr>
            <w:tcW w:w="234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4.</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Submission of Matters to a Vote of Security Holders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Part II</w:t>
            </w:r>
          </w:p>
        </w:tc>
        <w:tc>
          <w:tcPr>
            <w:tcW w:w="82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5.</w:t>
            </w:r>
          </w:p>
        </w:tc>
        <w:tc>
          <w:tcPr>
            <w:tcW w:w="8240" w:type="dxa"/>
            <w:vAlign w:val="bottom"/>
          </w:tcPr>
          <w:p>
            <w:pPr>
              <w:ind w:left="200"/>
              <w:spacing w:after="0"/>
              <w:rPr>
                <w:sz w:val="20"/>
                <w:szCs w:val="20"/>
                <w:color w:val="auto"/>
              </w:rPr>
            </w:pPr>
            <w:r>
              <w:rPr>
                <w:rFonts w:ascii="Arial" w:cs="Arial" w:eastAsia="Arial" w:hAnsi="Arial"/>
                <w:sz w:val="14"/>
                <w:szCs w:val="14"/>
                <w:color w:val="auto"/>
              </w:rPr>
              <w:t>Market for Registrant’s Common Equity, Related Stockholder Matters and</w:t>
            </w: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40" w:type="dxa"/>
            <w:vAlign w:val="bottom"/>
          </w:tcPr>
          <w:p>
            <w:pPr>
              <w:ind w:left="460"/>
              <w:spacing w:after="0"/>
              <w:rPr>
                <w:sz w:val="20"/>
                <w:szCs w:val="20"/>
                <w:color w:val="auto"/>
              </w:rPr>
            </w:pPr>
            <w:r>
              <w:rPr>
                <w:rFonts w:ascii="Arial" w:cs="Arial" w:eastAsia="Arial" w:hAnsi="Arial"/>
                <w:sz w:val="14"/>
                <w:szCs w:val="14"/>
                <w:color w:val="auto"/>
              </w:rPr>
              <w:t>Issuer Purchases of Equity Securities</w:t>
            </w:r>
          </w:p>
        </w:tc>
        <w:tc>
          <w:tcPr>
            <w:tcW w:w="236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6.</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Selected Financial Data</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7.</w:t>
            </w:r>
          </w:p>
        </w:tc>
        <w:tc>
          <w:tcPr>
            <w:tcW w:w="8240" w:type="dxa"/>
            <w:vAlign w:val="bottom"/>
          </w:tcPr>
          <w:p>
            <w:pPr>
              <w:ind w:left="20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Overview</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2008 Compared to 2007</w:t>
            </w:r>
          </w:p>
        </w:tc>
        <w:tc>
          <w:tcPr>
            <w:tcW w:w="234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2007 Compared to 2006</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Critical Accounting Estimates</w:t>
            </w:r>
          </w:p>
        </w:tc>
        <w:tc>
          <w:tcPr>
            <w:tcW w:w="234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Outlook</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Liquidity and Capital Resources</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Requirements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Environmental and Other Matters</w:t>
            </w:r>
          </w:p>
        </w:tc>
        <w:tc>
          <w:tcPr>
            <w:tcW w:w="234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Market Risk</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ind w:left="200"/>
              <w:spacing w:after="0"/>
              <w:rPr>
                <w:sz w:val="20"/>
                <w:szCs w:val="20"/>
                <w:color w:val="auto"/>
              </w:rPr>
            </w:pPr>
            <w:r>
              <w:rPr>
                <w:rFonts w:ascii="Arial" w:cs="Arial" w:eastAsia="Arial" w:hAnsi="Arial"/>
                <w:sz w:val="14"/>
                <w:szCs w:val="14"/>
                <w:color w:val="auto"/>
              </w:rPr>
              <w:t>New Accounting Standards</w:t>
            </w:r>
          </w:p>
        </w:tc>
        <w:tc>
          <w:tcPr>
            <w:tcW w:w="234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7A.</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Quantitative and Qualitative Disclosures about Market Risk</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8.</w:t>
            </w:r>
          </w:p>
        </w:tc>
        <w:tc>
          <w:tcPr>
            <w:tcW w:w="8240" w:type="dxa"/>
            <w:vAlign w:val="bottom"/>
          </w:tcPr>
          <w:p>
            <w:pPr>
              <w:ind w:left="200"/>
              <w:spacing w:after="0"/>
              <w:rPr>
                <w:sz w:val="20"/>
                <w:szCs w:val="20"/>
                <w:color w:val="auto"/>
              </w:rPr>
            </w:pPr>
            <w:r>
              <w:rPr>
                <w:rFonts w:ascii="Arial" w:cs="Arial" w:eastAsia="Arial" w:hAnsi="Arial"/>
                <w:sz w:val="14"/>
                <w:szCs w:val="14"/>
                <w:color w:val="auto"/>
              </w:rPr>
              <w:t>Financial Statements and Supplementary Data</w:t>
            </w:r>
          </w:p>
        </w:tc>
        <w:tc>
          <w:tcPr>
            <w:tcW w:w="234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9.</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9A.</w:t>
            </w:r>
          </w:p>
        </w:tc>
        <w:tc>
          <w:tcPr>
            <w:tcW w:w="8240" w:type="dxa"/>
            <w:vAlign w:val="bottom"/>
          </w:tcPr>
          <w:p>
            <w:pPr>
              <w:ind w:left="200"/>
              <w:spacing w:after="0"/>
              <w:rPr>
                <w:sz w:val="20"/>
                <w:szCs w:val="20"/>
                <w:color w:val="auto"/>
              </w:rPr>
            </w:pPr>
            <w:r>
              <w:rPr>
                <w:rFonts w:ascii="Arial" w:cs="Arial" w:eastAsia="Arial" w:hAnsi="Arial"/>
                <w:sz w:val="14"/>
                <w:szCs w:val="14"/>
                <w:color w:val="auto"/>
              </w:rPr>
              <w:t>Controls and Procedures</w:t>
            </w:r>
          </w:p>
        </w:tc>
        <w:tc>
          <w:tcPr>
            <w:tcW w:w="234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9B.</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Information</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Part III</w:t>
            </w:r>
          </w:p>
        </w:tc>
        <w:tc>
          <w:tcPr>
            <w:tcW w:w="82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10.</w:t>
            </w:r>
          </w:p>
        </w:tc>
        <w:tc>
          <w:tcPr>
            <w:tcW w:w="8240" w:type="dxa"/>
            <w:vAlign w:val="bottom"/>
          </w:tcPr>
          <w:p>
            <w:pPr>
              <w:ind w:left="200"/>
              <w:spacing w:after="0"/>
              <w:rPr>
                <w:sz w:val="20"/>
                <w:szCs w:val="20"/>
                <w:color w:val="auto"/>
              </w:rPr>
            </w:pPr>
            <w:r>
              <w:rPr>
                <w:rFonts w:ascii="Arial" w:cs="Arial" w:eastAsia="Arial" w:hAnsi="Arial"/>
                <w:sz w:val="14"/>
                <w:szCs w:val="14"/>
                <w:color w:val="auto"/>
              </w:rPr>
              <w:t>Directors, Executive Officers and Corporate Governance</w:t>
            </w:r>
          </w:p>
        </w:tc>
        <w:tc>
          <w:tcPr>
            <w:tcW w:w="2340" w:type="dxa"/>
            <w:vAlign w:val="bottom"/>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11.</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Executive Compensation</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12.</w:t>
            </w:r>
          </w:p>
        </w:tc>
        <w:tc>
          <w:tcPr>
            <w:tcW w:w="8240" w:type="dxa"/>
            <w:vAlign w:val="bottom"/>
          </w:tcPr>
          <w:p>
            <w:pPr>
              <w:ind w:left="20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2340" w:type="dxa"/>
            <w:vAlign w:val="bottom"/>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13.</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14.</w:t>
            </w:r>
          </w:p>
        </w:tc>
        <w:tc>
          <w:tcPr>
            <w:tcW w:w="8240" w:type="dxa"/>
            <w:vAlign w:val="bottom"/>
          </w:tcPr>
          <w:p>
            <w:pPr>
              <w:ind w:left="200"/>
              <w:spacing w:after="0"/>
              <w:rPr>
                <w:sz w:val="20"/>
                <w:szCs w:val="20"/>
                <w:color w:val="auto"/>
              </w:rPr>
            </w:pPr>
            <w:r>
              <w:rPr>
                <w:rFonts w:ascii="Arial" w:cs="Arial" w:eastAsia="Arial" w:hAnsi="Arial"/>
                <w:sz w:val="14"/>
                <w:szCs w:val="14"/>
                <w:color w:val="auto"/>
              </w:rPr>
              <w:t>Principal Accounting Fees and Services</w:t>
            </w:r>
          </w:p>
        </w:tc>
        <w:tc>
          <w:tcPr>
            <w:tcW w:w="2340" w:type="dxa"/>
            <w:vAlign w:val="bottom"/>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8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Item 15.</w:t>
            </w:r>
          </w:p>
        </w:tc>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Exhibits and Financial Statement Schedules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Signatures</w:t>
            </w:r>
          </w:p>
        </w:tc>
        <w:tc>
          <w:tcPr>
            <w:tcW w:w="824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9100" w:type="dxa"/>
            <w:vAlign w:val="bottom"/>
            <w:gridSpan w:val="2"/>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40" w:type="dxa"/>
            <w:vAlign w:val="bottom"/>
          </w:tcPr>
          <w:p>
            <w:pPr>
              <w:ind w:left="4240"/>
              <w:spacing w:after="0"/>
              <w:rPr>
                <w:sz w:val="20"/>
                <w:szCs w:val="20"/>
                <w:color w:val="auto"/>
              </w:rPr>
            </w:pPr>
            <w:r>
              <w:rPr>
                <w:rFonts w:ascii="Arial" w:cs="Arial" w:eastAsia="Arial" w:hAnsi="Arial"/>
                <w:sz w:val="11"/>
                <w:szCs w:val="11"/>
                <w:color w:val="auto"/>
              </w:rPr>
              <w:t>ALLETE 2008 Form 10-K</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gridSpan w:val="2"/>
          </w:tcPr>
          <w:p>
            <w:pPr>
              <w:spacing w:after="0"/>
              <w:rPr>
                <w:sz w:val="20"/>
                <w:szCs w:val="20"/>
                <w:color w:val="auto"/>
              </w:rPr>
            </w:pPr>
            <w:r>
              <w:rPr>
                <w:rFonts w:ascii="Arial" w:cs="Arial" w:eastAsia="Arial" w:hAnsi="Arial"/>
                <w:sz w:val="14"/>
                <w:szCs w:val="14"/>
                <w:color w:val="auto"/>
              </w:rPr>
              <w:t>2</w:t>
            </w:r>
          </w:p>
        </w:tc>
        <w:tc>
          <w:tcPr>
            <w:tcW w:w="8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24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40" w:type="dxa"/>
            <w:vAlign w:val="bottom"/>
          </w:tcPr>
          <w:p>
            <w:pPr>
              <w:ind w:left="3180"/>
              <w:spacing w:after="0"/>
              <w:rPr>
                <w:sz w:val="20"/>
                <w:szCs w:val="20"/>
                <w:color w:val="auto"/>
              </w:rPr>
            </w:pPr>
            <w:r>
              <w:rPr>
                <w:rFonts w:ascii="Arial" w:cs="Arial" w:eastAsia="Arial" w:hAnsi="Arial"/>
                <w:sz w:val="14"/>
                <w:szCs w:val="14"/>
                <w:b w:val="1"/>
                <w:bCs w:val="1"/>
                <w:color w:val="auto"/>
              </w:rPr>
              <w:t>Definitions</w:t>
            </w:r>
          </w:p>
        </w:tc>
        <w:tc>
          <w:tcPr>
            <w:tcW w:w="0" w:type="dxa"/>
            <w:vAlign w:val="bottom"/>
          </w:tcPr>
          <w:p>
            <w:pPr>
              <w:spacing w:after="0"/>
              <w:rPr>
                <w:sz w:val="1"/>
                <w:szCs w:val="1"/>
                <w:color w:val="auto"/>
              </w:rPr>
            </w:pPr>
          </w:p>
        </w:tc>
      </w:tr>
      <w:tr>
        <w:trPr>
          <w:trHeight w:val="366"/>
        </w:trPr>
        <w:tc>
          <w:tcPr>
            <w:tcW w:w="11460" w:type="dxa"/>
            <w:vAlign w:val="bottom"/>
            <w:gridSpan w:val="3"/>
          </w:tcPr>
          <w:p>
            <w:pPr>
              <w:spacing w:after="0"/>
              <w:rPr>
                <w:sz w:val="20"/>
                <w:szCs w:val="20"/>
                <w:color w:val="auto"/>
              </w:rPr>
            </w:pPr>
            <w:r>
              <w:rPr>
                <w:rFonts w:ascii="Arial" w:cs="Arial" w:eastAsia="Arial" w:hAnsi="Arial"/>
                <w:sz w:val="14"/>
                <w:szCs w:val="14"/>
                <w:color w:val="auto"/>
              </w:rPr>
              <w:t>The following abbreviations or acronyms are used in the text. References in this report to “we,” “us” and “our” are to ALLETE, Inc. and its subsidiaries, collectively.</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Abbreviation or Acronym</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AICPA</w:t>
            </w:r>
          </w:p>
        </w:tc>
        <w:tc>
          <w:tcPr>
            <w:tcW w:w="9240" w:type="dxa"/>
            <w:vAlign w:val="bottom"/>
          </w:tcPr>
          <w:p>
            <w:pPr>
              <w:ind w:left="600"/>
              <w:spacing w:after="0"/>
              <w:rPr>
                <w:sz w:val="20"/>
                <w:szCs w:val="20"/>
                <w:color w:val="auto"/>
              </w:rPr>
            </w:pPr>
            <w:r>
              <w:rPr>
                <w:rFonts w:ascii="Arial" w:cs="Arial" w:eastAsia="Arial" w:hAnsi="Arial"/>
                <w:sz w:val="14"/>
                <w:szCs w:val="14"/>
                <w:color w:val="auto"/>
              </w:rPr>
              <w:t>American Institute of Certified Public Accountants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ALLETE</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ALLETE, Inc.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ALLETE Properties</w:t>
            </w:r>
          </w:p>
        </w:tc>
        <w:tc>
          <w:tcPr>
            <w:tcW w:w="9240" w:type="dxa"/>
            <w:vAlign w:val="bottom"/>
          </w:tcPr>
          <w:p>
            <w:pPr>
              <w:ind w:left="600"/>
              <w:spacing w:after="0"/>
              <w:rPr>
                <w:sz w:val="20"/>
                <w:szCs w:val="20"/>
                <w:color w:val="auto"/>
              </w:rPr>
            </w:pPr>
            <w:r>
              <w:rPr>
                <w:rFonts w:ascii="Arial" w:cs="Arial" w:eastAsia="Arial" w:hAnsi="Arial"/>
                <w:sz w:val="14"/>
                <w:szCs w:val="14"/>
                <w:color w:val="auto"/>
              </w:rPr>
              <w:t>ALLETE Properties, LLC and its subsidiaries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AFUDC</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7"/>
              </w:rPr>
              <w:t>Allowance for Funds Used During Construction - the cost of both debt and equity funds used to finance utility plant additions during construction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periods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AREA</w:t>
            </w:r>
          </w:p>
        </w:tc>
        <w:tc>
          <w:tcPr>
            <w:tcW w:w="9240" w:type="dxa"/>
            <w:vAlign w:val="bottom"/>
          </w:tcPr>
          <w:p>
            <w:pPr>
              <w:ind w:left="600"/>
              <w:spacing w:after="0"/>
              <w:rPr>
                <w:sz w:val="20"/>
                <w:szCs w:val="20"/>
                <w:color w:val="auto"/>
              </w:rPr>
            </w:pPr>
            <w:r>
              <w:rPr>
                <w:rFonts w:ascii="Arial" w:cs="Arial" w:eastAsia="Arial" w:hAnsi="Arial"/>
                <w:sz w:val="14"/>
                <w:szCs w:val="14"/>
                <w:color w:val="auto"/>
              </w:rPr>
              <w:t>Arrowhead Regional Emission Abatement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ATC</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American Transmission Company LLC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BNI Coal</w:t>
            </w:r>
          </w:p>
        </w:tc>
        <w:tc>
          <w:tcPr>
            <w:tcW w:w="9240" w:type="dxa"/>
            <w:vAlign w:val="bottom"/>
          </w:tcPr>
          <w:p>
            <w:pPr>
              <w:ind w:left="600"/>
              <w:spacing w:after="0"/>
              <w:rPr>
                <w:sz w:val="20"/>
                <w:szCs w:val="20"/>
                <w:color w:val="auto"/>
              </w:rPr>
            </w:pPr>
            <w:r>
              <w:rPr>
                <w:rFonts w:ascii="Arial" w:cs="Arial" w:eastAsia="Arial" w:hAnsi="Arial"/>
                <w:sz w:val="14"/>
                <w:szCs w:val="14"/>
                <w:color w:val="auto"/>
              </w:rPr>
              <w:t>BNI Coal, Ltd.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Boswell</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Boswell Energy Center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Company</w:t>
            </w:r>
          </w:p>
        </w:tc>
        <w:tc>
          <w:tcPr>
            <w:tcW w:w="9240" w:type="dxa"/>
            <w:vAlign w:val="bottom"/>
          </w:tcPr>
          <w:p>
            <w:pPr>
              <w:ind w:left="600"/>
              <w:spacing w:after="0"/>
              <w:rPr>
                <w:sz w:val="20"/>
                <w:szCs w:val="20"/>
                <w:color w:val="auto"/>
              </w:rPr>
            </w:pPr>
            <w:r>
              <w:rPr>
                <w:rFonts w:ascii="Arial" w:cs="Arial" w:eastAsia="Arial" w:hAnsi="Arial"/>
                <w:sz w:val="14"/>
                <w:szCs w:val="14"/>
                <w:color w:val="auto"/>
              </w:rPr>
              <w:t>ALLETE, Inc. and its subsidiaries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DRI</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Development of Regional Impact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EITF</w:t>
            </w:r>
          </w:p>
        </w:tc>
        <w:tc>
          <w:tcPr>
            <w:tcW w:w="9240" w:type="dxa"/>
            <w:vAlign w:val="bottom"/>
          </w:tcPr>
          <w:p>
            <w:pPr>
              <w:ind w:left="600"/>
              <w:spacing w:after="0"/>
              <w:rPr>
                <w:sz w:val="20"/>
                <w:szCs w:val="20"/>
                <w:color w:val="auto"/>
              </w:rPr>
            </w:pPr>
            <w:r>
              <w:rPr>
                <w:rFonts w:ascii="Arial" w:cs="Arial" w:eastAsia="Arial" w:hAnsi="Arial"/>
                <w:sz w:val="14"/>
                <w:szCs w:val="14"/>
                <w:color w:val="auto"/>
              </w:rPr>
              <w:t>Emerging Issues Task Force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EPA</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Environmental Protection Agency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ESOP</w:t>
            </w:r>
          </w:p>
        </w:tc>
        <w:tc>
          <w:tcPr>
            <w:tcW w:w="9240" w:type="dxa"/>
            <w:vAlign w:val="bottom"/>
          </w:tcPr>
          <w:p>
            <w:pPr>
              <w:ind w:left="600"/>
              <w:spacing w:after="0"/>
              <w:rPr>
                <w:sz w:val="20"/>
                <w:szCs w:val="20"/>
                <w:color w:val="auto"/>
              </w:rPr>
            </w:pPr>
            <w:r>
              <w:rPr>
                <w:rFonts w:ascii="Arial" w:cs="Arial" w:eastAsia="Arial" w:hAnsi="Arial"/>
                <w:sz w:val="14"/>
                <w:szCs w:val="14"/>
                <w:color w:val="auto"/>
              </w:rPr>
              <w:t>Employee Stock Ownership Plan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FASB</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Financial Accounting Standards Board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FERC</w:t>
            </w:r>
          </w:p>
        </w:tc>
        <w:tc>
          <w:tcPr>
            <w:tcW w:w="9240" w:type="dxa"/>
            <w:vAlign w:val="bottom"/>
          </w:tcPr>
          <w:p>
            <w:pPr>
              <w:ind w:left="600"/>
              <w:spacing w:after="0"/>
              <w:rPr>
                <w:sz w:val="20"/>
                <w:szCs w:val="20"/>
                <w:color w:val="auto"/>
              </w:rPr>
            </w:pPr>
            <w:r>
              <w:rPr>
                <w:rFonts w:ascii="Arial" w:cs="Arial" w:eastAsia="Arial" w:hAnsi="Arial"/>
                <w:sz w:val="14"/>
                <w:szCs w:val="14"/>
                <w:color w:val="auto"/>
              </w:rPr>
              <w:t>Federal Energy Regulatory Commission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Form 8-K</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ALLETE Current Report on Form 8-K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Form 10-K</w:t>
            </w:r>
          </w:p>
        </w:tc>
        <w:tc>
          <w:tcPr>
            <w:tcW w:w="9240" w:type="dxa"/>
            <w:vAlign w:val="bottom"/>
          </w:tcPr>
          <w:p>
            <w:pPr>
              <w:ind w:left="600"/>
              <w:spacing w:after="0"/>
              <w:rPr>
                <w:sz w:val="20"/>
                <w:szCs w:val="20"/>
                <w:color w:val="auto"/>
              </w:rPr>
            </w:pPr>
            <w:r>
              <w:rPr>
                <w:rFonts w:ascii="Arial" w:cs="Arial" w:eastAsia="Arial" w:hAnsi="Arial"/>
                <w:sz w:val="14"/>
                <w:szCs w:val="14"/>
                <w:color w:val="auto"/>
              </w:rPr>
              <w:t>ALLETE Annual Report on Form 10-K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Form 10-Q</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ALLETE Quarterly Report on Form 10-Q</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FSP</w:t>
            </w:r>
          </w:p>
        </w:tc>
        <w:tc>
          <w:tcPr>
            <w:tcW w:w="9240" w:type="dxa"/>
            <w:vAlign w:val="bottom"/>
          </w:tcPr>
          <w:p>
            <w:pPr>
              <w:ind w:left="600"/>
              <w:spacing w:after="0"/>
              <w:rPr>
                <w:sz w:val="20"/>
                <w:szCs w:val="20"/>
                <w:color w:val="auto"/>
              </w:rPr>
            </w:pPr>
            <w:r>
              <w:rPr>
                <w:rFonts w:ascii="Arial" w:cs="Arial" w:eastAsia="Arial" w:hAnsi="Arial"/>
                <w:sz w:val="14"/>
                <w:szCs w:val="14"/>
                <w:color w:val="auto"/>
              </w:rPr>
              <w:t>Financial Accounting Standards Board Staff Position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GAAP</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Accounting Principles Generally Accepted in the United States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GHG</w:t>
            </w:r>
          </w:p>
        </w:tc>
        <w:tc>
          <w:tcPr>
            <w:tcW w:w="9240" w:type="dxa"/>
            <w:vAlign w:val="bottom"/>
          </w:tcPr>
          <w:p>
            <w:pPr>
              <w:ind w:left="600"/>
              <w:spacing w:after="0"/>
              <w:rPr>
                <w:sz w:val="20"/>
                <w:szCs w:val="20"/>
                <w:color w:val="auto"/>
              </w:rPr>
            </w:pPr>
            <w:r>
              <w:rPr>
                <w:rFonts w:ascii="Arial" w:cs="Arial" w:eastAsia="Arial" w:hAnsi="Arial"/>
                <w:sz w:val="14"/>
                <w:szCs w:val="14"/>
                <w:color w:val="auto"/>
              </w:rPr>
              <w:t>Greenhouse Gas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Heating Degree Days</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Measure of the extent to which the average daily temperature is below 65 degrees Fahrenheit, increasing demand for heating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Invest Direct</w:t>
            </w:r>
          </w:p>
        </w:tc>
        <w:tc>
          <w:tcPr>
            <w:tcW w:w="9240" w:type="dxa"/>
            <w:vAlign w:val="bottom"/>
          </w:tcPr>
          <w:p>
            <w:pPr>
              <w:ind w:left="600"/>
              <w:spacing w:after="0"/>
              <w:rPr>
                <w:sz w:val="20"/>
                <w:szCs w:val="20"/>
                <w:color w:val="auto"/>
              </w:rPr>
            </w:pPr>
            <w:r>
              <w:rPr>
                <w:rFonts w:ascii="Arial" w:cs="Arial" w:eastAsia="Arial" w:hAnsi="Arial"/>
                <w:sz w:val="14"/>
                <w:szCs w:val="14"/>
                <w:color w:val="auto"/>
              </w:rPr>
              <w:t>ALLETE’s Direct Stock Purchase and Dividend Reinvestment Plan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kV</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Kilovolt(s)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Laskin</w:t>
            </w:r>
          </w:p>
        </w:tc>
        <w:tc>
          <w:tcPr>
            <w:tcW w:w="9240" w:type="dxa"/>
            <w:vAlign w:val="bottom"/>
          </w:tcPr>
          <w:p>
            <w:pPr>
              <w:ind w:left="600"/>
              <w:spacing w:after="0"/>
              <w:rPr>
                <w:sz w:val="20"/>
                <w:szCs w:val="20"/>
                <w:color w:val="auto"/>
              </w:rPr>
            </w:pPr>
            <w:r>
              <w:rPr>
                <w:rFonts w:ascii="Arial" w:cs="Arial" w:eastAsia="Arial" w:hAnsi="Arial"/>
                <w:sz w:val="14"/>
                <w:szCs w:val="14"/>
                <w:color w:val="auto"/>
              </w:rPr>
              <w:t>Laskin Energy Center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Manitoba Hydro</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Manitoba Hydro-Electric Board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MBtu</w:t>
            </w:r>
          </w:p>
        </w:tc>
        <w:tc>
          <w:tcPr>
            <w:tcW w:w="9240" w:type="dxa"/>
            <w:vAlign w:val="bottom"/>
          </w:tcPr>
          <w:p>
            <w:pPr>
              <w:ind w:left="600"/>
              <w:spacing w:after="0"/>
              <w:rPr>
                <w:sz w:val="20"/>
                <w:szCs w:val="20"/>
                <w:color w:val="auto"/>
              </w:rPr>
            </w:pPr>
            <w:r>
              <w:rPr>
                <w:rFonts w:ascii="Arial" w:cs="Arial" w:eastAsia="Arial" w:hAnsi="Arial"/>
                <w:sz w:val="14"/>
                <w:szCs w:val="14"/>
                <w:color w:val="auto"/>
              </w:rPr>
              <w:t>Million British thermal units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Mesabi Nugget</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Mesabi Nugget Delaware, LLC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Minnesota Power</w:t>
            </w:r>
          </w:p>
        </w:tc>
        <w:tc>
          <w:tcPr>
            <w:tcW w:w="9240" w:type="dxa"/>
            <w:vAlign w:val="bottom"/>
          </w:tcPr>
          <w:p>
            <w:pPr>
              <w:ind w:left="600"/>
              <w:spacing w:after="0"/>
              <w:rPr>
                <w:sz w:val="20"/>
                <w:szCs w:val="20"/>
                <w:color w:val="auto"/>
              </w:rPr>
            </w:pPr>
            <w:r>
              <w:rPr>
                <w:rFonts w:ascii="Arial" w:cs="Arial" w:eastAsia="Arial" w:hAnsi="Arial"/>
                <w:sz w:val="14"/>
                <w:szCs w:val="14"/>
                <w:color w:val="auto"/>
              </w:rPr>
              <w:t>An operating division of ALLETE, Inc.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Minnkota Power</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Minnkota Power Cooperative, Inc.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MISO</w:t>
            </w:r>
          </w:p>
        </w:tc>
        <w:tc>
          <w:tcPr>
            <w:tcW w:w="9240" w:type="dxa"/>
            <w:vAlign w:val="bottom"/>
          </w:tcPr>
          <w:p>
            <w:pPr>
              <w:ind w:left="600"/>
              <w:spacing w:after="0"/>
              <w:rPr>
                <w:sz w:val="20"/>
                <w:szCs w:val="20"/>
                <w:color w:val="auto"/>
              </w:rPr>
            </w:pPr>
            <w:r>
              <w:rPr>
                <w:rFonts w:ascii="Arial" w:cs="Arial" w:eastAsia="Arial" w:hAnsi="Arial"/>
                <w:sz w:val="14"/>
                <w:szCs w:val="14"/>
                <w:color w:val="auto"/>
              </w:rPr>
              <w:t>Midwest Independent Transmission System Operator, Inc.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Moody’s</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Moody’s Investors Service, Inc.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MPCA</w:t>
            </w:r>
          </w:p>
        </w:tc>
        <w:tc>
          <w:tcPr>
            <w:tcW w:w="9240" w:type="dxa"/>
            <w:vAlign w:val="bottom"/>
          </w:tcPr>
          <w:p>
            <w:pPr>
              <w:ind w:left="600"/>
              <w:spacing w:after="0"/>
              <w:rPr>
                <w:sz w:val="20"/>
                <w:szCs w:val="20"/>
                <w:color w:val="auto"/>
              </w:rPr>
            </w:pPr>
            <w:r>
              <w:rPr>
                <w:rFonts w:ascii="Arial" w:cs="Arial" w:eastAsia="Arial" w:hAnsi="Arial"/>
                <w:sz w:val="14"/>
                <w:szCs w:val="14"/>
                <w:color w:val="auto"/>
              </w:rPr>
              <w:t>Minnesota Pollution Control Agency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MPUC</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Minnesota Public Utilities Commission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MW / MWh</w:t>
            </w:r>
          </w:p>
        </w:tc>
        <w:tc>
          <w:tcPr>
            <w:tcW w:w="9240" w:type="dxa"/>
            <w:vAlign w:val="bottom"/>
          </w:tcPr>
          <w:p>
            <w:pPr>
              <w:ind w:left="600"/>
              <w:spacing w:after="0"/>
              <w:rPr>
                <w:sz w:val="20"/>
                <w:szCs w:val="20"/>
                <w:color w:val="auto"/>
              </w:rPr>
            </w:pPr>
            <w:r>
              <w:rPr>
                <w:rFonts w:ascii="Arial" w:cs="Arial" w:eastAsia="Arial" w:hAnsi="Arial"/>
                <w:sz w:val="14"/>
                <w:szCs w:val="14"/>
                <w:color w:val="auto"/>
              </w:rPr>
              <w:t>Megawatt(s) / Megawatt-hour(s)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NextEra Energy</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NextEra Energy Resources, LLC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Non-residential</w:t>
            </w:r>
          </w:p>
        </w:tc>
        <w:tc>
          <w:tcPr>
            <w:tcW w:w="9240" w:type="dxa"/>
            <w:vAlign w:val="bottom"/>
          </w:tcPr>
          <w:p>
            <w:pPr>
              <w:ind w:left="600"/>
              <w:spacing w:after="0"/>
              <w:rPr>
                <w:sz w:val="20"/>
                <w:szCs w:val="20"/>
                <w:color w:val="auto"/>
              </w:rPr>
            </w:pPr>
            <w:r>
              <w:rPr>
                <w:rFonts w:ascii="Arial" w:cs="Arial" w:eastAsia="Arial" w:hAnsi="Arial"/>
                <w:sz w:val="14"/>
                <w:szCs w:val="14"/>
                <w:color w:val="auto"/>
              </w:rPr>
              <w:t>Retail commercial, non-retail commercial, office, industrial, warehouse, storage and institutional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0" w:type="dxa"/>
            <w:vAlign w:val="bottom"/>
            <w:shd w:val="clear" w:color="auto" w:fill="CCEEFF"/>
          </w:tcPr>
          <w:p>
            <w:pPr>
              <w:spacing w:after="0" w:line="184" w:lineRule="exact"/>
              <w:rPr>
                <w:sz w:val="20"/>
                <w:szCs w:val="20"/>
                <w:color w:val="auto"/>
              </w:rPr>
            </w:pPr>
            <w:r>
              <w:rPr>
                <w:rFonts w:ascii="Arial" w:cs="Arial" w:eastAsia="Arial" w:hAnsi="Arial"/>
                <w:sz w:val="14"/>
                <w:szCs w:val="14"/>
                <w:color w:val="auto"/>
              </w:rPr>
              <w:t>NO</w:t>
            </w:r>
            <w:r>
              <w:rPr>
                <w:rFonts w:ascii="Arial" w:cs="Arial" w:eastAsia="Arial" w:hAnsi="Arial"/>
                <w:sz w:val="20"/>
                <w:szCs w:val="20"/>
                <w:color w:val="auto"/>
                <w:vertAlign w:val="subscript"/>
              </w:rPr>
              <w:t>X</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Nitrogen Oxide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Note ___</w:t>
            </w:r>
          </w:p>
        </w:tc>
        <w:tc>
          <w:tcPr>
            <w:tcW w:w="9240" w:type="dxa"/>
            <w:vAlign w:val="bottom"/>
          </w:tcPr>
          <w:p>
            <w:pPr>
              <w:ind w:left="600"/>
              <w:spacing w:after="0"/>
              <w:rPr>
                <w:sz w:val="20"/>
                <w:szCs w:val="20"/>
                <w:color w:val="auto"/>
              </w:rPr>
            </w:pPr>
            <w:r>
              <w:rPr>
                <w:rFonts w:ascii="Arial" w:cs="Arial" w:eastAsia="Arial" w:hAnsi="Arial"/>
                <w:sz w:val="14"/>
                <w:szCs w:val="14"/>
                <w:color w:val="auto"/>
              </w:rPr>
              <w:t>Note ___ to the consolidated financial statements in this Form 10-K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NPDES</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National Pollutant Discharge Elimination System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NYSE</w:t>
            </w:r>
          </w:p>
        </w:tc>
        <w:tc>
          <w:tcPr>
            <w:tcW w:w="9240" w:type="dxa"/>
            <w:vAlign w:val="bottom"/>
          </w:tcPr>
          <w:p>
            <w:pPr>
              <w:ind w:left="60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OES</w:t>
            </w:r>
          </w:p>
        </w:tc>
        <w:tc>
          <w:tcPr>
            <w:tcW w:w="9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Minnesota Office of Energy Security</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920" w:type="dxa"/>
            <w:vAlign w:val="bottom"/>
          </w:tcPr>
          <w:p>
            <w:pPr>
              <w:ind w:left="2460"/>
              <w:spacing w:after="0"/>
              <w:rPr>
                <w:sz w:val="20"/>
                <w:szCs w:val="20"/>
                <w:color w:val="auto"/>
              </w:rPr>
            </w:pPr>
            <w:r>
              <w:rPr>
                <w:rFonts w:ascii="Arial" w:cs="Arial" w:eastAsia="Arial" w:hAnsi="Arial"/>
                <w:sz w:val="14"/>
                <w:szCs w:val="14"/>
                <w:b w:val="1"/>
                <w:bCs w:val="1"/>
                <w:color w:val="auto"/>
              </w:rPr>
              <w:t>Definitions (Continued)</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Abbreviation or Acronym</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Oliver Wind I</w:t>
            </w:r>
          </w:p>
        </w:tc>
        <w:tc>
          <w:tcPr>
            <w:tcW w:w="8920" w:type="dxa"/>
            <w:vAlign w:val="bottom"/>
          </w:tcPr>
          <w:p>
            <w:pPr>
              <w:ind w:left="940"/>
              <w:spacing w:after="0"/>
              <w:rPr>
                <w:sz w:val="20"/>
                <w:szCs w:val="20"/>
                <w:color w:val="auto"/>
              </w:rPr>
            </w:pPr>
            <w:r>
              <w:rPr>
                <w:rFonts w:ascii="Arial" w:cs="Arial" w:eastAsia="Arial" w:hAnsi="Arial"/>
                <w:sz w:val="14"/>
                <w:szCs w:val="14"/>
                <w:color w:val="auto"/>
              </w:rPr>
              <w:t>Oliver Wind I Energy Center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Oliver Wind II</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Oliver Wind II Energy Center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Palm Coast Park</w:t>
            </w:r>
          </w:p>
        </w:tc>
        <w:tc>
          <w:tcPr>
            <w:tcW w:w="8920" w:type="dxa"/>
            <w:vAlign w:val="bottom"/>
          </w:tcPr>
          <w:p>
            <w:pPr>
              <w:ind w:left="940"/>
              <w:spacing w:after="0"/>
              <w:rPr>
                <w:sz w:val="20"/>
                <w:szCs w:val="20"/>
                <w:color w:val="auto"/>
              </w:rPr>
            </w:pPr>
            <w:r>
              <w:rPr>
                <w:rFonts w:ascii="Arial" w:cs="Arial" w:eastAsia="Arial" w:hAnsi="Arial"/>
                <w:sz w:val="14"/>
                <w:szCs w:val="14"/>
                <w:color w:val="auto"/>
              </w:rPr>
              <w:t>Palm Coast Park development project in Florida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Palm Coast Park District</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Palm Coast Park Community Development District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PolyMet Mining</w:t>
            </w:r>
          </w:p>
        </w:tc>
        <w:tc>
          <w:tcPr>
            <w:tcW w:w="8920" w:type="dxa"/>
            <w:vAlign w:val="bottom"/>
          </w:tcPr>
          <w:p>
            <w:pPr>
              <w:ind w:left="940"/>
              <w:spacing w:after="0"/>
              <w:rPr>
                <w:sz w:val="20"/>
                <w:szCs w:val="20"/>
                <w:color w:val="auto"/>
              </w:rPr>
            </w:pPr>
            <w:r>
              <w:rPr>
                <w:rFonts w:ascii="Arial" w:cs="Arial" w:eastAsia="Arial" w:hAnsi="Arial"/>
                <w:sz w:val="14"/>
                <w:szCs w:val="14"/>
                <w:color w:val="auto"/>
              </w:rPr>
              <w:t>PolyMet Mining Corp.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PSCW</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Public Service Commission of Wisconsin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PUHCA 2005</w:t>
            </w:r>
          </w:p>
        </w:tc>
        <w:tc>
          <w:tcPr>
            <w:tcW w:w="8920" w:type="dxa"/>
            <w:vAlign w:val="bottom"/>
          </w:tcPr>
          <w:p>
            <w:pPr>
              <w:ind w:left="940"/>
              <w:spacing w:after="0"/>
              <w:rPr>
                <w:sz w:val="20"/>
                <w:szCs w:val="20"/>
                <w:color w:val="auto"/>
              </w:rPr>
            </w:pPr>
            <w:r>
              <w:rPr>
                <w:rFonts w:ascii="Arial" w:cs="Arial" w:eastAsia="Arial" w:hAnsi="Arial"/>
                <w:sz w:val="14"/>
                <w:szCs w:val="14"/>
                <w:color w:val="auto"/>
              </w:rPr>
              <w:t>Public Utility Holding Company Act of 2005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Rainy River Energy</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Rainy River Energy Corporation - Wisconsin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SEC</w:t>
            </w:r>
          </w:p>
        </w:tc>
        <w:tc>
          <w:tcPr>
            <w:tcW w:w="8920" w:type="dxa"/>
            <w:vAlign w:val="bottom"/>
          </w:tcPr>
          <w:p>
            <w:pPr>
              <w:ind w:left="940"/>
              <w:spacing w:after="0"/>
              <w:rPr>
                <w:sz w:val="20"/>
                <w:szCs w:val="20"/>
                <w:color w:val="auto"/>
              </w:rPr>
            </w:pPr>
            <w:r>
              <w:rPr>
                <w:rFonts w:ascii="Arial" w:cs="Arial" w:eastAsia="Arial" w:hAnsi="Arial"/>
                <w:sz w:val="14"/>
                <w:szCs w:val="14"/>
                <w:color w:val="auto"/>
              </w:rPr>
              <w:t>Securities and Exchange Commission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SFAS</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Statement of Financial Accounting Standards No.</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Pr>
          <w:p>
            <w:pPr>
              <w:spacing w:after="0" w:line="184" w:lineRule="exact"/>
              <w:rPr>
                <w:sz w:val="20"/>
                <w:szCs w:val="20"/>
                <w:color w:val="auto"/>
              </w:rPr>
            </w:pPr>
            <w:r>
              <w:rPr>
                <w:rFonts w:ascii="Arial" w:cs="Arial" w:eastAsia="Arial" w:hAnsi="Arial"/>
                <w:sz w:val="14"/>
                <w:szCs w:val="14"/>
                <w:color w:val="auto"/>
              </w:rPr>
              <w:t>SO</w:t>
            </w:r>
            <w:r>
              <w:rPr>
                <w:rFonts w:ascii="Arial" w:cs="Arial" w:eastAsia="Arial" w:hAnsi="Arial"/>
                <w:sz w:val="20"/>
                <w:szCs w:val="20"/>
                <w:color w:val="auto"/>
                <w:vertAlign w:val="subscript"/>
              </w:rPr>
              <w:t>2</w:t>
            </w:r>
          </w:p>
        </w:tc>
        <w:tc>
          <w:tcPr>
            <w:tcW w:w="8920" w:type="dxa"/>
            <w:vAlign w:val="bottom"/>
          </w:tcPr>
          <w:p>
            <w:pPr>
              <w:ind w:left="940"/>
              <w:spacing w:after="0"/>
              <w:rPr>
                <w:sz w:val="20"/>
                <w:szCs w:val="20"/>
                <w:color w:val="auto"/>
              </w:rPr>
            </w:pPr>
            <w:r>
              <w:rPr>
                <w:rFonts w:ascii="Arial" w:cs="Arial" w:eastAsia="Arial" w:hAnsi="Arial"/>
                <w:sz w:val="14"/>
                <w:szCs w:val="14"/>
                <w:color w:val="auto"/>
              </w:rPr>
              <w:t>Sulfur Dioxide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Square Butte</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Square Butte Electric Cooperative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Standard &amp; Poor’s</w:t>
            </w:r>
          </w:p>
        </w:tc>
        <w:tc>
          <w:tcPr>
            <w:tcW w:w="8920" w:type="dxa"/>
            <w:vAlign w:val="bottom"/>
          </w:tcPr>
          <w:p>
            <w:pPr>
              <w:ind w:left="940"/>
              <w:spacing w:after="0"/>
              <w:rPr>
                <w:sz w:val="20"/>
                <w:szCs w:val="20"/>
                <w:color w:val="auto"/>
              </w:rPr>
            </w:pPr>
            <w:r>
              <w:rPr>
                <w:rFonts w:ascii="Arial" w:cs="Arial" w:eastAsia="Arial" w:hAnsi="Arial"/>
                <w:sz w:val="14"/>
                <w:szCs w:val="14"/>
                <w:color w:val="auto"/>
              </w:rPr>
              <w:t>Standard &amp; Poor’s Ratings Services, a division of The McGraw-Hill Companies, Inc.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SWL&amp;P</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Superior Water, Light and Power Company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Taconite Harbor</w:t>
            </w:r>
          </w:p>
        </w:tc>
        <w:tc>
          <w:tcPr>
            <w:tcW w:w="8920" w:type="dxa"/>
            <w:vAlign w:val="bottom"/>
          </w:tcPr>
          <w:p>
            <w:pPr>
              <w:ind w:left="940"/>
              <w:spacing w:after="0"/>
              <w:rPr>
                <w:sz w:val="20"/>
                <w:szCs w:val="20"/>
                <w:color w:val="auto"/>
              </w:rPr>
            </w:pPr>
            <w:r>
              <w:rPr>
                <w:rFonts w:ascii="Arial" w:cs="Arial" w:eastAsia="Arial" w:hAnsi="Arial"/>
                <w:sz w:val="14"/>
                <w:szCs w:val="14"/>
                <w:color w:val="auto"/>
              </w:rPr>
              <w:t>Taconite Harbor Energy Center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Taconite Ridge</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Taconite Ridge Energy Center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Town Center</w:t>
            </w:r>
          </w:p>
        </w:tc>
        <w:tc>
          <w:tcPr>
            <w:tcW w:w="8920" w:type="dxa"/>
            <w:vAlign w:val="bottom"/>
          </w:tcPr>
          <w:p>
            <w:pPr>
              <w:ind w:left="940"/>
              <w:spacing w:after="0"/>
              <w:rPr>
                <w:sz w:val="20"/>
                <w:szCs w:val="20"/>
                <w:color w:val="auto"/>
              </w:rPr>
            </w:pPr>
            <w:r>
              <w:rPr>
                <w:rFonts w:ascii="Arial" w:cs="Arial" w:eastAsia="Arial" w:hAnsi="Arial"/>
                <w:sz w:val="14"/>
                <w:szCs w:val="14"/>
                <w:color w:val="auto"/>
              </w:rPr>
              <w:t>Town Center at Palm Coast development project in Florida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Town Center District</w:t>
            </w:r>
          </w:p>
        </w:tc>
        <w:tc>
          <w:tcPr>
            <w:tcW w:w="89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Town Center at Palm Coast Community Development District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WDNR</w:t>
            </w:r>
          </w:p>
        </w:tc>
        <w:tc>
          <w:tcPr>
            <w:tcW w:w="8920" w:type="dxa"/>
            <w:vAlign w:val="bottom"/>
          </w:tcPr>
          <w:p>
            <w:pPr>
              <w:ind w:left="940"/>
              <w:spacing w:after="0"/>
              <w:rPr>
                <w:sz w:val="20"/>
                <w:szCs w:val="20"/>
                <w:color w:val="auto"/>
              </w:rPr>
            </w:pPr>
            <w:r>
              <w:rPr>
                <w:rFonts w:ascii="Arial" w:cs="Arial" w:eastAsia="Arial" w:hAnsi="Arial"/>
                <w:sz w:val="14"/>
                <w:szCs w:val="14"/>
                <w:color w:val="auto"/>
              </w:rPr>
              <w:t>Wisconsin Department of Natural Resources</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920" w:type="dxa"/>
            <w:vAlign w:val="bottom"/>
          </w:tcPr>
          <w:p>
            <w:pPr>
              <w:ind w:left="2580"/>
              <w:spacing w:after="0"/>
              <w:rPr>
                <w:sz w:val="20"/>
                <w:szCs w:val="20"/>
                <w:color w:val="auto"/>
              </w:rPr>
            </w:pPr>
            <w:r>
              <w:rPr>
                <w:rFonts w:ascii="Arial" w:cs="Arial" w:eastAsia="Arial" w:hAnsi="Arial"/>
                <w:sz w:val="11"/>
                <w:szCs w:val="11"/>
                <w:color w:val="auto"/>
              </w:rPr>
              <w:t>ALLETE 2008 Form 10-K</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4</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808080"/>
            </w:tcBorders>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8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31"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Safe Harbor Statement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the Private Securities Litigation Reform Act of 1995</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results,” “will continue, “ “could,” “may,” “potential,” “target,” “outlook” or words of similar meaning) are not statements of historical facts and may be forward-looking.</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Annual Report on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167" w:lineRule="exact"/>
        <w:rPr>
          <w:sz w:val="20"/>
          <w:szCs w:val="20"/>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successfully implement our strategic objectives;</w:t>
      </w:r>
    </w:p>
    <w:p>
      <w:pPr>
        <w:spacing w:after="0" w:line="20"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manage expansion and integrate acquisitions;</w:t>
      </w:r>
    </w:p>
    <w:p>
      <w:pPr>
        <w:spacing w:after="0" w:line="11" w:lineRule="exact"/>
        <w:rPr>
          <w:rFonts w:ascii="Arial" w:cs="Arial" w:eastAsia="Arial" w:hAnsi="Arial"/>
          <w:sz w:val="14"/>
          <w:szCs w:val="14"/>
          <w:color w:val="auto"/>
        </w:rPr>
      </w:pPr>
    </w:p>
    <w:p>
      <w:pPr>
        <w:jc w:val="both"/>
        <w:ind w:left="820" w:hanging="814"/>
        <w:spacing w:after="0" w:line="257" w:lineRule="auto"/>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impacts of climate change and future regulation to restrict the emissions of GHG on our Regulated Operations;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effects of restructuring initiatives in the electric industry;</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economic and geographic factors, including political and economic risks;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and compliance with laws and regulations;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weather conditions;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natural disasters and pandemic diseases;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war and acts of terrorism;</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wholesale power market conditions;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population growth rates and demographic patterns;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effects of competition, including competition for retail and wholesale customers;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real estate market;</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pricing and transportation of commodities;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tax rates or policies or in rates of inflation;</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project delays or changes in project costs;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availability and management of construction materials and skilled construction labor for capital projects;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operating expenses</w:t>
      </w:r>
      <w:r>
        <w:rPr>
          <w:rFonts w:ascii="Arial" w:cs="Arial" w:eastAsia="Arial" w:hAnsi="Arial"/>
          <w:sz w:val="14"/>
          <w:szCs w:val="14"/>
          <w:b w:val="1"/>
          <w:bCs w:val="1"/>
          <w:color w:val="auto"/>
        </w:rPr>
        <w:t>,</w:t>
      </w:r>
      <w:r>
        <w:rPr>
          <w:rFonts w:ascii="Arial" w:cs="Arial" w:eastAsia="Arial" w:hAnsi="Arial"/>
          <w:sz w:val="14"/>
          <w:szCs w:val="14"/>
          <w:color w:val="auto"/>
        </w:rPr>
        <w:t xml:space="preserve"> capital and land development expenditures;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global and domestic economic conditions affecting us or our customers;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access capital markets and bank financing;</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interest rates and the performance of the financial markets;</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replace a mature workforce and retain qualified, skilled and experienced personnel; and</w:t>
      </w:r>
    </w:p>
    <w:p>
      <w:pPr>
        <w:spacing w:after="0" w:line="11" w:lineRule="exact"/>
        <w:rPr>
          <w:rFonts w:ascii="Arial" w:cs="Arial" w:eastAsia="Arial" w:hAnsi="Arial"/>
          <w:sz w:val="14"/>
          <w:szCs w:val="14"/>
          <w:color w:val="auto"/>
        </w:rPr>
      </w:pPr>
    </w:p>
    <w:p>
      <w:pPr>
        <w:ind w:left="820" w:hanging="814"/>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outcome of legal and administrative proceedings (whether civil or criminal) and settlements that affect the business and profitability of ALLETE.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-2947670</wp:posOffset>
            </wp:positionV>
            <wp:extent cx="7274560" cy="109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-2728595</wp:posOffset>
            </wp:positionV>
            <wp:extent cx="7274560" cy="438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438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-2181225</wp:posOffset>
            </wp:positionV>
            <wp:extent cx="7274560" cy="109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-1962150</wp:posOffset>
            </wp:positionV>
            <wp:extent cx="7274560" cy="109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-1743075</wp:posOffset>
            </wp:positionV>
            <wp:extent cx="7274560" cy="109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-1524000</wp:posOffset>
            </wp:positionV>
            <wp:extent cx="7274560" cy="109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-1305560</wp:posOffset>
            </wp:positionV>
            <wp:extent cx="7274560" cy="109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-1086485</wp:posOffset>
            </wp:positionV>
            <wp:extent cx="7274560" cy="109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-867410</wp:posOffset>
            </wp:positionV>
            <wp:extent cx="7274560" cy="109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-648335</wp:posOffset>
            </wp:positionV>
            <wp:extent cx="7274560" cy="109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-429260</wp:posOffset>
            </wp:positionV>
            <wp:extent cx="7274560" cy="109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-210185</wp:posOffset>
            </wp:positionV>
            <wp:extent cx="7274560" cy="109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8255</wp:posOffset>
            </wp:positionV>
            <wp:extent cx="7274560" cy="109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09220"/>
                    </a:xfrm>
                    <a:prstGeom prst="rect">
                      <a:avLst/>
                    </a:prstGeom>
                    <a:noFill/>
                  </pic:spPr>
                </pic:pic>
              </a:graphicData>
            </a:graphic>
          </wp:anchor>
        </w:drawing>
      </w: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Additional disclosures regarding factors that could cause our results and performance to differ from results or performance anticipated by this report are discussed in Item 1A under the heading “Risk Factors” beginning on page 20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advise interested parties of the factors that may affect our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Part I</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the fourth quarter of 2008, we made changes to our reportable business segments which are now comprised of Regulated Operations and Investments and Other. For additional information about our business segments, see Note 2.</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Regulated Operations </w:t>
      </w:r>
      <w:r>
        <w:rPr>
          <w:rFonts w:ascii="Arial" w:cs="Arial" w:eastAsia="Arial" w:hAnsi="Arial"/>
          <w:sz w:val="14"/>
          <w:szCs w:val="14"/>
          <w:color w:val="auto"/>
        </w:rPr>
        <w:t>includes our regulated utilities, Minnesota Power and SWL&amp;P, as well as our investment in ATC, a Wisconsin-based utility that owns and maintains electric transmission</w:t>
      </w:r>
      <w:r>
        <w:rPr>
          <w:rFonts w:ascii="Arial" w:cs="Arial" w:eastAsia="Arial" w:hAnsi="Arial"/>
          <w:sz w:val="14"/>
          <w:szCs w:val="14"/>
          <w:b w:val="1"/>
          <w:bCs w:val="1"/>
          <w:color w:val="auto"/>
        </w:rPr>
        <w:t xml:space="preserve"> </w:t>
      </w:r>
      <w:r>
        <w:rPr>
          <w:rFonts w:ascii="Arial" w:cs="Arial" w:eastAsia="Arial" w:hAnsi="Arial"/>
          <w:sz w:val="14"/>
          <w:szCs w:val="14"/>
          <w:color w:val="auto"/>
        </w:rPr>
        <w:t>assets in parts of Wisconsin, Michigan, Minnesota and Illinois. Minnesota Power provides regulated utility electric service in northeastern Minnesota to 142,000 retail customers and wholesale electric service to 16 municipalities. SWL&amp;P provides regulated electric service, natural gas and water service in northwestern Wisconsin to 15,000 electric customers, 12,000 natural gas customers and 10,000 water customers. Our regulated utility operations include retail and wholesale activities under the jurisdiction of state and federal regulatory authorities. (See Item 1. Business – Regulated Operations – Regulatory Matters.)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Investments and Other </w:t>
      </w:r>
      <w:r>
        <w:rPr>
          <w:rFonts w:ascii="Arial" w:cs="Arial" w:eastAsia="Arial" w:hAnsi="Arial"/>
          <w:sz w:val="14"/>
          <w:szCs w:val="14"/>
          <w:color w:val="auto"/>
        </w:rPr>
        <w:t>is comprised primarily of BNI Coal, our coal mining operations in North Dakota, and ALLETE Properties, our Florida real estate business. This segment also includes</w:t>
      </w:r>
      <w:r>
        <w:rPr>
          <w:rFonts w:ascii="Arial" w:cs="Arial" w:eastAsia="Arial" w:hAnsi="Arial"/>
          <w:sz w:val="14"/>
          <w:szCs w:val="14"/>
          <w:b w:val="1"/>
          <w:bCs w:val="1"/>
          <w:color w:val="auto"/>
        </w:rPr>
        <w:t xml:space="preserve"> </w:t>
      </w:r>
      <w:r>
        <w:rPr>
          <w:rFonts w:ascii="Arial" w:cs="Arial" w:eastAsia="Arial" w:hAnsi="Arial"/>
          <w:sz w:val="14"/>
          <w:szCs w:val="14"/>
          <w:color w:val="auto"/>
        </w:rPr>
        <w:t>emerging technology investments ($7.4 million at December 31, 2008), a small amount of non-rate base generation, approximately 7,000 acres of land for sale in Minnesota, and earnings on cash and short-term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ALLETE is incorporated under the laws of Minnesota. Our corporate headquarters are in Duluth, Minnesota. Statistical information is presented as of December 31, 2008, unless otherwise indicated.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All subsidiaries are wholly owned unless otherwise specifically indicated. References in this report to “we,” “us” and “our” are to ALLETE and its subsidiaries, collectively.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w:t>
            </w:r>
          </w:p>
        </w:tc>
        <w:tc>
          <w:tcPr>
            <w:tcW w:w="3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142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Consolidated Operating Revenue – Millions</w:t>
            </w:r>
          </w:p>
        </w:tc>
        <w:tc>
          <w:tcPr>
            <w:tcW w:w="3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$801.0</w:t>
            </w:r>
          </w:p>
        </w:tc>
        <w:tc>
          <w:tcPr>
            <w:tcW w:w="14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$841.7</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$767.1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Percentage of Consolidated Operating Revenue</w:t>
            </w:r>
          </w:p>
        </w:tc>
        <w:tc>
          <w:tcPr>
            <w:tcW w:w="36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0" w:type="dxa"/>
            <w:vAlign w:val="bottom"/>
          </w:tcPr>
          <w:p>
            <w:pPr>
              <w:ind w:left="120"/>
              <w:spacing w:after="0"/>
              <w:rPr>
                <w:sz w:val="20"/>
                <w:szCs w:val="20"/>
                <w:color w:val="auto"/>
              </w:rPr>
            </w:pPr>
            <w:r>
              <w:rPr>
                <w:rFonts w:ascii="Arial" w:cs="Arial" w:eastAsia="Arial" w:hAnsi="Arial"/>
                <w:sz w:val="14"/>
                <w:szCs w:val="14"/>
                <w:color w:val="auto"/>
              </w:rPr>
              <w:t>Regulated Operations</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89</w:t>
            </w:r>
          </w:p>
        </w:tc>
        <w:tc>
          <w:tcPr>
            <w:tcW w:w="1420" w:type="dxa"/>
            <w:vAlign w:val="bottom"/>
          </w:tcPr>
          <w:p>
            <w:pPr>
              <w:jc w:val="right"/>
              <w:ind w:right="428"/>
              <w:spacing w:after="0"/>
              <w:rPr>
                <w:sz w:val="20"/>
                <w:szCs w:val="20"/>
                <w:color w:val="auto"/>
              </w:rPr>
            </w:pPr>
            <w:r>
              <w:rPr>
                <w:rFonts w:ascii="Arial" w:cs="Arial" w:eastAsia="Arial" w:hAnsi="Arial"/>
                <w:sz w:val="14"/>
                <w:szCs w:val="14"/>
                <w:color w:val="auto"/>
              </w:rPr>
              <w:t>86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Investments and Other</w:t>
            </w:r>
          </w:p>
        </w:tc>
        <w:tc>
          <w:tcPr>
            <w:tcW w:w="3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11</w:t>
            </w:r>
          </w:p>
        </w:tc>
        <w:tc>
          <w:tcPr>
            <w:tcW w:w="14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14</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100%</w:t>
            </w:r>
          </w:p>
        </w:tc>
        <w:tc>
          <w:tcPr>
            <w:tcW w:w="14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100%</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2. Business Segments.</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Electric Sales / Customers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Regulated Utility Electric Sales</w:t>
            </w:r>
          </w:p>
        </w:tc>
        <w:tc>
          <w:tcPr>
            <w:tcW w:w="2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w:t>
            </w:r>
          </w:p>
        </w:tc>
        <w:tc>
          <w:tcPr>
            <w:tcW w:w="2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9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2007</w:t>
            </w:r>
          </w:p>
        </w:tc>
        <w:tc>
          <w:tcPr>
            <w:tcW w:w="9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b w:val="1"/>
                <w:bCs w:val="1"/>
                <w:color w:val="auto"/>
              </w:rPr>
              <w:t>Millions of Kilowatt-hours</w:t>
            </w:r>
          </w:p>
        </w:tc>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Retail and Municipals</w:t>
            </w:r>
          </w:p>
        </w:tc>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1,172</w:t>
            </w:r>
          </w:p>
        </w:tc>
        <w:tc>
          <w:tcPr>
            <w:tcW w:w="9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9</w:t>
            </w:r>
          </w:p>
        </w:tc>
        <w:tc>
          <w:tcPr>
            <w:tcW w:w="1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1,141</w:t>
            </w:r>
          </w:p>
        </w:tc>
        <w:tc>
          <w:tcPr>
            <w:tcW w:w="9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1,100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Arial" w:cs="Arial" w:eastAsia="Arial" w:hAnsi="Arial"/>
                <w:sz w:val="14"/>
                <w:szCs w:val="14"/>
                <w:color w:val="auto"/>
              </w:rPr>
              <w:t>Commercial</w:t>
            </w:r>
          </w:p>
        </w:tc>
        <w:tc>
          <w:tcPr>
            <w:tcW w:w="2700" w:type="dxa"/>
            <w:vAlign w:val="bottom"/>
          </w:tcPr>
          <w:p>
            <w:pPr>
              <w:jc w:val="right"/>
              <w:ind w:right="208"/>
              <w:spacing w:after="0"/>
              <w:rPr>
                <w:sz w:val="20"/>
                <w:szCs w:val="20"/>
                <w:color w:val="auto"/>
              </w:rPr>
            </w:pPr>
            <w:r>
              <w:rPr>
                <w:rFonts w:ascii="Arial" w:cs="Arial" w:eastAsia="Arial" w:hAnsi="Arial"/>
                <w:sz w:val="14"/>
                <w:szCs w:val="14"/>
                <w:color w:val="auto"/>
              </w:rPr>
              <w:t>1,454</w:t>
            </w: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12</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1,456</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11</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1,420</w:t>
            </w: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Industrial</w:t>
            </w:r>
          </w:p>
        </w:tc>
        <w:tc>
          <w:tcPr>
            <w:tcW w:w="2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7,192</w:t>
            </w:r>
          </w:p>
        </w:tc>
        <w:tc>
          <w:tcPr>
            <w:tcW w:w="9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57</w:t>
            </w:r>
          </w:p>
        </w:tc>
        <w:tc>
          <w:tcPr>
            <w:tcW w:w="1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7,054</w:t>
            </w:r>
          </w:p>
        </w:tc>
        <w:tc>
          <w:tcPr>
            <w:tcW w:w="9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55</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7,206</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Municipals (FERC rate regulated)</w:t>
            </w:r>
          </w:p>
        </w:tc>
        <w:tc>
          <w:tcPr>
            <w:tcW w:w="2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1,002</w:t>
            </w: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8</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1,009</w:t>
            </w: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8</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905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270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10,820</w:t>
            </w:r>
          </w:p>
        </w:tc>
        <w:tc>
          <w:tcPr>
            <w:tcW w:w="9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86</w:t>
            </w:r>
          </w:p>
        </w:tc>
        <w:tc>
          <w:tcPr>
            <w:tcW w:w="10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10,660</w:t>
            </w:r>
          </w:p>
        </w:tc>
        <w:tc>
          <w:tcPr>
            <w:tcW w:w="9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83</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10,631</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Power Suppliers</w:t>
            </w:r>
          </w:p>
        </w:tc>
        <w:tc>
          <w:tcPr>
            <w:tcW w:w="2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1,800</w:t>
            </w: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2,157</w:t>
            </w: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17</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2,153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Borders>
              <w:bottom w:val="single" w:sz="8" w:color="auto"/>
            </w:tcBorders>
            <w:shd w:val="clear" w:color="auto" w:fill="CCEEFF"/>
          </w:tcPr>
          <w:p>
            <w:pPr>
              <w:spacing w:after="0"/>
              <w:rPr>
                <w:sz w:val="15"/>
                <w:szCs w:val="15"/>
                <w:color w:val="auto"/>
              </w:rPr>
            </w:pPr>
          </w:p>
        </w:tc>
        <w:tc>
          <w:tcPr>
            <w:tcW w:w="2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12,620</w:t>
            </w:r>
          </w:p>
        </w:tc>
        <w:tc>
          <w:tcPr>
            <w:tcW w:w="9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100</w:t>
            </w:r>
          </w:p>
        </w:tc>
        <w:tc>
          <w:tcPr>
            <w:tcW w:w="10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12,817</w:t>
            </w:r>
          </w:p>
        </w:tc>
        <w:tc>
          <w:tcPr>
            <w:tcW w:w="9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100</w:t>
            </w:r>
          </w:p>
        </w:tc>
        <w:tc>
          <w:tcPr>
            <w:tcW w:w="11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12,784</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Industrial Customers</w:t>
      </w:r>
      <w:r>
        <w:rPr>
          <w:rFonts w:ascii="Arial" w:cs="Arial" w:eastAsia="Arial" w:hAnsi="Arial"/>
          <w:sz w:val="14"/>
          <w:szCs w:val="14"/>
          <w:color w:val="auto"/>
        </w:rPr>
        <w:t>. In 2008, our industrial customers represented 57 percent of total regulated utility kilowatt-hour sales. Our industrial customers are primarily in the taconite, paper, pulp, wood</w:t>
      </w:r>
      <w:r>
        <w:rPr>
          <w:rFonts w:ascii="Arial" w:cs="Arial" w:eastAsia="Arial" w:hAnsi="Arial"/>
          <w:sz w:val="14"/>
          <w:szCs w:val="14"/>
          <w:b w:val="1"/>
          <w:bCs w:val="1"/>
          <w:color w:val="auto"/>
        </w:rPr>
        <w:t xml:space="preserve"> </w:t>
      </w:r>
      <w:r>
        <w:rPr>
          <w:rFonts w:ascii="Arial" w:cs="Arial" w:eastAsia="Arial" w:hAnsi="Arial"/>
          <w:sz w:val="14"/>
          <w:szCs w:val="14"/>
          <w:color w:val="auto"/>
        </w:rPr>
        <w:t>products and pipeline industries.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Industrial Customer Electric Sales</w:t>
            </w:r>
          </w:p>
        </w:tc>
        <w:tc>
          <w:tcPr>
            <w:tcW w:w="27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2008</w:t>
            </w:r>
          </w:p>
        </w:tc>
        <w:tc>
          <w:tcPr>
            <w:tcW w:w="98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2007</w:t>
            </w:r>
          </w:p>
        </w:tc>
        <w:tc>
          <w:tcPr>
            <w:tcW w:w="10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Arial" w:cs="Arial" w:eastAsia="Arial" w:hAnsi="Arial"/>
                <w:sz w:val="14"/>
                <w:szCs w:val="14"/>
                <w:b w:val="1"/>
                <w:bCs w:val="1"/>
                <w:color w:val="auto"/>
              </w:rPr>
              <w:t>Millions of Kilowatt-hours</w:t>
            </w:r>
          </w:p>
        </w:tc>
        <w:tc>
          <w:tcPr>
            <w:tcW w:w="2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Taconite Producers</w:t>
            </w:r>
          </w:p>
        </w:tc>
        <w:tc>
          <w:tcPr>
            <w:tcW w:w="27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4,579</w:t>
            </w:r>
          </w:p>
        </w:tc>
        <w:tc>
          <w:tcPr>
            <w:tcW w:w="9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64</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4,408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62</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4,517</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Paper, Pulp and Wood Products</w:t>
            </w:r>
          </w:p>
        </w:tc>
        <w:tc>
          <w:tcPr>
            <w:tcW w:w="2720" w:type="dxa"/>
            <w:vAlign w:val="bottom"/>
          </w:tcPr>
          <w:p>
            <w:pPr>
              <w:jc w:val="right"/>
              <w:ind w:right="228"/>
              <w:spacing w:after="0"/>
              <w:rPr>
                <w:sz w:val="20"/>
                <w:szCs w:val="20"/>
                <w:color w:val="auto"/>
              </w:rPr>
            </w:pPr>
            <w:r>
              <w:rPr>
                <w:rFonts w:ascii="Arial" w:cs="Arial" w:eastAsia="Arial" w:hAnsi="Arial"/>
                <w:sz w:val="14"/>
                <w:szCs w:val="14"/>
                <w:color w:val="auto"/>
              </w:rPr>
              <w:t>1,567</w:t>
            </w:r>
          </w:p>
        </w:tc>
        <w:tc>
          <w:tcPr>
            <w:tcW w:w="980" w:type="dxa"/>
            <w:vAlign w:val="bottom"/>
          </w:tcPr>
          <w:p>
            <w:pPr>
              <w:jc w:val="right"/>
              <w:ind w:right="388"/>
              <w:spacing w:after="0"/>
              <w:rPr>
                <w:sz w:val="20"/>
                <w:szCs w:val="20"/>
                <w:color w:val="auto"/>
              </w:rPr>
            </w:pPr>
            <w:r>
              <w:rPr>
                <w:rFonts w:ascii="Arial" w:cs="Arial" w:eastAsia="Arial" w:hAnsi="Arial"/>
                <w:sz w:val="14"/>
                <w:szCs w:val="14"/>
                <w:color w:val="auto"/>
              </w:rPr>
              <w:t>22</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1,613</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23</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1,689</w:t>
            </w:r>
          </w:p>
        </w:tc>
        <w:tc>
          <w:tcPr>
            <w:tcW w:w="46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Pipelines</w:t>
            </w:r>
          </w:p>
        </w:tc>
        <w:tc>
          <w:tcPr>
            <w:tcW w:w="27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582</w:t>
            </w:r>
          </w:p>
        </w:tc>
        <w:tc>
          <w:tcPr>
            <w:tcW w:w="9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8</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562</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8</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550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Industrial</w:t>
            </w:r>
          </w:p>
        </w:tc>
        <w:tc>
          <w:tcPr>
            <w:tcW w:w="2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464</w:t>
            </w: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6</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471</w:t>
            </w: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7</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450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shd w:val="clear" w:color="auto" w:fill="CCEEFF"/>
          </w:tcPr>
          <w:p>
            <w:pPr>
              <w:spacing w:after="0"/>
              <w:rPr>
                <w:sz w:val="15"/>
                <w:szCs w:val="15"/>
                <w:color w:val="auto"/>
              </w:rPr>
            </w:pPr>
          </w:p>
        </w:tc>
        <w:tc>
          <w:tcPr>
            <w:tcW w:w="27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7,192</w:t>
            </w:r>
          </w:p>
        </w:tc>
        <w:tc>
          <w:tcPr>
            <w:tcW w:w="98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100</w:t>
            </w:r>
          </w:p>
        </w:tc>
        <w:tc>
          <w:tcPr>
            <w:tcW w:w="10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7,054</w:t>
            </w:r>
          </w:p>
        </w:tc>
        <w:tc>
          <w:tcPr>
            <w:tcW w:w="10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100</w:t>
            </w:r>
          </w:p>
        </w:tc>
        <w:tc>
          <w:tcPr>
            <w:tcW w:w="10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7,206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Approximately 60 percent of the ore consumed by integrated steel facilities in the United States originates from six taconite customers of Minnesota Power, which represent 4,579 kilowatt-hours, or 64 percent, of our total industrial sales in 2008. Taconite, an iron-bearing rock of relatively low iron content, is abundantly available in Minnesota and an important domestic source of raw material for the steel industry. Taconite processing plants use large quantities of electric power to grind the iron-bearing rock, and agglomerate and pelletize the iron particles into taconite pellets. Strong worldwide steel demand, driven largely by extensive infrastructure development in China, resulted in very robust world iron ore demand and steel pricing for nearly a six-year period which lasted through the summer of 2008. Beginning in the fall of 2008, worldwide steel producers began to dramatically cut steel production in response to reduced demand driven largely by the world credit situation. (See Item 7. Management’s Discussion and Analysis of Financial Condition and Results of Operations – Outlook.)</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to serving the taconite industry, Minnesota Power also serves a number of customers in the paper, pulp and wood products industry, which represent 1,567 kilowatt-hours, or 22 percent, of our total industrial sales in 2008. In total, we serve four major paper and pulp mills directly and one paper mill indirectly by providing wholesale service to the retail provider of the mill. Minnesota Power also serves three wood product manufacturers.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Minnesota Power’s paper and pulp customers ran at, or very near, full capacity for the majority of 2008 despite the fact that the industry continued to face high fiber, chemical, and energy costs as well as competition from exports in certain grades of paper products. Minnesota Power’s customers benefited from the temporary or permanent idling of plants both in North America at mills other than those served by Minnesota Power and the idling of plants in Europe, as well as continued (but declining) strength of the Canadian dollar and the Euro which has reduced imports both from Canada and Europe.</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pipeline industry is the third key industrial segment served by Minnesota Power with services provided to two crude oil pipelines and one refinery, which represent 582 kilowatt-hours, or 8 percent, of our total industrial sales in 2008. These customers have a common reliance on the importation of Canadian crude oil. After near capacity operations in 2006, 2007, and 2008, both pipeline operators are executing expansion plans to transport Western Canadian crude oil reserves (Alberta Oil Sands) to United States markets. Access to traditional Midwest markets is being expanded to Southern markets as the Canadian supply is displacing domestic production and deliveries imported from the Gulf Coast.</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Large Power Customer Contracts. </w:t>
      </w:r>
      <w:r>
        <w:rPr>
          <w:rFonts w:ascii="Arial" w:cs="Arial" w:eastAsia="Arial" w:hAnsi="Arial"/>
          <w:sz w:val="14"/>
          <w:szCs w:val="14"/>
          <w:color w:val="auto"/>
        </w:rPr>
        <w:t>Minnesota Power has contracts with 12 Large Power Customers, 11 of which require 10 MWs or more of generating capacity and one that requires at least 8</w:t>
      </w:r>
      <w:r>
        <w:rPr>
          <w:rFonts w:ascii="Arial" w:cs="Arial" w:eastAsia="Arial" w:hAnsi="Arial"/>
          <w:sz w:val="14"/>
          <w:szCs w:val="14"/>
          <w:b w:val="1"/>
          <w:bCs w:val="1"/>
          <w:color w:val="auto"/>
        </w:rPr>
        <w:t xml:space="preserve"> </w:t>
      </w:r>
      <w:r>
        <w:rPr>
          <w:rFonts w:ascii="Arial" w:cs="Arial" w:eastAsia="Arial" w:hAnsi="Arial"/>
          <w:sz w:val="14"/>
          <w:szCs w:val="14"/>
          <w:color w:val="auto"/>
        </w:rPr>
        <w:t>MWs of generating capacity. These customers consist of six taconite producing facilities (two of which are owned by one company and are served under a single contract), four paper and pulp mills, two pipeline companies and one manufacturer.</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agreement. In addition to the demand charge, each Large Power Customer is billed an energy charge for each kilowatt-hour used that recovers the variable costs incurred in generating electricity. Four of the Large Power Customers have interruptible service which provides a discounted demand rate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All contracts with Large Power Customers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Regulatory Matters – Electric Rates)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Large Power Customers (Continued)</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Minnesota Power, as permitted by the MPUC, requires its taconite-producing Large Power Customers to pay weekly for electric usage based on monthly energy usage estimates. The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Status for Minnesota Power Large Power Customers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February 1, 2009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Earliest</w:t>
            </w: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Customer</w:t>
            </w:r>
          </w:p>
        </w:tc>
        <w:tc>
          <w:tcPr>
            <w:tcW w:w="14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Industry</w:t>
            </w:r>
          </w:p>
        </w:tc>
        <w:tc>
          <w:tcPr>
            <w:tcW w:w="22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Location</w:t>
            </w:r>
          </w:p>
        </w:tc>
        <w:tc>
          <w:tcPr>
            <w:tcW w:w="31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Ownership</w:t>
            </w:r>
          </w:p>
        </w:tc>
        <w:tc>
          <w:tcPr>
            <w:tcW w:w="192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62.3% ArcelorMittal USA Inc.</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 xml:space="preserve">Hibbing Taconite Co. </w:t>
            </w:r>
            <w:r>
              <w:rPr>
                <w:rFonts w:ascii="Arial" w:cs="Arial" w:eastAsia="Arial" w:hAnsi="Arial"/>
                <w:sz w:val="14"/>
                <w:szCs w:val="14"/>
                <w:i w:val="1"/>
                <w:iCs w:val="1"/>
                <w:color w:val="auto"/>
              </w:rPr>
              <w:t>(a)</w:t>
            </w:r>
          </w:p>
        </w:tc>
        <w:tc>
          <w:tcPr>
            <w:tcW w:w="1480" w:type="dxa"/>
            <w:vAlign w:val="bottom"/>
          </w:tcPr>
          <w:p>
            <w:pPr>
              <w:ind w:left="400"/>
              <w:spacing w:after="0"/>
              <w:rPr>
                <w:sz w:val="20"/>
                <w:szCs w:val="20"/>
                <w:color w:val="auto"/>
              </w:rPr>
            </w:pPr>
            <w:r>
              <w:rPr>
                <w:rFonts w:ascii="Arial" w:cs="Arial" w:eastAsia="Arial" w:hAnsi="Arial"/>
                <w:sz w:val="14"/>
                <w:szCs w:val="14"/>
                <w:color w:val="auto"/>
              </w:rPr>
              <w:t>Taconite</w:t>
            </w:r>
          </w:p>
        </w:tc>
        <w:tc>
          <w:tcPr>
            <w:tcW w:w="2260" w:type="dxa"/>
            <w:vAlign w:val="bottom"/>
          </w:tcPr>
          <w:p>
            <w:pPr>
              <w:ind w:left="200"/>
              <w:spacing w:after="0"/>
              <w:rPr>
                <w:sz w:val="20"/>
                <w:szCs w:val="20"/>
                <w:color w:val="auto"/>
              </w:rPr>
            </w:pPr>
            <w:r>
              <w:rPr>
                <w:rFonts w:ascii="Arial" w:cs="Arial" w:eastAsia="Arial" w:hAnsi="Arial"/>
                <w:sz w:val="14"/>
                <w:szCs w:val="14"/>
                <w:color w:val="auto"/>
              </w:rPr>
              <w:t>Hibbing, MN</w:t>
            </w:r>
          </w:p>
        </w:tc>
        <w:tc>
          <w:tcPr>
            <w:tcW w:w="3100" w:type="dxa"/>
            <w:vAlign w:val="bottom"/>
          </w:tcPr>
          <w:p>
            <w:pPr>
              <w:ind w:left="120"/>
              <w:spacing w:after="0"/>
              <w:rPr>
                <w:sz w:val="20"/>
                <w:szCs w:val="20"/>
                <w:color w:val="auto"/>
              </w:rPr>
            </w:pPr>
            <w:r>
              <w:rPr>
                <w:rFonts w:ascii="Arial" w:cs="Arial" w:eastAsia="Arial" w:hAnsi="Arial"/>
                <w:sz w:val="14"/>
                <w:szCs w:val="14"/>
                <w:color w:val="auto"/>
              </w:rPr>
              <w:t>23% Cliffs Natural Resources Inc.</w:t>
            </w:r>
          </w:p>
        </w:tc>
        <w:tc>
          <w:tcPr>
            <w:tcW w:w="1920" w:type="dxa"/>
            <w:vAlign w:val="bottom"/>
          </w:tcPr>
          <w:p>
            <w:pPr>
              <w:jc w:val="right"/>
              <w:spacing w:after="0"/>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14.7% United States Steel Corporation</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ArcelorMittal USA – Minorca Mine </w:t>
            </w:r>
            <w:r>
              <w:rPr>
                <w:rFonts w:ascii="Arial" w:cs="Arial" w:eastAsia="Arial" w:hAnsi="Arial"/>
                <w:sz w:val="14"/>
                <w:szCs w:val="14"/>
                <w:i w:val="1"/>
                <w:iCs w:val="1"/>
                <w:color w:val="auto"/>
              </w:rPr>
              <w:t>(b)</w:t>
            </w:r>
          </w:p>
        </w:tc>
        <w:tc>
          <w:tcPr>
            <w:tcW w:w="1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Taconite</w:t>
            </w: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Virginia, MN</w:t>
            </w: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ArcelorMittal USA Inc.</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February 28, 2013</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United States Steel Corporation</w:t>
            </w:r>
          </w:p>
        </w:tc>
        <w:tc>
          <w:tcPr>
            <w:tcW w:w="1480" w:type="dxa"/>
            <w:vAlign w:val="bottom"/>
            <w:vMerge w:val="restart"/>
          </w:tcPr>
          <w:p>
            <w:pPr>
              <w:ind w:left="400"/>
              <w:spacing w:after="0"/>
              <w:rPr>
                <w:sz w:val="20"/>
                <w:szCs w:val="20"/>
                <w:color w:val="auto"/>
              </w:rPr>
            </w:pPr>
            <w:r>
              <w:rPr>
                <w:rFonts w:ascii="Arial" w:cs="Arial" w:eastAsia="Arial" w:hAnsi="Arial"/>
                <w:sz w:val="14"/>
                <w:szCs w:val="14"/>
                <w:color w:val="auto"/>
              </w:rPr>
              <w:t>Taconite</w:t>
            </w:r>
          </w:p>
        </w:tc>
        <w:tc>
          <w:tcPr>
            <w:tcW w:w="2260" w:type="dxa"/>
            <w:vAlign w:val="bottom"/>
            <w:vMerge w:val="restart"/>
          </w:tcPr>
          <w:p>
            <w:pPr>
              <w:ind w:left="200"/>
              <w:spacing w:after="0"/>
              <w:rPr>
                <w:sz w:val="20"/>
                <w:szCs w:val="20"/>
                <w:color w:val="auto"/>
              </w:rPr>
            </w:pPr>
            <w:r>
              <w:rPr>
                <w:rFonts w:ascii="Arial" w:cs="Arial" w:eastAsia="Arial" w:hAnsi="Arial"/>
                <w:sz w:val="14"/>
                <w:szCs w:val="14"/>
                <w:color w:val="auto"/>
              </w:rPr>
              <w:t>Mt. Iron, MN and Keewatin, MN</w:t>
            </w:r>
          </w:p>
        </w:tc>
        <w:tc>
          <w:tcPr>
            <w:tcW w:w="3100" w:type="dxa"/>
            <w:vAlign w:val="bottom"/>
            <w:vMerge w:val="restart"/>
          </w:tcPr>
          <w:p>
            <w:pPr>
              <w:ind w:left="120"/>
              <w:spacing w:after="0"/>
              <w:rPr>
                <w:sz w:val="20"/>
                <w:szCs w:val="20"/>
                <w:color w:val="auto"/>
              </w:rPr>
            </w:pPr>
            <w:r>
              <w:rPr>
                <w:rFonts w:ascii="Arial" w:cs="Arial" w:eastAsia="Arial" w:hAnsi="Arial"/>
                <w:sz w:val="14"/>
                <w:szCs w:val="14"/>
                <w:color w:val="auto"/>
              </w:rPr>
              <w:t>United States Steel Corporation</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October 31, 2013</w:t>
            </w:r>
          </w:p>
        </w:tc>
        <w:tc>
          <w:tcPr>
            <w:tcW w:w="0" w:type="dxa"/>
            <w:vAlign w:val="bottom"/>
          </w:tcPr>
          <w:p>
            <w:pPr>
              <w:spacing w:after="0"/>
              <w:rPr>
                <w:sz w:val="1"/>
                <w:szCs w:val="1"/>
                <w:color w:val="auto"/>
              </w:rPr>
            </w:pPr>
          </w:p>
        </w:tc>
      </w:tr>
      <w:tr>
        <w:trPr>
          <w:trHeight w:val="96"/>
        </w:trPr>
        <w:tc>
          <w:tcPr>
            <w:tcW w:w="2700" w:type="dxa"/>
            <w:vAlign w:val="bottom"/>
            <w:vMerge w:val="restart"/>
          </w:tcPr>
          <w:p>
            <w:pPr>
              <w:spacing w:after="0"/>
              <w:rPr>
                <w:sz w:val="20"/>
                <w:szCs w:val="20"/>
                <w:color w:val="auto"/>
              </w:rPr>
            </w:pPr>
            <w:r>
              <w:rPr>
                <w:rFonts w:ascii="Arial" w:cs="Arial" w:eastAsia="Arial" w:hAnsi="Arial"/>
                <w:sz w:val="14"/>
                <w:szCs w:val="14"/>
                <w:color w:val="auto"/>
              </w:rPr>
              <w:t xml:space="preserve">(USS – Minnesota Ore) </w:t>
            </w:r>
            <w:r>
              <w:rPr>
                <w:rFonts w:ascii="Arial" w:cs="Arial" w:eastAsia="Arial" w:hAnsi="Arial"/>
                <w:sz w:val="14"/>
                <w:szCs w:val="14"/>
                <w:i w:val="1"/>
                <w:iCs w:val="1"/>
                <w:color w:val="auto"/>
              </w:rPr>
              <w:t>(c)</w:t>
            </w:r>
          </w:p>
        </w:tc>
        <w:tc>
          <w:tcPr>
            <w:tcW w:w="148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310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70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United Taconite LLC </w:t>
            </w:r>
            <w:r>
              <w:rPr>
                <w:rFonts w:ascii="Arial" w:cs="Arial" w:eastAsia="Arial" w:hAnsi="Arial"/>
                <w:sz w:val="14"/>
                <w:szCs w:val="14"/>
                <w:i w:val="1"/>
                <w:iCs w:val="1"/>
                <w:color w:val="auto"/>
              </w:rPr>
              <w:t>(a)</w:t>
            </w:r>
          </w:p>
        </w:tc>
        <w:tc>
          <w:tcPr>
            <w:tcW w:w="1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Taconite</w:t>
            </w: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Eveleth, MN</w:t>
            </w: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Cliffs Natural Resources Inc.</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 xml:space="preserve">UPM, Blandin Paper Mill </w:t>
            </w:r>
            <w:r>
              <w:rPr>
                <w:rFonts w:ascii="Arial" w:cs="Arial" w:eastAsia="Arial" w:hAnsi="Arial"/>
                <w:sz w:val="14"/>
                <w:szCs w:val="14"/>
                <w:i w:val="1"/>
                <w:iCs w:val="1"/>
                <w:color w:val="auto"/>
              </w:rPr>
              <w:t>(b)</w:t>
            </w:r>
          </w:p>
        </w:tc>
        <w:tc>
          <w:tcPr>
            <w:tcW w:w="1480" w:type="dxa"/>
            <w:vAlign w:val="bottom"/>
          </w:tcPr>
          <w:p>
            <w:pPr>
              <w:ind w:left="400"/>
              <w:spacing w:after="0"/>
              <w:rPr>
                <w:sz w:val="20"/>
                <w:szCs w:val="20"/>
                <w:color w:val="auto"/>
              </w:rPr>
            </w:pPr>
            <w:r>
              <w:rPr>
                <w:rFonts w:ascii="Arial" w:cs="Arial" w:eastAsia="Arial" w:hAnsi="Arial"/>
                <w:sz w:val="14"/>
                <w:szCs w:val="14"/>
                <w:color w:val="auto"/>
              </w:rPr>
              <w:t>Paper</w:t>
            </w:r>
          </w:p>
        </w:tc>
        <w:tc>
          <w:tcPr>
            <w:tcW w:w="2260" w:type="dxa"/>
            <w:vAlign w:val="bottom"/>
          </w:tcPr>
          <w:p>
            <w:pPr>
              <w:ind w:left="200"/>
              <w:spacing w:after="0"/>
              <w:rPr>
                <w:sz w:val="20"/>
                <w:szCs w:val="20"/>
                <w:color w:val="auto"/>
              </w:rPr>
            </w:pPr>
            <w:r>
              <w:rPr>
                <w:rFonts w:ascii="Arial" w:cs="Arial" w:eastAsia="Arial" w:hAnsi="Arial"/>
                <w:sz w:val="14"/>
                <w:szCs w:val="14"/>
                <w:color w:val="auto"/>
              </w:rPr>
              <w:t>Grand Rapids, MN</w:t>
            </w:r>
          </w:p>
        </w:tc>
        <w:tc>
          <w:tcPr>
            <w:tcW w:w="3100" w:type="dxa"/>
            <w:vAlign w:val="bottom"/>
          </w:tcPr>
          <w:p>
            <w:pPr>
              <w:ind w:left="120"/>
              <w:spacing w:after="0"/>
              <w:rPr>
                <w:sz w:val="20"/>
                <w:szCs w:val="20"/>
                <w:color w:val="auto"/>
              </w:rPr>
            </w:pPr>
            <w:r>
              <w:rPr>
                <w:rFonts w:ascii="Arial" w:cs="Arial" w:eastAsia="Arial" w:hAnsi="Arial"/>
                <w:sz w:val="14"/>
                <w:szCs w:val="14"/>
                <w:color w:val="auto"/>
              </w:rPr>
              <w:t>UPM-Kymmene Corporation</w:t>
            </w:r>
          </w:p>
        </w:tc>
        <w:tc>
          <w:tcPr>
            <w:tcW w:w="1920" w:type="dxa"/>
            <w:vAlign w:val="bottom"/>
          </w:tcPr>
          <w:p>
            <w:pPr>
              <w:jc w:val="right"/>
              <w:spacing w:after="0"/>
              <w:rPr>
                <w:sz w:val="20"/>
                <w:szCs w:val="20"/>
                <w:color w:val="auto"/>
              </w:rPr>
            </w:pPr>
            <w:r>
              <w:rPr>
                <w:rFonts w:ascii="Arial" w:cs="Arial" w:eastAsia="Arial" w:hAnsi="Arial"/>
                <w:sz w:val="14"/>
                <w:szCs w:val="14"/>
                <w:color w:val="auto"/>
              </w:rPr>
              <w:t>February 28, 2013</w:t>
            </w: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Boise White Paper, LLC </w:t>
            </w:r>
            <w:r>
              <w:rPr>
                <w:rFonts w:ascii="Arial" w:cs="Arial" w:eastAsia="Arial" w:hAnsi="Arial"/>
                <w:sz w:val="14"/>
                <w:szCs w:val="14"/>
                <w:i w:val="1"/>
                <w:iCs w:val="1"/>
                <w:color w:val="auto"/>
              </w:rPr>
              <w:t>(d)</w:t>
            </w:r>
          </w:p>
        </w:tc>
        <w:tc>
          <w:tcPr>
            <w:tcW w:w="1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Paper</w:t>
            </w: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International Falls, MN</w:t>
            </w: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Boise Paper Holdings, LLC</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 xml:space="preserve">Sappi Cloquet LLC </w:t>
            </w:r>
            <w:r>
              <w:rPr>
                <w:rFonts w:ascii="Arial" w:cs="Arial" w:eastAsia="Arial" w:hAnsi="Arial"/>
                <w:sz w:val="14"/>
                <w:szCs w:val="14"/>
                <w:i w:val="1"/>
                <w:iCs w:val="1"/>
                <w:color w:val="auto"/>
              </w:rPr>
              <w:t>(b)</w:t>
            </w:r>
          </w:p>
        </w:tc>
        <w:tc>
          <w:tcPr>
            <w:tcW w:w="1480" w:type="dxa"/>
            <w:vAlign w:val="bottom"/>
          </w:tcPr>
          <w:p>
            <w:pPr>
              <w:ind w:left="400"/>
              <w:spacing w:after="0"/>
              <w:rPr>
                <w:sz w:val="20"/>
                <w:szCs w:val="20"/>
                <w:color w:val="auto"/>
              </w:rPr>
            </w:pPr>
            <w:r>
              <w:rPr>
                <w:rFonts w:ascii="Arial" w:cs="Arial" w:eastAsia="Arial" w:hAnsi="Arial"/>
                <w:sz w:val="14"/>
                <w:szCs w:val="14"/>
                <w:color w:val="auto"/>
              </w:rPr>
              <w:t>Paper and Pulp</w:t>
            </w:r>
          </w:p>
        </w:tc>
        <w:tc>
          <w:tcPr>
            <w:tcW w:w="2260" w:type="dxa"/>
            <w:vAlign w:val="bottom"/>
          </w:tcPr>
          <w:p>
            <w:pPr>
              <w:ind w:left="200"/>
              <w:spacing w:after="0"/>
              <w:rPr>
                <w:sz w:val="20"/>
                <w:szCs w:val="20"/>
                <w:color w:val="auto"/>
              </w:rPr>
            </w:pPr>
            <w:r>
              <w:rPr>
                <w:rFonts w:ascii="Arial" w:cs="Arial" w:eastAsia="Arial" w:hAnsi="Arial"/>
                <w:sz w:val="14"/>
                <w:szCs w:val="14"/>
                <w:color w:val="auto"/>
              </w:rPr>
              <w:t>Cloquet, MN</w:t>
            </w:r>
          </w:p>
        </w:tc>
        <w:tc>
          <w:tcPr>
            <w:tcW w:w="3100" w:type="dxa"/>
            <w:vAlign w:val="bottom"/>
          </w:tcPr>
          <w:p>
            <w:pPr>
              <w:ind w:left="120"/>
              <w:spacing w:after="0"/>
              <w:rPr>
                <w:sz w:val="20"/>
                <w:szCs w:val="20"/>
                <w:color w:val="auto"/>
              </w:rPr>
            </w:pPr>
            <w:r>
              <w:rPr>
                <w:rFonts w:ascii="Arial" w:cs="Arial" w:eastAsia="Arial" w:hAnsi="Arial"/>
                <w:sz w:val="14"/>
                <w:szCs w:val="14"/>
                <w:color w:val="auto"/>
              </w:rPr>
              <w:t>Sappi Limited</w:t>
            </w:r>
          </w:p>
        </w:tc>
        <w:tc>
          <w:tcPr>
            <w:tcW w:w="1920" w:type="dxa"/>
            <w:vAlign w:val="bottom"/>
          </w:tcPr>
          <w:p>
            <w:pPr>
              <w:jc w:val="right"/>
              <w:spacing w:after="0"/>
              <w:rPr>
                <w:sz w:val="20"/>
                <w:szCs w:val="20"/>
                <w:color w:val="auto"/>
              </w:rPr>
            </w:pPr>
            <w:r>
              <w:rPr>
                <w:rFonts w:ascii="Arial" w:cs="Arial" w:eastAsia="Arial" w:hAnsi="Arial"/>
                <w:sz w:val="14"/>
                <w:szCs w:val="14"/>
                <w:color w:val="auto"/>
              </w:rPr>
              <w:t>February 28, 2013</w:t>
            </w: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NewPage Corporation – Duluth Mills</w:t>
            </w:r>
          </w:p>
        </w:tc>
        <w:tc>
          <w:tcPr>
            <w:tcW w:w="1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Paper and Pulp</w:t>
            </w: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Duluth, MN</w:t>
            </w: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NewPage Corporation</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31, 2013</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 xml:space="preserve">USG Interiors, Inc. </w:t>
            </w:r>
            <w:r>
              <w:rPr>
                <w:rFonts w:ascii="Arial" w:cs="Arial" w:eastAsia="Arial" w:hAnsi="Arial"/>
                <w:sz w:val="14"/>
                <w:szCs w:val="14"/>
                <w:i w:val="1"/>
                <w:iCs w:val="1"/>
                <w:color w:val="auto"/>
              </w:rPr>
              <w:t>(e)</w:t>
            </w:r>
          </w:p>
        </w:tc>
        <w:tc>
          <w:tcPr>
            <w:tcW w:w="1480" w:type="dxa"/>
            <w:vAlign w:val="bottom"/>
          </w:tcPr>
          <w:p>
            <w:pPr>
              <w:ind w:left="400"/>
              <w:spacing w:after="0"/>
              <w:rPr>
                <w:sz w:val="20"/>
                <w:szCs w:val="20"/>
                <w:color w:val="auto"/>
              </w:rPr>
            </w:pPr>
            <w:r>
              <w:rPr>
                <w:rFonts w:ascii="Arial" w:cs="Arial" w:eastAsia="Arial" w:hAnsi="Arial"/>
                <w:sz w:val="14"/>
                <w:szCs w:val="14"/>
                <w:color w:val="auto"/>
              </w:rPr>
              <w:t>Manufacturer</w:t>
            </w:r>
          </w:p>
        </w:tc>
        <w:tc>
          <w:tcPr>
            <w:tcW w:w="2260" w:type="dxa"/>
            <w:vAlign w:val="bottom"/>
          </w:tcPr>
          <w:p>
            <w:pPr>
              <w:ind w:left="200"/>
              <w:spacing w:after="0"/>
              <w:rPr>
                <w:sz w:val="20"/>
                <w:szCs w:val="20"/>
                <w:color w:val="auto"/>
              </w:rPr>
            </w:pPr>
            <w:r>
              <w:rPr>
                <w:rFonts w:ascii="Arial" w:cs="Arial" w:eastAsia="Arial" w:hAnsi="Arial"/>
                <w:sz w:val="14"/>
                <w:szCs w:val="14"/>
                <w:color w:val="auto"/>
              </w:rPr>
              <w:t>Cloquet, MN</w:t>
            </w:r>
          </w:p>
        </w:tc>
        <w:tc>
          <w:tcPr>
            <w:tcW w:w="3100" w:type="dxa"/>
            <w:vAlign w:val="bottom"/>
          </w:tcPr>
          <w:p>
            <w:pPr>
              <w:ind w:left="120"/>
              <w:spacing w:after="0"/>
              <w:rPr>
                <w:sz w:val="20"/>
                <w:szCs w:val="20"/>
                <w:color w:val="auto"/>
              </w:rPr>
            </w:pPr>
            <w:r>
              <w:rPr>
                <w:rFonts w:ascii="Arial" w:cs="Arial" w:eastAsia="Arial" w:hAnsi="Arial"/>
                <w:sz w:val="14"/>
                <w:szCs w:val="14"/>
                <w:color w:val="auto"/>
              </w:rPr>
              <w:t>USG Corporation</w:t>
            </w:r>
          </w:p>
        </w:tc>
        <w:tc>
          <w:tcPr>
            <w:tcW w:w="1920" w:type="dxa"/>
            <w:vAlign w:val="bottom"/>
          </w:tcPr>
          <w:p>
            <w:pPr>
              <w:jc w:val="right"/>
              <w:spacing w:after="0"/>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Enbridge Energy Company,</w:t>
            </w:r>
          </w:p>
        </w:tc>
        <w:tc>
          <w:tcPr>
            <w:tcW w:w="148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Pipeline</w:t>
            </w: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Deer River, MN</w:t>
            </w: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Enbridge Energy Company,</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June 30, 2009</w:t>
            </w:r>
          </w:p>
        </w:tc>
        <w:tc>
          <w:tcPr>
            <w:tcW w:w="0" w:type="dxa"/>
            <w:vAlign w:val="bottom"/>
          </w:tcPr>
          <w:p>
            <w:pPr>
              <w:spacing w:after="0"/>
              <w:rPr>
                <w:sz w:val="1"/>
                <w:szCs w:val="1"/>
                <w:color w:val="auto"/>
              </w:rPr>
            </w:pPr>
          </w:p>
        </w:tc>
      </w:tr>
      <w:tr>
        <w:trPr>
          <w:trHeight w:val="96"/>
        </w:trPr>
        <w:tc>
          <w:tcPr>
            <w:tcW w:w="27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Limited Partnership </w:t>
            </w:r>
            <w:r>
              <w:rPr>
                <w:rFonts w:ascii="Arial" w:cs="Arial" w:eastAsia="Arial" w:hAnsi="Arial"/>
                <w:sz w:val="14"/>
                <w:szCs w:val="14"/>
                <w:i w:val="1"/>
                <w:iCs w:val="1"/>
                <w:color w:val="auto"/>
              </w:rPr>
              <w:t>(e)</w:t>
            </w:r>
          </w:p>
        </w:tc>
        <w:tc>
          <w:tcPr>
            <w:tcW w:w="1480" w:type="dxa"/>
            <w:vAlign w:val="bottom"/>
            <w:vMerge w:val="continue"/>
            <w:shd w:val="clear" w:color="auto" w:fill="CCEEFF"/>
          </w:tcPr>
          <w:p>
            <w:pPr>
              <w:spacing w:after="0"/>
              <w:rPr>
                <w:sz w:val="8"/>
                <w:szCs w:val="8"/>
                <w:color w:val="auto"/>
              </w:rPr>
            </w:pPr>
          </w:p>
        </w:tc>
        <w:tc>
          <w:tcPr>
            <w:tcW w:w="22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Floodwood, MN</w:t>
            </w:r>
          </w:p>
        </w:tc>
        <w:tc>
          <w:tcPr>
            <w:tcW w:w="31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Limited Partnership</w:t>
            </w:r>
          </w:p>
        </w:tc>
        <w:tc>
          <w:tcPr>
            <w:tcW w:w="1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700" w:type="dxa"/>
            <w:vAlign w:val="bottom"/>
            <w:vMerge w:val="continue"/>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260" w:type="dxa"/>
            <w:vAlign w:val="bottom"/>
            <w:vMerge w:val="continue"/>
            <w:shd w:val="clear" w:color="auto" w:fill="CCEEFF"/>
          </w:tcPr>
          <w:p>
            <w:pPr>
              <w:spacing w:after="0"/>
              <w:rPr>
                <w:sz w:val="7"/>
                <w:szCs w:val="7"/>
                <w:color w:val="auto"/>
              </w:rPr>
            </w:pPr>
          </w:p>
        </w:tc>
        <w:tc>
          <w:tcPr>
            <w:tcW w:w="3100" w:type="dxa"/>
            <w:vAlign w:val="bottom"/>
            <w:vMerge w:val="continue"/>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60" w:type="dxa"/>
            <w:vAlign w:val="bottom"/>
          </w:tcPr>
          <w:p>
            <w:pPr>
              <w:ind w:left="200"/>
              <w:spacing w:after="0"/>
              <w:rPr>
                <w:sz w:val="20"/>
                <w:szCs w:val="20"/>
                <w:color w:val="auto"/>
              </w:rPr>
            </w:pPr>
            <w:r>
              <w:rPr>
                <w:rFonts w:ascii="Arial" w:cs="Arial" w:eastAsia="Arial" w:hAnsi="Arial"/>
                <w:sz w:val="14"/>
                <w:szCs w:val="14"/>
                <w:color w:val="auto"/>
              </w:rPr>
              <w:t>Staples, MN</w:t>
            </w:r>
          </w:p>
        </w:tc>
        <w:tc>
          <w:tcPr>
            <w:tcW w:w="3100" w:type="dxa"/>
            <w:vAlign w:val="bottom"/>
          </w:tcPr>
          <w:p>
            <w:pPr>
              <w:ind w:left="120"/>
              <w:spacing w:after="0"/>
              <w:rPr>
                <w:sz w:val="20"/>
                <w:szCs w:val="20"/>
                <w:color w:val="auto"/>
              </w:rPr>
            </w:pPr>
            <w:r>
              <w:rPr>
                <w:rFonts w:ascii="Arial" w:cs="Arial" w:eastAsia="Arial" w:hAnsi="Arial"/>
                <w:sz w:val="14"/>
                <w:szCs w:val="14"/>
                <w:color w:val="auto"/>
              </w:rPr>
              <w:t>60% Koch Pipeline Co. L.P.</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 xml:space="preserve">Minnesota Pipeline Company </w:t>
            </w:r>
            <w:r>
              <w:rPr>
                <w:rFonts w:ascii="Arial" w:cs="Arial" w:eastAsia="Arial" w:hAnsi="Arial"/>
                <w:sz w:val="14"/>
                <w:szCs w:val="14"/>
                <w:i w:val="1"/>
                <w:iCs w:val="1"/>
                <w:color w:val="auto"/>
              </w:rPr>
              <w:t>(e)</w:t>
            </w:r>
          </w:p>
        </w:tc>
        <w:tc>
          <w:tcPr>
            <w:tcW w:w="1480" w:type="dxa"/>
            <w:vAlign w:val="bottom"/>
          </w:tcPr>
          <w:p>
            <w:pPr>
              <w:ind w:left="400"/>
              <w:spacing w:after="0"/>
              <w:rPr>
                <w:sz w:val="20"/>
                <w:szCs w:val="20"/>
                <w:color w:val="auto"/>
              </w:rPr>
            </w:pPr>
            <w:r>
              <w:rPr>
                <w:rFonts w:ascii="Arial" w:cs="Arial" w:eastAsia="Arial" w:hAnsi="Arial"/>
                <w:sz w:val="14"/>
                <w:szCs w:val="14"/>
                <w:color w:val="auto"/>
              </w:rPr>
              <w:t>Pipeline</w:t>
            </w:r>
          </w:p>
        </w:tc>
        <w:tc>
          <w:tcPr>
            <w:tcW w:w="2260" w:type="dxa"/>
            <w:vAlign w:val="bottom"/>
          </w:tcPr>
          <w:p>
            <w:pPr>
              <w:ind w:left="200"/>
              <w:spacing w:after="0"/>
              <w:rPr>
                <w:sz w:val="20"/>
                <w:szCs w:val="20"/>
                <w:color w:val="auto"/>
              </w:rPr>
            </w:pPr>
            <w:r>
              <w:rPr>
                <w:rFonts w:ascii="Arial" w:cs="Arial" w:eastAsia="Arial" w:hAnsi="Arial"/>
                <w:sz w:val="14"/>
                <w:szCs w:val="14"/>
                <w:color w:val="auto"/>
              </w:rPr>
              <w:t>Little Falls, MN</w:t>
            </w:r>
          </w:p>
        </w:tc>
        <w:tc>
          <w:tcPr>
            <w:tcW w:w="3100" w:type="dxa"/>
            <w:vAlign w:val="bottom"/>
          </w:tcPr>
          <w:p>
            <w:pPr>
              <w:ind w:left="120"/>
              <w:spacing w:after="0"/>
              <w:rPr>
                <w:sz w:val="20"/>
                <w:szCs w:val="20"/>
                <w:color w:val="auto"/>
              </w:rPr>
            </w:pPr>
            <w:r>
              <w:rPr>
                <w:rFonts w:ascii="Arial" w:cs="Arial" w:eastAsia="Arial" w:hAnsi="Arial"/>
                <w:sz w:val="14"/>
                <w:szCs w:val="14"/>
                <w:color w:val="auto"/>
              </w:rPr>
              <w:t>40% Marathon Ashland</w:t>
            </w:r>
          </w:p>
        </w:tc>
        <w:tc>
          <w:tcPr>
            <w:tcW w:w="1920" w:type="dxa"/>
            <w:vAlign w:val="bottom"/>
          </w:tcPr>
          <w:p>
            <w:pPr>
              <w:jc w:val="right"/>
              <w:spacing w:after="0"/>
              <w:rPr>
                <w:sz w:val="20"/>
                <w:szCs w:val="20"/>
                <w:color w:val="auto"/>
              </w:rPr>
            </w:pPr>
            <w:r>
              <w:rPr>
                <w:rFonts w:ascii="Arial" w:cs="Arial" w:eastAsia="Arial" w:hAnsi="Arial"/>
                <w:sz w:val="14"/>
                <w:szCs w:val="14"/>
                <w:color w:val="auto"/>
              </w:rPr>
              <w:t>April 7, 2009</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Park Rapids, MN</w:t>
            </w:r>
          </w:p>
        </w:tc>
        <w:tc>
          <w:tcPr>
            <w:tcW w:w="3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Petroleum LLC</w:t>
            </w: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60" w:hanging="254"/>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Contract extensions at Hibbing Taconite Co. and United Taconite LLC are pending final approval from the MPUC.</w:t>
      </w:r>
    </w:p>
    <w:p>
      <w:pPr>
        <w:spacing w:after="0" w:line="20" w:lineRule="exact"/>
        <w:rPr>
          <w:rFonts w:ascii="Arial" w:cs="Arial" w:eastAsia="Arial" w:hAnsi="Arial"/>
          <w:sz w:val="14"/>
          <w:szCs w:val="14"/>
          <w:i w:val="1"/>
          <w:iCs w:val="1"/>
          <w:color w:val="auto"/>
        </w:rPr>
      </w:pPr>
    </w:p>
    <w:p>
      <w:pPr>
        <w:ind w:left="260" w:hanging="254"/>
        <w:spacing w:after="0" w:line="257" w:lineRule="auto"/>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contract will terminate four years from the date of written notice from either Minnesota Power or the customer. No notice of contract cancellation has been given by either party. Thus, the earliest date of cancellation is February 28, 2013.</w:t>
      </w:r>
    </w:p>
    <w:p>
      <w:pPr>
        <w:ind w:left="260" w:hanging="254"/>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United States Steel Corporation includes the Minntac Plant in Mountain Iron, MN and the Keewatin Taconite Plant in Keewatin, MN.</w:t>
      </w:r>
    </w:p>
    <w:p>
      <w:pPr>
        <w:spacing w:after="0" w:line="11" w:lineRule="exact"/>
        <w:rPr>
          <w:rFonts w:ascii="Arial" w:cs="Arial" w:eastAsia="Arial" w:hAnsi="Arial"/>
          <w:sz w:val="14"/>
          <w:szCs w:val="14"/>
          <w:i w:val="1"/>
          <w:iCs w:val="1"/>
          <w:color w:val="auto"/>
        </w:rPr>
      </w:pPr>
    </w:p>
    <w:p>
      <w:pPr>
        <w:ind w:left="240" w:hanging="234"/>
        <w:spacing w:after="0"/>
        <w:tabs>
          <w:tab w:leader="none" w:pos="2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 contract amendment has been filed with the MPUC which provides for an extension of the agreement through December 31, 2013.</w:t>
      </w:r>
    </w:p>
    <w:p>
      <w:pPr>
        <w:spacing w:after="0" w:line="11" w:lineRule="exact"/>
        <w:rPr>
          <w:rFonts w:ascii="Arial" w:cs="Arial" w:eastAsia="Arial" w:hAnsi="Arial"/>
          <w:sz w:val="14"/>
          <w:szCs w:val="14"/>
          <w:i w:val="1"/>
          <w:iCs w:val="1"/>
          <w:color w:val="auto"/>
        </w:rPr>
      </w:pPr>
    </w:p>
    <w:p>
      <w:pPr>
        <w:ind w:left="240" w:hanging="234"/>
        <w:spacing w:after="0" w:line="274" w:lineRule="auto"/>
        <w:tabs>
          <w:tab w:leader="none" w:pos="2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with USG Interiors, Inc., Minnesota Pipeline Company, and Enbridge Energy Company are all in cancellation periods effective on or before December 31, 2009; new contracts are expected to be agreed upon prior to expiration.</w:t>
      </w:r>
    </w:p>
    <w:p>
      <w:pPr>
        <w:spacing w:after="0" w:line="16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 March 2008, Minnesota Power signed a new contract with Northshore Mining Company to meet additional load requirements. The contract was approved by the MPUC and runs through at least June 30, 2011.</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 September 2008, Cliffs Natural Resources Inc. (Cliffs) and Minnesota Power signed new contracts for service to Hibbing Taconite Co. and United Taconite LLC. These electric service agreements, which are pending final MPUC approval, extend the existing contract terms out to at least December 31, 2015.</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31" w:right="2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Residential and Commercial Customers. </w:t>
      </w:r>
      <w:r>
        <w:rPr>
          <w:rFonts w:ascii="Arial" w:cs="Arial" w:eastAsia="Arial" w:hAnsi="Arial"/>
          <w:sz w:val="14"/>
          <w:szCs w:val="14"/>
          <w:color w:val="auto"/>
        </w:rPr>
        <w:t>In 2008, our residential and commercial customers represented 21 percent of total regulated utility kilowatt-hour sales. Minnesota Power provides</w:t>
      </w:r>
      <w:r>
        <w:rPr>
          <w:rFonts w:ascii="Arial" w:cs="Arial" w:eastAsia="Arial" w:hAnsi="Arial"/>
          <w:sz w:val="14"/>
          <w:szCs w:val="14"/>
          <w:b w:val="1"/>
          <w:bCs w:val="1"/>
          <w:color w:val="auto"/>
        </w:rPr>
        <w:t xml:space="preserve"> </w:t>
      </w:r>
      <w:r>
        <w:rPr>
          <w:rFonts w:ascii="Arial" w:cs="Arial" w:eastAsia="Arial" w:hAnsi="Arial"/>
          <w:sz w:val="14"/>
          <w:szCs w:val="14"/>
          <w:color w:val="auto"/>
        </w:rPr>
        <w:t>regulated utility electric service in northeastern Minnesota to approximately 142,000 residential and commercial customers. SWL&amp;P provides regulated electric service, natural gas and water service in northwestern Wisconsin to 15,000 electric customers, 12,000 natural gas customers and 10,000 water customers.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 xml:space="preserve">Municipal Customers. </w:t>
      </w:r>
      <w:r>
        <w:rPr>
          <w:rFonts w:ascii="Arial" w:cs="Arial" w:eastAsia="Arial" w:hAnsi="Arial"/>
          <w:sz w:val="13"/>
          <w:szCs w:val="13"/>
          <w:color w:val="auto"/>
        </w:rPr>
        <w:t>In 2008, our municipal customers represented 8 percent of total regulated utility kilowatt-hour sales. Our municipal customers consist of 16 municipalities in Minnesota and 1</w:t>
      </w:r>
      <w:r>
        <w:rPr>
          <w:rFonts w:ascii="Arial" w:cs="Arial" w:eastAsia="Arial" w:hAnsi="Arial"/>
          <w:sz w:val="13"/>
          <w:szCs w:val="13"/>
          <w:b w:val="1"/>
          <w:bCs w:val="1"/>
          <w:color w:val="auto"/>
        </w:rPr>
        <w:t xml:space="preserve"> </w:t>
      </w:r>
      <w:r>
        <w:rPr>
          <w:rFonts w:ascii="Arial" w:cs="Arial" w:eastAsia="Arial" w:hAnsi="Arial"/>
          <w:sz w:val="13"/>
          <w:szCs w:val="13"/>
          <w:color w:val="auto"/>
        </w:rPr>
        <w:t>private utility in Wisconsin. The FERC has jurisdiction over our wholesale electric service, tariff rates, and operations. In 2008 Minnesota Power entered into new contracts with all of our municipal customers with the exception of one small customer whose contract is now in the cancellation period. The new contracts transition each customer to formula based rates, which means rates can be adjusted annually based on changes in costs. The new agreement with the private utility in Wisconsin is subject to PSCW approval. In November 2008, we filed a request with the FERC to implement the formula based rate provision in the new contracts. We anticipate final resolution and implementation of new rates in the first quarter of 2009.</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Other Power Suppliers. </w:t>
      </w:r>
      <w:r>
        <w:rPr>
          <w:rFonts w:ascii="Arial" w:cs="Arial" w:eastAsia="Arial" w:hAnsi="Arial"/>
          <w:sz w:val="14"/>
          <w:szCs w:val="14"/>
          <w:color w:val="auto"/>
        </w:rPr>
        <w:t>The Company also enters into off system sales with Other Power Suppliers. These sales are dependent upon the availability of generation and are sold at market based prices</w:t>
      </w:r>
      <w:r>
        <w:rPr>
          <w:rFonts w:ascii="Arial" w:cs="Arial" w:eastAsia="Arial" w:hAnsi="Arial"/>
          <w:sz w:val="14"/>
          <w:szCs w:val="14"/>
          <w:b w:val="1"/>
          <w:bCs w:val="1"/>
          <w:color w:val="auto"/>
        </w:rPr>
        <w:t xml:space="preserve"> </w:t>
      </w:r>
      <w:r>
        <w:rPr>
          <w:rFonts w:ascii="Arial" w:cs="Arial" w:eastAsia="Arial" w:hAnsi="Arial"/>
          <w:sz w:val="14"/>
          <w:szCs w:val="14"/>
          <w:color w:val="auto"/>
        </w:rPr>
        <w:t>into the MISO market on a daily basis or through bilateral agreements of various durations.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Approximately 200 MWs of capacity and energy from our Taconite Harbor facility in northern Minnesota has been sold through two sales contracts totaling 175 MWs (201 MWs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the fixed minimum charge or an annual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liability. Outages with less than two months notice are subject to an annual duration limitation typical of this type of contract. These contracts qualify for the normal purchase normal sale exception under SFAS 133 “Accounting for Derivative Instruments and Hedging Activities” and are not required to be recorded at fair value.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2009, we have sold up to 225 MWs per month to Other Power Suppliers to mitigate the demand reduction expected from our taconite customers; these contracts expire at various times during 2009.</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Supply</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order to meet our customer’s electric requirements, we utilize a mix of Company generation and purchased power. The Company’s generation is primarily coal fired, but also includes approximately 112 MWs of hydro generation from nine hydro stations in Minnesota and 25 MWs of wind generation. Purchased power is made up of long term power purchase agreements and market purchases. The following table reflects the Company’s generating capabilities and total electrical requirements as of December 31, 2008. Minnesota Power had an annual net peak load of 1,582 MWs on January 18, 2008.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Supply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jc w:val="center"/>
              <w:ind w:left="228"/>
              <w:spacing w:after="0"/>
              <w:rPr>
                <w:sz w:val="20"/>
                <w:szCs w:val="20"/>
                <w:color w:val="auto"/>
              </w:rPr>
            </w:pPr>
            <w:r>
              <w:rPr>
                <w:rFonts w:ascii="Arial" w:cs="Arial" w:eastAsia="Arial" w:hAnsi="Arial"/>
                <w:sz w:val="14"/>
                <w:szCs w:val="14"/>
                <w:b w:val="1"/>
                <w:bCs w:val="1"/>
                <w:color w:val="auto"/>
                <w:w w:val="93"/>
              </w:rPr>
              <w:t>For the Year Ended</w:t>
            </w: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Regulated Utility</w:t>
            </w:r>
          </w:p>
        </w:tc>
        <w:tc>
          <w:tcPr>
            <w:tcW w:w="1940" w:type="dxa"/>
            <w:vAlign w:val="bottom"/>
            <w:shd w:val="clear" w:color="auto" w:fill="CCEEFF"/>
          </w:tcPr>
          <w:p>
            <w:pPr>
              <w:jc w:val="center"/>
              <w:ind w:left="828"/>
              <w:spacing w:after="0"/>
              <w:rPr>
                <w:sz w:val="20"/>
                <w:szCs w:val="20"/>
                <w:color w:val="auto"/>
              </w:rPr>
            </w:pPr>
            <w:r>
              <w:rPr>
                <w:rFonts w:ascii="Arial" w:cs="Arial" w:eastAsia="Arial" w:hAnsi="Arial"/>
                <w:sz w:val="14"/>
                <w:szCs w:val="14"/>
                <w:b w:val="1"/>
                <w:bCs w:val="1"/>
                <w:color w:val="auto"/>
              </w:rPr>
              <w:t>Unit</w:t>
            </w:r>
          </w:p>
        </w:tc>
        <w:tc>
          <w:tcPr>
            <w:tcW w:w="1440" w:type="dxa"/>
            <w:vAlign w:val="bottom"/>
            <w:shd w:val="clear" w:color="auto" w:fill="CCEEFF"/>
          </w:tcPr>
          <w:p>
            <w:pPr>
              <w:jc w:val="center"/>
              <w:ind w:right="88"/>
              <w:spacing w:after="0"/>
              <w:rPr>
                <w:sz w:val="20"/>
                <w:szCs w:val="20"/>
                <w:color w:val="auto"/>
              </w:rPr>
            </w:pPr>
            <w:r>
              <w:rPr>
                <w:rFonts w:ascii="Arial" w:cs="Arial" w:eastAsia="Arial" w:hAnsi="Arial"/>
                <w:sz w:val="14"/>
                <w:szCs w:val="14"/>
                <w:b w:val="1"/>
                <w:bCs w:val="1"/>
                <w:color w:val="auto"/>
                <w:w w:val="92"/>
              </w:rPr>
              <w:t>Year</w:t>
            </w:r>
          </w:p>
        </w:tc>
        <w:tc>
          <w:tcPr>
            <w:tcW w:w="1540" w:type="dxa"/>
            <w:vAlign w:val="bottom"/>
            <w:shd w:val="clear" w:color="auto" w:fill="CCEEFF"/>
          </w:tcPr>
          <w:p>
            <w:pPr>
              <w:jc w:val="center"/>
              <w:ind w:left="68"/>
              <w:spacing w:after="0"/>
              <w:rPr>
                <w:sz w:val="20"/>
                <w:szCs w:val="20"/>
                <w:color w:val="auto"/>
              </w:rPr>
            </w:pPr>
            <w:r>
              <w:rPr>
                <w:rFonts w:ascii="Arial" w:cs="Arial" w:eastAsia="Arial" w:hAnsi="Arial"/>
                <w:sz w:val="14"/>
                <w:szCs w:val="14"/>
                <w:b w:val="1"/>
                <w:bCs w:val="1"/>
                <w:color w:val="auto"/>
                <w:w w:val="97"/>
              </w:rPr>
              <w:t>Net Winter</w:t>
            </w:r>
          </w:p>
        </w:tc>
        <w:tc>
          <w:tcPr>
            <w:tcW w:w="1740" w:type="dxa"/>
            <w:vAlign w:val="bottom"/>
            <w:shd w:val="clear" w:color="auto" w:fill="CCEEFF"/>
          </w:tcPr>
          <w:p>
            <w:pPr>
              <w:jc w:val="center"/>
              <w:ind w:left="228"/>
              <w:spacing w:after="0"/>
              <w:rPr>
                <w:sz w:val="20"/>
                <w:szCs w:val="20"/>
                <w:color w:val="auto"/>
              </w:rPr>
            </w:pPr>
            <w:r>
              <w:rPr>
                <w:rFonts w:ascii="Arial" w:cs="Arial" w:eastAsia="Arial" w:hAnsi="Arial"/>
                <w:sz w:val="14"/>
                <w:szCs w:val="14"/>
                <w:b w:val="1"/>
                <w:bCs w:val="1"/>
                <w:color w:val="auto"/>
                <w:w w:val="91"/>
              </w:rPr>
              <w:t>December 31, 2008</w:t>
            </w: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Power Supply</w:t>
            </w:r>
          </w:p>
        </w:tc>
        <w:tc>
          <w:tcPr>
            <w:tcW w:w="1940" w:type="dxa"/>
            <w:vAlign w:val="bottom"/>
            <w:tcBorders>
              <w:bottom w:val="single" w:sz="8" w:color="auto"/>
            </w:tcBorders>
            <w:shd w:val="clear" w:color="auto" w:fill="CCEEFF"/>
          </w:tcPr>
          <w:p>
            <w:pPr>
              <w:jc w:val="center"/>
              <w:ind w:left="828"/>
              <w:spacing w:after="0"/>
              <w:rPr>
                <w:sz w:val="20"/>
                <w:szCs w:val="20"/>
                <w:color w:val="auto"/>
              </w:rPr>
            </w:pPr>
            <w:r>
              <w:rPr>
                <w:rFonts w:ascii="Arial" w:cs="Arial" w:eastAsia="Arial" w:hAnsi="Arial"/>
                <w:sz w:val="14"/>
                <w:szCs w:val="14"/>
                <w:b w:val="1"/>
                <w:bCs w:val="1"/>
                <w:color w:val="auto"/>
                <w:w w:val="88"/>
              </w:rPr>
              <w:t>No.</w:t>
            </w:r>
          </w:p>
        </w:tc>
        <w:tc>
          <w:tcPr>
            <w:tcW w:w="144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w w:val="94"/>
              </w:rPr>
              <w:t>Installed</w:t>
            </w:r>
          </w:p>
        </w:tc>
        <w:tc>
          <w:tcPr>
            <w:tcW w:w="154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b w:val="1"/>
                <w:bCs w:val="1"/>
                <w:color w:val="auto"/>
                <w:w w:val="95"/>
              </w:rPr>
              <w:t>Capability</w:t>
            </w:r>
          </w:p>
        </w:tc>
        <w:tc>
          <w:tcPr>
            <w:tcW w:w="174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b w:val="1"/>
                <w:bCs w:val="1"/>
                <w:color w:val="auto"/>
                <w:w w:val="93"/>
              </w:rPr>
              <w:t>Electric Requirements</w:t>
            </w:r>
          </w:p>
        </w:tc>
        <w:tc>
          <w:tcPr>
            <w:tcW w:w="5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center"/>
              <w:ind w:left="68"/>
              <w:spacing w:after="0"/>
              <w:rPr>
                <w:sz w:val="20"/>
                <w:szCs w:val="20"/>
                <w:color w:val="auto"/>
              </w:rPr>
            </w:pPr>
            <w:r>
              <w:rPr>
                <w:rFonts w:ascii="Arial" w:cs="Arial" w:eastAsia="Arial" w:hAnsi="Arial"/>
                <w:sz w:val="14"/>
                <w:szCs w:val="14"/>
                <w:b w:val="1"/>
                <w:bCs w:val="1"/>
                <w:color w:val="auto"/>
              </w:rPr>
              <w:t>MW</w:t>
            </w:r>
          </w:p>
        </w:tc>
        <w:tc>
          <w:tcPr>
            <w:tcW w:w="1740" w:type="dxa"/>
            <w:vAlign w:val="bottom"/>
          </w:tcPr>
          <w:p>
            <w:pPr>
              <w:jc w:val="right"/>
              <w:ind w:right="808"/>
              <w:spacing w:after="0"/>
              <w:rPr>
                <w:sz w:val="20"/>
                <w:szCs w:val="20"/>
                <w:color w:val="auto"/>
              </w:rPr>
            </w:pPr>
            <w:r>
              <w:rPr>
                <w:rFonts w:ascii="Arial" w:cs="Arial" w:eastAsia="Arial" w:hAnsi="Arial"/>
                <w:sz w:val="14"/>
                <w:szCs w:val="14"/>
                <w:b w:val="1"/>
                <w:bCs w:val="1"/>
                <w:color w:val="auto"/>
              </w:rPr>
              <w:t>MWh</w:t>
            </w:r>
          </w:p>
        </w:tc>
        <w:tc>
          <w:tcPr>
            <w:tcW w:w="5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Coal-Fired</w:t>
            </w:r>
          </w:p>
        </w:tc>
        <w:tc>
          <w:tcPr>
            <w:tcW w:w="19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240"/>
              <w:spacing w:after="0"/>
              <w:rPr>
                <w:sz w:val="20"/>
                <w:szCs w:val="20"/>
                <w:color w:val="auto"/>
              </w:rPr>
            </w:pPr>
            <w:r>
              <w:rPr>
                <w:rFonts w:ascii="Arial" w:cs="Arial" w:eastAsia="Arial" w:hAnsi="Arial"/>
                <w:sz w:val="14"/>
                <w:szCs w:val="14"/>
                <w:color w:val="auto"/>
              </w:rPr>
              <w:t>Boswell Energy Center</w:t>
            </w:r>
          </w:p>
        </w:tc>
        <w:tc>
          <w:tcPr>
            <w:tcW w:w="1940" w:type="dxa"/>
            <w:vAlign w:val="bottom"/>
          </w:tcPr>
          <w:p>
            <w:pPr>
              <w:jc w:val="center"/>
              <w:ind w:left="828"/>
              <w:spacing w:after="0"/>
              <w:rPr>
                <w:sz w:val="20"/>
                <w:szCs w:val="20"/>
                <w:color w:val="auto"/>
              </w:rPr>
            </w:pPr>
            <w:r>
              <w:rPr>
                <w:rFonts w:ascii="Arial" w:cs="Arial" w:eastAsia="Arial" w:hAnsi="Arial"/>
                <w:sz w:val="14"/>
                <w:szCs w:val="14"/>
                <w:color w:val="auto"/>
              </w:rPr>
              <w:t>1</w:t>
            </w:r>
          </w:p>
        </w:tc>
        <w:tc>
          <w:tcPr>
            <w:tcW w:w="1440" w:type="dxa"/>
            <w:vAlign w:val="bottom"/>
          </w:tcPr>
          <w:p>
            <w:pPr>
              <w:jc w:val="center"/>
              <w:ind w:right="88"/>
              <w:spacing w:after="0"/>
              <w:rPr>
                <w:sz w:val="20"/>
                <w:szCs w:val="20"/>
                <w:color w:val="auto"/>
              </w:rPr>
            </w:pPr>
            <w:r>
              <w:rPr>
                <w:rFonts w:ascii="Arial" w:cs="Arial" w:eastAsia="Arial" w:hAnsi="Arial"/>
                <w:sz w:val="14"/>
                <w:szCs w:val="14"/>
                <w:color w:val="auto"/>
                <w:w w:val="89"/>
              </w:rPr>
              <w:t>1958</w:t>
            </w:r>
          </w:p>
        </w:tc>
        <w:tc>
          <w:tcPr>
            <w:tcW w:w="1540" w:type="dxa"/>
            <w:vAlign w:val="bottom"/>
          </w:tcPr>
          <w:p>
            <w:pPr>
              <w:jc w:val="right"/>
              <w:ind w:right="368"/>
              <w:spacing w:after="0"/>
              <w:rPr>
                <w:sz w:val="20"/>
                <w:szCs w:val="20"/>
                <w:color w:val="auto"/>
              </w:rPr>
            </w:pPr>
            <w:r>
              <w:rPr>
                <w:rFonts w:ascii="Arial" w:cs="Arial" w:eastAsia="Arial" w:hAnsi="Arial"/>
                <w:sz w:val="14"/>
                <w:szCs w:val="14"/>
                <w:color w:val="auto"/>
              </w:rPr>
              <w:t>69</w:t>
            </w: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 Cohasset, MN</w:t>
            </w:r>
          </w:p>
        </w:tc>
        <w:tc>
          <w:tcPr>
            <w:tcW w:w="194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2</w:t>
            </w:r>
          </w:p>
        </w:tc>
        <w:tc>
          <w:tcPr>
            <w:tcW w:w="14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9"/>
              </w:rPr>
              <w:t>1960</w:t>
            </w:r>
          </w:p>
        </w:tc>
        <w:tc>
          <w:tcPr>
            <w:tcW w:w="1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69</w:t>
            </w: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40" w:type="dxa"/>
            <w:vAlign w:val="bottom"/>
          </w:tcPr>
          <w:p>
            <w:pPr>
              <w:jc w:val="center"/>
              <w:ind w:left="828"/>
              <w:spacing w:after="0"/>
              <w:rPr>
                <w:sz w:val="20"/>
                <w:szCs w:val="20"/>
                <w:color w:val="auto"/>
              </w:rPr>
            </w:pPr>
            <w:r>
              <w:rPr>
                <w:rFonts w:ascii="Arial" w:cs="Arial" w:eastAsia="Arial" w:hAnsi="Arial"/>
                <w:sz w:val="14"/>
                <w:szCs w:val="14"/>
                <w:color w:val="auto"/>
              </w:rPr>
              <w:t>3</w:t>
            </w:r>
          </w:p>
        </w:tc>
        <w:tc>
          <w:tcPr>
            <w:tcW w:w="1440" w:type="dxa"/>
            <w:vAlign w:val="bottom"/>
          </w:tcPr>
          <w:p>
            <w:pPr>
              <w:jc w:val="center"/>
              <w:ind w:right="88"/>
              <w:spacing w:after="0"/>
              <w:rPr>
                <w:sz w:val="20"/>
                <w:szCs w:val="20"/>
                <w:color w:val="auto"/>
              </w:rPr>
            </w:pPr>
            <w:r>
              <w:rPr>
                <w:rFonts w:ascii="Arial" w:cs="Arial" w:eastAsia="Arial" w:hAnsi="Arial"/>
                <w:sz w:val="14"/>
                <w:szCs w:val="14"/>
                <w:color w:val="auto"/>
                <w:w w:val="89"/>
              </w:rPr>
              <w:t>1973</w:t>
            </w:r>
          </w:p>
        </w:tc>
        <w:tc>
          <w:tcPr>
            <w:tcW w:w="1540" w:type="dxa"/>
            <w:vAlign w:val="bottom"/>
          </w:tcPr>
          <w:p>
            <w:pPr>
              <w:jc w:val="right"/>
              <w:ind w:right="368"/>
              <w:spacing w:after="0"/>
              <w:rPr>
                <w:sz w:val="20"/>
                <w:szCs w:val="20"/>
                <w:color w:val="auto"/>
              </w:rPr>
            </w:pPr>
            <w:r>
              <w:rPr>
                <w:rFonts w:ascii="Arial" w:cs="Arial" w:eastAsia="Arial" w:hAnsi="Arial"/>
                <w:sz w:val="14"/>
                <w:szCs w:val="14"/>
                <w:color w:val="auto"/>
              </w:rPr>
              <w:t>350</w:t>
            </w: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center"/>
              <w:ind w:left="828"/>
              <w:spacing w:after="0"/>
              <w:rPr>
                <w:sz w:val="20"/>
                <w:szCs w:val="20"/>
                <w:color w:val="auto"/>
              </w:rPr>
            </w:pPr>
            <w:r>
              <w:rPr>
                <w:rFonts w:ascii="Arial" w:cs="Arial" w:eastAsia="Arial" w:hAnsi="Arial"/>
                <w:sz w:val="14"/>
                <w:szCs w:val="14"/>
                <w:color w:val="auto"/>
              </w:rPr>
              <w:t>4</w:t>
            </w:r>
          </w:p>
        </w:tc>
        <w:tc>
          <w:tcPr>
            <w:tcW w:w="144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89"/>
              </w:rPr>
              <w:t>1980</w:t>
            </w:r>
          </w:p>
        </w:tc>
        <w:tc>
          <w:tcPr>
            <w:tcW w:w="1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429</w:t>
            </w:r>
          </w:p>
        </w:tc>
        <w:tc>
          <w:tcPr>
            <w:tcW w:w="17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917</w:t>
            </w: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6,365,305</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Laskin Energy Center</w:t>
            </w:r>
          </w:p>
        </w:tc>
        <w:tc>
          <w:tcPr>
            <w:tcW w:w="194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1</w:t>
            </w:r>
          </w:p>
        </w:tc>
        <w:tc>
          <w:tcPr>
            <w:tcW w:w="14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9"/>
              </w:rPr>
              <w:t>1953</w:t>
            </w:r>
          </w:p>
        </w:tc>
        <w:tc>
          <w:tcPr>
            <w:tcW w:w="1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55</w:t>
            </w: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in Hoyt Lakes, MN</w:t>
            </w:r>
          </w:p>
        </w:tc>
        <w:tc>
          <w:tcPr>
            <w:tcW w:w="19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rPr>
              <w:t>2</w:t>
            </w:r>
          </w:p>
        </w:tc>
        <w:tc>
          <w:tcPr>
            <w:tcW w:w="14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9"/>
              </w:rPr>
              <w:t>1953</w:t>
            </w: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55</w:t>
            </w:r>
          </w:p>
        </w:tc>
        <w:tc>
          <w:tcPr>
            <w:tcW w:w="1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110</w:t>
            </w:r>
          </w:p>
        </w:tc>
        <w:tc>
          <w:tcPr>
            <w:tcW w:w="17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659,439</w:t>
            </w: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240"/>
              <w:spacing w:after="0"/>
              <w:rPr>
                <w:sz w:val="20"/>
                <w:szCs w:val="20"/>
                <w:color w:val="auto"/>
              </w:rPr>
            </w:pPr>
            <w:r>
              <w:rPr>
                <w:rFonts w:ascii="Arial" w:cs="Arial" w:eastAsia="Arial" w:hAnsi="Arial"/>
                <w:sz w:val="14"/>
                <w:szCs w:val="14"/>
                <w:color w:val="auto"/>
              </w:rPr>
              <w:t>Taconite Harbor Energy Center</w:t>
            </w:r>
          </w:p>
        </w:tc>
        <w:tc>
          <w:tcPr>
            <w:tcW w:w="1940" w:type="dxa"/>
            <w:vAlign w:val="bottom"/>
          </w:tcPr>
          <w:p>
            <w:pPr>
              <w:jc w:val="center"/>
              <w:ind w:left="828"/>
              <w:spacing w:after="0"/>
              <w:rPr>
                <w:sz w:val="20"/>
                <w:szCs w:val="20"/>
                <w:color w:val="auto"/>
              </w:rPr>
            </w:pPr>
            <w:r>
              <w:rPr>
                <w:rFonts w:ascii="Arial" w:cs="Arial" w:eastAsia="Arial" w:hAnsi="Arial"/>
                <w:sz w:val="14"/>
                <w:szCs w:val="14"/>
                <w:color w:val="auto"/>
              </w:rPr>
              <w:t>1</w:t>
            </w:r>
          </w:p>
        </w:tc>
        <w:tc>
          <w:tcPr>
            <w:tcW w:w="1440" w:type="dxa"/>
            <w:vAlign w:val="bottom"/>
          </w:tcPr>
          <w:p>
            <w:pPr>
              <w:jc w:val="center"/>
              <w:ind w:right="88"/>
              <w:spacing w:after="0"/>
              <w:rPr>
                <w:sz w:val="20"/>
                <w:szCs w:val="20"/>
                <w:color w:val="auto"/>
              </w:rPr>
            </w:pPr>
            <w:r>
              <w:rPr>
                <w:rFonts w:ascii="Arial" w:cs="Arial" w:eastAsia="Arial" w:hAnsi="Arial"/>
                <w:sz w:val="14"/>
                <w:szCs w:val="14"/>
                <w:color w:val="auto"/>
                <w:w w:val="89"/>
              </w:rPr>
              <w:t>1957</w:t>
            </w:r>
          </w:p>
        </w:tc>
        <w:tc>
          <w:tcPr>
            <w:tcW w:w="1540" w:type="dxa"/>
            <w:vAlign w:val="bottom"/>
          </w:tcPr>
          <w:p>
            <w:pPr>
              <w:jc w:val="right"/>
              <w:ind w:right="368"/>
              <w:spacing w:after="0"/>
              <w:rPr>
                <w:sz w:val="20"/>
                <w:szCs w:val="20"/>
                <w:color w:val="auto"/>
              </w:rPr>
            </w:pPr>
            <w:r>
              <w:rPr>
                <w:rFonts w:ascii="Arial" w:cs="Arial" w:eastAsia="Arial" w:hAnsi="Arial"/>
                <w:sz w:val="14"/>
                <w:szCs w:val="14"/>
                <w:color w:val="auto"/>
              </w:rPr>
              <w:t>73</w:t>
            </w: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 Taconite Harbor, MN</w:t>
            </w:r>
          </w:p>
        </w:tc>
        <w:tc>
          <w:tcPr>
            <w:tcW w:w="194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2</w:t>
            </w:r>
          </w:p>
        </w:tc>
        <w:tc>
          <w:tcPr>
            <w:tcW w:w="14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9"/>
              </w:rPr>
              <w:t>1957</w:t>
            </w:r>
          </w:p>
        </w:tc>
        <w:tc>
          <w:tcPr>
            <w:tcW w:w="1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73</w:t>
            </w: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rPr>
              <w:t>3</w:t>
            </w:r>
          </w:p>
        </w:tc>
        <w:tc>
          <w:tcPr>
            <w:tcW w:w="14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9"/>
              </w:rPr>
              <w:t>1967</w:t>
            </w: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74</w:t>
            </w:r>
          </w:p>
        </w:tc>
        <w:tc>
          <w:tcPr>
            <w:tcW w:w="1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220</w:t>
            </w:r>
          </w:p>
        </w:tc>
        <w:tc>
          <w:tcPr>
            <w:tcW w:w="17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1,473,239</w:t>
            </w: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Coal</w:t>
            </w:r>
          </w:p>
        </w:tc>
        <w:tc>
          <w:tcPr>
            <w:tcW w:w="1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1,247</w:t>
            </w: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8,497,983</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Steam – Purchased</w:t>
            </w:r>
          </w:p>
        </w:tc>
        <w:tc>
          <w:tcPr>
            <w:tcW w:w="19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Hibbard Energy Center in Duluth, MN</w:t>
            </w:r>
          </w:p>
        </w:tc>
        <w:tc>
          <w:tcPr>
            <w:tcW w:w="19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w w:val="97"/>
              </w:rPr>
              <w:t>3 &amp; 4</w:t>
            </w:r>
          </w:p>
        </w:tc>
        <w:tc>
          <w:tcPr>
            <w:tcW w:w="14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1"/>
              </w:rPr>
              <w:t>1949, 1951</w:t>
            </w: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45</w:t>
            </w: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61,635</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Hydro</w:t>
            </w:r>
          </w:p>
        </w:tc>
        <w:tc>
          <w:tcPr>
            <w:tcW w:w="19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Group consisting of nine stations in MN</w:t>
            </w:r>
          </w:p>
        </w:tc>
        <w:tc>
          <w:tcPr>
            <w:tcW w:w="19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w w:val="92"/>
              </w:rPr>
              <w:t>Various</w:t>
            </w:r>
          </w:p>
        </w:tc>
        <w:tc>
          <w:tcPr>
            <w:tcW w:w="1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112</w:t>
            </w: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487,930</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xml:space="preserve">Taconite Ridge </w:t>
            </w:r>
            <w:r>
              <w:rPr>
                <w:rFonts w:ascii="Arial" w:cs="Arial" w:eastAsia="Arial" w:hAnsi="Arial"/>
                <w:sz w:val="14"/>
                <w:szCs w:val="14"/>
                <w:i w:val="1"/>
                <w:iCs w:val="1"/>
                <w:color w:val="auto"/>
              </w:rPr>
              <w:t>(a)</w:t>
            </w:r>
          </w:p>
        </w:tc>
        <w:tc>
          <w:tcPr>
            <w:tcW w:w="19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rPr>
              <w:t>1</w:t>
            </w:r>
          </w:p>
        </w:tc>
        <w:tc>
          <w:tcPr>
            <w:tcW w:w="14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9"/>
              </w:rPr>
              <w:t>2008</w:t>
            </w: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w:t>
            </w: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18,587</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Company Generation</w:t>
            </w:r>
          </w:p>
        </w:tc>
        <w:tc>
          <w:tcPr>
            <w:tcW w:w="19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1,408</w:t>
            </w:r>
          </w:p>
        </w:tc>
        <w:tc>
          <w:tcPr>
            <w:tcW w:w="17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9,066,135</w:t>
            </w: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Long Term Purchased Power</w:t>
            </w:r>
          </w:p>
        </w:tc>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Square Butte burns lignite coal near Center, ND</w:t>
            </w:r>
          </w:p>
        </w:tc>
        <w:tc>
          <w:tcPr>
            <w:tcW w:w="19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1,943,949</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240"/>
              <w:spacing w:after="0"/>
              <w:rPr>
                <w:sz w:val="20"/>
                <w:szCs w:val="20"/>
                <w:color w:val="auto"/>
              </w:rPr>
            </w:pPr>
            <w:r>
              <w:rPr>
                <w:rFonts w:ascii="Arial" w:cs="Arial" w:eastAsia="Arial" w:hAnsi="Arial"/>
                <w:sz w:val="14"/>
                <w:szCs w:val="14"/>
                <w:color w:val="auto"/>
              </w:rPr>
              <w:t>Wind – Oliver County, ND</w:t>
            </w:r>
          </w:p>
        </w:tc>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jc w:val="right"/>
              <w:ind w:right="648"/>
              <w:spacing w:after="0"/>
              <w:rPr>
                <w:sz w:val="20"/>
                <w:szCs w:val="20"/>
                <w:color w:val="auto"/>
              </w:rPr>
            </w:pPr>
            <w:r>
              <w:rPr>
                <w:rFonts w:ascii="Arial" w:cs="Arial" w:eastAsia="Arial" w:hAnsi="Arial"/>
                <w:sz w:val="14"/>
                <w:szCs w:val="14"/>
                <w:color w:val="auto"/>
              </w:rPr>
              <w:t>366,945</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Hydro – Manitoba Hydro</w:t>
            </w:r>
          </w:p>
        </w:tc>
        <w:tc>
          <w:tcPr>
            <w:tcW w:w="19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390,680</w:t>
            </w: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Long Term Purchased Power</w:t>
            </w:r>
          </w:p>
        </w:tc>
        <w:tc>
          <w:tcPr>
            <w:tcW w:w="1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2,701,574</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Purchased Power</w:t>
            </w:r>
            <w:r>
              <w:rPr>
                <w:rFonts w:ascii="Arial" w:cs="Arial" w:eastAsia="Arial" w:hAnsi="Arial"/>
                <w:sz w:val="14"/>
                <w:szCs w:val="14"/>
                <w:i w:val="1"/>
                <w:iCs w:val="1"/>
                <w:color w:val="auto"/>
              </w:rPr>
              <w:t>(b)</w:t>
            </w:r>
          </w:p>
        </w:tc>
        <w:tc>
          <w:tcPr>
            <w:tcW w:w="1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1,357,023</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Purchased Power</w:t>
            </w:r>
          </w:p>
        </w:tc>
        <w:tc>
          <w:tcPr>
            <w:tcW w:w="19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4,058,597</w:t>
            </w: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1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1,408</w:t>
            </w: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13,124,732</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2"/>
              </w:rPr>
              <w:t>100.0%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60" w:hanging="254"/>
        <w:spacing w:after="0" w:line="284" w:lineRule="auto"/>
        <w:tabs>
          <w:tab w:leader="none" w:pos="260" w:val="left"/>
        </w:tabs>
        <w:numPr>
          <w:ilvl w:val="0"/>
          <w:numId w:val="4"/>
        </w:numPr>
        <w:rPr>
          <w:rFonts w:ascii="Arial" w:cs="Arial" w:eastAsia="Arial" w:hAnsi="Arial"/>
          <w:sz w:val="13"/>
          <w:szCs w:val="13"/>
          <w:i w:val="1"/>
          <w:iCs w:val="1"/>
          <w:color w:val="auto"/>
        </w:rPr>
      </w:pPr>
      <w:r>
        <w:rPr>
          <w:rFonts w:ascii="Arial" w:cs="Arial" w:eastAsia="Arial" w:hAnsi="Arial"/>
          <w:sz w:val="13"/>
          <w:szCs w:val="13"/>
          <w:color w:val="auto"/>
        </w:rPr>
        <w:t>The nameplate capacity of Taconite Ridge is 25 MWs. The capacity reflected in the table is actual accredited capacity of the facility. Accredited capacity is the amount of net generating capability associated with the facility for which capacity credit may be obtained using limited historical data. As more data is collected, actual accredited capacity may increase.</w:t>
      </w:r>
    </w:p>
    <w:p>
      <w:pPr>
        <w:ind w:left="260" w:hanging="254"/>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color w:val="auto"/>
        </w:rPr>
        <w:t>Includes short term market purchases in the MISO market and from Other Power Suppliers.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Fuel</w:t>
      </w:r>
      <w:r>
        <w:rPr>
          <w:rFonts w:ascii="Arial" w:cs="Arial" w:eastAsia="Arial" w:hAnsi="Arial"/>
          <w:sz w:val="14"/>
          <w:szCs w:val="14"/>
          <w:color w:val="auto"/>
        </w:rPr>
        <w:t>. Minnesota Power purchases low-sulfur, sub-bituminous coal from the Powder River Basin coal region located in Montana and Wyoming. Coal consumption in 2008 for electric generation at</w:t>
      </w:r>
      <w:r>
        <w:rPr>
          <w:rFonts w:ascii="Arial" w:cs="Arial" w:eastAsia="Arial" w:hAnsi="Arial"/>
          <w:sz w:val="14"/>
          <w:szCs w:val="14"/>
          <w:b w:val="1"/>
          <w:bCs w:val="1"/>
          <w:color w:val="auto"/>
        </w:rPr>
        <w:t xml:space="preserve"> </w:t>
      </w:r>
      <w:r>
        <w:rPr>
          <w:rFonts w:ascii="Arial" w:cs="Arial" w:eastAsia="Arial" w:hAnsi="Arial"/>
          <w:sz w:val="14"/>
          <w:szCs w:val="14"/>
          <w:color w:val="auto"/>
        </w:rPr>
        <w:t>Minnesota Power’s coal-fired generating stations was approximately 5.2 million tons. As of December 31, 2008, Minnesota Power had a coal inventory of about 631,000 tons. Minnesota Power’s primary coal supply agreements have expiration dates that are staggered from the end of 2009 through 2011. Under these agreements, Minnesota Power has the tonnage flexibility to procure 70 percent to 100 percent of its total coal requirements. In 2009, Minnesota Power expects to obtain coal under these coal supply agreements and in the spot market. This diversity in coal supply options allows Minnesota Power to manage its coal market price and supply risk and to take advantage of favorable spot market prices. Minnesota Power continues to explore future coal supply options. We believe that adequate supplies of low-sulfur, sub-bituminous coal will continue to be available.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2001, Minnesota Power and Burlington Northern Santa Fe Railway Company (BNSF) entered into a long-term agreement under which BNSF transports all of Minnesota Power’s coal by unit train from the Powder River Basin directly to Minnesota Power’s generating facilities or to designated interconnection points. Minnesota Power also has agreements with an affiliate of the Canadian National Railway and with Midwest Energy Resources Company to transport coal from BNSF interconnection points to certain Minnesota Power facilities.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Fuel (Continued)</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January 24, 2008, we received a letter from BNSF alleging that the Company defaulted on a material obligation under the Company’s Coal Transportation Agreement (CTA). In the notice, BNSF claimed the Company underpaid approximately $1.6 million for coal transportation services in 2006 and that failure to pay such amount plus interest may result in BNSF’s termination of the CTA. We believe we do not owe the amount claimed. On April 1, 2008, to ensure that BNSF did not attempt to terminate the CTA, we paid under protest the full amount claimed by BNSF and filed a demand for arbitration of the issue. On April 22, 2008, BNSF filed a counterclaim in the arbitration disputing our position that we are entitled to a refund from BNSF of $1.5 million plus interest for amounts that we overpaid for 2007 deliveries. The arbitration is proceeding in connection with the claim regarding 2006 payments and the counterclaim regarding 2007 payments, and we are unable to predict the outcome at this time. The delivered costs of fuel for the Company’s generation are recoverable from Minnesota Power’s utility customers through the fuel adjustment clause.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Coal Delivered to Minnesota Power</w:t>
            </w:r>
          </w:p>
        </w:tc>
        <w:tc>
          <w:tcPr>
            <w:tcW w:w="38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w:t>
            </w:r>
          </w:p>
        </w:tc>
        <w:tc>
          <w:tcPr>
            <w:tcW w:w="38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2008</w:t>
            </w:r>
          </w:p>
        </w:tc>
        <w:tc>
          <w:tcPr>
            <w:tcW w:w="15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Average Price per Ton</w:t>
            </w:r>
          </w:p>
        </w:tc>
        <w:tc>
          <w:tcPr>
            <w:tcW w:w="3860" w:type="dxa"/>
            <w:vAlign w:val="bottom"/>
          </w:tcPr>
          <w:p>
            <w:pPr>
              <w:jc w:val="right"/>
              <w:ind w:right="528"/>
              <w:spacing w:after="0"/>
              <w:rPr>
                <w:sz w:val="20"/>
                <w:szCs w:val="20"/>
                <w:color w:val="auto"/>
              </w:rPr>
            </w:pPr>
            <w:r>
              <w:rPr>
                <w:rFonts w:ascii="Arial" w:cs="Arial" w:eastAsia="Arial" w:hAnsi="Arial"/>
                <w:sz w:val="14"/>
                <w:szCs w:val="14"/>
                <w:color w:val="auto"/>
              </w:rPr>
              <w:t>$22.73</w:t>
            </w:r>
          </w:p>
        </w:tc>
        <w:tc>
          <w:tcPr>
            <w:tcW w:w="1520" w:type="dxa"/>
            <w:vAlign w:val="bottom"/>
          </w:tcPr>
          <w:p>
            <w:pPr>
              <w:jc w:val="right"/>
              <w:ind w:right="548"/>
              <w:spacing w:after="0"/>
              <w:rPr>
                <w:sz w:val="20"/>
                <w:szCs w:val="20"/>
                <w:color w:val="auto"/>
              </w:rPr>
            </w:pPr>
            <w:r>
              <w:rPr>
                <w:rFonts w:ascii="Arial" w:cs="Arial" w:eastAsia="Arial" w:hAnsi="Arial"/>
                <w:sz w:val="14"/>
                <w:szCs w:val="14"/>
                <w:color w:val="auto"/>
              </w:rPr>
              <w:t>$21.78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$20.19</w:t>
            </w:r>
          </w:p>
        </w:tc>
      </w:tr>
      <w:tr>
        <w:trPr>
          <w:trHeight w:val="174"/>
        </w:trPr>
        <w:tc>
          <w:tcPr>
            <w:tcW w:w="20" w:type="dxa"/>
            <w:vAlign w:val="bottom"/>
          </w:tcPr>
          <w:p>
            <w:pPr>
              <w:spacing w:after="0"/>
              <w:rPr>
                <w:sz w:val="15"/>
                <w:szCs w:val="15"/>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Average Price per MBtu</w:t>
            </w:r>
          </w:p>
        </w:tc>
        <w:tc>
          <w:tcPr>
            <w:tcW w:w="386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$1.25</w:t>
            </w:r>
          </w:p>
        </w:tc>
        <w:tc>
          <w:tcPr>
            <w:tcW w:w="15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$1.20</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r>
    </w:tbl>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Long Term Purchased Power</w:t>
      </w:r>
      <w:r>
        <w:rPr>
          <w:rFonts w:ascii="Arial" w:cs="Arial" w:eastAsia="Arial" w:hAnsi="Arial"/>
          <w:sz w:val="14"/>
          <w:szCs w:val="14"/>
          <w:color w:val="auto"/>
        </w:rPr>
        <w:t>. Minnesota Power has contracts to purchase capacity and energy from various entities. The largest contract is with Square Butte. Under an agreement with Square</w:t>
      </w:r>
      <w:r>
        <w:rPr>
          <w:rFonts w:ascii="Arial" w:cs="Arial" w:eastAsia="Arial" w:hAnsi="Arial"/>
          <w:sz w:val="14"/>
          <w:szCs w:val="14"/>
          <w:b w:val="1"/>
          <w:bCs w:val="1"/>
          <w:color w:val="auto"/>
        </w:rPr>
        <w:t xml:space="preserve"> </w:t>
      </w:r>
      <w:r>
        <w:rPr>
          <w:rFonts w:ascii="Arial" w:cs="Arial" w:eastAsia="Arial" w:hAnsi="Arial"/>
          <w:sz w:val="14"/>
          <w:szCs w:val="14"/>
          <w:color w:val="auto"/>
        </w:rPr>
        <w:t>Butte, expiring at the end of 2026, Minnesota Power is currently entitled to approximately 50 percent of the output of a 455-MW coal-fired generating unit located near Center, North Dakota. (See Note 8. Commitments, Guarantees, and Contingencies.) The Square Butte generating unit operated by Minnkota Power burns North Dakota lignite coal supplied by BNI Coal in accordance with the terms of a contract that extends through 2026. Square Butte’s cost of lignite burned in 2008 was approximately $0.93 per MBtu. The lignite that has been dedicated to Square Butte by BNI Coal is located on lands essentially all of which are under private control and presently leased by BNI Coal. This lignite supply is sufficient to provide fuel for the anticipated useful life of the generating unit.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two wind power purchase agreements with an affiliate of NextEra Energy to purchase the output from two wind facilities, Oliver Wind I and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currently have a 50 MW power purchase agreement with Manitoba Hydro that expires in April 2009. We have entered into an additional 50 MW power purchase agreement with Manitoba Hydro that begins May 2009 and runs through April 2015.</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Transmission and Distribution</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electric transmission and distribution lines of 500 kV (8 miles), 230 kV (605 miles), 161 kV (43 miles), 138 kV (126 miles), 115 kV (1,224 miles) and less than 115 kV (6,215 miles). We own and operate 165 substations with a total capacity of 10,179 megavoltamperes. Some of our transmission and distribution lines interconnect with other utilities.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 ATC</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Our wholly owned subsidiary, Rainy River Energy owns approximately 8 percent of ATC, a Wisconsin-based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pursuant to EITF 03-16, “Accounting for Investments in Limited Liability Companies.” As of December 31, 2008, our equity investment balance in ATC was $76.9 million ($65.7 million at December 31, 2007).</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Properties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own office and service buildings, an energy control center, repair shops, lease offices, and storerooms in various localities. All of our electric plants are subject to mortgages, which collateralize the outstanding first mortgage bonds of Minnesota Power and SWL&amp;P. Generally, we hold fee interest in our real properties subject only to the lien of the mortgages. Most of our electric lines are located on land not owned in fee, but are covered by appropriate easement rights or by necessary permits from governmental authorities. WPPI Energy owns 20 percent of Boswell Unit 4. WPPI Energy has the right to use our transmission line facilities to transport its share of Boswell generation. (See Note 4. Jointly-Owned Electric Facility.)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Matters</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are subject to the jurisdiction of various regulatory authorities. The MPUC has regulatory authority over Minnesota Power’s service area in Minnesota, retail rates, retail services, issuance of securities and other matters. The FERC has jurisdiction over the licensing of hydroelectric projects, the establishment of rates and charges for the sale of electricity for resale and transmission of electricity in interstate commerce, certain accounting and record-keeping practices and ATC. The PSCW has regulatory authority over SWL&amp;P’s retail sales of electricity, natural gas, water, issuances of securities, and other matters. The MPUC, FERC, and PSCW had regulatory authority over 62 percent, 10 percent, and 9 percent, respectively, of our 2008 consolidated operating revenue.</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Electric Rates. </w:t>
      </w:r>
      <w:r>
        <w:rPr>
          <w:rFonts w:ascii="Arial" w:cs="Arial" w:eastAsia="Arial" w:hAnsi="Arial"/>
          <w:sz w:val="14"/>
          <w:szCs w:val="14"/>
          <w:color w:val="auto"/>
        </w:rPr>
        <w:t>Minnesota Power designs its electric service rates based on cost of service studies under which allocations are made to the various classes of customers. Nearly all retail sales include</w:t>
      </w:r>
      <w:r>
        <w:rPr>
          <w:rFonts w:ascii="Arial" w:cs="Arial" w:eastAsia="Arial" w:hAnsi="Arial"/>
          <w:sz w:val="14"/>
          <w:szCs w:val="14"/>
          <w:b w:val="1"/>
          <w:bCs w:val="1"/>
          <w:color w:val="auto"/>
        </w:rPr>
        <w:t xml:space="preserve"> </w:t>
      </w:r>
      <w:r>
        <w:rPr>
          <w:rFonts w:ascii="Arial" w:cs="Arial" w:eastAsia="Arial" w:hAnsi="Arial"/>
          <w:sz w:val="14"/>
          <w:szCs w:val="14"/>
          <w:color w:val="auto"/>
        </w:rPr>
        <w:t>billing adjustment clauses, which adjust electric service rates for changes in the cost of fuel and purchased energy, recovery of current and deferred conservation improvement program expenditures and recovery of certain environmental and renewable expenditures.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Information published by the Edison Electric Institute (</w:t>
      </w:r>
      <w:r>
        <w:rPr>
          <w:rFonts w:ascii="Arial" w:cs="Arial" w:eastAsia="Arial" w:hAnsi="Arial"/>
          <w:sz w:val="14"/>
          <w:szCs w:val="14"/>
          <w:i w:val="1"/>
          <w:iCs w:val="1"/>
          <w:color w:val="auto"/>
        </w:rPr>
        <w:t>Typical Bills and Average Rates Report – Winter 2008</w:t>
      </w:r>
      <w:r>
        <w:rPr>
          <w:rFonts w:ascii="Arial" w:cs="Arial" w:eastAsia="Arial" w:hAnsi="Arial"/>
          <w:sz w:val="14"/>
          <w:szCs w:val="14"/>
          <w:color w:val="auto"/>
        </w:rPr>
        <w:t xml:space="preserve"> and </w:t>
      </w:r>
      <w:r>
        <w:rPr>
          <w:rFonts w:ascii="Arial" w:cs="Arial" w:eastAsia="Arial" w:hAnsi="Arial"/>
          <w:sz w:val="14"/>
          <w:szCs w:val="14"/>
          <w:i w:val="1"/>
          <w:iCs w:val="1"/>
          <w:color w:val="auto"/>
        </w:rPr>
        <w:t>Rankings – July 1, 2008</w:t>
      </w:r>
      <w:r>
        <w:rPr>
          <w:rFonts w:ascii="Arial" w:cs="Arial" w:eastAsia="Arial" w:hAnsi="Arial"/>
          <w:sz w:val="14"/>
          <w:szCs w:val="14"/>
          <w:color w:val="auto"/>
        </w:rPr>
        <w:t>) ranked Minnesota Power as having the ninth lowest average retail rates out of 175 investor-owned utilities in the United States. According to this report, we had the lowest rates in Minnesota and in the region consisting of Iowa, Kansas, Minnesota, Missouri, North Dakota, South Dakota and Wisconsin.</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Minnesota Power requires that all large industrial and commercial customers under contract specify the date when power is first required. Thereafter, the customer is generally billed monthly for at least the minimum power for which they contracted. These conditions are part of all contracts covering power to be supplied to new large industrial and commercial customers and to current customers as their contracts expire or are amended. All rates and other contract terms are subject to approval by appropriate regulatory authorities.</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3"/>
          <w:szCs w:val="13"/>
          <w:b w:val="1"/>
          <w:bCs w:val="1"/>
          <w:color w:val="auto"/>
        </w:rPr>
        <w:t xml:space="preserve">Minnesota Public Utilities Commission. </w:t>
      </w:r>
      <w:r>
        <w:rPr>
          <w:rFonts w:ascii="Arial" w:cs="Arial" w:eastAsia="Arial" w:hAnsi="Arial"/>
          <w:sz w:val="13"/>
          <w:szCs w:val="13"/>
          <w:color w:val="auto"/>
        </w:rPr>
        <w:t>On May 2, 2008, Minnesota Power filed a rate increase request with the MPUC seeking an average rate increase of 8.5 percent for retail customers. The rate</w:t>
      </w:r>
      <w:r>
        <w:rPr>
          <w:rFonts w:ascii="Arial" w:cs="Arial" w:eastAsia="Arial" w:hAnsi="Arial"/>
          <w:sz w:val="13"/>
          <w:szCs w:val="13"/>
          <w:b w:val="1"/>
          <w:bCs w:val="1"/>
          <w:color w:val="auto"/>
        </w:rPr>
        <w:t xml:space="preserve"> </w:t>
      </w:r>
      <w:r>
        <w:rPr>
          <w:rFonts w:ascii="Arial" w:cs="Arial" w:eastAsia="Arial" w:hAnsi="Arial"/>
          <w:sz w:val="13"/>
          <w:szCs w:val="13"/>
          <w:color w:val="auto"/>
        </w:rPr>
        <w:t>filing seeks a return on equity of 11.15 percent, and a capital structure consisting of 54.8 percent equity and 45.2 percent debt. On an annualized basis, the requested rate increase would generate approximately $40 million in additional revenue. Interim rates were effective on August 1, 2008, and resulted in an increase for retail customers of approximately $36 million, or 7.5 percent, on an annualized basis, subject to refund pending the final rate order. Incremental revenue in 2008 from the interim retail rate increase was approximately $13 million. The transition to a new base cost of fuel coincident with interim rates resulted in the non-recovery through the fuel adjustment clause of approximately $19 million of fuel and purchased power costs incurred in 2008. We have entered into a stipulation and settlement agreement that would allow recovery of the $19 million in 2009 and which addresses specific concerns identified by interveners in the rate case; the stipulation and settlement agreement is subject to MPUC approval. The final rate order is expected in the second quarter of 2009. We cannot predict the final level of rates that may be approved by the MPUC. Prior to the May 2008 retail rate request Minnesota Power’s rates were based on a 1994 MPUC retail rate order that allowed for an 11.6 percent return on equity.</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Integrated Resource Plan. </w:t>
      </w:r>
      <w:r>
        <w:rPr>
          <w:rFonts w:ascii="Arial" w:cs="Arial" w:eastAsia="Arial" w:hAnsi="Arial"/>
          <w:sz w:val="14"/>
          <w:szCs w:val="14"/>
          <w:color w:val="auto"/>
        </w:rPr>
        <w:t>In October 2007, Minnesota Power filed its Integrated Resource Plan (IRP), a comprehensive estimate of future capacity needs within the Minnesota Power service</w:t>
      </w:r>
      <w:r>
        <w:rPr>
          <w:rFonts w:ascii="Arial" w:cs="Arial" w:eastAsia="Arial" w:hAnsi="Arial"/>
          <w:sz w:val="14"/>
          <w:szCs w:val="14"/>
          <w:i w:val="1"/>
          <w:iCs w:val="1"/>
          <w:color w:val="auto"/>
        </w:rPr>
        <w:t xml:space="preserve"> </w:t>
      </w:r>
      <w:r>
        <w:rPr>
          <w:rFonts w:ascii="Arial" w:cs="Arial" w:eastAsia="Arial" w:hAnsi="Arial"/>
          <w:sz w:val="14"/>
          <w:szCs w:val="14"/>
          <w:color w:val="auto"/>
        </w:rPr>
        <w:t>territory. In October 2008, the MPUC issued an order approving our request to re-file the IRP by October 1, 2009 in order to incorporate the North Dakota wind project and otherwise update our load forecasting and modeling in the IRP. (See Item 7. Management’s Discussion and Analysis of Financial Condition and Results of Operations - Outlook for additional information on the North Dakota wind project.)</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Minnesota Power plans to meet expected loads through approximately 2020 by adding a significant amount of renewable generation and some supporting peaking generation. We plan to add 300 to 500 megawatts of carbon-minimizing renewable energy to our generation mix. Besides the additional generation from renewable sources, Minnesota Power anticipates future supply will come from a combination of sources, including:</w:t>
      </w:r>
    </w:p>
    <w:p>
      <w:pPr>
        <w:spacing w:after="0" w:line="164"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“As-needed” peaking and intermediate generation facilities;</w:t>
      </w:r>
    </w:p>
    <w:p>
      <w:pPr>
        <w:spacing w:after="0" w:line="21"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Expiration of wholesale contracts presently in place;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Short-term market purchases;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Improved efficiency of existing generation and power delivery assets;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Expanded conservation and demand-side management initiatives.</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do not anticipate the need for new base load system generation within the Minnesota Power service territory through approximately 2020, and we project a one percent average annual growth in electric usage from our existing customers over that time frame.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Matters (Continued)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AREA and Boswell Unit 3 Emission Reduction Plans. </w:t>
      </w:r>
      <w:r>
        <w:rPr>
          <w:rFonts w:ascii="Arial" w:cs="Arial" w:eastAsia="Arial" w:hAnsi="Arial"/>
          <w:sz w:val="14"/>
          <w:szCs w:val="14"/>
          <w:color w:val="auto"/>
        </w:rPr>
        <w:t>In May 2006, the MPUC authorized current cost recovery of expenditures to reduce emissions of SO</w:t>
      </w:r>
      <w:r>
        <w:rPr>
          <w:rFonts w:ascii="Arial" w:cs="Arial" w:eastAsia="Arial" w:hAnsi="Arial"/>
          <w:sz w:val="20"/>
          <w:szCs w:val="20"/>
          <w:color w:val="auto"/>
          <w:vertAlign w:val="subscript"/>
        </w:rPr>
        <w:t>2</w:t>
      </w:r>
      <w:r>
        <w:rPr>
          <w:rFonts w:ascii="Arial" w:cs="Arial" w:eastAsia="Arial" w:hAnsi="Arial"/>
          <w:sz w:val="14"/>
          <w:szCs w:val="14"/>
          <w:color w:val="auto"/>
        </w:rPr>
        <w:t>, NO</w:t>
      </w:r>
      <w:r>
        <w:rPr>
          <w:rFonts w:ascii="Arial" w:cs="Arial" w:eastAsia="Arial" w:hAnsi="Arial"/>
          <w:sz w:val="20"/>
          <w:szCs w:val="20"/>
          <w:color w:val="auto"/>
          <w:vertAlign w:val="subscript"/>
        </w:rPr>
        <w:t>X</w:t>
      </w:r>
      <w:r>
        <w:rPr>
          <w:rFonts w:ascii="Arial" w:cs="Arial" w:eastAsia="Arial" w:hAnsi="Arial"/>
          <w:sz w:val="14"/>
          <w:szCs w:val="14"/>
          <w:color w:val="auto"/>
        </w:rPr>
        <w:t>, and mercury emissions at Taconite</w:t>
      </w:r>
      <w:r>
        <w:rPr>
          <w:rFonts w:ascii="Arial" w:cs="Arial" w:eastAsia="Arial" w:hAnsi="Arial"/>
          <w:sz w:val="14"/>
          <w:szCs w:val="14"/>
          <w:i w:val="1"/>
          <w:iCs w:val="1"/>
          <w:color w:val="auto"/>
        </w:rPr>
        <w:t xml:space="preserve"> </w:t>
      </w:r>
      <w:r>
        <w:rPr>
          <w:rFonts w:ascii="Arial" w:cs="Arial" w:eastAsia="Arial" w:hAnsi="Arial"/>
          <w:sz w:val="14"/>
          <w:szCs w:val="14"/>
          <w:color w:val="auto"/>
        </w:rPr>
        <w:t>Harbor and Laskin under the AREA Plan. The AREA Plan has significantly reduced emissions from Taconite Harbor and Laskin, while maintaining a reliable and reasonably-priced energy supply to meet the needs of our customers. Environmental retrofits at Laskin and Taconite Harbor Units 1 and 2 are complete and in service. The environmental regulatory requirements for Taconite Harbor Unit 3 are pending finalization of the Minnesota Regional Haze implementation plan by the MPCA. We are expecting to retrofit Taconite Harbor Unit 3 by 2013 and are evaluating compliance requirements and cost recovery options for this final unit.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making emission reduction investments at our Boswell Unit 3 generating unit. The investments in pollution control equipment will reduce particulates, SO</w:t>
      </w:r>
      <w:r>
        <w:rPr>
          <w:rFonts w:ascii="Arial" w:cs="Arial" w:eastAsia="Arial" w:hAnsi="Arial"/>
          <w:sz w:val="20"/>
          <w:szCs w:val="20"/>
          <w:color w:val="auto"/>
          <w:vertAlign w:val="subscript"/>
        </w:rPr>
        <w:t>2</w:t>
      </w:r>
      <w:r>
        <w:rPr>
          <w:rFonts w:ascii="Arial" w:cs="Arial" w:eastAsia="Arial" w:hAnsi="Arial"/>
          <w:sz w:val="14"/>
          <w:szCs w:val="14"/>
          <w:color w:val="auto"/>
        </w:rPr>
        <w:t>, NO</w:t>
      </w:r>
      <w:r>
        <w:rPr>
          <w:rFonts w:ascii="Arial" w:cs="Arial" w:eastAsia="Arial" w:hAnsi="Arial"/>
          <w:sz w:val="20"/>
          <w:szCs w:val="20"/>
          <w:color w:val="auto"/>
          <w:vertAlign w:val="subscript"/>
        </w:rPr>
        <w:t>X</w:t>
      </w:r>
      <w:r>
        <w:rPr>
          <w:rFonts w:ascii="Arial" w:cs="Arial" w:eastAsia="Arial" w:hAnsi="Arial"/>
          <w:sz w:val="14"/>
          <w:szCs w:val="14"/>
          <w:color w:val="auto"/>
        </w:rPr>
        <w:t>, and mercury emissions to meet future federal and state requirements. The MPUC has authorized a cash return on construction work in progress during the construction phase in lieu of AFUDC-Equity and allows for a return on investment and current cost recovery of incremental operations and maintenance expenses once the new equipment is installed and the unit is placed back in service in late 2009. We began cost recovery on January 1, 2008. In September 2008, we filed a petition with the MPUC to approve the Boswell Unit 3 rate adjustment for 2009. If approved, new rates would allow cost recovery relating to additional investments planned for 2009.</w:t>
      </w:r>
    </w:p>
    <w:p>
      <w:pPr>
        <w:spacing w:after="0" w:line="113" w:lineRule="exact"/>
        <w:rPr>
          <w:sz w:val="20"/>
          <w:szCs w:val="20"/>
          <w:color w:val="auto"/>
        </w:rPr>
      </w:pPr>
    </w:p>
    <w:p>
      <w:pPr>
        <w:jc w:val="both"/>
        <w:spacing w:after="0" w:line="220" w:lineRule="auto"/>
        <w:rPr>
          <w:sz w:val="20"/>
          <w:szCs w:val="20"/>
          <w:color w:val="auto"/>
        </w:rPr>
      </w:pPr>
      <w:r>
        <w:rPr>
          <w:rFonts w:ascii="Arial" w:cs="Arial" w:eastAsia="Arial" w:hAnsi="Arial"/>
          <w:sz w:val="14"/>
          <w:szCs w:val="14"/>
          <w:i w:val="1"/>
          <w:iCs w:val="1"/>
          <w:color w:val="auto"/>
        </w:rPr>
        <w:t>Boswell NO</w:t>
      </w:r>
      <w:r>
        <w:rPr>
          <w:rFonts w:ascii="Arial" w:cs="Arial" w:eastAsia="Arial" w:hAnsi="Arial"/>
          <w:sz w:val="20"/>
          <w:szCs w:val="20"/>
          <w:i w:val="1"/>
          <w:iCs w:val="1"/>
          <w:color w:val="auto"/>
          <w:vertAlign w:val="subscript"/>
        </w:rPr>
        <w:t>X</w:t>
      </w:r>
      <w:r>
        <w:rPr>
          <w:rFonts w:ascii="Arial" w:cs="Arial" w:eastAsia="Arial" w:hAnsi="Arial"/>
          <w:sz w:val="14"/>
          <w:szCs w:val="14"/>
          <w:i w:val="1"/>
          <w:iCs w:val="1"/>
          <w:color w:val="auto"/>
        </w:rPr>
        <w:t xml:space="preserve"> Reduction Plan. </w:t>
      </w:r>
      <w:r>
        <w:rPr>
          <w:rFonts w:ascii="Arial" w:cs="Arial" w:eastAsia="Arial" w:hAnsi="Arial"/>
          <w:sz w:val="14"/>
          <w:szCs w:val="14"/>
          <w:color w:val="auto"/>
        </w:rPr>
        <w:t>In September 2008, we submitted to the MPCA and MPUC a $92 million environmental initiative proposing cost recovery for NO</w:t>
      </w:r>
      <w:r>
        <w:rPr>
          <w:rFonts w:ascii="Arial" w:cs="Arial" w:eastAsia="Arial" w:hAnsi="Arial"/>
          <w:sz w:val="20"/>
          <w:szCs w:val="20"/>
          <w:color w:val="auto"/>
          <w:vertAlign w:val="subscript"/>
        </w:rPr>
        <w:t>X</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 reductions from Boswell</w:t>
      </w:r>
      <w:r>
        <w:rPr>
          <w:rFonts w:ascii="Arial" w:cs="Arial" w:eastAsia="Arial" w:hAnsi="Arial"/>
          <w:sz w:val="14"/>
          <w:szCs w:val="14"/>
          <w:i w:val="1"/>
          <w:iCs w:val="1"/>
          <w:color w:val="auto"/>
        </w:rPr>
        <w:t xml:space="preserve"> </w:t>
      </w:r>
      <w:r>
        <w:rPr>
          <w:rFonts w:ascii="Arial" w:cs="Arial" w:eastAsia="Arial" w:hAnsi="Arial"/>
          <w:sz w:val="14"/>
          <w:szCs w:val="14"/>
          <w:color w:val="auto"/>
        </w:rPr>
        <w:t>Units 1, 2, and 4. If approved by the MPUC, the Boswell NO</w:t>
      </w:r>
      <w:r>
        <w:rPr>
          <w:rFonts w:ascii="Arial" w:cs="Arial" w:eastAsia="Arial" w:hAnsi="Arial"/>
          <w:sz w:val="20"/>
          <w:szCs w:val="20"/>
          <w:color w:val="auto"/>
          <w:vertAlign w:val="subscript"/>
        </w:rPr>
        <w:t>X</w:t>
      </w:r>
      <w:r>
        <w:rPr>
          <w:rFonts w:ascii="Arial" w:cs="Arial" w:eastAsia="Arial" w:hAnsi="Arial"/>
          <w:sz w:val="14"/>
          <w:szCs w:val="14"/>
          <w:color w:val="auto"/>
        </w:rPr>
        <w:t xml:space="preserve"> Reduction Plan is expected to significantly reduce NO</w:t>
      </w:r>
      <w:r>
        <w:rPr>
          <w:rFonts w:ascii="Arial" w:cs="Arial" w:eastAsia="Arial" w:hAnsi="Arial"/>
          <w:sz w:val="20"/>
          <w:szCs w:val="20"/>
          <w:color w:val="auto"/>
          <w:vertAlign w:val="subscript"/>
        </w:rPr>
        <w:t>X</w:t>
      </w:r>
      <w:r>
        <w:rPr>
          <w:rFonts w:ascii="Arial" w:cs="Arial" w:eastAsia="Arial" w:hAnsi="Arial"/>
          <w:sz w:val="14"/>
          <w:szCs w:val="14"/>
          <w:color w:val="auto"/>
        </w:rPr>
        <w:t xml:space="preserve"> emissions from these units. In conjunction with the NO</w:t>
      </w:r>
      <w:r>
        <w:rPr>
          <w:rFonts w:ascii="Arial" w:cs="Arial" w:eastAsia="Arial" w:hAnsi="Arial"/>
          <w:sz w:val="20"/>
          <w:szCs w:val="20"/>
          <w:color w:val="auto"/>
          <w:vertAlign w:val="subscript"/>
        </w:rPr>
        <w:t>X</w:t>
      </w:r>
      <w:r>
        <w:rPr>
          <w:rFonts w:ascii="Arial" w:cs="Arial" w:eastAsia="Arial" w:hAnsi="Arial"/>
          <w:sz w:val="14"/>
          <w:szCs w:val="14"/>
          <w:color w:val="auto"/>
        </w:rPr>
        <w:t xml:space="preserve"> reduction Plan, we plan to install an efficiency upgrade to the existing turbine/generator at Boswell Unit 4 adding approximately 60 MWs of total output with no additional emissions. A second filing requesting cost recovery for the plan will be submitted to the MPUC in the first quarter of 2009.</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i w:val="1"/>
          <w:iCs w:val="1"/>
          <w:color w:val="auto"/>
        </w:rPr>
        <w:t xml:space="preserve">Conservation Improvement Program (CIP). </w:t>
      </w:r>
      <w:r>
        <w:rPr>
          <w:rFonts w:ascii="Arial" w:cs="Arial" w:eastAsia="Arial" w:hAnsi="Arial"/>
          <w:sz w:val="13"/>
          <w:szCs w:val="13"/>
          <w:color w:val="auto"/>
        </w:rPr>
        <w:t>Minnesota requires electric utilities to spend a minimum of 1.5 percent of gross operating revenues from service provided in the state on energy CIPs each</w:t>
      </w:r>
      <w:r>
        <w:rPr>
          <w:rFonts w:ascii="Arial" w:cs="Arial" w:eastAsia="Arial" w:hAnsi="Arial"/>
          <w:sz w:val="13"/>
          <w:szCs w:val="13"/>
          <w:i w:val="1"/>
          <w:iCs w:val="1"/>
          <w:color w:val="auto"/>
        </w:rPr>
        <w:t xml:space="preserve"> </w:t>
      </w:r>
      <w:r>
        <w:rPr>
          <w:rFonts w:ascii="Arial" w:cs="Arial" w:eastAsia="Arial" w:hAnsi="Arial"/>
          <w:sz w:val="13"/>
          <w:szCs w:val="13"/>
          <w:color w:val="auto"/>
        </w:rPr>
        <w:t>year. These investments are recovered from retail customers through a billing adjustment and amounts included in retail base rates. The MPUC allows utilities to accumulate, in a deferred account for future cost recovery, all CIP expenditures, as well as a carrying charge on the deferred account balance. Minnesota’s Next Generation Energy Act of 2007 introduced, in addition to minimum spending requirements, an energy-saving goal of 1.5 percent of gross annual retail electric energy sales by 2010. In May 2007, an abbreviated filing was submitted and subsequently approved by the MPUC, allowing the continuation of Minnesota Power’s 2006-2007 CIP biennial and related goals for one additional year, through 2008. For future program years, Minnesota Power will build upon current successful CIPs in an effort to meet the newly established 1.5 percent energy-saving goal. Minnesota Power’s CIP investment goal was $3.7 million for 2008 ($3.2 million for 2007 and 2006), with actual spending of $4.8 million in 2008 ($3.9 million in 2007; $3.8 million in 2006).</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Federal Energy Regulatory Commission. </w:t>
      </w:r>
      <w:r>
        <w:rPr>
          <w:rFonts w:ascii="Arial" w:cs="Arial" w:eastAsia="Arial" w:hAnsi="Arial"/>
          <w:sz w:val="14"/>
          <w:szCs w:val="14"/>
          <w:color w:val="auto"/>
        </w:rPr>
        <w:t>The FERC has jurisdiction over our wholesale electric services and operations. Minnesota Power’s hydroelectric facilities, which are located in</w:t>
      </w:r>
      <w:r>
        <w:rPr>
          <w:rFonts w:ascii="Arial" w:cs="Arial" w:eastAsia="Arial" w:hAnsi="Arial"/>
          <w:sz w:val="14"/>
          <w:szCs w:val="14"/>
          <w:b w:val="1"/>
          <w:bCs w:val="1"/>
          <w:color w:val="auto"/>
        </w:rPr>
        <w:t xml:space="preserve"> </w:t>
      </w:r>
      <w:r>
        <w:rPr>
          <w:rFonts w:ascii="Arial" w:cs="Arial" w:eastAsia="Arial" w:hAnsi="Arial"/>
          <w:sz w:val="14"/>
          <w:szCs w:val="14"/>
          <w:color w:val="auto"/>
        </w:rPr>
        <w:t>Minnesota, are also licensed by the FERC.</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8, 2008, the FERC approved Minnesota Power’s wholesale tariff rate increase effective March 1, 2008. Minnesota Power’s wholesale customers consist of 16 municipalities in Minnesota and 1 private utility in Wisconsin. The FERC authorized an average 10.0 percent increase for wholesale municipal customers, and an overall return on equity of 11.25 percent. Incremental revenue in 2008 from the FERC authorized wholesale rate increase was approximately $6 million.</w:t>
      </w:r>
    </w:p>
    <w:p>
      <w:pPr>
        <w:spacing w:after="0" w:line="160" w:lineRule="exact"/>
        <w:rPr>
          <w:sz w:val="20"/>
          <w:szCs w:val="20"/>
          <w:color w:val="auto"/>
        </w:rPr>
      </w:pPr>
    </w:p>
    <w:p>
      <w:pPr>
        <w:jc w:val="both"/>
        <w:spacing w:after="0" w:line="306" w:lineRule="auto"/>
        <w:rPr>
          <w:sz w:val="20"/>
          <w:szCs w:val="20"/>
          <w:color w:val="auto"/>
        </w:rPr>
      </w:pPr>
      <w:r>
        <w:rPr>
          <w:rFonts w:ascii="Arial" w:cs="Arial" w:eastAsia="Arial" w:hAnsi="Arial"/>
          <w:sz w:val="13"/>
          <w:szCs w:val="13"/>
          <w:b w:val="1"/>
          <w:bCs w:val="1"/>
          <w:color w:val="auto"/>
        </w:rPr>
        <w:t xml:space="preserve">Public Service Commission of Wisconsin. </w:t>
      </w:r>
      <w:r>
        <w:rPr>
          <w:rFonts w:ascii="Arial" w:cs="Arial" w:eastAsia="Arial" w:hAnsi="Arial"/>
          <w:sz w:val="13"/>
          <w:szCs w:val="13"/>
          <w:color w:val="auto"/>
        </w:rPr>
        <w:t>SWL&amp;P’s current retail rates are based on a December 2008 PSCW retail rate order that became effective January 1, 2009, and allows for an 11.1 percent</w:t>
      </w:r>
      <w:r>
        <w:rPr>
          <w:rFonts w:ascii="Arial" w:cs="Arial" w:eastAsia="Arial" w:hAnsi="Arial"/>
          <w:sz w:val="13"/>
          <w:szCs w:val="13"/>
          <w:b w:val="1"/>
          <w:bCs w:val="1"/>
          <w:color w:val="auto"/>
        </w:rPr>
        <w:t xml:space="preserve"> </w:t>
      </w:r>
      <w:r>
        <w:rPr>
          <w:rFonts w:ascii="Arial" w:cs="Arial" w:eastAsia="Arial" w:hAnsi="Arial"/>
          <w:sz w:val="13"/>
          <w:szCs w:val="13"/>
          <w:color w:val="auto"/>
        </w:rPr>
        <w:t>return on common equity. The new rates reflected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Regional Organizations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Midwest Independent Transmission System Operator, Inc. </w:t>
      </w:r>
      <w:r>
        <w:rPr>
          <w:rFonts w:ascii="Arial" w:cs="Arial" w:eastAsia="Arial" w:hAnsi="Arial"/>
          <w:sz w:val="14"/>
          <w:szCs w:val="14"/>
          <w:color w:val="auto"/>
        </w:rPr>
        <w:t>Minnesota Power and SWL&amp;P are members of MISO, a regional transmission organization. Minnesota Power and SWL&amp;P retain</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of their respective transmission assets and control area functions, but their transmission network is under the regional operational control of MISO, and they take and provide transmission service under the MISO open access transmission tariff. MISO continues its efforts to standardize rates, terms, and conditions of transmission service over its broad region, encompassing all or parts of 15 states and one Canadian province, and over 100,000 MWs of generating capacity.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In January 2009, MISO launched the new Ancillary Services Market (ASM) aimed at establishing a market for energy and operating reserves. In May 2008, in preparation of the new market, Minnesota Power and the other investor-owned utilities in Minnesota prepared a joint filing seeking MPUC approval for the authority to account for costs and revenues that have been instituted by the ASM market. The MPUC held a discussion-only hearing on the joint filing in December 2008, and has indicated it will likely bring the matter back before the MPUC in the first quarter of 2009.</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Regional Organizations (Continued)</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Mid-Continent Area Power Pool (MAPP). </w:t>
      </w:r>
      <w:r>
        <w:rPr>
          <w:rFonts w:ascii="Arial" w:cs="Arial" w:eastAsia="Arial" w:hAnsi="Arial"/>
          <w:sz w:val="14"/>
          <w:szCs w:val="14"/>
          <w:color w:val="auto"/>
        </w:rPr>
        <w:t>Minnesota Power also participates in MAPP, a power pool operating in parts of eight states in the Upper Midwest and in two Canadian provinces. MAPP</w:t>
      </w:r>
      <w:r>
        <w:rPr>
          <w:rFonts w:ascii="Arial" w:cs="Arial" w:eastAsia="Arial" w:hAnsi="Arial"/>
          <w:sz w:val="14"/>
          <w:szCs w:val="14"/>
          <w:b w:val="1"/>
          <w:bCs w:val="1"/>
          <w:color w:val="auto"/>
        </w:rPr>
        <w:t xml:space="preserve"> </w:t>
      </w:r>
      <w:r>
        <w:rPr>
          <w:rFonts w:ascii="Arial" w:cs="Arial" w:eastAsia="Arial" w:hAnsi="Arial"/>
          <w:sz w:val="14"/>
          <w:szCs w:val="14"/>
          <w:color w:val="auto"/>
        </w:rPr>
        <w:t>functions include a regional transmission committee and a generation reserve sharing pool.</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Minnesota Legislation</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 xml:space="preserve">Renewable Energy. </w:t>
      </w:r>
      <w:r>
        <w:rPr>
          <w:rFonts w:ascii="Arial" w:cs="Arial" w:eastAsia="Arial" w:hAnsi="Arial"/>
          <w:sz w:val="14"/>
          <w:szCs w:val="14"/>
          <w:color w:val="auto"/>
        </w:rPr>
        <w:t>In February 2007, Minnesota enacted a law requiring Minnesota Power to generate or procure 25 percent of our energy from renewable energy sources by 2025. The law also</w:t>
      </w:r>
      <w:r>
        <w:rPr>
          <w:rFonts w:ascii="Arial" w:cs="Arial" w:eastAsia="Arial" w:hAnsi="Arial"/>
          <w:sz w:val="14"/>
          <w:szCs w:val="14"/>
          <w:i w:val="1"/>
          <w:iCs w:val="1"/>
          <w:color w:val="auto"/>
        </w:rPr>
        <w:t xml:space="preserve"> </w:t>
      </w:r>
      <w:r>
        <w:rPr>
          <w:rFonts w:ascii="Arial" w:cs="Arial" w:eastAsia="Arial" w:hAnsi="Arial"/>
          <w:sz w:val="14"/>
          <w:szCs w:val="14"/>
          <w:color w:val="auto"/>
        </w:rPr>
        <w:t>requires Minnesota Power to meet interim milestones of 12 percent by 2012, 17 percent by 2016, and 20 percent by 2020.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Greenhouse Gas Reduction. </w:t>
      </w:r>
      <w:r>
        <w:rPr>
          <w:rFonts w:ascii="Arial" w:cs="Arial" w:eastAsia="Arial" w:hAnsi="Arial"/>
          <w:sz w:val="14"/>
          <w:szCs w:val="14"/>
          <w:color w:val="auto"/>
        </w:rPr>
        <w:t>In 2007, Minnesota passed legislation establishing non-binding targets for carbon dioxide reductions. This legislation establishes a goal of reducing statewide GHG</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emissions across all sectors to a level at least 15 percent below 2005 levels by 2015, at least 30 percent below 2005 levels by 2025, and at least 80 percent below 2005 levels by 2050. Minnesota is also participating in the Midwestern Greenhouse Gas Reduction Accord, a regional effort to develop a multi-state approach to GHG emission reductions.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August 2005, the Energy Policy Act of 2005 (EPAct 2005) was signed into law, which and enacted PUHCA 2005. PUHCA 2005 gives FERC certain authority over books and records of public utility holding companies and their affiliates. It also addresses FERC review and authorization of the allocation of costs for non-power goods, or administrative or management services when requested by a holding company system or state commission. In addition, EPAct 2005 directs the FERC to issue certain rules addressing electricity reliability, investment in energy infrastructure, fuel diversity for electric generation, promotion of energy efficiency and wise energy use.</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believe the overall impact of the EPAct 2005 on the electric utility industry has been positive and are continuing to evaluate the effects on our business as this legislation is being implemented. This federal legislation is designed to bring more certainty to energy markets in which ALLETE participates, as well as to provide investment incentives for energy efficiency, energy infrastructure (such as electric transmission lines) and energy production. The FERC has the responsibility of implementing numerous new standards as a result of the promulgation of the EPAct 2005. To date the FERC’s regulatory efforts under the EPAct 2005 appear to be generally positive for the utility industry. We cannot predict the timing or substance of any future legislation or regulation.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Franchises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Minnesota Power holds franchises to construct and maintain an electric distribution and transmission system in 93 cities and towns located within its electric service territory. SWL&amp;P holds similar franchises for electric, natural gas and/or water systems in 15 cities and towns within its service territory. The remaining cities and towns served by us do not require a franchise to operate within their boundaries. Our exclusive service territories are established by state regulatory agencies.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INVESTMENTS AND OTHER</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Investments and Other is comprised primarily of BNI Coal, our coal mining operations in North Dakota, and ALLETE Properties, our Florida real estate business. This segment also includes emerging technology investments ($7.4 million at December 31, 2008), a small amount of non-rate base generation, approximately 7,000 acres of land for sale in Minnesota, and earnings on cash and short-term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BNI Coal</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BNI Coal operates a lignite mine in North Dakota. BNI Coal is a low-cost supplier of lignite in North Dakota, producing about 4 million tons annually. Two electric generating cooperatives, Minnkota Power and Square Butte, presently consume virtually all of BNI Coal’s production of lignite under cost-plus coal supply agreements extending through 2026. (See Item 1. Business – Fuel and Note 8. Commitments, Guarantees and Contingencies.) The mining process disturbs and reclaims between 200 and 250 acres per year. Laws require that the reclaimed land be at least as productive as it was prior to mining. The average cost to reclaim one acre of land is approximately $35,000, however, depending on conditions, it could be significantly higher. Reclamation costs are included in the cost of coal passed through to customers. With lignite reserves of an estimated 600 million tons, BNI Coal has ample capacity to expand production.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ALLETE Properties</w:t>
      </w:r>
    </w:p>
    <w:p>
      <w:pPr>
        <w:spacing w:after="0" w:line="209"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ALLETE Properties is our real estate business that has operated in Florida since 1991. Our current strategy is to complete and maintain key entitlements and infrastructure improvements which enhance values without requiring significant additional investment, and position the current property portfolio for a maximization of value and cash flow when market conditions improve.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two major development projects include Town Center and Palm Coast Park. A third proposed development project, Ormond Crossings, is in the permitting and planning stage. Development activities involve mainly zoning, permitting, platting, and master infrastructure construction. Development costs are financed through a combination of community development district bonds, bank loans, and internally-generated funds.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Town Center. </w:t>
      </w:r>
      <w:r>
        <w:rPr>
          <w:rFonts w:ascii="Arial" w:cs="Arial" w:eastAsia="Arial" w:hAnsi="Arial"/>
          <w:sz w:val="14"/>
          <w:szCs w:val="14"/>
          <w:color w:val="auto"/>
        </w:rPr>
        <w:t>Town Center, which is located in the city of Palm Coast, is a mixed-use development with a neo-traditional downtown core area. Construction of the major infrastructure improvements</w:t>
      </w:r>
      <w:r>
        <w:rPr>
          <w:rFonts w:ascii="Arial" w:cs="Arial" w:eastAsia="Arial" w:hAnsi="Arial"/>
          <w:sz w:val="14"/>
          <w:szCs w:val="14"/>
          <w:b w:val="1"/>
          <w:bCs w:val="1"/>
          <w:color w:val="auto"/>
        </w:rPr>
        <w:t xml:space="preserve"> </w:t>
      </w:r>
      <w:r>
        <w:rPr>
          <w:rFonts w:ascii="Arial" w:cs="Arial" w:eastAsia="Arial" w:hAnsi="Arial"/>
          <w:sz w:val="14"/>
          <w:szCs w:val="14"/>
          <w:color w:val="auto"/>
        </w:rPr>
        <w:t>at Town Center was substantially complete at the end of 2006. At build-out, Town Center is expected to include approximately 3,200 residential units and 3.8 million square feet of various types of non-residential space. Sites have also been set aside for a new city hall, a community center, an art and entertainment center, and other public uses. Market conditions will determine how quickly Town Center builds out.</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Palm Coast Park. </w:t>
      </w:r>
      <w:r>
        <w:rPr>
          <w:rFonts w:ascii="Arial" w:cs="Arial" w:eastAsia="Arial" w:hAnsi="Arial"/>
          <w:sz w:val="14"/>
          <w:szCs w:val="14"/>
          <w:color w:val="auto"/>
        </w:rPr>
        <w:t>Palm Coast Park, which is located in the city of Palm Coast, is a 4,700-acre mixed-use development. Major infrastructure construction at Palm Coast Park was substantially</w:t>
      </w:r>
      <w:r>
        <w:rPr>
          <w:rFonts w:ascii="Arial" w:cs="Arial" w:eastAsia="Arial" w:hAnsi="Arial"/>
          <w:sz w:val="14"/>
          <w:szCs w:val="14"/>
          <w:b w:val="1"/>
          <w:bCs w:val="1"/>
          <w:color w:val="auto"/>
        </w:rPr>
        <w:t xml:space="preserve"> </w:t>
      </w:r>
      <w:r>
        <w:rPr>
          <w:rFonts w:ascii="Arial" w:cs="Arial" w:eastAsia="Arial" w:hAnsi="Arial"/>
          <w:sz w:val="14"/>
          <w:szCs w:val="14"/>
          <w:color w:val="auto"/>
        </w:rPr>
        <w:t>complete at the end of 2007. At build-out, Palm Coast Park is expected to include approximately 4,000 residential units, 3.2 million square feet of various types of non-residential space and certain public facilities. Market conditions will determine how quickly Palm Coast Park builds out.</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 xml:space="preserve">Ormond Crossings. </w:t>
      </w:r>
      <w:r>
        <w:rPr>
          <w:rFonts w:ascii="Arial" w:cs="Arial" w:eastAsia="Arial" w:hAnsi="Arial"/>
          <w:sz w:val="13"/>
          <w:szCs w:val="13"/>
          <w:color w:val="auto"/>
        </w:rPr>
        <w:t>Ormond Crossings is an approximately 6,000-acre mixed-use development that is located in both the city of Ormond Beach in Volusia County and unincorporated Flagler</w:t>
      </w:r>
      <w:r>
        <w:rPr>
          <w:rFonts w:ascii="Arial" w:cs="Arial" w:eastAsia="Arial" w:hAnsi="Arial"/>
          <w:sz w:val="13"/>
          <w:szCs w:val="13"/>
          <w:b w:val="1"/>
          <w:bCs w:val="1"/>
          <w:color w:val="auto"/>
        </w:rPr>
        <w:t xml:space="preserve"> </w:t>
      </w:r>
      <w:r>
        <w:rPr>
          <w:rFonts w:ascii="Arial" w:cs="Arial" w:eastAsia="Arial" w:hAnsi="Arial"/>
          <w:sz w:val="13"/>
          <w:szCs w:val="13"/>
          <w:color w:val="auto"/>
        </w:rPr>
        <w:t>County. Planning, engineering design, and permitting of the master infrastructure are ongoing. We estimate the first two phases of Ormond Crossings will include 2,500–3,200 residential units and 2.5–3.5 million square feet of various types of non-residential space. Ormond Crossings will also include approximately 2,000 acres of a regionally significant wetlands mitigation bank that was permitted by the St. Johns River Water Management District in 2008 and is expected to be permitted by the U.S. Army Corps of Engineers in 2009. Wetland mitigation credits will be used at Ormond Crossings and will be available-for-sale to other developers. Market conditions will determine when and if Ormond Crossings will be built out. We do not expect any significant activity in 2009.</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See Item 7. Management’s Discussion and Analysis of Financial Condition and Results of Operations for more information on ALLETE Properties’ land holdings.</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Seller Financing. </w:t>
      </w:r>
      <w:r>
        <w:rPr>
          <w:rFonts w:ascii="Arial" w:cs="Arial" w:eastAsia="Arial" w:hAnsi="Arial"/>
          <w:sz w:val="14"/>
          <w:szCs w:val="14"/>
          <w:color w:val="auto"/>
        </w:rPr>
        <w:t>ALLETE Properties sometimes provides seller financing. At December 31, 2008, outstanding finance receivables were $13.6 million, with maturities up to 4 years. These finance</w:t>
      </w:r>
      <w:r>
        <w:rPr>
          <w:rFonts w:ascii="Arial" w:cs="Arial" w:eastAsia="Arial" w:hAnsi="Arial"/>
          <w:sz w:val="14"/>
          <w:szCs w:val="14"/>
          <w:b w:val="1"/>
          <w:bCs w:val="1"/>
          <w:color w:val="auto"/>
        </w:rPr>
        <w:t xml:space="preserve"> </w:t>
      </w:r>
      <w:r>
        <w:rPr>
          <w:rFonts w:ascii="Arial" w:cs="Arial" w:eastAsia="Arial" w:hAnsi="Arial"/>
          <w:sz w:val="14"/>
          <w:szCs w:val="14"/>
          <w:color w:val="auto"/>
        </w:rPr>
        <w:t>receivables accrue interest at market-based rates and are collateralized by the financed properties.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Regulation. </w:t>
      </w:r>
      <w:r>
        <w:rPr>
          <w:rFonts w:ascii="Arial" w:cs="Arial" w:eastAsia="Arial" w:hAnsi="Arial"/>
          <w:sz w:val="14"/>
          <w:szCs w:val="14"/>
          <w:color w:val="auto"/>
        </w:rPr>
        <w:t>A substantial portion of our development properties in Florida are subject to federal, state and local regulations, and restrictions that may impose significant costs or limitations on our</w:t>
      </w:r>
      <w:r>
        <w:rPr>
          <w:rFonts w:ascii="Arial" w:cs="Arial" w:eastAsia="Arial" w:hAnsi="Arial"/>
          <w:sz w:val="14"/>
          <w:szCs w:val="14"/>
          <w:b w:val="1"/>
          <w:bCs w:val="1"/>
          <w:color w:val="auto"/>
        </w:rPr>
        <w:t xml:space="preserve"> </w:t>
      </w:r>
      <w:r>
        <w:rPr>
          <w:rFonts w:ascii="Arial" w:cs="Arial" w:eastAsia="Arial" w:hAnsi="Arial"/>
          <w:sz w:val="14"/>
          <w:szCs w:val="14"/>
          <w:color w:val="auto"/>
        </w:rPr>
        <w:t>ability to develop the properties. Much of our property is vacant land and some is located in areas where development may affect the natural habitats of various protected wildlife species or in sensitive environmental areas such as wetlands.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INVESTMENTS AND OTHER (Continued)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Non-Rate Base Generation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Non-Rate base generation consists of approximately 50 MWs of generation. In 2008, we sold 0.2 million MWh of non-rate base generation (0.2 million in 2007 and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560" w:type="dxa"/>
            <w:vAlign w:val="bottom"/>
            <w:shd w:val="clear" w:color="auto" w:fill="CCEEFF"/>
          </w:tcPr>
          <w:p>
            <w:pPr>
              <w:jc w:val="center"/>
              <w:ind w:left="968"/>
              <w:spacing w:after="0"/>
              <w:rPr>
                <w:sz w:val="20"/>
                <w:szCs w:val="20"/>
                <w:color w:val="auto"/>
              </w:rPr>
            </w:pPr>
            <w:r>
              <w:rPr>
                <w:rFonts w:ascii="Arial" w:cs="Arial" w:eastAsia="Arial" w:hAnsi="Arial"/>
                <w:sz w:val="14"/>
                <w:szCs w:val="14"/>
                <w:b w:val="1"/>
                <w:bCs w:val="1"/>
                <w:color w:val="auto"/>
              </w:rPr>
              <w:t>Unit</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Year</w:t>
            </w:r>
          </w:p>
        </w:tc>
        <w:tc>
          <w:tcPr>
            <w:tcW w:w="1800" w:type="dxa"/>
            <w:vAlign w:val="bottom"/>
            <w:shd w:val="clear" w:color="auto" w:fill="CCEEFF"/>
          </w:tcPr>
          <w:p>
            <w:pPr>
              <w:jc w:val="center"/>
              <w:ind w:left="8"/>
              <w:spacing w:after="0"/>
              <w:rPr>
                <w:sz w:val="20"/>
                <w:szCs w:val="20"/>
                <w:color w:val="auto"/>
              </w:rPr>
            </w:pPr>
            <w:r>
              <w:rPr>
                <w:rFonts w:ascii="Arial" w:cs="Arial" w:eastAsia="Arial" w:hAnsi="Arial"/>
                <w:sz w:val="14"/>
                <w:szCs w:val="14"/>
                <w:b w:val="1"/>
                <w:bCs w:val="1"/>
                <w:color w:val="auto"/>
                <w:w w:val="92"/>
              </w:rPr>
              <w:t>Year</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Net</w:t>
            </w:r>
          </w:p>
        </w:tc>
      </w:tr>
      <w:tr>
        <w:trPr>
          <w:trHeight w:val="189"/>
        </w:trPr>
        <w:tc>
          <w:tcPr>
            <w:tcW w:w="20" w:type="dxa"/>
            <w:vAlign w:val="bottom"/>
          </w:tcPr>
          <w:p>
            <w:pPr>
              <w:spacing w:after="0"/>
              <w:rPr>
                <w:sz w:val="16"/>
                <w:szCs w:val="16"/>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Non-Rate Base Power Supply</w:t>
            </w:r>
          </w:p>
        </w:tc>
        <w:tc>
          <w:tcPr>
            <w:tcW w:w="2560" w:type="dxa"/>
            <w:vAlign w:val="bottom"/>
            <w:tcBorders>
              <w:bottom w:val="single" w:sz="8" w:color="auto"/>
            </w:tcBorders>
            <w:shd w:val="clear" w:color="auto" w:fill="CCEEFF"/>
          </w:tcPr>
          <w:p>
            <w:pPr>
              <w:jc w:val="center"/>
              <w:ind w:left="968"/>
              <w:spacing w:after="0"/>
              <w:rPr>
                <w:sz w:val="20"/>
                <w:szCs w:val="20"/>
                <w:color w:val="auto"/>
              </w:rPr>
            </w:pPr>
            <w:r>
              <w:rPr>
                <w:rFonts w:ascii="Arial" w:cs="Arial" w:eastAsia="Arial" w:hAnsi="Arial"/>
                <w:sz w:val="14"/>
                <w:szCs w:val="14"/>
                <w:b w:val="1"/>
                <w:bCs w:val="1"/>
                <w:color w:val="auto"/>
                <w:w w:val="88"/>
              </w:rPr>
              <w:t>No.</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Installed</w:t>
            </w:r>
          </w:p>
        </w:tc>
        <w:tc>
          <w:tcPr>
            <w:tcW w:w="18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b w:val="1"/>
                <w:bCs w:val="1"/>
                <w:color w:val="auto"/>
                <w:w w:val="92"/>
              </w:rPr>
              <w:t>Acquired</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Capability</w:t>
            </w: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tcPr>
          <w:p>
            <w:pPr>
              <w:jc w:val="center"/>
              <w:ind w:left="8"/>
              <w:spacing w:after="0"/>
              <w:rPr>
                <w:sz w:val="20"/>
                <w:szCs w:val="20"/>
                <w:color w:val="auto"/>
              </w:rPr>
            </w:pPr>
            <w:r>
              <w:rPr>
                <w:rFonts w:ascii="Arial" w:cs="Arial" w:eastAsia="Arial" w:hAnsi="Arial"/>
                <w:sz w:val="14"/>
                <w:szCs w:val="14"/>
                <w:b w:val="1"/>
                <w:bCs w:val="1"/>
                <w:color w:val="auto"/>
              </w:rPr>
              <w:t>MW</w:t>
            </w:r>
          </w:p>
        </w:tc>
      </w:tr>
      <w:tr>
        <w:trPr>
          <w:trHeight w:val="17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Steam</w:t>
            </w:r>
          </w:p>
        </w:tc>
        <w:tc>
          <w:tcPr>
            <w:tcW w:w="25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120"/>
              <w:spacing w:after="0"/>
              <w:rPr>
                <w:sz w:val="20"/>
                <w:szCs w:val="20"/>
                <w:color w:val="auto"/>
              </w:rPr>
            </w:pPr>
            <w:r>
              <w:rPr>
                <w:rFonts w:ascii="Arial" w:cs="Arial" w:eastAsia="Arial" w:hAnsi="Arial"/>
                <w:sz w:val="14"/>
                <w:szCs w:val="14"/>
                <w:color w:val="auto"/>
              </w:rPr>
              <w:t xml:space="preserve">Wood-Fired </w:t>
            </w:r>
            <w:r>
              <w:rPr>
                <w:rFonts w:ascii="Arial" w:cs="Arial" w:eastAsia="Arial" w:hAnsi="Arial"/>
                <w:sz w:val="14"/>
                <w:szCs w:val="14"/>
                <w:i w:val="1"/>
                <w:iCs w:val="1"/>
                <w:color w:val="auto"/>
              </w:rPr>
              <w:t>(a)</w:t>
            </w:r>
          </w:p>
        </w:tc>
        <w:tc>
          <w:tcPr>
            <w:tcW w:w="2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Cloquet Energy Center</w:t>
            </w:r>
          </w:p>
        </w:tc>
        <w:tc>
          <w:tcPr>
            <w:tcW w:w="2560" w:type="dxa"/>
            <w:vAlign w:val="bottom"/>
            <w:shd w:val="clear" w:color="auto" w:fill="CCEEFF"/>
          </w:tcPr>
          <w:p>
            <w:pPr>
              <w:jc w:val="center"/>
              <w:ind w:left="968"/>
              <w:spacing w:after="0"/>
              <w:rPr>
                <w:sz w:val="20"/>
                <w:szCs w:val="20"/>
                <w:color w:val="auto"/>
              </w:rPr>
            </w:pPr>
            <w:r>
              <w:rPr>
                <w:rFonts w:ascii="Arial" w:cs="Arial" w:eastAsia="Arial" w:hAnsi="Arial"/>
                <w:sz w:val="14"/>
                <w:szCs w:val="14"/>
                <w:color w:val="auto"/>
              </w:rPr>
              <w:t>5</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2001</w:t>
            </w:r>
          </w:p>
        </w:tc>
        <w:tc>
          <w:tcPr>
            <w:tcW w:w="18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9"/>
              </w:rPr>
              <w:t>2001</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r>
      <w:tr>
        <w:trPr>
          <w:trHeight w:val="172"/>
        </w:trPr>
        <w:tc>
          <w:tcPr>
            <w:tcW w:w="20" w:type="dxa"/>
            <w:vAlign w:val="bottom"/>
          </w:tcPr>
          <w:p>
            <w:pPr>
              <w:spacing w:after="0"/>
              <w:rPr>
                <w:sz w:val="14"/>
                <w:szCs w:val="14"/>
                <w:color w:val="auto"/>
              </w:rPr>
            </w:pPr>
          </w:p>
        </w:tc>
        <w:tc>
          <w:tcPr>
            <w:tcW w:w="3420" w:type="dxa"/>
            <w:vAlign w:val="bottom"/>
          </w:tcPr>
          <w:p>
            <w:pPr>
              <w:ind w:left="380"/>
              <w:spacing w:after="0"/>
              <w:rPr>
                <w:sz w:val="20"/>
                <w:szCs w:val="20"/>
                <w:color w:val="auto"/>
              </w:rPr>
            </w:pPr>
            <w:r>
              <w:rPr>
                <w:rFonts w:ascii="Arial" w:cs="Arial" w:eastAsia="Arial" w:hAnsi="Arial"/>
                <w:sz w:val="14"/>
                <w:szCs w:val="14"/>
                <w:color w:val="auto"/>
              </w:rPr>
              <w:t>in Cloquet, MN</w:t>
            </w:r>
          </w:p>
        </w:tc>
        <w:tc>
          <w:tcPr>
            <w:tcW w:w="2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shd w:val="clear" w:color="auto" w:fill="CCEEFF"/>
          </w:tcPr>
          <w:p>
            <w:pPr>
              <w:jc w:val="center"/>
              <w:ind w:right="1388"/>
              <w:spacing w:after="0"/>
              <w:rPr>
                <w:sz w:val="20"/>
                <w:szCs w:val="20"/>
                <w:color w:val="auto"/>
              </w:rPr>
            </w:pPr>
            <w:r>
              <w:rPr>
                <w:rFonts w:ascii="Arial" w:cs="Arial" w:eastAsia="Arial" w:hAnsi="Arial"/>
                <w:sz w:val="14"/>
                <w:szCs w:val="14"/>
                <w:color w:val="auto"/>
                <w:w w:val="93"/>
              </w:rPr>
              <w:t xml:space="preserve">Rapids Energy Center </w:t>
            </w:r>
            <w:r>
              <w:rPr>
                <w:rFonts w:ascii="Arial" w:cs="Arial" w:eastAsia="Arial" w:hAnsi="Arial"/>
                <w:sz w:val="14"/>
                <w:szCs w:val="14"/>
                <w:i w:val="1"/>
                <w:iCs w:val="1"/>
                <w:color w:val="auto"/>
                <w:w w:val="93"/>
              </w:rPr>
              <w:t>(b)</w:t>
            </w:r>
          </w:p>
        </w:tc>
        <w:tc>
          <w:tcPr>
            <w:tcW w:w="2560" w:type="dxa"/>
            <w:vAlign w:val="bottom"/>
            <w:shd w:val="clear" w:color="auto" w:fill="CCEEFF"/>
          </w:tcPr>
          <w:p>
            <w:pPr>
              <w:jc w:val="center"/>
              <w:ind w:left="968"/>
              <w:spacing w:after="0"/>
              <w:rPr>
                <w:sz w:val="20"/>
                <w:szCs w:val="20"/>
                <w:color w:val="auto"/>
              </w:rPr>
            </w:pPr>
            <w:r>
              <w:rPr>
                <w:rFonts w:ascii="Arial" w:cs="Arial" w:eastAsia="Arial" w:hAnsi="Arial"/>
                <w:sz w:val="14"/>
                <w:szCs w:val="14"/>
                <w:color w:val="auto"/>
                <w:w w:val="97"/>
              </w:rPr>
              <w:t>6 &amp; 7</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1969, 1980</w:t>
            </w:r>
          </w:p>
        </w:tc>
        <w:tc>
          <w:tcPr>
            <w:tcW w:w="18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9"/>
              </w:rPr>
              <w:t>2000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29</w:t>
            </w:r>
          </w:p>
        </w:tc>
      </w:tr>
      <w:tr>
        <w:trPr>
          <w:trHeight w:val="174"/>
        </w:trPr>
        <w:tc>
          <w:tcPr>
            <w:tcW w:w="20" w:type="dxa"/>
            <w:vAlign w:val="bottom"/>
          </w:tcPr>
          <w:p>
            <w:pPr>
              <w:spacing w:after="0"/>
              <w:rPr>
                <w:sz w:val="15"/>
                <w:szCs w:val="15"/>
                <w:color w:val="auto"/>
              </w:rPr>
            </w:pPr>
          </w:p>
        </w:tc>
        <w:tc>
          <w:tcPr>
            <w:tcW w:w="3420" w:type="dxa"/>
            <w:vAlign w:val="bottom"/>
            <w:tcBorders>
              <w:bottom w:val="single" w:sz="8" w:color="auto"/>
            </w:tcBorders>
          </w:tcPr>
          <w:p>
            <w:pPr>
              <w:jc w:val="center"/>
              <w:ind w:right="1348"/>
              <w:spacing w:after="0"/>
              <w:rPr>
                <w:sz w:val="20"/>
                <w:szCs w:val="20"/>
                <w:color w:val="auto"/>
              </w:rPr>
            </w:pPr>
            <w:r>
              <w:rPr>
                <w:rFonts w:ascii="Arial" w:cs="Arial" w:eastAsia="Arial" w:hAnsi="Arial"/>
                <w:sz w:val="14"/>
                <w:szCs w:val="14"/>
                <w:color w:val="auto"/>
                <w:w w:val="94"/>
              </w:rPr>
              <w:t>in Grand Rapids, MN</w:t>
            </w:r>
          </w:p>
        </w:tc>
        <w:tc>
          <w:tcPr>
            <w:tcW w:w="2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Hydro</w:t>
            </w:r>
          </w:p>
        </w:tc>
        <w:tc>
          <w:tcPr>
            <w:tcW w:w="25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120"/>
              <w:spacing w:after="0"/>
              <w:rPr>
                <w:sz w:val="20"/>
                <w:szCs w:val="20"/>
                <w:color w:val="auto"/>
              </w:rPr>
            </w:pPr>
            <w:r>
              <w:rPr>
                <w:rFonts w:ascii="Arial" w:cs="Arial" w:eastAsia="Arial" w:hAnsi="Arial"/>
                <w:sz w:val="14"/>
                <w:szCs w:val="14"/>
                <w:color w:val="auto"/>
              </w:rPr>
              <w:t>Conventional Run-of-River</w:t>
            </w:r>
          </w:p>
        </w:tc>
        <w:tc>
          <w:tcPr>
            <w:tcW w:w="2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shd w:val="clear" w:color="auto" w:fill="CCEEFF"/>
          </w:tcPr>
          <w:p>
            <w:pPr>
              <w:jc w:val="center"/>
              <w:ind w:right="1388"/>
              <w:spacing w:after="0"/>
              <w:rPr>
                <w:sz w:val="20"/>
                <w:szCs w:val="20"/>
                <w:color w:val="auto"/>
              </w:rPr>
            </w:pPr>
            <w:r>
              <w:rPr>
                <w:rFonts w:ascii="Arial" w:cs="Arial" w:eastAsia="Arial" w:hAnsi="Arial"/>
                <w:sz w:val="14"/>
                <w:szCs w:val="14"/>
                <w:color w:val="auto"/>
                <w:w w:val="93"/>
              </w:rPr>
              <w:t xml:space="preserve">Rapids Energy Center </w:t>
            </w:r>
            <w:r>
              <w:rPr>
                <w:rFonts w:ascii="Arial" w:cs="Arial" w:eastAsia="Arial" w:hAnsi="Arial"/>
                <w:sz w:val="14"/>
                <w:szCs w:val="14"/>
                <w:i w:val="1"/>
                <w:iCs w:val="1"/>
                <w:color w:val="auto"/>
                <w:w w:val="93"/>
              </w:rPr>
              <w:t>(b)</w:t>
            </w:r>
          </w:p>
        </w:tc>
        <w:tc>
          <w:tcPr>
            <w:tcW w:w="2560" w:type="dxa"/>
            <w:vAlign w:val="bottom"/>
            <w:shd w:val="clear" w:color="auto" w:fill="CCEEFF"/>
          </w:tcPr>
          <w:p>
            <w:pPr>
              <w:jc w:val="center"/>
              <w:ind w:left="968"/>
              <w:spacing w:after="0"/>
              <w:rPr>
                <w:sz w:val="20"/>
                <w:szCs w:val="20"/>
                <w:color w:val="auto"/>
              </w:rPr>
            </w:pPr>
            <w:r>
              <w:rPr>
                <w:rFonts w:ascii="Arial" w:cs="Arial" w:eastAsia="Arial" w:hAnsi="Arial"/>
                <w:sz w:val="14"/>
                <w:szCs w:val="14"/>
                <w:color w:val="auto"/>
                <w:w w:val="97"/>
              </w:rPr>
              <w:t>4 &amp; 5</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1917</w:t>
            </w:r>
          </w:p>
        </w:tc>
        <w:tc>
          <w:tcPr>
            <w:tcW w:w="18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9"/>
              </w:rPr>
              <w:t>2000</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r>
      <w:tr>
        <w:trPr>
          <w:trHeight w:val="174"/>
        </w:trPr>
        <w:tc>
          <w:tcPr>
            <w:tcW w:w="20" w:type="dxa"/>
            <w:vAlign w:val="bottom"/>
          </w:tcPr>
          <w:p>
            <w:pPr>
              <w:spacing w:after="0"/>
              <w:rPr>
                <w:sz w:val="15"/>
                <w:szCs w:val="15"/>
                <w:color w:val="auto"/>
              </w:rPr>
            </w:pPr>
          </w:p>
        </w:tc>
        <w:tc>
          <w:tcPr>
            <w:tcW w:w="3420" w:type="dxa"/>
            <w:vAlign w:val="bottom"/>
            <w:tcBorders>
              <w:bottom w:val="single" w:sz="8" w:color="auto"/>
            </w:tcBorders>
          </w:tcPr>
          <w:p>
            <w:pPr>
              <w:jc w:val="center"/>
              <w:ind w:right="1348"/>
              <w:spacing w:after="0"/>
              <w:rPr>
                <w:sz w:val="20"/>
                <w:szCs w:val="20"/>
                <w:color w:val="auto"/>
              </w:rPr>
            </w:pPr>
            <w:r>
              <w:rPr>
                <w:rFonts w:ascii="Arial" w:cs="Arial" w:eastAsia="Arial" w:hAnsi="Arial"/>
                <w:sz w:val="14"/>
                <w:szCs w:val="14"/>
                <w:color w:val="auto"/>
                <w:w w:val="94"/>
              </w:rPr>
              <w:t>in Grand Rapids, MN</w:t>
            </w:r>
          </w:p>
        </w:tc>
        <w:tc>
          <w:tcPr>
            <w:tcW w:w="2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bl>
    <w:p>
      <w:pPr>
        <w:spacing w:after="0" w:line="183" w:lineRule="exact"/>
        <w:rPr>
          <w:sz w:val="20"/>
          <w:szCs w:val="20"/>
          <w:color w:val="auto"/>
        </w:rPr>
      </w:pPr>
    </w:p>
    <w:p>
      <w:pPr>
        <w:ind w:left="260" w:hanging="254"/>
        <w:spacing w:after="0"/>
        <w:tabs>
          <w:tab w:leader="none" w:pos="2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Supplemented by coal.</w:t>
      </w:r>
    </w:p>
    <w:p>
      <w:pPr>
        <w:spacing w:after="0" w:line="20" w:lineRule="exact"/>
        <w:rPr>
          <w:rFonts w:ascii="Arial" w:cs="Arial" w:eastAsia="Arial" w:hAnsi="Arial"/>
          <w:sz w:val="14"/>
          <w:szCs w:val="14"/>
          <w:i w:val="1"/>
          <w:iCs w:val="1"/>
          <w:color w:val="auto"/>
        </w:rPr>
      </w:pPr>
    </w:p>
    <w:p>
      <w:pPr>
        <w:ind w:left="260" w:hanging="254"/>
        <w:spacing w:after="0"/>
        <w:tabs>
          <w:tab w:leader="none" w:pos="2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net generation is primarily dedicated to the needs of one customer.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Minnesota Land. </w:t>
      </w:r>
      <w:r>
        <w:rPr>
          <w:rFonts w:ascii="Arial" w:cs="Arial" w:eastAsia="Arial" w:hAnsi="Arial"/>
          <w:sz w:val="14"/>
          <w:szCs w:val="14"/>
          <w:color w:val="auto"/>
        </w:rPr>
        <w:t>We have about 7,000 acres of land available-for-sale in Minnesota. We acquired the land in 2001 when we purchased Taconite Harbor.</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Emerging Technology Investments. </w:t>
      </w:r>
      <w:r>
        <w:rPr>
          <w:rFonts w:ascii="Arial" w:cs="Arial" w:eastAsia="Arial" w:hAnsi="Arial"/>
          <w:sz w:val="14"/>
          <w:szCs w:val="14"/>
          <w:color w:val="auto"/>
        </w:rPr>
        <w:t>The majority of our emerging technology investments are minority investments in venture capital funds. We account for our investment in venture capital funds</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the equity method of accounting. The total carrying value of our emerging technology portfolio was $7.4 million at December 31, 2008. (See Note 6. Investments.) Our remaining commitment of $0.7 million at December 31, 2008 may be invested in 2009. We do not have plans to make any additional investments beyond this commitment.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businesses are subject to regulation of environmental matters by various federal, state and local authorities. We consider our businesses to be in substantial compliance with currently applicable environmental regulations and believe all necessary permits to conduct such operations have been obtained. Due to future stricter environmental requirements through legislation and/or rulemaking, we anticipate that potential expenditures for environmental matters will be material and will require significant capital investments. (See Item 7. Management’s Discussion and Analysis of Financial Condition and Results of Operations – Capital Requirements.)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review environmental matters for disclosure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92" w:lineRule="exact"/>
        <w:rPr>
          <w:sz w:val="20"/>
          <w:szCs w:val="20"/>
          <w:color w:val="auto"/>
        </w:rPr>
      </w:pPr>
    </w:p>
    <w:p>
      <w:pPr>
        <w:jc w:val="both"/>
        <w:spacing w:after="0" w:line="239" w:lineRule="auto"/>
        <w:rPr>
          <w:sz w:val="20"/>
          <w:szCs w:val="20"/>
          <w:color w:val="auto"/>
        </w:rPr>
      </w:pPr>
      <w:r>
        <w:rPr>
          <w:rFonts w:ascii="Arial" w:cs="Arial" w:eastAsia="Arial" w:hAnsi="Arial"/>
          <w:sz w:val="14"/>
          <w:szCs w:val="14"/>
          <w:b w:val="1"/>
          <w:bCs w:val="1"/>
          <w:color w:val="auto"/>
        </w:rPr>
        <w:t xml:space="preserve">Air. </w:t>
      </w:r>
      <w:r>
        <w:rPr>
          <w:rFonts w:ascii="Arial" w:cs="Arial" w:eastAsia="Arial" w:hAnsi="Arial"/>
          <w:sz w:val="14"/>
          <w:szCs w:val="14"/>
          <w:i w:val="1"/>
          <w:iCs w:val="1"/>
          <w:color w:val="auto"/>
        </w:rPr>
        <w:t>Clean Air Act.</w:t>
      </w:r>
      <w:r>
        <w:rPr>
          <w:rFonts w:ascii="Arial" w:cs="Arial" w:eastAsia="Arial" w:hAnsi="Arial"/>
          <w:sz w:val="14"/>
          <w:szCs w:val="14"/>
          <w:b w:val="1"/>
          <w:bCs w:val="1"/>
          <w:color w:val="auto"/>
        </w:rPr>
        <w:t xml:space="preserve"> </w:t>
      </w:r>
      <w:r>
        <w:rPr>
          <w:rFonts w:ascii="Arial" w:cs="Arial" w:eastAsia="Arial" w:hAnsi="Arial"/>
          <w:sz w:val="14"/>
          <w:szCs w:val="14"/>
          <w:color w:val="auto"/>
        </w:rPr>
        <w:t>The federal Clean Air Act Amendments of 1990 (Clean Air Act) established the acid rain program which created emission allowances for SO</w:t>
      </w:r>
      <w:r>
        <w:rPr>
          <w:rFonts w:ascii="Arial" w:cs="Arial" w:eastAsia="Arial" w:hAnsi="Arial"/>
          <w:sz w:val="20"/>
          <w:szCs w:val="20"/>
          <w:color w:val="auto"/>
          <w:vertAlign w:val="subscript"/>
        </w:rPr>
        <w:t>2</w:t>
      </w:r>
      <w:r>
        <w:rPr>
          <w:rFonts w:ascii="Arial" w:cs="Arial" w:eastAsia="Arial" w:hAnsi="Arial"/>
          <w:sz w:val="14"/>
          <w:szCs w:val="14"/>
          <w:b w:val="1"/>
          <w:bCs w:val="1"/>
          <w:color w:val="auto"/>
        </w:rPr>
        <w:t xml:space="preserve"> </w:t>
      </w:r>
      <w:r>
        <w:rPr>
          <w:rFonts w:ascii="Arial" w:cs="Arial" w:eastAsia="Arial" w:hAnsi="Arial"/>
          <w:sz w:val="14"/>
          <w:szCs w:val="14"/>
          <w:color w:val="auto"/>
        </w:rPr>
        <w:t>and system wide averaging</w:t>
      </w:r>
      <w:r>
        <w:rPr>
          <w:rFonts w:ascii="Arial" w:cs="Arial" w:eastAsia="Arial" w:hAnsi="Arial"/>
          <w:sz w:val="14"/>
          <w:szCs w:val="14"/>
          <w:b w:val="1"/>
          <w:bCs w:val="1"/>
          <w:color w:val="auto"/>
        </w:rPr>
        <w:t xml:space="preserve"> </w:t>
      </w:r>
      <w:r>
        <w:rPr>
          <w:rFonts w:ascii="Arial" w:cs="Arial" w:eastAsia="Arial" w:hAnsi="Arial"/>
          <w:sz w:val="14"/>
          <w:szCs w:val="14"/>
          <w:color w:val="auto"/>
        </w:rPr>
        <w:t>NO</w:t>
      </w:r>
      <w:r>
        <w:rPr>
          <w:rFonts w:ascii="Arial" w:cs="Arial" w:eastAsia="Arial" w:hAnsi="Arial"/>
          <w:sz w:val="20"/>
          <w:szCs w:val="20"/>
          <w:color w:val="auto"/>
          <w:vertAlign w:val="subscript"/>
        </w:rPr>
        <w:t>X</w:t>
      </w:r>
      <w:r>
        <w:rPr>
          <w:rFonts w:ascii="Arial" w:cs="Arial" w:eastAsia="Arial" w:hAnsi="Arial"/>
          <w:sz w:val="14"/>
          <w:szCs w:val="14"/>
          <w:color w:val="auto"/>
        </w:rPr>
        <w:t xml:space="preserve"> limits. Minnesota Power’s generating facilities mainly burn low-sulfur western sub-bituminous coal. Square Butte, located in North Dakota, burns lignite coal. All of these facilities are equipped with pollution control equipment such as scrubbers, bag houses, or electrostatic precipitators. Minnesota Power’s generating facilities are currently in compliance with permitted emission requirements.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Environmental Matters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Air (Continued)</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New Source Review. </w:t>
      </w:r>
      <w:r>
        <w:rPr>
          <w:rFonts w:ascii="Arial" w:cs="Arial" w:eastAsia="Arial" w:hAnsi="Arial"/>
          <w:sz w:val="14"/>
          <w:szCs w:val="14"/>
          <w:color w:val="auto"/>
        </w:rPr>
        <w:t>On August 8, 2008, Minnesota Power received a Notice of Violation (NOV) from the United States EPA asserting violations of the New Source Review (NSR) requirements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Clean Air Act at Boswell Units 1-4 and Laskin Unit 2. The NOV also asserts that the Boswell Unit 4 Title V permit was violated. The NOV asserts that seven projects undertaken at these coal-fired plants between the years 1981 and 2000 should have been reviewed under the NSR requirements. Minnesota Power believes the projects were in full compliance with the Clean Air Act, NSR requirements and applicable permits.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EPA has been conducting a nationwide enforcement initiative since 1999 relating to NSR requirements. In 2000, 2001, and 2002 Minnesota Power received requests from the EPA pursuant to Section 114(a) of the Clean Air Act seeking information regarding capital expenditures with respect to Boswell and Laskin. Minnesota Power responded to these requests; however, we had no further communications from the EPA regarding the information provided until receipt of the NOV.</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10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i w:val="1"/>
          <w:iCs w:val="1"/>
          <w:color w:val="auto"/>
        </w:rPr>
        <w:t xml:space="preserve">EPA Clean Air Interstate Rule. </w:t>
      </w:r>
      <w:r>
        <w:rPr>
          <w:rFonts w:ascii="Arial" w:cs="Arial" w:eastAsia="Arial" w:hAnsi="Arial"/>
          <w:sz w:val="13"/>
          <w:szCs w:val="13"/>
          <w:color w:val="auto"/>
        </w:rPr>
        <w:t>In March 2005, the EPA announced the Clean Air Interstate Rule (CAIR) that sought to reduce and permanently cap emissions of SO</w:t>
      </w:r>
      <w:r>
        <w:rPr>
          <w:rFonts w:ascii="Arial" w:cs="Arial" w:eastAsia="Arial" w:hAnsi="Arial"/>
          <w:sz w:val="18"/>
          <w:szCs w:val="18"/>
          <w:color w:val="auto"/>
          <w:vertAlign w:val="subscript"/>
        </w:rPr>
        <w:t>2</w:t>
      </w:r>
      <w:r>
        <w:rPr>
          <w:rFonts w:ascii="Arial" w:cs="Arial" w:eastAsia="Arial" w:hAnsi="Arial"/>
          <w:sz w:val="13"/>
          <w:szCs w:val="13"/>
          <w:color w:val="auto"/>
        </w:rPr>
        <w:t>, NO</w:t>
      </w:r>
      <w:r>
        <w:rPr>
          <w:rFonts w:ascii="Arial" w:cs="Arial" w:eastAsia="Arial" w:hAnsi="Arial"/>
          <w:sz w:val="18"/>
          <w:szCs w:val="18"/>
          <w:color w:val="auto"/>
          <w:vertAlign w:val="subscript"/>
        </w:rPr>
        <w:t>X,</w:t>
      </w:r>
      <w:r>
        <w:rPr>
          <w:rFonts w:ascii="Arial" w:cs="Arial" w:eastAsia="Arial" w:hAnsi="Arial"/>
          <w:sz w:val="13"/>
          <w:szCs w:val="13"/>
          <w:i w:val="1"/>
          <w:iCs w:val="1"/>
          <w:color w:val="auto"/>
        </w:rPr>
        <w:t xml:space="preserve"> </w:t>
      </w:r>
      <w:r>
        <w:rPr>
          <w:rFonts w:ascii="Arial" w:cs="Arial" w:eastAsia="Arial" w:hAnsi="Arial"/>
          <w:sz w:val="13"/>
          <w:szCs w:val="13"/>
          <w:color w:val="auto"/>
        </w:rPr>
        <w:t>and particulates in the</w:t>
      </w:r>
      <w:r>
        <w:rPr>
          <w:rFonts w:ascii="Arial" w:cs="Arial" w:eastAsia="Arial" w:hAnsi="Arial"/>
          <w:sz w:val="13"/>
          <w:szCs w:val="13"/>
          <w:i w:val="1"/>
          <w:iCs w:val="1"/>
          <w:color w:val="auto"/>
        </w:rPr>
        <w:t xml:space="preserve"> </w:t>
      </w:r>
      <w:r>
        <w:rPr>
          <w:rFonts w:ascii="Arial" w:cs="Arial" w:eastAsia="Arial" w:hAnsi="Arial"/>
          <w:sz w:val="13"/>
          <w:szCs w:val="13"/>
          <w:color w:val="auto"/>
        </w:rPr>
        <w:t>eastern United States. Minnesota is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2008, the EPA and others petitioned the Court for a rehearing or alternatively requested that the CAIR be remanded without a court order. In December 2008, the Court granted the request that the CAIR be remanded without a court order, effectively reinstating a January 1, 2009, compliance date for the CAIR, including Minnesota. However, Minnesota Power has received written assurance from the EPA that it intends to publish a rule amending the CAIR to stay its effectiveness with respect to Minnesota until completion of the EPA’s determination of whether Minnesota should be included as a CAIR state. Minnesota Power anticipates the EPA will act regarding this Minnesota administrative stay of the CAIR before CAIR compliance reporting would be required in 2010. If the CAIR ultimately goes into effect in Minnesota, we expect we will have to supplement ongoing emission control retrofits by providing for CAIR related emission allowance purchases, supplemental emission reductions or a combination of both.</w:t>
      </w:r>
    </w:p>
    <w:p>
      <w:pPr>
        <w:spacing w:after="0" w:line="16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i w:val="1"/>
          <w:iCs w:val="1"/>
          <w:color w:val="auto"/>
        </w:rPr>
        <w:t>Minnesota Regional Haze</w:t>
      </w:r>
      <w:r>
        <w:rPr>
          <w:rFonts w:ascii="Arial" w:cs="Arial" w:eastAsia="Arial" w:hAnsi="Arial"/>
          <w:sz w:val="13"/>
          <w:szCs w:val="13"/>
          <w:color w:val="auto"/>
        </w:rPr>
        <w:t>. The regional haze rule requires states to submit state implementation plans (SIPs) to the EPA to address regional haze visibility impairment in 156 federally-protected parks</w:t>
      </w:r>
      <w:r>
        <w:rPr>
          <w:rFonts w:ascii="Arial" w:cs="Arial" w:eastAsia="Arial" w:hAnsi="Arial"/>
          <w:sz w:val="13"/>
          <w:szCs w:val="13"/>
          <w:i w:val="1"/>
          <w:iCs w:val="1"/>
          <w:color w:val="auto"/>
        </w:rPr>
        <w:t xml:space="preserve"> </w:t>
      </w:r>
      <w:r>
        <w:rPr>
          <w:rFonts w:ascii="Arial" w:cs="Arial" w:eastAsia="Arial" w:hAnsi="Arial"/>
          <w:sz w:val="13"/>
          <w:szCs w:val="13"/>
          <w:color w:val="auto"/>
        </w:rPr>
        <w:t>and wilderness areas. Under the regional haze rule, certain large stationary sources of visibility-impairing emissions that were put in place between 1962 and 1977 are required to install emission controls, known as best available retrofit technology (BART). We have certain steam units (Boswell Unit 3 and Taconite Harbor Unit 3) that are subject to BART requirements.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never filed due to the Court’s review of CAIR as more fully described above under “EPA Clean Air Interstate Rule.” Subsequently, the MPCA has requested that companies with BART eligible units complete and submit a BART emissions control retrofit study, which we did as to Taconite Harbor Unit 3 in November 2008. The retrofit work currently underway on Boswell Unit 3 meets the BART requirement for that unit. It is uncertain what controls will ultimately be required by the MPCA at Taconite Harbor Unit 3 in connection with the regional haze rule.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EPA Clean Air Mercury Rule. </w:t>
      </w:r>
      <w:r>
        <w:rPr>
          <w:rFonts w:ascii="Arial" w:cs="Arial" w:eastAsia="Arial" w:hAnsi="Arial"/>
          <w:sz w:val="14"/>
          <w:szCs w:val="14"/>
          <w:color w:val="auto"/>
        </w:rPr>
        <w:t>In March 2005, the EPA also announced the Clean Air Mercury Rule (CAMR) that would have reduced and permanently capped emissions of electric utility mercury</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emissions in the continental United States. In February 2008, the Court overturned the CAMR and remanded the rulemaking to the EPA for reconsideration. In October 2008, the Department of Justice, on behalf of the EPA, petitioned the Supreme Court to review the Court’s decision in the CAMR case. It is uncertain how the Supreme Court will respond. Cost estimates for complying with CAMR or future mercury regulations under the Clean Air Act are therefore premature at this time.</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Minnesota Mercury Emission Law. </w:t>
      </w:r>
      <w:r>
        <w:rPr>
          <w:rFonts w:ascii="Arial" w:cs="Arial" w:eastAsia="Arial" w:hAnsi="Arial"/>
          <w:sz w:val="14"/>
          <w:szCs w:val="14"/>
          <w:color w:val="auto"/>
        </w:rPr>
        <w:t>This legislation requires Minnesota Power to file mercury emission reduction plans for Boswell Units 3 and 4. The Boswell Unit 3 emission reduction plan was</w:t>
      </w:r>
      <w:r>
        <w:rPr>
          <w:rFonts w:ascii="Arial" w:cs="Arial" w:eastAsia="Arial" w:hAnsi="Arial"/>
          <w:sz w:val="14"/>
          <w:szCs w:val="14"/>
          <w:i w:val="1"/>
          <w:iCs w:val="1"/>
          <w:color w:val="auto"/>
        </w:rPr>
        <w:t xml:space="preserve"> </w:t>
      </w:r>
      <w:r>
        <w:rPr>
          <w:rFonts w:ascii="Arial" w:cs="Arial" w:eastAsia="Arial" w:hAnsi="Arial"/>
          <w:sz w:val="14"/>
          <w:szCs w:val="14"/>
          <w:color w:val="auto"/>
        </w:rPr>
        <w:t>filed with the MPCA in October 2006. Minnesota Power is required to install mercury emission reduction technology and equipment by December 31, 2010. (See Item 1. Business – Regulated Operations – Minnesota Public Utilities Commission – AREA and Boswell Unit 3 Emission Reduction Plans.) The next step will be to file a mercury emissions reduction plan for Boswell Unit 4 by July 1, 2011, with implementation no later than December 31, 2014.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Environmental Matters (Continued)</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Water. </w:t>
      </w:r>
      <w:r>
        <w:rPr>
          <w:rFonts w:ascii="Arial" w:cs="Arial" w:eastAsia="Arial" w:hAnsi="Arial"/>
          <w:sz w:val="14"/>
          <w:szCs w:val="14"/>
          <w:color w:val="auto"/>
        </w:rPr>
        <w:t>The Federal Water Pollution Control Act requires NPDES permits to be obtained from the EPA (or, when delegated, from individual state pollution control agencies) for any wastewater</w:t>
      </w:r>
      <w:r>
        <w:rPr>
          <w:rFonts w:ascii="Arial" w:cs="Arial" w:eastAsia="Arial" w:hAnsi="Arial"/>
          <w:sz w:val="14"/>
          <w:szCs w:val="14"/>
          <w:b w:val="1"/>
          <w:bCs w:val="1"/>
          <w:color w:val="auto"/>
        </w:rPr>
        <w:t xml:space="preserve"> </w:t>
      </w:r>
      <w:r>
        <w:rPr>
          <w:rFonts w:ascii="Arial" w:cs="Arial" w:eastAsia="Arial" w:hAnsi="Arial"/>
          <w:sz w:val="14"/>
          <w:szCs w:val="14"/>
          <w:color w:val="auto"/>
        </w:rPr>
        <w:t>discharged into navigable waters. We have obtained all necessary NPDES permits, including NPDES storm water permits for applicable facilities, to conduct our operations. We are in material compliance with these permits.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color w:val="auto"/>
        </w:rPr>
        <w:t xml:space="preserve">Solid and Hazardous Waste. </w:t>
      </w:r>
      <w:r>
        <w:rPr>
          <w:rFonts w:ascii="Arial" w:cs="Arial" w:eastAsia="Arial" w:hAnsi="Arial"/>
          <w:sz w:val="13"/>
          <w:szCs w:val="13"/>
          <w:color w:val="auto"/>
        </w:rPr>
        <w:t>The Resource Conservation and Recovery Act of 1976 regulates the management and disposal of solid wastes and hazardous wastes. We are required to notify the EPA</w:t>
      </w:r>
      <w:r>
        <w:rPr>
          <w:rFonts w:ascii="Arial" w:cs="Arial" w:eastAsia="Arial" w:hAnsi="Arial"/>
          <w:sz w:val="13"/>
          <w:szCs w:val="13"/>
          <w:b w:val="1"/>
          <w:bCs w:val="1"/>
          <w:color w:val="auto"/>
        </w:rPr>
        <w:t xml:space="preserve"> </w:t>
      </w:r>
      <w:r>
        <w:rPr>
          <w:rFonts w:ascii="Arial" w:cs="Arial" w:eastAsia="Arial" w:hAnsi="Arial"/>
          <w:sz w:val="13"/>
          <w:szCs w:val="13"/>
          <w:color w:val="auto"/>
        </w:rPr>
        <w:t>of hazardous waste activity and consequently, routinely submit the necessary reports to the EPA. The Toxic Substances Control Act regulates the management and disposal of materials containing polychlorinated biphenyl (PCB). In response to the EPA Region V’s request for utilities to participate in the Great Lakes Initiative by voluntarily removing remaining PCB inventories, Minnesota Power replaced its PCB capacitor banks by 2005. PCB-contaminated oil in substation equipment was replaced by June 2007. We are in material compliance with these rules.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Manufactured Gas Plant Site. </w:t>
      </w:r>
      <w:r>
        <w:rPr>
          <w:rFonts w:ascii="Arial" w:cs="Arial" w:eastAsia="Arial" w:hAnsi="Arial"/>
          <w:sz w:val="14"/>
          <w:szCs w:val="14"/>
          <w:color w:val="auto"/>
        </w:rPr>
        <w:t>We are reviewing and addressing environmental conditions at a former manufactured gas plant site within the City of Superior, Wisconsin and formerly operated by</w:t>
      </w:r>
      <w:r>
        <w:rPr>
          <w:rFonts w:ascii="Arial" w:cs="Arial" w:eastAsia="Arial" w:hAnsi="Arial"/>
          <w:sz w:val="14"/>
          <w:szCs w:val="14"/>
          <w:b w:val="1"/>
          <w:bCs w:val="1"/>
          <w:color w:val="auto"/>
        </w:rPr>
        <w:t xml:space="preserve"> </w:t>
      </w:r>
      <w:r>
        <w:rPr>
          <w:rFonts w:ascii="Arial" w:cs="Arial" w:eastAsia="Arial" w:hAnsi="Arial"/>
          <w:sz w:val="14"/>
          <w:szCs w:val="14"/>
          <w:color w:val="auto"/>
        </w:rPr>
        <w:t>SWL&amp;P. We have been working with the WDNR to determine the extent of contamination and the remediation of contaminated locations. We have accrued a $0.5 million liability for this site at December 31, 2008, and have recorded a corresponding regulatory asset as we expect recovery of remediation costs to be allowed by the PSCW.</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2008, ALLETE had 1,529 employees, of which 1,449 were full-time.</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Minnesota Power and SWL&amp;P have an aggregate 635 employees who are members of the International Brotherhood of Electrical Workers (IBEW) Local 31. The labor agreement with IBEW Local 31 expired on January 31, 2009. Both parties have agreed to extend the current agreement until a new agreement is signed. Negotiations are proceeding as anticipated and we remain optimistic of achieving a ratified agreement.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BNI Coal has 94 employees who are members of the IBEW Local 1593. BNI Coal and IBEW Local 1593 have a labor agreement which expires on March 31, 2011.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Availability of Information</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ALLETE makes its SEC filings, including its annual report on Form 10-K, quarterly reports on Form 10-Q, current reports on Form 8-K and any amendments to those reports, available free of charge on ALLETE’s Website www.allete.com, as soon as reasonably practicable after they are electronically filed with or furnished to the SEC.</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of the Registrant</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6640" w:type="dxa"/>
            <w:vAlign w:val="bottom"/>
            <w:gridSpan w:val="2"/>
          </w:tcPr>
          <w:p>
            <w:pPr>
              <w:spacing w:after="0"/>
              <w:rPr>
                <w:sz w:val="20"/>
                <w:szCs w:val="20"/>
                <w:color w:val="auto"/>
              </w:rPr>
            </w:pPr>
            <w:r>
              <w:rPr>
                <w:rFonts w:ascii="Arial" w:cs="Arial" w:eastAsia="Arial" w:hAnsi="Arial"/>
                <w:sz w:val="14"/>
                <w:szCs w:val="14"/>
                <w:color w:val="auto"/>
              </w:rPr>
              <w:t>As of February 13, 2009, these are the executive officers of ALLETE.</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4820" w:type="dxa"/>
            <w:vAlign w:val="bottom"/>
            <w:tcBorders>
              <w:bottom w:val="single" w:sz="8" w:color="auto"/>
            </w:tcBorders>
            <w:shd w:val="clear" w:color="auto" w:fill="CCEEFF"/>
          </w:tcPr>
          <w:p>
            <w:pPr>
              <w:ind w:left="2420"/>
              <w:spacing w:after="0"/>
              <w:rPr>
                <w:sz w:val="20"/>
                <w:szCs w:val="20"/>
                <w:color w:val="auto"/>
              </w:rPr>
            </w:pPr>
            <w:r>
              <w:rPr>
                <w:rFonts w:ascii="Arial" w:cs="Arial" w:eastAsia="Arial" w:hAnsi="Arial"/>
                <w:sz w:val="14"/>
                <w:szCs w:val="14"/>
                <w:b w:val="1"/>
                <w:bCs w:val="1"/>
                <w:color w:val="auto"/>
              </w:rPr>
              <w:t>Initial Effective Date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Donald J. Shippar</w:t>
            </w:r>
            <w:r>
              <w:rPr>
                <w:rFonts w:ascii="Arial" w:cs="Arial" w:eastAsia="Arial" w:hAnsi="Arial"/>
                <w:sz w:val="14"/>
                <w:szCs w:val="14"/>
                <w:color w:val="auto"/>
              </w:rPr>
              <w:t>, Age 59</w:t>
            </w: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Chairman, President and Chief Executive Officer</w:t>
            </w:r>
          </w:p>
        </w:tc>
        <w:tc>
          <w:tcPr>
            <w:tcW w:w="4820" w:type="dxa"/>
            <w:vAlign w:val="bottom"/>
          </w:tcPr>
          <w:p>
            <w:pPr>
              <w:ind w:left="2420"/>
              <w:spacing w:after="0"/>
              <w:rPr>
                <w:sz w:val="20"/>
                <w:szCs w:val="20"/>
                <w:color w:val="auto"/>
              </w:rPr>
            </w:pPr>
            <w:r>
              <w:rPr>
                <w:rFonts w:ascii="Arial" w:cs="Arial" w:eastAsia="Arial" w:hAnsi="Arial"/>
                <w:sz w:val="14"/>
                <w:szCs w:val="14"/>
                <w:color w:val="auto"/>
              </w:rPr>
              <w:t>January 1, 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President and Chief Executive Officer</w:t>
            </w:r>
          </w:p>
        </w:tc>
        <w:tc>
          <w:tcPr>
            <w:tcW w:w="4820" w:type="dxa"/>
            <w:vAlign w:val="bottom"/>
            <w:shd w:val="clear" w:color="auto" w:fill="CCEEFF"/>
          </w:tcPr>
          <w:p>
            <w:pPr>
              <w:ind w:left="2420"/>
              <w:spacing w:after="0"/>
              <w:rPr>
                <w:sz w:val="20"/>
                <w:szCs w:val="20"/>
                <w:color w:val="auto"/>
              </w:rPr>
            </w:pPr>
            <w:r>
              <w:rPr>
                <w:rFonts w:ascii="Arial" w:cs="Arial" w:eastAsia="Arial" w:hAnsi="Arial"/>
                <w:sz w:val="14"/>
                <w:szCs w:val="14"/>
                <w:color w:val="auto"/>
              </w:rPr>
              <w:t>January 21, 2004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Executive Vice President – ALLETE and President – Minnesota Power</w:t>
            </w:r>
          </w:p>
        </w:tc>
        <w:tc>
          <w:tcPr>
            <w:tcW w:w="4820" w:type="dxa"/>
            <w:vAlign w:val="bottom"/>
          </w:tcPr>
          <w:p>
            <w:pPr>
              <w:ind w:left="2420"/>
              <w:spacing w:after="0"/>
              <w:rPr>
                <w:sz w:val="20"/>
                <w:szCs w:val="20"/>
                <w:color w:val="auto"/>
              </w:rPr>
            </w:pPr>
            <w:r>
              <w:rPr>
                <w:rFonts w:ascii="Arial" w:cs="Arial" w:eastAsia="Arial" w:hAnsi="Arial"/>
                <w:sz w:val="14"/>
                <w:szCs w:val="14"/>
                <w:color w:val="auto"/>
              </w:rPr>
              <w:t>May 13, 2003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President and Chief Operating Officer – Minnesota Power</w:t>
            </w:r>
          </w:p>
        </w:tc>
        <w:tc>
          <w:tcPr>
            <w:tcW w:w="4820" w:type="dxa"/>
            <w:vAlign w:val="bottom"/>
            <w:shd w:val="clear" w:color="auto" w:fill="CCEEFF"/>
          </w:tcPr>
          <w:p>
            <w:pPr>
              <w:ind w:left="2420"/>
              <w:spacing w:after="0"/>
              <w:rPr>
                <w:sz w:val="20"/>
                <w:szCs w:val="20"/>
                <w:color w:val="auto"/>
              </w:rPr>
            </w:pPr>
            <w:r>
              <w:rPr>
                <w:rFonts w:ascii="Arial" w:cs="Arial" w:eastAsia="Arial" w:hAnsi="Arial"/>
                <w:sz w:val="14"/>
                <w:szCs w:val="14"/>
                <w:color w:val="auto"/>
              </w:rPr>
              <w:t>January 1, 2002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Robert J. Adams</w:t>
            </w:r>
            <w:r>
              <w:rPr>
                <w:rFonts w:ascii="Arial" w:cs="Arial" w:eastAsia="Arial" w:hAnsi="Arial"/>
                <w:sz w:val="14"/>
                <w:szCs w:val="14"/>
                <w:color w:val="auto"/>
              </w:rPr>
              <w:t>, Age 46</w:t>
            </w: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Vice President – Business Development and Chief Risk Officer</w:t>
            </w:r>
          </w:p>
        </w:tc>
        <w:tc>
          <w:tcPr>
            <w:tcW w:w="4820" w:type="dxa"/>
            <w:vAlign w:val="bottom"/>
          </w:tcPr>
          <w:p>
            <w:pPr>
              <w:ind w:left="2420"/>
              <w:spacing w:after="0"/>
              <w:rPr>
                <w:sz w:val="20"/>
                <w:szCs w:val="20"/>
                <w:color w:val="auto"/>
              </w:rPr>
            </w:pPr>
            <w:r>
              <w:rPr>
                <w:rFonts w:ascii="Arial" w:cs="Arial" w:eastAsia="Arial" w:hAnsi="Arial"/>
                <w:sz w:val="14"/>
                <w:szCs w:val="14"/>
                <w:color w:val="auto"/>
              </w:rPr>
              <w:t>May 13, 2008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Vice President – Utility Business Development</w:t>
            </w:r>
          </w:p>
        </w:tc>
        <w:tc>
          <w:tcPr>
            <w:tcW w:w="4820" w:type="dxa"/>
            <w:vAlign w:val="bottom"/>
            <w:shd w:val="clear" w:color="auto" w:fill="CCEEFF"/>
          </w:tcPr>
          <w:p>
            <w:pPr>
              <w:ind w:left="2420"/>
              <w:spacing w:after="0"/>
              <w:rPr>
                <w:sz w:val="20"/>
                <w:szCs w:val="20"/>
                <w:color w:val="auto"/>
              </w:rPr>
            </w:pPr>
            <w:r>
              <w:rPr>
                <w:rFonts w:ascii="Arial" w:cs="Arial" w:eastAsia="Arial" w:hAnsi="Arial"/>
                <w:sz w:val="14"/>
                <w:szCs w:val="14"/>
                <w:color w:val="auto"/>
              </w:rPr>
              <w:t>February 1, 2004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Deborah A. Amberg</w:t>
            </w:r>
            <w:r>
              <w:rPr>
                <w:rFonts w:ascii="Arial" w:cs="Arial" w:eastAsia="Arial" w:hAnsi="Arial"/>
                <w:sz w:val="14"/>
                <w:szCs w:val="14"/>
                <w:color w:val="auto"/>
              </w:rPr>
              <w:t>, Age 43</w:t>
            </w: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Senior Vice President, General Counsel and Secretary</w:t>
            </w:r>
          </w:p>
        </w:tc>
        <w:tc>
          <w:tcPr>
            <w:tcW w:w="4820" w:type="dxa"/>
            <w:vAlign w:val="bottom"/>
          </w:tcPr>
          <w:p>
            <w:pPr>
              <w:ind w:left="2420"/>
              <w:spacing w:after="0"/>
              <w:rPr>
                <w:sz w:val="20"/>
                <w:szCs w:val="20"/>
                <w:color w:val="auto"/>
              </w:rPr>
            </w:pPr>
            <w:r>
              <w:rPr>
                <w:rFonts w:ascii="Arial" w:cs="Arial" w:eastAsia="Arial" w:hAnsi="Arial"/>
                <w:sz w:val="14"/>
                <w:szCs w:val="14"/>
                <w:color w:val="auto"/>
              </w:rPr>
              <w:t>January 1, 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Vice President, General Counsel and Secretary</w:t>
            </w:r>
          </w:p>
        </w:tc>
        <w:tc>
          <w:tcPr>
            <w:tcW w:w="4820" w:type="dxa"/>
            <w:vAlign w:val="bottom"/>
            <w:shd w:val="clear" w:color="auto" w:fill="CCEEFF"/>
          </w:tcPr>
          <w:p>
            <w:pPr>
              <w:ind w:left="2420"/>
              <w:spacing w:after="0"/>
              <w:rPr>
                <w:sz w:val="20"/>
                <w:szCs w:val="20"/>
                <w:color w:val="auto"/>
              </w:rPr>
            </w:pPr>
            <w:r>
              <w:rPr>
                <w:rFonts w:ascii="Arial" w:cs="Arial" w:eastAsia="Arial" w:hAnsi="Arial"/>
                <w:sz w:val="14"/>
                <w:szCs w:val="14"/>
                <w:color w:val="auto"/>
              </w:rPr>
              <w:t>March 8, 2004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Steven Q. DeVinck</w:t>
            </w:r>
            <w:r>
              <w:rPr>
                <w:rFonts w:ascii="Arial" w:cs="Arial" w:eastAsia="Arial" w:hAnsi="Arial"/>
                <w:sz w:val="14"/>
                <w:szCs w:val="14"/>
                <w:color w:val="auto"/>
              </w:rPr>
              <w:t>, Age 49</w:t>
            </w: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Controller</w:t>
            </w:r>
          </w:p>
        </w:tc>
        <w:tc>
          <w:tcPr>
            <w:tcW w:w="4820" w:type="dxa"/>
            <w:vAlign w:val="bottom"/>
          </w:tcPr>
          <w:p>
            <w:pPr>
              <w:ind w:left="2420"/>
              <w:spacing w:after="0"/>
              <w:rPr>
                <w:sz w:val="20"/>
                <w:szCs w:val="20"/>
                <w:color w:val="auto"/>
              </w:rPr>
            </w:pPr>
            <w:r>
              <w:rPr>
                <w:rFonts w:ascii="Arial" w:cs="Arial" w:eastAsia="Arial" w:hAnsi="Arial"/>
                <w:sz w:val="14"/>
                <w:szCs w:val="14"/>
                <w:color w:val="auto"/>
              </w:rPr>
              <w:t>July 12, 2006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62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Mark A. Schober</w:t>
            </w:r>
            <w:r>
              <w:rPr>
                <w:rFonts w:ascii="Arial" w:cs="Arial" w:eastAsia="Arial" w:hAnsi="Arial"/>
                <w:sz w:val="14"/>
                <w:szCs w:val="14"/>
                <w:color w:val="auto"/>
              </w:rPr>
              <w:t>, Age 53</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Vice President and Chief Financial Officer</w:t>
            </w:r>
          </w:p>
        </w:tc>
        <w:tc>
          <w:tcPr>
            <w:tcW w:w="4820" w:type="dxa"/>
            <w:vAlign w:val="bottom"/>
            <w:shd w:val="clear" w:color="auto" w:fill="CCEEFF"/>
          </w:tcPr>
          <w:p>
            <w:pPr>
              <w:ind w:left="2420"/>
              <w:spacing w:after="0"/>
              <w:rPr>
                <w:sz w:val="20"/>
                <w:szCs w:val="20"/>
                <w:color w:val="auto"/>
              </w:rPr>
            </w:pPr>
            <w:r>
              <w:rPr>
                <w:rFonts w:ascii="Arial" w:cs="Arial" w:eastAsia="Arial" w:hAnsi="Arial"/>
                <w:sz w:val="14"/>
                <w:szCs w:val="14"/>
                <w:color w:val="auto"/>
              </w:rPr>
              <w:t>July 1, 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Senior Vice President and Controller</w:t>
            </w:r>
          </w:p>
        </w:tc>
        <w:tc>
          <w:tcPr>
            <w:tcW w:w="4820" w:type="dxa"/>
            <w:vAlign w:val="bottom"/>
          </w:tcPr>
          <w:p>
            <w:pPr>
              <w:ind w:left="2420"/>
              <w:spacing w:after="0"/>
              <w:rPr>
                <w:sz w:val="20"/>
                <w:szCs w:val="20"/>
                <w:color w:val="auto"/>
              </w:rPr>
            </w:pPr>
            <w:r>
              <w:rPr>
                <w:rFonts w:ascii="Arial" w:cs="Arial" w:eastAsia="Arial" w:hAnsi="Arial"/>
                <w:sz w:val="14"/>
                <w:szCs w:val="14"/>
                <w:color w:val="auto"/>
              </w:rPr>
              <w:t>February 1, 2004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Vice President and Controller</w:t>
            </w:r>
          </w:p>
        </w:tc>
        <w:tc>
          <w:tcPr>
            <w:tcW w:w="4820" w:type="dxa"/>
            <w:vAlign w:val="bottom"/>
            <w:shd w:val="clear" w:color="auto" w:fill="CCEEFF"/>
          </w:tcPr>
          <w:p>
            <w:pPr>
              <w:ind w:left="2420"/>
              <w:spacing w:after="0"/>
              <w:rPr>
                <w:sz w:val="20"/>
                <w:szCs w:val="20"/>
                <w:color w:val="auto"/>
              </w:rPr>
            </w:pPr>
            <w:r>
              <w:rPr>
                <w:rFonts w:ascii="Arial" w:cs="Arial" w:eastAsia="Arial" w:hAnsi="Arial"/>
                <w:sz w:val="14"/>
                <w:szCs w:val="14"/>
                <w:color w:val="auto"/>
              </w:rPr>
              <w:t>April 18, 2001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Donald W. Stellmaker</w:t>
            </w:r>
            <w:r>
              <w:rPr>
                <w:rFonts w:ascii="Arial" w:cs="Arial" w:eastAsia="Arial" w:hAnsi="Arial"/>
                <w:sz w:val="14"/>
                <w:szCs w:val="14"/>
                <w:color w:val="auto"/>
              </w:rPr>
              <w:t>, Age 51</w:t>
            </w: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Treasurer</w:t>
            </w:r>
          </w:p>
        </w:tc>
        <w:tc>
          <w:tcPr>
            <w:tcW w:w="4820" w:type="dxa"/>
            <w:vAlign w:val="bottom"/>
          </w:tcPr>
          <w:p>
            <w:pPr>
              <w:ind w:left="2420"/>
              <w:spacing w:after="0"/>
              <w:rPr>
                <w:sz w:val="20"/>
                <w:szCs w:val="20"/>
                <w:color w:val="auto"/>
              </w:rPr>
            </w:pPr>
            <w:r>
              <w:rPr>
                <w:rFonts w:ascii="Arial" w:cs="Arial" w:eastAsia="Arial" w:hAnsi="Arial"/>
                <w:sz w:val="14"/>
                <w:szCs w:val="14"/>
                <w:color w:val="auto"/>
              </w:rPr>
              <w:t>July 24, 2004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62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Claudia Scott Welty</w:t>
            </w:r>
            <w:r>
              <w:rPr>
                <w:rFonts w:ascii="Arial" w:cs="Arial" w:eastAsia="Arial" w:hAnsi="Arial"/>
                <w:sz w:val="14"/>
                <w:szCs w:val="14"/>
                <w:color w:val="auto"/>
              </w:rPr>
              <w:t>, Age 56</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Vice President and Chief Administrative Officer</w:t>
            </w:r>
          </w:p>
        </w:tc>
        <w:tc>
          <w:tcPr>
            <w:tcW w:w="4820" w:type="dxa"/>
            <w:vAlign w:val="bottom"/>
            <w:shd w:val="clear" w:color="auto" w:fill="CCEEFF"/>
          </w:tcPr>
          <w:p>
            <w:pPr>
              <w:ind w:left="2420"/>
              <w:spacing w:after="0"/>
              <w:rPr>
                <w:sz w:val="20"/>
                <w:szCs w:val="20"/>
                <w:color w:val="auto"/>
              </w:rPr>
            </w:pPr>
            <w:r>
              <w:rPr>
                <w:rFonts w:ascii="Arial" w:cs="Arial" w:eastAsia="Arial" w:hAnsi="Arial"/>
                <w:sz w:val="14"/>
                <w:szCs w:val="14"/>
                <w:color w:val="auto"/>
              </w:rPr>
              <w:t>February 1, 2004</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All of the executive officers have been employed by us for more than five years in executive or management positions. Prior to election to the positions shown above, the following executives held other positions with the Company during the past five years.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Ms. Amberg </w:t>
      </w:r>
      <w:r>
        <w:rPr>
          <w:rFonts w:ascii="Arial" w:cs="Arial" w:eastAsia="Arial" w:hAnsi="Arial"/>
          <w:sz w:val="14"/>
          <w:szCs w:val="14"/>
          <w:color w:val="auto"/>
        </w:rPr>
        <w:t>was a Senior Attorney.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Mr. DeVinck </w:t>
      </w:r>
      <w:r>
        <w:rPr>
          <w:rFonts w:ascii="Arial" w:cs="Arial" w:eastAsia="Arial" w:hAnsi="Arial"/>
          <w:sz w:val="14"/>
          <w:szCs w:val="14"/>
          <w:color w:val="auto"/>
        </w:rPr>
        <w:t>was Director of Nonutility Business Development, and Assistant Controller</w:t>
      </w:r>
      <w:r>
        <w:rPr>
          <w:rFonts w:ascii="Arial" w:cs="Arial" w:eastAsia="Arial" w:hAnsi="Arial"/>
          <w:sz w:val="14"/>
          <w:szCs w:val="14"/>
          <w:i w:val="1"/>
          <w:iCs w:val="1"/>
          <w:color w:val="auto"/>
        </w:rPr>
        <w:t>.</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Mr. Stellmaker </w:t>
      </w:r>
      <w:r>
        <w:rPr>
          <w:rFonts w:ascii="Arial" w:cs="Arial" w:eastAsia="Arial" w:hAnsi="Arial"/>
          <w:sz w:val="14"/>
          <w:szCs w:val="14"/>
          <w:color w:val="auto"/>
        </w:rPr>
        <w:t>was Director of Financial Planning.</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between any of the executive officers. All officers and directors are elected or appointed annually.</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present term of office of the executive officers listed above extends to the first meeting of our Board of Directors after the next annual meeting of shareholders. Both meetings are scheduled for May 12, 2009.</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9" w:name="page20"/>
    <w:bookmarkEnd w:id="19"/>
    <w:p>
      <w:pPr>
        <w:spacing w:after="0"/>
        <w:tabs>
          <w:tab w:leader="none" w:pos="132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Readers are cautioned that forward-looking statements, including those contained in this Form 10-K, should be read in conjunction with our disclosures under the heading: “Safe Harbor Statement Under the Private Securities Litigation Reform Act of 1995” located on page 5 of this Form 10-K and the factors described below.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results of operations could be negatively impacted if our Large Power Customers experience an economic down cycle or fail to compete effectively in the global economy.</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12 Large Power Customers accounted for approximately 36 percent of our 2008 consolidated operating revenue (one of these customers accounted for 12.5 percent of consolidated revenue). These customers are involved in cyclical industries that by their nature are adversely impacted by economic downturns and are subject to strong competition in the global marketplace. An economic downturn or failure to compete effectively in the global economy could have a material adverse effect on their operations and, consequently, could negatively impact our results of operations if we are unable to remarket this energy at similar prices.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are subject to extensive governmental regulations that may have a negative impact on our business and results of operations.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prevailing governmental policies and regulatory actions, including those of the United States Congress, state legislatures, the FERC, the MPUC and the PSCW. These governmental regulations relate to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ability to obtain rate adjustments to maintain current rates of return depends upon regulatory action under applicable statutes and regulations, and we cannot assure that rate adjustments will be obtained or current authorized rates of return on capital will be earned. Minnesota Power and SWL&amp;P from time to time file rate cases with federal and state regulatory authorities. In future rate cases, if Minnesota Power and SWL&amp;P do not receive an adequate amount of rate relief, rates are reduced, increased rates are not approved on a timely basis or costs are otherwise unable to be recovered through rates, we may experience an adverse impact on our financial condition, results of operations and cash flows. We are unable to predict the impact on our business and operations results from future regulatory activities of any of these agencies.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operations could be significantly impacted by initiatives designed to reduce the impact of greenhouse gas (GHG) emissions such as carbon dioxide from our generating facilities.</w:t>
      </w:r>
    </w:p>
    <w:p>
      <w:pPr>
        <w:spacing w:after="0" w:line="221"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Proposals for voluntary initiatives and mandatory controls are being discussed within Minnesota, among a group of midwestern states that includes Minnesota, in the United States Congress and worldwide to reduce GHGs such as carbon dioxide, a by-product of burning fossil fuels. We currently use coal as the primary fuel in 94 percent of the energy produced by our generating facilities.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cannot be certain whether new laws or regulations will be adopted to reduce GHGs and what affect any such laws or regulations would have on us. If any new laws or regulations are implemented, they could have a material effect on our results of operations, particularly if implementation costs are not fully recoverable from customers.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are participating in research and study initiatives to mitigate the potential impact of carbon emissions regulation to our business. There is no assurance that our current reduction efforts will mitigate the impact of any new regulations.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cost of environmental emission allowances could have a negative financial impact on our operations.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Minnesota Power is subject to numerous environmental laws and regulations which cap emissions and could require us to purchase environmental emissions allowances to be in compliance. The laws and regulations expose us to emission allowance price fluctuations which could increase our cost of operations. We are unable to predict emission allowance pricing or regulatory recovery of these costs. We are pursuing a current cost recovery mechanism with the MPUC.</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Risk Factors (Continued)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pose certain environmental risks which could adversely affect our results of operations and financial condition.</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are subject to extensive environmental laws and regulations affecting many aspects of our present and future operations, including air quality, water quality, waste management, reclamation and other environmental considerations. These laws and regulations can result in increased capital, operating and other costs, as a result of compliance, remediation, containment and monitoring obligations, particularly with regard to laws relating to power plant emissions. 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operation and maintenance of our generating facilities involve risks that could significantly increase the cost of doing business.</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operation of generating facilities involves many risks, including start-up risks, breakdown or failure of facilities, the dependence on a specific fuel source, or the impact of unusual or adverse weather conditions or other natural events, as well as the risk of performance below expected levels of output or efficiency, the occurrence of any of which could result in lost revenue, increased expenses or both. A significant portion of Minnesota Power’s facilities were constructed many years ago. In particular, older generating equipment, even if maintained in accordance with good engineering practices, may require significant capital expenditures to keep operating at peak efficiency. This equipment is also likely to require periodic upgrading and improvements due to changing environmental standards and technological advances.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electrical generating operations must have adequate and reliable transmission and distribution facilities to deliver electricity to its customers.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Minnesota Power depends on transmission and distribution facilities owned by other utilities, and transmission facilities primarily operated by MISO, as well as its own such facilities, to deliver the electricity we produce and sell to our customers, and to other energy suppliers. If transmission capacity is inadequate our ability to sell and deliver electricity may be hindered. We may have to forego sales or we may have to buy more expensive wholesale electricity that is available in the capacity-constrained area. In addition, any infrastructure failure that interrupts or impairs delivery of electricity to our customers could negatively impact the satisfaction of our customers with our service.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our operations the price of electricity and fuel may be volatile.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Volatility in market prices for electricity and fuel may result from:</w:t>
      </w:r>
    </w:p>
    <w:p>
      <w:pPr>
        <w:spacing w:after="0" w:line="205" w:lineRule="exact"/>
        <w:rPr>
          <w:sz w:val="20"/>
          <w:szCs w:val="20"/>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severe or unexpected weather conditions;</w:t>
      </w:r>
    </w:p>
    <w:p>
      <w:pPr>
        <w:spacing w:after="0" w:line="2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seasonality;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electricity usage;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transmission or transportation constraints, inoperability or inefficiencies;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availability of competitively priced alternative energy sources;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supply and demand for energy;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power production capacity;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outages at Minnesota Power’s generating facilities or those of our competitors;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production and storage levels of natural gas, lignite, coal, crude oil and refined products;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natural disasters, wars, sabotage, terrorist acts or other catastrophic events;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federal, state, local and foreign energy, environmental, or other regulation and legislation.</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Since fluctuations in fuel expense related to our regulated utility operations are passed on to customers through our fuel clause, risk of volatility in market prices for fuel and electricity mainly impacts our non-rate base operations at this time.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Risk Factors (Continued)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dependent on good labor relations.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our relations to be good with our 1,529 employees. Failure to successfully renegotiate labor agreements could adversely affect the services we provide and our results of operations. 729 of our employees are members of either the IBEW Local 31 or Local 1593. The labor agreement with Local 31 at Minnesota Power and SWL&amp;P expired on January 31, 2009. Both parties have agreed to extend the current agreement until a new agreement is signed. Negotiations are proceeding as anticipated and we remain optimistic of achieving a ratified agreement. The labor agreement with Local 1593 at BNI Coal expires on March 31, 2011.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downturn in economic conditions could adversely affect our real estate business.</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ability of our real estate business to generate revenue is directly related to the Florida real estate market, the national and local economy in general and changes in interest rates. While conditions in the Florida real estate market may fluctuate over time, continued demand for land is dependent on long-term prospects for strong, in-migration population expansion.</w:t>
      </w:r>
    </w:p>
    <w:p>
      <w:pPr>
        <w:spacing w:after="0" w:line="148" w:lineRule="exact"/>
        <w:rPr>
          <w:sz w:val="20"/>
          <w:szCs w:val="20"/>
          <w:color w:val="auto"/>
        </w:rPr>
      </w:pPr>
    </w:p>
    <w:p>
      <w:pPr>
        <w:jc w:val="both"/>
        <w:ind w:right="20"/>
        <w:spacing w:after="0" w:line="294" w:lineRule="auto"/>
        <w:rPr>
          <w:sz w:val="20"/>
          <w:szCs w:val="20"/>
          <w:color w:val="auto"/>
        </w:rPr>
      </w:pPr>
      <w:r>
        <w:rPr>
          <w:rFonts w:ascii="Arial" w:cs="Arial" w:eastAsia="Arial" w:hAnsi="Arial"/>
          <w:sz w:val="14"/>
          <w:szCs w:val="14"/>
          <w:b w:val="1"/>
          <w:bCs w:val="1"/>
          <w:color w:val="auto"/>
        </w:rPr>
        <w:t>Our real estate business is subject to extensive regulation through Florida laws regulating planning and land development which makes it difficult and expensive for us to conduct our operations.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In addition, development projects that exceed certain specified regulatory thresholds require approval of a comprehensive DRI application. The Growth Management Act, in some instances, can significantly affect the ability of developers to obtain local government approval in Florida. In many areas, infrastructure funding has not kept pace with growth. As a result, substandard facilities and services can delay or prevent the issuance of permits. Consequently, the Growth Management Act could adversely affect the cost and our ability to develop future real estate projects. Changes in the Growth Management Act or DRI review process or the enactment of new laws regarding the development of real property could adversely affect our ability to develop future real estate projects.</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Market performance and other changes could decrease the value of pension and postretirement health benefit plan assets, which then could require significant additional funding and increase annual expense.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performance of the capital markets affects the values of the assets that are held in trust to satisfy future obligations under our pension and postretirement benefit plans. We have significant obligations to these plans and the Company holds significant assets in these trusts. These assets are subject to market fluctuations and will yield uncertain returns, which may fall below our projected return rates. A decline in the market value of the pension and postretirement benefit plan assets will increase the funding requirements under our benefit plans if the actual asset returns do not recover. Additionally, our pension and postretirement benefit plan liabilities are sensitive to changes in interest rates. As interest rates decrease, the liabilities increase, potentially increasing benefit expense and funding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are not able to retain our executive officers and key employees, we may not be able to implement our business strategy and our business could suffer.</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success of our business heavily depends on the leadership of our executive officers, all of whom are employees-at-will and none of whom are subject to any agreements not to compete. If we lose the service of one or more of our executive officers or key employees, or if one or more of them decides to join a competitor or otherwise compete directly or indirectly with us, we may not be able to successfully manage our business or achieve our business objectives. We may have difficulty in retaining and attracting customers, developing new services, negotiating favorable agreements with customers and providing acceptable levels of customer service.</w:t>
      </w:r>
    </w:p>
    <w:p>
      <w:pPr>
        <w:spacing w:after="0" w:line="16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We rely on access to financing sources and capital markets. If we do not have access to sufficient capital in the amount and at the times needed, our ability to execute our business plans, make capital expenditures or pursue acquisitions that we may otherwise rely on for future growth could be impaired.</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rely on access to capital markets as sources of liquidity for capital requirements not satisfied by our cash flow from operations. If we are not able to access capital on satisfactory terms, the ability to implement our business plans may be adversely affected. Market disruptions or a downgrade of our credit ratings may increase the cost of borrowing or adversely affect our ability to access financial markets. Such disruptions could include a severe prolonged economic downturn, the bankruptcy of non-affiliated industry leaders in the same line of business or financial services sector, deterioration in capital market conditions, volatility in commodity prices or events such as those currently being experienced in the United States and abroad.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9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Properties are included in the discussion of our businesses in Item 1 and are incorporated by reference herein.</w:t>
      </w:r>
    </w:p>
    <w:p>
      <w:pPr>
        <w:spacing w:after="0" w:line="39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Material legal and regulatory proceedings are included in the discussion of our businesses in Item 1 and are incorporated by reference herein.</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results of operations or cash flows.</w:t>
      </w:r>
    </w:p>
    <w:p>
      <w:pPr>
        <w:spacing w:after="0" w:line="35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No matters were submitted to a vote of security holders during the fourth quarter of 2008.</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common stock is listed on the NYSE under the symbol ALE. We have paid dividends without interruption on our common stock since 1948. A quarterly dividend of $0.44 per share on our common stock will be paid on March 1, 2009, to the holders of record on February 16, 2009.</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dividends declared per share, and the high and low prices for our common stock for the periods indicated as reported by the NYSE: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w w:val="89"/>
              </w:rPr>
              <w:t>2008</w:t>
            </w:r>
          </w:p>
        </w:tc>
        <w:tc>
          <w:tcPr>
            <w:tcW w:w="15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2007</w:t>
            </w:r>
          </w:p>
        </w:tc>
        <w:tc>
          <w:tcPr>
            <w:tcW w:w="14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Price Range</w:t>
            </w:r>
          </w:p>
        </w:tc>
        <w:tc>
          <w:tcPr>
            <w:tcW w:w="12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Arial" w:cs="Arial" w:eastAsia="Arial" w:hAnsi="Arial"/>
                <w:sz w:val="14"/>
                <w:szCs w:val="14"/>
                <w:b w:val="1"/>
                <w:bCs w:val="1"/>
                <w:color w:val="auto"/>
              </w:rPr>
              <w:t>Dividends</w:t>
            </w: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auto"/>
              </w:rPr>
              <w:t>Price Range</w:t>
            </w:r>
          </w:p>
        </w:tc>
        <w:tc>
          <w:tcPr>
            <w:tcW w:w="1140" w:type="dxa"/>
            <w:vAlign w:val="bottom"/>
          </w:tcPr>
          <w:p>
            <w:pPr>
              <w:spacing w:after="0"/>
              <w:rPr>
                <w:sz w:val="14"/>
                <w:szCs w:val="14"/>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Quarter</w:t>
            </w:r>
          </w:p>
        </w:tc>
        <w:tc>
          <w:tcPr>
            <w:tcW w:w="214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High</w:t>
            </w:r>
          </w:p>
        </w:tc>
        <w:tc>
          <w:tcPr>
            <w:tcW w:w="12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Low</w:t>
            </w:r>
          </w:p>
        </w:tc>
        <w:tc>
          <w:tcPr>
            <w:tcW w:w="15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Declared</w:t>
            </w:r>
          </w:p>
        </w:tc>
        <w:tc>
          <w:tcPr>
            <w:tcW w:w="16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High</w:t>
            </w: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Low</w:t>
            </w:r>
          </w:p>
        </w:tc>
        <w:tc>
          <w:tcPr>
            <w:tcW w:w="1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First</w:t>
            </w:r>
          </w:p>
        </w:tc>
        <w:tc>
          <w:tcPr>
            <w:tcW w:w="21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$39.86</w:t>
            </w: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$33.76</w:t>
            </w:r>
          </w:p>
        </w:tc>
        <w:tc>
          <w:tcPr>
            <w:tcW w:w="15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$0.43</w:t>
            </w:r>
          </w:p>
        </w:tc>
        <w:tc>
          <w:tcPr>
            <w:tcW w:w="16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$49.69</w:t>
            </w:r>
          </w:p>
        </w:tc>
        <w:tc>
          <w:tcPr>
            <w:tcW w:w="11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$44.93</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4"/>
                <w:szCs w:val="14"/>
                <w:color w:val="auto"/>
              </w:rPr>
              <w:t>Second</w:t>
            </w:r>
          </w:p>
        </w:tc>
        <w:tc>
          <w:tcPr>
            <w:tcW w:w="2140" w:type="dxa"/>
            <w:vAlign w:val="bottom"/>
          </w:tcPr>
          <w:p>
            <w:pPr>
              <w:jc w:val="right"/>
              <w:ind w:right="668"/>
              <w:spacing w:after="0"/>
              <w:rPr>
                <w:sz w:val="20"/>
                <w:szCs w:val="20"/>
                <w:color w:val="auto"/>
              </w:rPr>
            </w:pPr>
            <w:r>
              <w:rPr>
                <w:rFonts w:ascii="Arial" w:cs="Arial" w:eastAsia="Arial" w:hAnsi="Arial"/>
                <w:sz w:val="14"/>
                <w:szCs w:val="14"/>
                <w:color w:val="auto"/>
              </w:rPr>
              <w:t>46.11</w:t>
            </w: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38.82</w:t>
            </w:r>
          </w:p>
        </w:tc>
        <w:tc>
          <w:tcPr>
            <w:tcW w:w="1540" w:type="dxa"/>
            <w:vAlign w:val="bottom"/>
          </w:tcPr>
          <w:p>
            <w:pPr>
              <w:jc w:val="right"/>
              <w:ind w:right="408"/>
              <w:spacing w:after="0"/>
              <w:rPr>
                <w:sz w:val="20"/>
                <w:szCs w:val="20"/>
                <w:color w:val="auto"/>
              </w:rPr>
            </w:pPr>
            <w:r>
              <w:rPr>
                <w:rFonts w:ascii="Arial" w:cs="Arial" w:eastAsia="Arial" w:hAnsi="Arial"/>
                <w:sz w:val="14"/>
                <w:szCs w:val="14"/>
                <w:color w:val="auto"/>
              </w:rPr>
              <w:t>0.43</w:t>
            </w:r>
          </w:p>
        </w:tc>
        <w:tc>
          <w:tcPr>
            <w:tcW w:w="1600" w:type="dxa"/>
            <w:vAlign w:val="bottom"/>
          </w:tcPr>
          <w:p>
            <w:pPr>
              <w:jc w:val="right"/>
              <w:ind w:right="628"/>
              <w:spacing w:after="0"/>
              <w:rPr>
                <w:sz w:val="20"/>
                <w:szCs w:val="20"/>
                <w:color w:val="auto"/>
              </w:rPr>
            </w:pPr>
            <w:r>
              <w:rPr>
                <w:rFonts w:ascii="Arial" w:cs="Arial" w:eastAsia="Arial" w:hAnsi="Arial"/>
                <w:sz w:val="14"/>
                <w:szCs w:val="14"/>
                <w:color w:val="auto"/>
              </w:rPr>
              <w:t>51.30</w:t>
            </w:r>
          </w:p>
        </w:tc>
        <w:tc>
          <w:tcPr>
            <w:tcW w:w="1140" w:type="dxa"/>
            <w:vAlign w:val="bottom"/>
          </w:tcPr>
          <w:p>
            <w:pPr>
              <w:jc w:val="right"/>
              <w:ind w:right="428"/>
              <w:spacing w:after="0"/>
              <w:rPr>
                <w:sz w:val="20"/>
                <w:szCs w:val="20"/>
                <w:color w:val="auto"/>
              </w:rPr>
            </w:pPr>
            <w:r>
              <w:rPr>
                <w:rFonts w:ascii="Arial" w:cs="Arial" w:eastAsia="Arial" w:hAnsi="Arial"/>
                <w:sz w:val="14"/>
                <w:szCs w:val="14"/>
                <w:color w:val="auto"/>
              </w:rPr>
              <w:t>45.39</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Third</w:t>
            </w:r>
          </w:p>
        </w:tc>
        <w:tc>
          <w:tcPr>
            <w:tcW w:w="21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49.00</w:t>
            </w: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38.05</w:t>
            </w:r>
          </w:p>
        </w:tc>
        <w:tc>
          <w:tcPr>
            <w:tcW w:w="15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0.43</w:t>
            </w:r>
          </w:p>
        </w:tc>
        <w:tc>
          <w:tcPr>
            <w:tcW w:w="16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50.05</w:t>
            </w:r>
          </w:p>
        </w:tc>
        <w:tc>
          <w:tcPr>
            <w:tcW w:w="11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38.60</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Fourth</w:t>
            </w:r>
          </w:p>
        </w:tc>
        <w:tc>
          <w:tcPr>
            <w:tcW w:w="21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44.63</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28.28</w:t>
            </w:r>
          </w:p>
        </w:tc>
        <w:tc>
          <w:tcPr>
            <w:tcW w:w="15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0.43</w:t>
            </w:r>
          </w:p>
        </w:tc>
        <w:tc>
          <w:tcPr>
            <w:tcW w:w="16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46.48</w:t>
            </w: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38.17</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Annual Total</w:t>
            </w:r>
          </w:p>
        </w:tc>
        <w:tc>
          <w:tcPr>
            <w:tcW w:w="2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$1.72</w:t>
            </w:r>
          </w:p>
        </w:tc>
        <w:tc>
          <w:tcPr>
            <w:tcW w:w="16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Dividend Payout Ratio</w:t>
            </w:r>
          </w:p>
        </w:tc>
        <w:tc>
          <w:tcPr>
            <w:tcW w:w="2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61%</w:t>
            </w:r>
          </w:p>
        </w:tc>
        <w:tc>
          <w:tcPr>
            <w:tcW w:w="1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At February 1, 2009, there were approximately 29,000 common stock shareholders of record.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Common Stock Repurchases. </w:t>
      </w:r>
      <w:r>
        <w:rPr>
          <w:rFonts w:ascii="Arial" w:cs="Arial" w:eastAsia="Arial" w:hAnsi="Arial"/>
          <w:sz w:val="14"/>
          <w:szCs w:val="14"/>
          <w:color w:val="auto"/>
        </w:rPr>
        <w:t>We did not repurchase any ALLETE common stock during the fourth quarter of 2008.</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Item 6.</w:t>
            </w:r>
          </w:p>
        </w:tc>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Selected Financial Data</w:t>
            </w: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34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13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2007</w:t>
            </w:r>
          </w:p>
        </w:tc>
        <w:tc>
          <w:tcPr>
            <w:tcW w:w="144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2006</w:t>
            </w:r>
          </w:p>
        </w:tc>
        <w:tc>
          <w:tcPr>
            <w:tcW w:w="13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138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w w:val="95"/>
              </w:rPr>
              <w:t>Operating Revenue</w:t>
            </w:r>
          </w:p>
        </w:tc>
        <w:tc>
          <w:tcPr>
            <w:tcW w:w="34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$801.0</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$841.7</w:t>
            </w:r>
          </w:p>
        </w:tc>
        <w:tc>
          <w:tcPr>
            <w:tcW w:w="14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$767.1</w:t>
            </w:r>
          </w:p>
        </w:tc>
        <w:tc>
          <w:tcPr>
            <w:tcW w:w="13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$737.4</w:t>
            </w: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$704.1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w w:val="91"/>
              </w:rPr>
              <w:t>Operating Expenses</w:t>
            </w:r>
          </w:p>
        </w:tc>
        <w:tc>
          <w:tcPr>
            <w:tcW w:w="3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679.2</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710.0</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628.8</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692.3</w:t>
            </w:r>
            <w:r>
              <w:rPr>
                <w:rFonts w:ascii="Arial" w:cs="Arial" w:eastAsia="Arial" w:hAnsi="Arial"/>
                <w:sz w:val="14"/>
                <w:szCs w:val="14"/>
                <w:i w:val="1"/>
                <w:iCs w:val="1"/>
                <w:color w:val="auto"/>
              </w:rPr>
              <w:t>(g)</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603.2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Income from Continuing Operations Before Change in Accounting Principle</w:t>
            </w: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82.5</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87.6</w:t>
            </w:r>
          </w:p>
        </w:tc>
        <w:tc>
          <w:tcPr>
            <w:tcW w:w="14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77.3</w:t>
            </w:r>
          </w:p>
        </w:tc>
        <w:tc>
          <w:tcPr>
            <w:tcW w:w="13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17.6</w:t>
            </w:r>
            <w:r>
              <w:rPr>
                <w:rFonts w:ascii="Arial" w:cs="Arial" w:eastAsia="Arial" w:hAnsi="Arial"/>
                <w:sz w:val="14"/>
                <w:szCs w:val="14"/>
                <w:i w:val="1"/>
                <w:iCs w:val="1"/>
                <w:color w:val="auto"/>
              </w:rPr>
              <w:t>(g)</w:t>
            </w: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Income (Loss) from Discontinued Operations – Net of Tax</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(0.9)</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(4.3)</w:t>
            </w:r>
            <w:r>
              <w:rPr>
                <w:rFonts w:ascii="Arial" w:cs="Arial" w:eastAsia="Arial" w:hAnsi="Arial"/>
                <w:sz w:val="14"/>
                <w:szCs w:val="14"/>
                <w:i w:val="1"/>
                <w:iCs w:val="1"/>
                <w:color w:val="auto"/>
              </w:rPr>
              <w:t>(g)</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Change in Accounting Principle – Net of Tax</w:t>
            </w:r>
          </w:p>
        </w:tc>
        <w:tc>
          <w:tcPr>
            <w:tcW w:w="1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(7.8)</w:t>
            </w:r>
            <w:r>
              <w:rPr>
                <w:rFonts w:ascii="Arial" w:cs="Arial" w:eastAsia="Arial" w:hAnsi="Arial"/>
                <w:sz w:val="14"/>
                <w:szCs w:val="14"/>
                <w:i w:val="1"/>
                <w:iCs w:val="1"/>
                <w:color w:val="auto"/>
              </w:rPr>
              <w:t>(h)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Net Income</w:t>
            </w:r>
          </w:p>
        </w:tc>
        <w:tc>
          <w:tcPr>
            <w:tcW w:w="3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82.5</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87.6</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76.4</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13.3</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Common Stock Dividends</w:t>
            </w:r>
          </w:p>
        </w:tc>
        <w:tc>
          <w:tcPr>
            <w:tcW w:w="1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50.4</w:t>
            </w:r>
          </w:p>
        </w:tc>
        <w:tc>
          <w:tcPr>
            <w:tcW w:w="13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44.3</w:t>
            </w:r>
          </w:p>
        </w:tc>
        <w:tc>
          <w:tcPr>
            <w:tcW w:w="14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40.7</w:t>
            </w:r>
          </w:p>
        </w:tc>
        <w:tc>
          <w:tcPr>
            <w:tcW w:w="13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34.4</w:t>
            </w:r>
          </w:p>
        </w:tc>
        <w:tc>
          <w:tcPr>
            <w:tcW w:w="13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Earnings Retained in (Distributed from) Business</w:t>
            </w: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$32.1</w:t>
            </w: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$43.3</w:t>
            </w: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$35.7</w:t>
            </w: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$(21.1)</w:t>
            </w: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Outstanding – Millions</w:t>
            </w:r>
          </w:p>
        </w:tc>
        <w:tc>
          <w:tcPr>
            <w:tcW w:w="1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Year-End</w:t>
            </w:r>
          </w:p>
        </w:tc>
        <w:tc>
          <w:tcPr>
            <w:tcW w:w="3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32.6</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30.8</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30.4</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30.1</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Average </w:t>
            </w:r>
            <w:r>
              <w:rPr>
                <w:rFonts w:ascii="Arial" w:cs="Arial" w:eastAsia="Arial" w:hAnsi="Arial"/>
                <w:sz w:val="14"/>
                <w:szCs w:val="14"/>
                <w:i w:val="1"/>
                <w:iCs w:val="1"/>
                <w:color w:val="auto"/>
              </w:rPr>
              <w:t>(a)</w:t>
            </w:r>
          </w:p>
        </w:tc>
        <w:tc>
          <w:tcPr>
            <w:tcW w:w="3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Arial" w:cs="Arial" w:eastAsia="Arial" w:hAnsi="Arial"/>
                <w:sz w:val="14"/>
                <w:szCs w:val="14"/>
                <w:color w:val="auto"/>
              </w:rPr>
              <w:t>Basic</w:t>
            </w:r>
          </w:p>
        </w:tc>
        <w:tc>
          <w:tcPr>
            <w:tcW w:w="3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29.2</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28.3</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27.8</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27.3</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34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29.3</w:t>
            </w:r>
          </w:p>
        </w:tc>
        <w:tc>
          <w:tcPr>
            <w:tcW w:w="13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28.4</w:t>
            </w:r>
          </w:p>
        </w:tc>
        <w:tc>
          <w:tcPr>
            <w:tcW w:w="14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27.9</w:t>
            </w:r>
          </w:p>
        </w:tc>
        <w:tc>
          <w:tcPr>
            <w:tcW w:w="13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27.4</w:t>
            </w:r>
          </w:p>
        </w:tc>
        <w:tc>
          <w:tcPr>
            <w:tcW w:w="13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 xml:space="preserve">Diluted Earnings (Loss) Per Share </w:t>
            </w:r>
            <w:r>
              <w:rPr>
                <w:rFonts w:ascii="Arial" w:cs="Arial" w:eastAsia="Arial" w:hAnsi="Arial"/>
                <w:sz w:val="14"/>
                <w:szCs w:val="14"/>
                <w:i w:val="1"/>
                <w:iCs w:val="1"/>
                <w:color w:val="auto"/>
              </w:rPr>
              <w:t>(b)</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$2.82</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$3.08</w:t>
            </w:r>
          </w:p>
        </w:tc>
        <w:tc>
          <w:tcPr>
            <w:tcW w:w="14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$2.77</w:t>
            </w:r>
          </w:p>
        </w:tc>
        <w:tc>
          <w:tcPr>
            <w:tcW w:w="13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$0.64</w:t>
            </w:r>
            <w:r>
              <w:rPr>
                <w:rFonts w:ascii="Arial" w:cs="Arial" w:eastAsia="Arial" w:hAnsi="Arial"/>
                <w:sz w:val="14"/>
                <w:szCs w:val="14"/>
                <w:i w:val="1"/>
                <w:iCs w:val="1"/>
                <w:color w:val="auto"/>
              </w:rPr>
              <w:t>(g)</w:t>
            </w:r>
          </w:p>
        </w:tc>
        <w:tc>
          <w:tcPr>
            <w:tcW w:w="13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 xml:space="preserve">$1.35 </w:t>
            </w:r>
            <w:r>
              <w:rPr>
                <w:rFonts w:ascii="Arial" w:cs="Arial" w:eastAsia="Arial" w:hAnsi="Arial"/>
                <w:sz w:val="14"/>
                <w:szCs w:val="14"/>
                <w:i w:val="1"/>
                <w:iCs w:val="1"/>
                <w:color w:val="auto"/>
              </w:rPr>
              <w:t>(i)</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 xml:space="preserve">Discontinued Operations </w:t>
            </w:r>
            <w:r>
              <w:rPr>
                <w:rFonts w:ascii="Arial" w:cs="Arial" w:eastAsia="Arial" w:hAnsi="Arial"/>
                <w:sz w:val="14"/>
                <w:szCs w:val="14"/>
                <w:i w:val="1"/>
                <w:iCs w:val="1"/>
                <w:color w:val="auto"/>
              </w:rPr>
              <w:t>(c)</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(0.03)</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(0.16)</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Change in Accounting Principle</w:t>
            </w:r>
          </w:p>
        </w:tc>
        <w:tc>
          <w:tcPr>
            <w:tcW w:w="1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$2.82</w:t>
            </w: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$3.08</w:t>
            </w: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$2.74</w:t>
            </w: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$0.48</w:t>
            </w: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34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$2,134.8</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$1,644.2</w:t>
            </w:r>
          </w:p>
        </w:tc>
        <w:tc>
          <w:tcPr>
            <w:tcW w:w="1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$1,533.4</w:t>
            </w:r>
            <w:r>
              <w:rPr>
                <w:rFonts w:ascii="Arial" w:cs="Arial" w:eastAsia="Arial" w:hAnsi="Arial"/>
                <w:sz w:val="14"/>
                <w:szCs w:val="14"/>
                <w:i w:val="1"/>
                <w:iCs w:val="1"/>
                <w:color w:val="auto"/>
              </w:rPr>
              <w:t>(f)</w:t>
            </w:r>
          </w:p>
        </w:tc>
        <w:tc>
          <w:tcPr>
            <w:tcW w:w="13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$1,398.8</w:t>
            </w: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$1,431.4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Long-Term Debt</w:t>
            </w:r>
          </w:p>
        </w:tc>
        <w:tc>
          <w:tcPr>
            <w:tcW w:w="3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588.3</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410.9</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359.8</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387.8</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389.4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Return on Common Equity</w:t>
            </w: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10.7%</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12.4%</w:t>
            </w:r>
          </w:p>
        </w:tc>
        <w:tc>
          <w:tcPr>
            <w:tcW w:w="14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12.1%</w:t>
            </w:r>
          </w:p>
        </w:tc>
        <w:tc>
          <w:tcPr>
            <w:tcW w:w="13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2.2%</w:t>
            </w:r>
            <w:r>
              <w:rPr>
                <w:rFonts w:ascii="Arial" w:cs="Arial" w:eastAsia="Arial" w:hAnsi="Arial"/>
                <w:sz w:val="14"/>
                <w:szCs w:val="14"/>
                <w:i w:val="1"/>
                <w:iCs w:val="1"/>
                <w:color w:val="auto"/>
              </w:rPr>
              <w:t>(g)</w:t>
            </w: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Common Equity Ratio</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58.0%</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63.7%</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63.1%</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60.7%</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Dividends Declared per Common Share</w:t>
            </w: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$1.72</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$1.64</w:t>
            </w:r>
          </w:p>
        </w:tc>
        <w:tc>
          <w:tcPr>
            <w:tcW w:w="14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$1.45</w:t>
            </w:r>
          </w:p>
        </w:tc>
        <w:tc>
          <w:tcPr>
            <w:tcW w:w="13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$1.245</w:t>
            </w: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$2.8425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Dividend Payout Ratio</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61%</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53%</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53%</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259%</w:t>
            </w:r>
            <w:r>
              <w:rPr>
                <w:rFonts w:ascii="Arial" w:cs="Arial" w:eastAsia="Arial" w:hAnsi="Arial"/>
                <w:sz w:val="14"/>
                <w:szCs w:val="14"/>
                <w:i w:val="1"/>
                <w:iCs w:val="1"/>
                <w:color w:val="auto"/>
              </w:rPr>
              <w:t>(g)</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Book Value Per Share at Year-End</w:t>
            </w:r>
          </w:p>
        </w:tc>
        <w:tc>
          <w:tcPr>
            <w:tcW w:w="1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$25.37</w:t>
            </w:r>
          </w:p>
        </w:tc>
        <w:tc>
          <w:tcPr>
            <w:tcW w:w="13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$24.11</w:t>
            </w:r>
          </w:p>
        </w:tc>
        <w:tc>
          <w:tcPr>
            <w:tcW w:w="14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$21.90</w:t>
            </w:r>
          </w:p>
        </w:tc>
        <w:tc>
          <w:tcPr>
            <w:tcW w:w="13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$20.03</w:t>
            </w:r>
          </w:p>
        </w:tc>
        <w:tc>
          <w:tcPr>
            <w:tcW w:w="13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$21.23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 xml:space="preserve">Capital Expenditures by Segment </w:t>
            </w:r>
            <w:r>
              <w:rPr>
                <w:rFonts w:ascii="Arial" w:cs="Arial" w:eastAsia="Arial" w:hAnsi="Arial"/>
                <w:sz w:val="14"/>
                <w:szCs w:val="14"/>
                <w:i w:val="1"/>
                <w:iCs w:val="1"/>
                <w:color w:val="auto"/>
              </w:rPr>
              <w:t>(d)</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Regulated Operations</w:t>
            </w: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$317.0</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$220.6</w:t>
            </w:r>
          </w:p>
        </w:tc>
        <w:tc>
          <w:tcPr>
            <w:tcW w:w="14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$107.5</w:t>
            </w:r>
          </w:p>
        </w:tc>
        <w:tc>
          <w:tcPr>
            <w:tcW w:w="13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$46.5</w:t>
            </w: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 xml:space="preserve">Investments and Other </w:t>
            </w:r>
            <w:r>
              <w:rPr>
                <w:rFonts w:ascii="Arial" w:cs="Arial" w:eastAsia="Arial" w:hAnsi="Arial"/>
                <w:sz w:val="14"/>
                <w:szCs w:val="14"/>
                <w:i w:val="1"/>
                <w:iCs w:val="1"/>
                <w:color w:val="auto"/>
              </w:rPr>
              <w:t>(e)</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5.9</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3.3</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1.9</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12.1</w:t>
            </w:r>
          </w:p>
        </w:tc>
        <w:tc>
          <w:tcPr>
            <w:tcW w:w="1380" w:type="dxa"/>
            <w:vAlign w:val="bottom"/>
          </w:tcPr>
          <w:p>
            <w:pPr>
              <w:jc w:val="right"/>
              <w:ind w:right="46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3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Discontinued Operations</w:t>
            </w:r>
          </w:p>
        </w:tc>
        <w:tc>
          <w:tcPr>
            <w:tcW w:w="1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4.5</w:t>
            </w:r>
          </w:p>
        </w:tc>
        <w:tc>
          <w:tcPr>
            <w:tcW w:w="13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Total Capital Expenditures</w:t>
            </w: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$322.9</w:t>
            </w: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$223.9</w:t>
            </w: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$109.4</w:t>
            </w: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$63.1</w:t>
            </w: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40" w:hanging="234"/>
        <w:spacing w:after="0"/>
        <w:tabs>
          <w:tab w:leader="none" w:pos="2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unallocated ESOP shares.</w:t>
      </w:r>
    </w:p>
    <w:p>
      <w:pPr>
        <w:spacing w:after="0" w:line="21" w:lineRule="exact"/>
        <w:rPr>
          <w:rFonts w:ascii="Arial" w:cs="Arial" w:eastAsia="Arial" w:hAnsi="Arial"/>
          <w:sz w:val="14"/>
          <w:szCs w:val="14"/>
          <w:i w:val="1"/>
          <w:iCs w:val="1"/>
          <w:color w:val="auto"/>
        </w:rPr>
      </w:pPr>
    </w:p>
    <w:p>
      <w:pPr>
        <w:ind w:left="260" w:hanging="254"/>
        <w:spacing w:after="0"/>
        <w:tabs>
          <w:tab w:leader="none" w:pos="2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Common share and per share amounts have also been adjusted for all periods to reflect our September 20, 2004, one-for-three common stock reverse split.</w:t>
      </w:r>
    </w:p>
    <w:p>
      <w:pPr>
        <w:spacing w:after="0" w:line="11" w:lineRule="exact"/>
        <w:rPr>
          <w:rFonts w:ascii="Arial" w:cs="Arial" w:eastAsia="Arial" w:hAnsi="Arial"/>
          <w:sz w:val="14"/>
          <w:szCs w:val="14"/>
          <w:i w:val="1"/>
          <w:iCs w:val="1"/>
          <w:color w:val="auto"/>
        </w:rPr>
      </w:pPr>
    </w:p>
    <w:p>
      <w:pPr>
        <w:ind w:left="260" w:hanging="254"/>
        <w:spacing w:after="0" w:line="257" w:lineRule="auto"/>
        <w:tabs>
          <w:tab w:leader="none" w:pos="2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Operating results of our Water Services businesses and our telecommunications business are included in discontinued operations, and accordingly, amounts have been restated for all periods presented. (See Note 12. Discontinued Operations.)</w:t>
      </w:r>
    </w:p>
    <w:p>
      <w:pPr>
        <w:ind w:left="260" w:hanging="254"/>
        <w:spacing w:after="0" w:line="257" w:lineRule="auto"/>
        <w:tabs>
          <w:tab w:leader="none" w:pos="2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 the fourth quarter of 2008, we made changes to our reportable business segments in our continuing effort to manage and measure performance of our operations based on the nature of products and services provided and customers served. (See Note 2. Business Segments.)</w:t>
      </w:r>
    </w:p>
    <w:p>
      <w:pPr>
        <w:ind w:left="240" w:hanging="234"/>
        <w:spacing w:after="0"/>
        <w:tabs>
          <w:tab w:leader="none" w:pos="2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capitalized improvements on our development projects, which are included in inventory.</w:t>
      </w:r>
    </w:p>
    <w:p>
      <w:pPr>
        <w:spacing w:after="0" w:line="11" w:lineRule="exact"/>
        <w:rPr>
          <w:rFonts w:ascii="Arial" w:cs="Arial" w:eastAsia="Arial" w:hAnsi="Arial"/>
          <w:sz w:val="14"/>
          <w:szCs w:val="14"/>
          <w:i w:val="1"/>
          <w:iCs w:val="1"/>
          <w:color w:val="auto"/>
        </w:rPr>
      </w:pPr>
    </w:p>
    <w:p>
      <w:pPr>
        <w:ind w:left="260" w:hanging="254"/>
        <w:spacing w:after="0"/>
        <w:tabs>
          <w:tab w:leader="none" w:pos="2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$86.1 million of assets reflecting the adoption of SFAS 158 “Employers’ Accounting for Defined Benefit Pension and Other Postretirement Plans.”</w:t>
      </w:r>
    </w:p>
    <w:p>
      <w:pPr>
        <w:spacing w:after="0" w:line="11" w:lineRule="exact"/>
        <w:rPr>
          <w:rFonts w:ascii="Arial" w:cs="Arial" w:eastAsia="Arial" w:hAnsi="Arial"/>
          <w:sz w:val="14"/>
          <w:szCs w:val="14"/>
          <w:i w:val="1"/>
          <w:iCs w:val="1"/>
          <w:color w:val="auto"/>
        </w:rPr>
      </w:pPr>
    </w:p>
    <w:p>
      <w:pPr>
        <w:ind w:left="240" w:hanging="234"/>
        <w:spacing w:after="0" w:line="257" w:lineRule="auto"/>
        <w:tabs>
          <w:tab w:leader="none" w:pos="2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Impacted by a $50.4 million, or $1.84 per share, charge related to the assignment of the Kendall County power purchase agreement, a $2.5 million, or $0.09 per share, deferred tax benefit due to comprehensive state tax planning initiatives, and a $3.7 million, or $0.13 per share, current tax benefit due to a positive resolution of income tax audit issues.</w:t>
      </w:r>
    </w:p>
    <w:p>
      <w:pPr>
        <w:ind w:left="240" w:hanging="234"/>
        <w:spacing w:after="0" w:line="257" w:lineRule="auto"/>
        <w:tabs>
          <w:tab w:leader="none" w:pos="2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Reflected the cumulative effect on prior years (to December 2003) of changing to the equity method of accounting for investments in limited liability companies included in our emerging technology portfolio.</w:t>
      </w:r>
    </w:p>
    <w:p>
      <w:pPr>
        <w:ind w:left="240" w:hanging="234"/>
        <w:spacing w:after="0" w:line="274" w:lineRule="auto"/>
        <w:tabs>
          <w:tab w:leader="none" w:pos="2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a $10.9 million, or $0.38 per share, after-tax debt prepayment cost incurred as part of ALLETE’s financial restructuring in preparation for the spin-off of the Automotive Services business and an $11.5 million, or $0.41 per share, gain on the sale of ADESA shares related to the Company’s ESOP.</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“Safe Harbor Statement Under the Private Securities Litigation Reform Act of 1995” located on page 5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in this Form 10-K are realized.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Regulated Operations </w:t>
      </w:r>
      <w:r>
        <w:rPr>
          <w:rFonts w:ascii="Arial" w:cs="Arial" w:eastAsia="Arial" w:hAnsi="Arial"/>
          <w:sz w:val="14"/>
          <w:szCs w:val="14"/>
          <w:color w:val="auto"/>
        </w:rPr>
        <w:t>includes our regulated utilities, Minnesota Power and SWL&amp;P, as well as our investment in ATC, a Wisconsin-based regulated utility that owns and maintains electric</w:t>
      </w:r>
      <w:r>
        <w:rPr>
          <w:rFonts w:ascii="Arial" w:cs="Arial" w:eastAsia="Arial" w:hAnsi="Arial"/>
          <w:sz w:val="14"/>
          <w:szCs w:val="14"/>
          <w:b w:val="1"/>
          <w:bCs w:val="1"/>
          <w:color w:val="auto"/>
        </w:rPr>
        <w:t xml:space="preserve"> </w:t>
      </w:r>
      <w:r>
        <w:rPr>
          <w:rFonts w:ascii="Arial" w:cs="Arial" w:eastAsia="Arial" w:hAnsi="Arial"/>
          <w:sz w:val="14"/>
          <w:szCs w:val="14"/>
          <w:color w:val="auto"/>
        </w:rPr>
        <w:t>transmission assets in parts of Wisconsin, Michigan, Minnesota and Illinois. Minnesota Power provides regulated utility electric service in northeastern Minnesota to 142,000 retail customers and wholesale electric service to 16 municipalities. SWL&amp;P provides regulated electric service, natural gas and water service in northwestern Wisconsin to 15,000 electric customers, 12,000 natural gas customers and 10,000 water customers. Our regulated utility operations include retail and wholesale activities under the jurisdiction of state and federal regulatory authorities. (See Item 1. Business – Regulated Operations – Regulatory Matters.)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Investments and Other </w:t>
      </w:r>
      <w:r>
        <w:rPr>
          <w:rFonts w:ascii="Arial" w:cs="Arial" w:eastAsia="Arial" w:hAnsi="Arial"/>
          <w:sz w:val="14"/>
          <w:szCs w:val="14"/>
          <w:color w:val="auto"/>
        </w:rPr>
        <w:t>is comprised primarily of BNI Coal, our coal mining operations in North Dakota, and ALLETE Properties, our Florida real estate business. This segment also includes</w:t>
      </w:r>
      <w:r>
        <w:rPr>
          <w:rFonts w:ascii="Arial" w:cs="Arial" w:eastAsia="Arial" w:hAnsi="Arial"/>
          <w:sz w:val="14"/>
          <w:szCs w:val="14"/>
          <w:b w:val="1"/>
          <w:bCs w:val="1"/>
          <w:color w:val="auto"/>
        </w:rPr>
        <w:t xml:space="preserve"> </w:t>
      </w:r>
      <w:r>
        <w:rPr>
          <w:rFonts w:ascii="Arial" w:cs="Arial" w:eastAsia="Arial" w:hAnsi="Arial"/>
          <w:sz w:val="14"/>
          <w:szCs w:val="14"/>
          <w:color w:val="auto"/>
        </w:rPr>
        <w:t>emerging technology investments ($7.4 million at December 31, 2008), a small amount of non-rate base generation, approximately 7,000 acres of land for sale in Minnesota, and earnings on cash and short-term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ALLETE is incorporated under the laws of Minnesota. Our corporate headquarters are in Duluth, Minnesota. Statistical information is presented as of December 31, 2008, unless otherwise indicated.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All subsidiaries are wholly owned unless otherwise specifically indicated. References in this report to “we,” “us” and “our” are to ALLETE and its subsidiaries, collectively.</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2008 Financial Overview</w:t>
      </w:r>
    </w:p>
    <w:p>
      <w:pPr>
        <w:spacing w:after="0" w:line="209"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Net income for 2008 was $82.5 million, or $2.82 per diluted share compared to $87.6 million, or $3.08 per diluted share for 2007. Earnings per diluted share decreased approximately $0.08 compared to 2007 as a result of additional shares of common stock outstanding in 2008. (See Note 9. Common Stock and Earnings Per Share.) Net income for 2008 was down $5.1 million from 2007 reflecting:</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Regulated Operations </w:t>
      </w:r>
      <w:r>
        <w:rPr>
          <w:rFonts w:ascii="Arial" w:cs="Arial" w:eastAsia="Arial" w:hAnsi="Arial"/>
          <w:sz w:val="14"/>
          <w:szCs w:val="14"/>
          <w:color w:val="auto"/>
        </w:rPr>
        <w:t>contributed income of $67.9 million in 2008 ($62.4 million in 2007). The increase in earnings is primarily the result of higher rates and higher income from our investment in</w:t>
      </w:r>
      <w:r>
        <w:rPr>
          <w:rFonts w:ascii="Arial" w:cs="Arial" w:eastAsia="Arial" w:hAnsi="Arial"/>
          <w:sz w:val="14"/>
          <w:szCs w:val="14"/>
          <w:b w:val="1"/>
          <w:bCs w:val="1"/>
          <w:color w:val="auto"/>
        </w:rPr>
        <w:t xml:space="preserve"> </w:t>
      </w:r>
      <w:r>
        <w:rPr>
          <w:rFonts w:ascii="Arial" w:cs="Arial" w:eastAsia="Arial" w:hAnsi="Arial"/>
          <w:sz w:val="14"/>
          <w:szCs w:val="14"/>
          <w:color w:val="auto"/>
        </w:rPr>
        <w:t>ATC. Higher rates resulted from a March 1, 2008 increase in FERC approved wholesale rates, an August 1, 2008 interim rate increase (subject to refund) for retail customers in Minnesota, and current cost recovery on our environmental retrofit projects. These rate increases were partially offset by the expiration of sales contracts to Other Power Suppliers, and higher operations and maintenance expense, depreciation expense, and interest expense.</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Investments and Other </w:t>
      </w:r>
      <w:r>
        <w:rPr>
          <w:rFonts w:ascii="Arial" w:cs="Arial" w:eastAsia="Arial" w:hAnsi="Arial"/>
          <w:sz w:val="14"/>
          <w:szCs w:val="14"/>
          <w:color w:val="auto"/>
        </w:rPr>
        <w:t>reflected net income of $14.6 million in 2008 ($25.2 million in 2007). The decrease in 2008 is primarily due to lower net income at ALLETE Properties, which continues to</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 difficult real estate market conditions in Florida. This decrease was partially offset by the sale of certain available-for-sale securities in the first quarter of 2008, and tax benefits and related interest recognized in the third quarter of 2008.</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2008 Compared to 2007</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See Note 2. Business Segments for financial results by segment.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w:t>
      </w:r>
    </w:p>
    <w:p>
      <w:pPr>
        <w:spacing w:after="0" w:line="209" w:lineRule="exact"/>
        <w:rPr>
          <w:sz w:val="20"/>
          <w:szCs w:val="20"/>
          <w:color w:val="auto"/>
        </w:rPr>
      </w:pPr>
    </w:p>
    <w:p>
      <w:pPr>
        <w:ind w:left="260"/>
        <w:spacing w:after="0" w:line="288" w:lineRule="auto"/>
        <w:rPr>
          <w:sz w:val="20"/>
          <w:szCs w:val="20"/>
          <w:color w:val="auto"/>
        </w:rPr>
      </w:pPr>
      <w:r>
        <w:rPr>
          <w:rFonts w:ascii="Arial" w:cs="Arial" w:eastAsia="Arial" w:hAnsi="Arial"/>
          <w:sz w:val="14"/>
          <w:szCs w:val="14"/>
          <w:b w:val="1"/>
          <w:bCs w:val="1"/>
          <w:i w:val="1"/>
          <w:iCs w:val="1"/>
          <w:color w:val="auto"/>
        </w:rPr>
        <w:t xml:space="preserve">Operating revenue </w:t>
      </w:r>
      <w:r>
        <w:rPr>
          <w:rFonts w:ascii="Arial" w:cs="Arial" w:eastAsia="Arial" w:hAnsi="Arial"/>
          <w:sz w:val="14"/>
          <w:szCs w:val="14"/>
          <w:color w:val="auto"/>
        </w:rPr>
        <w:t>decreased $11.6 million, or 2 percent, from 2007 primarily due to decreased fuel and purchased power recoveries and the expiration of sales contracts to Other Power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Suppliers. These decreases were partially offset by higher rates and kilowatt-hour sales to retail and municipal customers.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Fuel and purchased power recoveries decreased due to a $42.0 million reduction in fuel and purchased power expense. (See Fuel and Purchased Power Expense discussion below.)</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from sales to Other Power Suppliers decreased $21.1 million from 2007 due to the expiration of sales contracts.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2008 Compared to 2007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196"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color w:val="auto"/>
        </w:rPr>
        <w:t>Higher rates resulted from the August 1, 2008 interim rate increase (subject to refund) for retail customers in Minnesota of approximately $13 million, current cost recovery on our environmental retrofit projects of approximately $21 million, and the March 1, 2008 increase in FERC approved wholesale rates of approximately $6 million.</w:t>
      </w:r>
    </w:p>
    <w:p>
      <w:pPr>
        <w:spacing w:after="0" w:line="152"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color w:val="auto"/>
        </w:rPr>
        <w:t>Kilowatt-hour sales to our retail and municipal customers increased 2 percent from 2007 primarily due to a 2 percent increase in industrial load. The increase in industrial sales was primarily due to an idled production line and production delays at one of our taconite customers in 2007. Total regulated utility kilowatt-hour sales were down 2 percent as the expiration of sales contracts to Other Power Suppliers more than offset the increased retail and municipal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Kilowatt-hours Sold</w:t>
            </w:r>
          </w:p>
        </w:tc>
        <w:tc>
          <w:tcPr>
            <w:tcW w:w="436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2008</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4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8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Regulated Utility</w:t>
            </w:r>
          </w:p>
        </w:tc>
        <w:tc>
          <w:tcPr>
            <w:tcW w:w="4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Retail and Municipals</w:t>
            </w:r>
          </w:p>
        </w:tc>
        <w:tc>
          <w:tcPr>
            <w:tcW w:w="4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4360" w:type="dxa"/>
            <w:vAlign w:val="bottom"/>
          </w:tcPr>
          <w:p>
            <w:pPr>
              <w:jc w:val="right"/>
              <w:ind w:right="588"/>
              <w:spacing w:after="0"/>
              <w:rPr>
                <w:sz w:val="20"/>
                <w:szCs w:val="20"/>
                <w:color w:val="auto"/>
              </w:rPr>
            </w:pPr>
            <w:r>
              <w:rPr>
                <w:rFonts w:ascii="Arial" w:cs="Arial" w:eastAsia="Arial" w:hAnsi="Arial"/>
                <w:sz w:val="14"/>
                <w:szCs w:val="14"/>
                <w:color w:val="auto"/>
              </w:rPr>
              <w:t>1,172</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w:t>
            </w:r>
          </w:p>
        </w:tc>
        <w:tc>
          <w:tcPr>
            <w:tcW w:w="43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1,372</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240"/>
              <w:spacing w:after="0"/>
              <w:rPr>
                <w:sz w:val="20"/>
                <w:szCs w:val="20"/>
                <w:color w:val="auto"/>
              </w:rPr>
            </w:pPr>
            <w:r>
              <w:rPr>
                <w:rFonts w:ascii="Arial" w:cs="Arial" w:eastAsia="Arial" w:hAnsi="Arial"/>
                <w:sz w:val="14"/>
                <w:szCs w:val="14"/>
                <w:color w:val="auto"/>
              </w:rPr>
              <w:t>Industrial</w:t>
            </w:r>
          </w:p>
        </w:tc>
        <w:tc>
          <w:tcPr>
            <w:tcW w:w="4360" w:type="dxa"/>
            <w:vAlign w:val="bottom"/>
          </w:tcPr>
          <w:p>
            <w:pPr>
              <w:jc w:val="right"/>
              <w:ind w:right="588"/>
              <w:spacing w:after="0"/>
              <w:rPr>
                <w:sz w:val="20"/>
                <w:szCs w:val="20"/>
                <w:color w:val="auto"/>
              </w:rPr>
            </w:pPr>
            <w:r>
              <w:rPr>
                <w:rFonts w:ascii="Arial" w:cs="Arial" w:eastAsia="Arial" w:hAnsi="Arial"/>
                <w:sz w:val="14"/>
                <w:szCs w:val="14"/>
                <w:color w:val="auto"/>
              </w:rPr>
              <w:t>7,192</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7,054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Municipals</w:t>
            </w:r>
          </w:p>
        </w:tc>
        <w:tc>
          <w:tcPr>
            <w:tcW w:w="43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1,002</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Other</w:t>
            </w:r>
          </w:p>
        </w:tc>
        <w:tc>
          <w:tcPr>
            <w:tcW w:w="4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82</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Retail and Municipals</w:t>
            </w:r>
          </w:p>
        </w:tc>
        <w:tc>
          <w:tcPr>
            <w:tcW w:w="43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10,820</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10,660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Power Suppliers</w:t>
            </w:r>
          </w:p>
        </w:tc>
        <w:tc>
          <w:tcPr>
            <w:tcW w:w="4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1,800</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Regulated Utility Kilowatt-hours Sold</w:t>
            </w:r>
          </w:p>
        </w:tc>
        <w:tc>
          <w:tcPr>
            <w:tcW w:w="43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12,620</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12,817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color w:val="auto"/>
        </w:rPr>
        <w:t>Revenue from electric sales to taconite customers accounted for 26 percent of consolidated operating revenue in 2008 (24 percent in 2007). Revenue from electric sales to paper and pulp mills accounted for 9 percent of consolidated operating revenue in 2008 (9 percent in 2007). Revenue from electric sales to pipelines and other industrials accounted for 7 percent of consolidated operating revenue in 2008 (7 percent in 2007).</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Operating expenses </w:t>
      </w:r>
      <w:r>
        <w:rPr>
          <w:rFonts w:ascii="Arial" w:cs="Arial" w:eastAsia="Arial" w:hAnsi="Arial"/>
          <w:sz w:val="14"/>
          <w:szCs w:val="14"/>
          <w:color w:val="auto"/>
        </w:rPr>
        <w:t>decreased $25.1 million, or 4 percent, from 2007.</w:t>
      </w:r>
    </w:p>
    <w:p>
      <w:pPr>
        <w:spacing w:after="0" w:line="205"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i w:val="1"/>
          <w:iCs w:val="1"/>
          <w:color w:val="auto"/>
        </w:rPr>
        <w:t xml:space="preserve">Fuel and Purchased Power Expense </w:t>
      </w:r>
      <w:r>
        <w:rPr>
          <w:rFonts w:ascii="Arial" w:cs="Arial" w:eastAsia="Arial" w:hAnsi="Arial"/>
          <w:sz w:val="14"/>
          <w:szCs w:val="14"/>
          <w:color w:val="auto"/>
        </w:rPr>
        <w:t>decreased $42.0 million, or 12 percent, from 2007 primarily due to a decrease in purchased power expense reflecting higher electricity production at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generation facilities. Megawatt-hour generation at our facilities and Square Butte increased 9 percent over 2007.</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 xml:space="preserve">Operating and Maintenance Expense </w:t>
      </w:r>
      <w:r>
        <w:rPr>
          <w:rFonts w:ascii="Arial" w:cs="Arial" w:eastAsia="Arial" w:hAnsi="Arial"/>
          <w:sz w:val="13"/>
          <w:szCs w:val="13"/>
          <w:color w:val="auto"/>
        </w:rPr>
        <w:t>increased $10.0 million, or 4 percent, over 2007 primarily due to increased gas purchases, reflecting a colder 2008, and higher salaries and wages.</w:t>
      </w:r>
    </w:p>
    <w:p>
      <w:pPr>
        <w:spacing w:after="0" w:line="217"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i w:val="1"/>
          <w:iCs w:val="1"/>
          <w:color w:val="auto"/>
        </w:rPr>
        <w:t xml:space="preserve">Depreciation Expense </w:t>
      </w:r>
      <w:r>
        <w:rPr>
          <w:rFonts w:ascii="Arial" w:cs="Arial" w:eastAsia="Arial" w:hAnsi="Arial"/>
          <w:sz w:val="14"/>
          <w:szCs w:val="14"/>
          <w:color w:val="auto"/>
        </w:rPr>
        <w:t>increased $6.9 million, or 16 percent, from 2007 reflecting higher property, plant, and equipment balances placed in service and higher annual depreciation rates for</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and transmission effective January 1, 2008. We had been seeking to have the increased depreciation rates become effective with the date of final rates in the current retail rate filing (expected to be in the second quarter of 2009).</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Interest expense </w:t>
      </w:r>
      <w:r>
        <w:rPr>
          <w:rFonts w:ascii="Arial" w:cs="Arial" w:eastAsia="Arial" w:hAnsi="Arial"/>
          <w:sz w:val="14"/>
          <w:szCs w:val="14"/>
          <w:color w:val="auto"/>
        </w:rPr>
        <w:t>increased $3.0 million, or 14 percent, from 2007 primarily due to higher long term debt balances from increased construction activity.</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Equity earnings </w:t>
      </w:r>
      <w:r>
        <w:rPr>
          <w:rFonts w:ascii="Arial" w:cs="Arial" w:eastAsia="Arial" w:hAnsi="Arial"/>
          <w:sz w:val="14"/>
          <w:szCs w:val="14"/>
          <w:color w:val="auto"/>
        </w:rPr>
        <w:t>increased $2.7 million, or 21 percent, from 2007 reflecting higher earnings from our investment in ATC. (See Note 6.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and Other</w:t>
      </w:r>
    </w:p>
    <w:p>
      <w:pPr>
        <w:spacing w:after="0" w:line="209"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b w:val="1"/>
          <w:bCs w:val="1"/>
          <w:i w:val="1"/>
          <w:iCs w:val="1"/>
          <w:color w:val="auto"/>
        </w:rPr>
        <w:t xml:space="preserve">Operating revenue </w:t>
      </w:r>
      <w:r>
        <w:rPr>
          <w:rFonts w:ascii="Arial" w:cs="Arial" w:eastAsia="Arial" w:hAnsi="Arial"/>
          <w:sz w:val="14"/>
          <w:szCs w:val="14"/>
          <w:color w:val="auto"/>
        </w:rPr>
        <w:t>decreased $29.1 million, or 25 percent, from 2007 primarily due to a decrease in revenue at ALLETE Properties. Weaker real estate market conditions in Florida led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decline. Operating revenue in 2008 included a pre-tax gain of $4.5 million on the sale of our retail shopping center in Winter Haven, Florida in May 2008, as well as $3.7 million in previously deferred revenue.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2008 Compared to 2007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and Other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ALLETE Properties</w:t>
            </w:r>
          </w:p>
        </w:tc>
        <w:tc>
          <w:tcPr>
            <w:tcW w:w="280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1628"/>
              <w:spacing w:after="0"/>
              <w:rPr>
                <w:sz w:val="20"/>
                <w:szCs w:val="20"/>
                <w:color w:val="auto"/>
              </w:rPr>
            </w:pPr>
            <w:r>
              <w:rPr>
                <w:rFonts w:ascii="Arial" w:cs="Arial" w:eastAsia="Arial" w:hAnsi="Arial"/>
                <w:sz w:val="14"/>
                <w:szCs w:val="14"/>
                <w:b w:val="1"/>
                <w:bCs w:val="1"/>
                <w:color w:val="auto"/>
              </w:rPr>
              <w:t>2008</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2007</w:t>
            </w: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Revenue and Sales Activity</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Quantity</w:t>
            </w:r>
          </w:p>
        </w:tc>
        <w:tc>
          <w:tcPr>
            <w:tcW w:w="2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Amount</w:t>
            </w:r>
          </w:p>
        </w:tc>
        <w:tc>
          <w:tcPr>
            <w:tcW w:w="16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Quantity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Dollars in Millions</w:t>
            </w:r>
          </w:p>
        </w:tc>
        <w:tc>
          <w:tcPr>
            <w:tcW w:w="28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Revenue from Land Sales</w:t>
            </w:r>
          </w:p>
        </w:tc>
        <w:tc>
          <w:tcPr>
            <w:tcW w:w="28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240"/>
              <w:spacing w:after="0"/>
              <w:rPr>
                <w:sz w:val="20"/>
                <w:szCs w:val="20"/>
                <w:color w:val="auto"/>
              </w:rPr>
            </w:pPr>
            <w:r>
              <w:rPr>
                <w:rFonts w:ascii="Arial" w:cs="Arial" w:eastAsia="Arial" w:hAnsi="Arial"/>
                <w:sz w:val="14"/>
                <w:szCs w:val="14"/>
                <w:color w:val="auto"/>
              </w:rPr>
              <w:t>Non-residential Sq. Ft.</w:t>
            </w:r>
          </w:p>
        </w:tc>
        <w:tc>
          <w:tcPr>
            <w:tcW w:w="280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568"/>
              <w:spacing w:after="0"/>
              <w:rPr>
                <w:sz w:val="20"/>
                <w:szCs w:val="20"/>
                <w:color w:val="auto"/>
              </w:rPr>
            </w:pPr>
            <w:r>
              <w:rPr>
                <w:rFonts w:ascii="Arial" w:cs="Arial" w:eastAsia="Arial" w:hAnsi="Arial"/>
                <w:sz w:val="14"/>
                <w:szCs w:val="14"/>
                <w:color w:val="auto"/>
              </w:rPr>
              <w:t>580,059</w:t>
            </w:r>
          </w:p>
        </w:tc>
        <w:tc>
          <w:tcPr>
            <w:tcW w:w="98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Residential Units</w:t>
            </w:r>
          </w:p>
        </w:tc>
        <w:tc>
          <w:tcPr>
            <w:tcW w:w="2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736</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 xml:space="preserve">Acres </w:t>
            </w:r>
            <w:r>
              <w:rPr>
                <w:rFonts w:ascii="Arial" w:cs="Arial" w:eastAsia="Arial" w:hAnsi="Arial"/>
                <w:sz w:val="14"/>
                <w:szCs w:val="14"/>
                <w:i w:val="1"/>
                <w:iCs w:val="1"/>
                <w:color w:val="auto"/>
              </w:rPr>
              <w:t>(a)</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2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$6.3</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483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Contract Sales Price </w:t>
            </w:r>
            <w:r>
              <w:rPr>
                <w:rFonts w:ascii="Arial" w:cs="Arial" w:eastAsia="Arial" w:hAnsi="Arial"/>
                <w:sz w:val="14"/>
                <w:szCs w:val="14"/>
                <w:i w:val="1"/>
                <w:iCs w:val="1"/>
                <w:color w:val="auto"/>
              </w:rPr>
              <w:t>(b)</w:t>
            </w:r>
          </w:p>
        </w:tc>
        <w:tc>
          <w:tcPr>
            <w:tcW w:w="280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6.3</w:t>
            </w:r>
          </w:p>
        </w:tc>
        <w:tc>
          <w:tcPr>
            <w:tcW w:w="1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Revenue Recognized from</w:t>
            </w:r>
          </w:p>
        </w:tc>
        <w:tc>
          <w:tcPr>
            <w:tcW w:w="2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Previously Deferred Sales</w:t>
            </w:r>
          </w:p>
        </w:tc>
        <w:tc>
          <w:tcPr>
            <w:tcW w:w="280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3.7</w:t>
            </w:r>
          </w:p>
        </w:tc>
        <w:tc>
          <w:tcPr>
            <w:tcW w:w="1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Deferred Revenue</w:t>
            </w:r>
          </w:p>
        </w:tc>
        <w:tc>
          <w:tcPr>
            <w:tcW w:w="28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Revenue from Land Sales</w:t>
            </w:r>
          </w:p>
        </w:tc>
        <w:tc>
          <w:tcPr>
            <w:tcW w:w="280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10.0</w:t>
            </w:r>
          </w:p>
        </w:tc>
        <w:tc>
          <w:tcPr>
            <w:tcW w:w="1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Revenue</w:t>
            </w:r>
          </w:p>
        </w:tc>
        <w:tc>
          <w:tcPr>
            <w:tcW w:w="28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8.3</w:t>
            </w:r>
          </w:p>
        </w:tc>
        <w:tc>
          <w:tcPr>
            <w:tcW w:w="1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shd w:val="clear" w:color="auto" w:fill="CCEEFF"/>
          </w:tcPr>
          <w:p>
            <w:pPr>
              <w:spacing w:after="0"/>
              <w:rPr>
                <w:sz w:val="15"/>
                <w:szCs w:val="15"/>
                <w:color w:val="auto"/>
              </w:rPr>
            </w:pPr>
          </w:p>
        </w:tc>
        <w:tc>
          <w:tcPr>
            <w:tcW w:w="280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$18.3</w:t>
            </w:r>
          </w:p>
        </w:tc>
        <w:tc>
          <w:tcPr>
            <w:tcW w:w="16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20" w:hanging="514"/>
        <w:spacing w:after="0"/>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Acreage amounts are shown on a gross basis, including wetlands and minority interest.</w:t>
      </w:r>
    </w:p>
    <w:p>
      <w:pPr>
        <w:spacing w:after="0" w:line="20" w:lineRule="exact"/>
        <w:rPr>
          <w:rFonts w:ascii="Arial" w:cs="Arial" w:eastAsia="Arial" w:hAnsi="Arial"/>
          <w:sz w:val="14"/>
          <w:szCs w:val="14"/>
          <w:i w:val="1"/>
          <w:iCs w:val="1"/>
          <w:color w:val="auto"/>
        </w:rPr>
      </w:pPr>
    </w:p>
    <w:p>
      <w:pPr>
        <w:ind w:left="520" w:hanging="514"/>
        <w:spacing w:after="0" w:line="274"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Reflected total contract sales price on closed land transactions. Land sales are recorded using a percentage-of-completion method. (See Note 1. Operations and Significant Accounting Policies.)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Operating expenses </w:t>
      </w:r>
      <w:r>
        <w:rPr>
          <w:rFonts w:ascii="Arial" w:cs="Arial" w:eastAsia="Arial" w:hAnsi="Arial"/>
          <w:sz w:val="14"/>
          <w:szCs w:val="14"/>
          <w:color w:val="auto"/>
        </w:rPr>
        <w:t>decreased $5.7 million, or 6 percent, from 2007 reflecting a decrease in the cost of real estate sold and decreased selling expenses.</w:t>
      </w:r>
    </w:p>
    <w:p>
      <w:pPr>
        <w:spacing w:after="0" w:line="205" w:lineRule="exact"/>
        <w:rPr>
          <w:sz w:val="20"/>
          <w:szCs w:val="20"/>
          <w:color w:val="auto"/>
        </w:rPr>
      </w:pPr>
    </w:p>
    <w:p>
      <w:pPr>
        <w:jc w:val="both"/>
        <w:ind w:left="260"/>
        <w:spacing w:after="0" w:line="267" w:lineRule="auto"/>
        <w:rPr>
          <w:sz w:val="20"/>
          <w:szCs w:val="20"/>
          <w:color w:val="auto"/>
        </w:rPr>
      </w:pPr>
      <w:r>
        <w:rPr>
          <w:rFonts w:ascii="Arial" w:cs="Arial" w:eastAsia="Arial" w:hAnsi="Arial"/>
          <w:sz w:val="14"/>
          <w:szCs w:val="14"/>
          <w:b w:val="1"/>
          <w:bCs w:val="1"/>
          <w:i w:val="1"/>
          <w:iCs w:val="1"/>
          <w:color w:val="auto"/>
        </w:rPr>
        <w:t xml:space="preserve">Other income </w:t>
      </w:r>
      <w:r>
        <w:rPr>
          <w:rFonts w:ascii="Arial" w:cs="Arial" w:eastAsia="Arial" w:hAnsi="Arial"/>
          <w:sz w:val="14"/>
          <w:szCs w:val="14"/>
          <w:color w:val="auto"/>
        </w:rPr>
        <w:t>increased $0.6 million, or 5 percent, from 2007 primarily due to a $3.8 million after-tax gain realized from the sale of certain available-for-sale securities in the first quarter of 2008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interest income related to tax benefits recognized in the third quarter of 2008. The gain was triggered when securities were sold to reallocate investments to meet defined investment allocations based upon an approved investment strategy. The increase was partially offset by fewer gains from land sales in Minnesota during 2008, and lower earnings on cash and short-term investments reflecting lower average cash balances, and the 2007 release from a loan guarantee for Northwest Airlines, Inc. of $1.0 million.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 – Consolidated</w:t>
      </w:r>
    </w:p>
    <w:p>
      <w:pPr>
        <w:spacing w:after="0" w:line="209" w:lineRule="exact"/>
        <w:rPr>
          <w:sz w:val="20"/>
          <w:szCs w:val="20"/>
          <w:color w:val="auto"/>
        </w:rPr>
      </w:pPr>
    </w:p>
    <w:p>
      <w:pPr>
        <w:jc w:val="both"/>
        <w:ind w:left="260"/>
        <w:spacing w:after="0" w:line="267" w:lineRule="auto"/>
        <w:rPr>
          <w:sz w:val="20"/>
          <w:szCs w:val="20"/>
          <w:color w:val="auto"/>
        </w:rPr>
      </w:pPr>
      <w:r>
        <w:rPr>
          <w:rFonts w:ascii="Arial" w:cs="Arial" w:eastAsia="Arial" w:hAnsi="Arial"/>
          <w:sz w:val="14"/>
          <w:szCs w:val="14"/>
          <w:color w:val="auto"/>
        </w:rPr>
        <w:t>For the year ended December 31, 2008, the effective tax rate on income from continuing operations before minority interest was 34.3 percent (34.8 percent for the year ended December 31, 2007). The effective tax rate in both years deviated from the statutory rate (approximately 40 percent) primarily due to the recognition of various tax benefits as well as deductions for Medicare health subsidies, AFUDC-Equity, investment tax credits, and wind production tax credits. In 2007, a tax benefit was realized as a result of a state income tax audit settlement ($1.6 million). In 2008, non-recurring tax benefits due to the closing of a tax year and the completion of an IRS review totaled $4.6 million.</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 Compared to 2006</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w:t>
      </w:r>
    </w:p>
    <w:p>
      <w:pPr>
        <w:spacing w:after="0" w:line="209"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b w:val="1"/>
          <w:bCs w:val="1"/>
          <w:i w:val="1"/>
          <w:iCs w:val="1"/>
          <w:color w:val="auto"/>
        </w:rPr>
        <w:t xml:space="preserve">Operating revenue </w:t>
      </w:r>
      <w:r>
        <w:rPr>
          <w:rFonts w:ascii="Arial" w:cs="Arial" w:eastAsia="Arial" w:hAnsi="Arial"/>
          <w:sz w:val="14"/>
          <w:szCs w:val="14"/>
          <w:color w:val="auto"/>
        </w:rPr>
        <w:t>increased $84.6 million, or 13 percent, from 2006 primarily due to increased fuel and purchased power recoveries, increased kilowatt-hour sales to residential, commercial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municipal customers, increased power marketing prices, and rate increases at SWL&amp;P.</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Fuel and purchased power recoveries increased due to a $65.9 million increase in purchased power expense. (See Fuel and Purchased Power Expense discussion below.)</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recovered through current cost recovery related to AREA Plan expenditures represented $3.2 million in 2007 ($0.1 million in 2006).</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from sales to Other Power Suppliers increased $3.6 million from 2006 primarily due to a 3.6 percent increase in the price per kilowatt-hour.</w:t>
      </w:r>
    </w:p>
    <w:p>
      <w:pPr>
        <w:spacing w:after="0" w:line="205"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color w:val="auto"/>
        </w:rPr>
        <w:t>New rates at SWL&amp;P, which became effective January 1, 2007, reflect a 2.8 percent increase in electric rates, a 1.4 percent increase in gas rates and an 8.6 percent increase in water rates. These rate increases resulted in a $1.7 million increase in operating revenue.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2007 Compared to 2006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196" w:lineRule="exact"/>
        <w:rPr>
          <w:sz w:val="20"/>
          <w:szCs w:val="20"/>
          <w:color w:val="auto"/>
        </w:rPr>
      </w:pPr>
    </w:p>
    <w:p>
      <w:pPr>
        <w:jc w:val="both"/>
        <w:ind w:left="260"/>
        <w:spacing w:after="0" w:line="289" w:lineRule="auto"/>
        <w:rPr>
          <w:sz w:val="20"/>
          <w:szCs w:val="20"/>
          <w:color w:val="auto"/>
        </w:rPr>
      </w:pPr>
      <w:r>
        <w:rPr>
          <w:rFonts w:ascii="Arial" w:cs="Arial" w:eastAsia="Arial" w:hAnsi="Arial"/>
          <w:sz w:val="13"/>
          <w:szCs w:val="13"/>
          <w:color w:val="auto"/>
        </w:rPr>
        <w:t>Overall, kilowatt-hour sales were flat in 2007. Combined residential, commercial and municipal kilowatt-hour sales increased 181.0 million, or 5.3 percent, from 2006 while industrial kilowatt-hour sales decreased by 152.0 million, or 2.1 percent. The increase in residential, commercial and municipal kilowatt-hour sales was primarily because of two existing municipal customers converting to full-energy requirements and a 9.2 percent increase in Heating Degree Days. The reduction in industrial kilowatt-hour sales was primarily due to an idle production line and production delays at one of our taconite customers. In September 2007, the affected taconite customer resumed production on the idle line. Minor fluctuations in industrial kilowatt-hour sales generally do not have a large impact on revenue due to a fixed demand component of revenue that is less sensitive to changes in kilowatt-hours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Kilowatt-hours Sold</w:t>
            </w:r>
          </w:p>
        </w:tc>
        <w:tc>
          <w:tcPr>
            <w:tcW w:w="468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2007</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46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Regulated Utility</w:t>
            </w:r>
          </w:p>
        </w:tc>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Retail and Municipals</w:t>
            </w:r>
          </w:p>
        </w:tc>
        <w:tc>
          <w:tcPr>
            <w:tcW w:w="46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4680" w:type="dxa"/>
            <w:vAlign w:val="bottom"/>
          </w:tcPr>
          <w:p>
            <w:pPr>
              <w:jc w:val="right"/>
              <w:ind w:right="908"/>
              <w:spacing w:after="0"/>
              <w:rPr>
                <w:sz w:val="20"/>
                <w:szCs w:val="20"/>
                <w:color w:val="auto"/>
              </w:rPr>
            </w:pPr>
            <w:r>
              <w:rPr>
                <w:rFonts w:ascii="Arial" w:cs="Arial" w:eastAsia="Arial" w:hAnsi="Arial"/>
                <w:sz w:val="14"/>
                <w:szCs w:val="14"/>
                <w:color w:val="auto"/>
              </w:rPr>
              <w:t>1,141</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w:t>
            </w:r>
          </w:p>
        </w:tc>
        <w:tc>
          <w:tcPr>
            <w:tcW w:w="46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1,373</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Industrial</w:t>
            </w:r>
          </w:p>
        </w:tc>
        <w:tc>
          <w:tcPr>
            <w:tcW w:w="4680" w:type="dxa"/>
            <w:vAlign w:val="bottom"/>
          </w:tcPr>
          <w:p>
            <w:pPr>
              <w:jc w:val="right"/>
              <w:ind w:right="908"/>
              <w:spacing w:after="0"/>
              <w:rPr>
                <w:sz w:val="20"/>
                <w:szCs w:val="20"/>
                <w:color w:val="auto"/>
              </w:rPr>
            </w:pPr>
            <w:r>
              <w:rPr>
                <w:rFonts w:ascii="Arial" w:cs="Arial" w:eastAsia="Arial" w:hAnsi="Arial"/>
                <w:sz w:val="14"/>
                <w:szCs w:val="14"/>
                <w:color w:val="auto"/>
              </w:rPr>
              <w:t>7,054</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7,206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Municipals</w:t>
            </w:r>
          </w:p>
        </w:tc>
        <w:tc>
          <w:tcPr>
            <w:tcW w:w="46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1,008</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Other</w:t>
            </w:r>
          </w:p>
        </w:tc>
        <w:tc>
          <w:tcPr>
            <w:tcW w:w="46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84</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Retail and Municipals</w:t>
            </w:r>
          </w:p>
        </w:tc>
        <w:tc>
          <w:tcPr>
            <w:tcW w:w="46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10,660</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10,631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Power Suppliers</w:t>
            </w:r>
          </w:p>
        </w:tc>
        <w:tc>
          <w:tcPr>
            <w:tcW w:w="46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2,157</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Regulated Utility</w:t>
            </w:r>
          </w:p>
        </w:tc>
        <w:tc>
          <w:tcPr>
            <w:tcW w:w="46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12,817</w:t>
            </w:r>
          </w:p>
        </w:tc>
        <w:tc>
          <w:tcPr>
            <w:tcW w:w="14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12,784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color w:val="auto"/>
        </w:rPr>
        <w:t>Revenue from electric sales to taconite customers accounted for 24 percent of consolidated operating revenue in 2007 and 2006. Revenue from electric sales to paper and pulp mills accounted for 9 percent of consolidated operating revenue in each of 2007 and 2006. Revenue from electric sales to pipelines and other industrials accounted for 7 percent of consolidated operating revenue in 2007 (6 percent in 2006).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Operating expenses </w:t>
      </w:r>
      <w:r>
        <w:rPr>
          <w:rFonts w:ascii="Arial" w:cs="Arial" w:eastAsia="Arial" w:hAnsi="Arial"/>
          <w:sz w:val="14"/>
          <w:szCs w:val="14"/>
          <w:color w:val="auto"/>
        </w:rPr>
        <w:t>increased $76.9 million, or 14 percent, from 2006.</w:t>
      </w:r>
    </w:p>
    <w:p>
      <w:pPr>
        <w:spacing w:after="0" w:line="205" w:lineRule="exact"/>
        <w:rPr>
          <w:sz w:val="20"/>
          <w:szCs w:val="20"/>
          <w:color w:val="auto"/>
        </w:rPr>
      </w:pPr>
    </w:p>
    <w:p>
      <w:pPr>
        <w:jc w:val="both"/>
        <w:ind w:left="260"/>
        <w:spacing w:after="0" w:line="328" w:lineRule="auto"/>
        <w:rPr>
          <w:sz w:val="20"/>
          <w:szCs w:val="20"/>
          <w:color w:val="auto"/>
        </w:rPr>
      </w:pPr>
      <w:r>
        <w:rPr>
          <w:rFonts w:ascii="Arial" w:cs="Arial" w:eastAsia="Arial" w:hAnsi="Arial"/>
          <w:sz w:val="13"/>
          <w:szCs w:val="13"/>
          <w:i w:val="1"/>
          <w:iCs w:val="1"/>
          <w:color w:val="auto"/>
        </w:rPr>
        <w:t xml:space="preserve">Fuel and Purchased Power Expense </w:t>
      </w:r>
      <w:r>
        <w:rPr>
          <w:rFonts w:ascii="Arial" w:cs="Arial" w:eastAsia="Arial" w:hAnsi="Arial"/>
          <w:sz w:val="13"/>
          <w:szCs w:val="13"/>
          <w:color w:val="auto"/>
        </w:rPr>
        <w:t>increased $65.9 million, or 23 percent, from 2006 primarily due to a $61.4 million increase in purchased power reflecting a 45 percent increase in market</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purchases and an 11 percent increase in market prices. The increase in purchased power expense reflects lower electricity production at the Company’s generation facilities.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Boswell Unit 4 completed generator repairs and returned to service in May 2007. Substantially all of the costs of the replacement coils were covered under the original manufacturer’s warranty.</w:t>
      </w:r>
    </w:p>
    <w:p>
      <w:pPr>
        <w:spacing w:after="0" w:line="217"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color w:val="auto"/>
        </w:rPr>
        <w:t>Lower Square Butte entitlement and output contributed to higher purchased power expense. (See Note 8. Commitments, Guarantees and Contingencies.) Square Butte generation was lower in the fourth quarter of 2007 reflecting a major scheduled outage.</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Replacement purchased power costs are recovered through the fuel adjustment clause in Minnesota.</w:t>
      </w:r>
    </w:p>
    <w:p>
      <w:pPr>
        <w:spacing w:after="0" w:line="205"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i w:val="1"/>
          <w:iCs w:val="1"/>
          <w:color w:val="auto"/>
        </w:rPr>
        <w:t xml:space="preserve">Operating and Maintenance Expense </w:t>
      </w:r>
      <w:r>
        <w:rPr>
          <w:rFonts w:ascii="Arial" w:cs="Arial" w:eastAsia="Arial" w:hAnsi="Arial"/>
          <w:sz w:val="14"/>
          <w:szCs w:val="14"/>
          <w:color w:val="auto"/>
        </w:rPr>
        <w:t>increased $11.4 million, or 5 percent, from 2006 due to a $9.0 million increase in plant maintenance primarily due to planned and unscheduled outages and</w:t>
      </w:r>
      <w:r>
        <w:rPr>
          <w:rFonts w:ascii="Arial" w:cs="Arial" w:eastAsia="Arial" w:hAnsi="Arial"/>
          <w:sz w:val="14"/>
          <w:szCs w:val="14"/>
          <w:i w:val="1"/>
          <w:iCs w:val="1"/>
          <w:color w:val="auto"/>
        </w:rPr>
        <w:t xml:space="preserve"> </w:t>
      </w:r>
      <w:r>
        <w:rPr>
          <w:rFonts w:ascii="Arial" w:cs="Arial" w:eastAsia="Arial" w:hAnsi="Arial"/>
          <w:sz w:val="14"/>
          <w:szCs w:val="14"/>
          <w:color w:val="auto"/>
        </w:rPr>
        <w:t>salary and wage increases.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Depreciation Expense </w:t>
      </w:r>
      <w:r>
        <w:rPr>
          <w:rFonts w:ascii="Arial" w:cs="Arial" w:eastAsia="Arial" w:hAnsi="Arial"/>
          <w:sz w:val="14"/>
          <w:szCs w:val="14"/>
          <w:color w:val="auto"/>
        </w:rPr>
        <w:t>decreased $0.4 million, or 1 percent, from 2006 primarily due to the life extension of Boswell Unit 3, mostly offset by higher depreciable asset balances.</w:t>
      </w:r>
    </w:p>
    <w:p>
      <w:pPr>
        <w:spacing w:after="0" w:line="205"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b w:val="1"/>
          <w:bCs w:val="1"/>
          <w:i w:val="1"/>
          <w:iCs w:val="1"/>
          <w:color w:val="auto"/>
        </w:rPr>
        <w:t xml:space="preserve">Interest expense </w:t>
      </w:r>
      <w:r>
        <w:rPr>
          <w:rFonts w:ascii="Arial" w:cs="Arial" w:eastAsia="Arial" w:hAnsi="Arial"/>
          <w:sz w:val="14"/>
          <w:szCs w:val="14"/>
          <w:color w:val="auto"/>
        </w:rPr>
        <w:t>increased $0.8 million, or 4 percent, from 2006 primarily due to higher debt balances reflecting increased construction activity. The increase was partially offset by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capitalization of more AFUDC-Debt.</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Other income </w:t>
      </w:r>
      <w:r>
        <w:rPr>
          <w:rFonts w:ascii="Arial" w:cs="Arial" w:eastAsia="Arial" w:hAnsi="Arial"/>
          <w:sz w:val="14"/>
          <w:szCs w:val="14"/>
          <w:color w:val="auto"/>
        </w:rPr>
        <w:t>increased $3.2 million from 2006 primarily due to higher earnings from the capitalization of AFUDC-Equity reflecting increased construction activity.</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Equity earnings </w:t>
      </w:r>
      <w:r>
        <w:rPr>
          <w:rFonts w:ascii="Arial" w:cs="Arial" w:eastAsia="Arial" w:hAnsi="Arial"/>
          <w:sz w:val="14"/>
          <w:szCs w:val="14"/>
          <w:color w:val="auto"/>
        </w:rPr>
        <w:t>increased $9.6 million in 2007 resulting from our pro-rata share of ATC’s earnings as discussed in Note 6. Our initial investment in ATC began in May 2006.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2007 Compared to 2006 (Continued)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and Other</w:t>
      </w:r>
    </w:p>
    <w:p>
      <w:pPr>
        <w:spacing w:after="0" w:line="209"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b w:val="1"/>
          <w:bCs w:val="1"/>
          <w:i w:val="1"/>
          <w:iCs w:val="1"/>
          <w:color w:val="auto"/>
        </w:rPr>
        <w:t xml:space="preserve">Operating revenue </w:t>
      </w:r>
      <w:r>
        <w:rPr>
          <w:rFonts w:ascii="Arial" w:cs="Arial" w:eastAsia="Arial" w:hAnsi="Arial"/>
          <w:sz w:val="14"/>
          <w:szCs w:val="14"/>
          <w:color w:val="auto"/>
        </w:rPr>
        <w:t>decreased $10.0 million, or 8 percent, from 2006 primarily due to a decline in revenue from land sales at ALLETE Properties in 2007, partially offset by higher revenue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BNI Coal realized under a cost-plus coal supply agreement. Revenue from land sales at ALLETE Properties in 2007 was $44.3 million, which included $3.1 million in previously deferred revenue. In 2006, revenue from land sales was $56.1 million which included $9.7 million in previously deferred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ALLETE Properties</w:t>
            </w:r>
          </w:p>
        </w:tc>
        <w:tc>
          <w:tcPr>
            <w:tcW w:w="334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2007</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2006</w:t>
            </w: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Revenue and Sales Activity</w:t>
            </w:r>
          </w:p>
        </w:tc>
        <w:tc>
          <w:tcPr>
            <w:tcW w:w="3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Quantity</w:t>
            </w:r>
          </w:p>
        </w:tc>
        <w:tc>
          <w:tcPr>
            <w:tcW w:w="15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Amount</w:t>
            </w:r>
          </w:p>
        </w:tc>
        <w:tc>
          <w:tcPr>
            <w:tcW w:w="1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Quantity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Dollars in Millions</w:t>
            </w:r>
          </w:p>
        </w:tc>
        <w:tc>
          <w:tcPr>
            <w:tcW w:w="3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Revenue from Land Sales</w:t>
            </w:r>
          </w:p>
        </w:tc>
        <w:tc>
          <w:tcPr>
            <w:tcW w:w="3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240"/>
              <w:spacing w:after="0"/>
              <w:rPr>
                <w:sz w:val="20"/>
                <w:szCs w:val="20"/>
                <w:color w:val="auto"/>
              </w:rPr>
            </w:pPr>
            <w:r>
              <w:rPr>
                <w:rFonts w:ascii="Arial" w:cs="Arial" w:eastAsia="Arial" w:hAnsi="Arial"/>
                <w:sz w:val="14"/>
                <w:szCs w:val="14"/>
                <w:color w:val="auto"/>
              </w:rPr>
              <w:t>Non-residential Sq. Ft.</w:t>
            </w:r>
          </w:p>
        </w:tc>
        <w:tc>
          <w:tcPr>
            <w:tcW w:w="3340" w:type="dxa"/>
            <w:vAlign w:val="bottom"/>
          </w:tcPr>
          <w:p>
            <w:pPr>
              <w:jc w:val="right"/>
              <w:ind w:right="568"/>
              <w:spacing w:after="0"/>
              <w:rPr>
                <w:sz w:val="20"/>
                <w:szCs w:val="20"/>
                <w:color w:val="auto"/>
              </w:rPr>
            </w:pPr>
            <w:r>
              <w:rPr>
                <w:rFonts w:ascii="Arial" w:cs="Arial" w:eastAsia="Arial" w:hAnsi="Arial"/>
                <w:sz w:val="14"/>
                <w:szCs w:val="14"/>
                <w:color w:val="auto"/>
              </w:rPr>
              <w:t>580,059</w:t>
            </w:r>
          </w:p>
        </w:tc>
        <w:tc>
          <w:tcPr>
            <w:tcW w:w="1520" w:type="dxa"/>
            <w:vAlign w:val="bottom"/>
          </w:tcPr>
          <w:p>
            <w:pPr>
              <w:jc w:val="right"/>
              <w:ind w:right="508"/>
              <w:spacing w:after="0"/>
              <w:rPr>
                <w:sz w:val="20"/>
                <w:szCs w:val="20"/>
                <w:color w:val="auto"/>
              </w:rPr>
            </w:pPr>
            <w:r>
              <w:rPr>
                <w:rFonts w:ascii="Arial" w:cs="Arial" w:eastAsia="Arial" w:hAnsi="Arial"/>
                <w:sz w:val="14"/>
                <w:szCs w:val="14"/>
                <w:color w:val="auto"/>
              </w:rPr>
              <w:t>$17.0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401,971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Residential Units</w:t>
            </w:r>
          </w:p>
        </w:tc>
        <w:tc>
          <w:tcPr>
            <w:tcW w:w="33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736</w:t>
            </w:r>
          </w:p>
        </w:tc>
        <w:tc>
          <w:tcPr>
            <w:tcW w:w="152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14.8</w:t>
            </w:r>
          </w:p>
        </w:tc>
        <w:tc>
          <w:tcPr>
            <w:tcW w:w="16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973</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 xml:space="preserve">Acres </w:t>
            </w:r>
            <w:r>
              <w:rPr>
                <w:rFonts w:ascii="Arial" w:cs="Arial" w:eastAsia="Arial" w:hAnsi="Arial"/>
                <w:sz w:val="14"/>
                <w:szCs w:val="14"/>
                <w:i w:val="1"/>
                <w:iCs w:val="1"/>
                <w:color w:val="auto"/>
              </w:rPr>
              <w:t>(a)</w:t>
            </w:r>
          </w:p>
        </w:tc>
        <w:tc>
          <w:tcPr>
            <w:tcW w:w="3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483</w:t>
            </w:r>
          </w:p>
        </w:tc>
        <w:tc>
          <w:tcPr>
            <w:tcW w:w="15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10.6</w:t>
            </w:r>
          </w:p>
        </w:tc>
        <w:tc>
          <w:tcPr>
            <w:tcW w:w="16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732</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Contract Sales Price </w:t>
            </w:r>
            <w:r>
              <w:rPr>
                <w:rFonts w:ascii="Arial" w:cs="Arial" w:eastAsia="Arial" w:hAnsi="Arial"/>
                <w:sz w:val="14"/>
                <w:szCs w:val="14"/>
                <w:i w:val="1"/>
                <w:iCs w:val="1"/>
                <w:color w:val="auto"/>
              </w:rPr>
              <w:t>(b)</w:t>
            </w:r>
          </w:p>
        </w:tc>
        <w:tc>
          <w:tcPr>
            <w:tcW w:w="3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42.4</w:t>
            </w:r>
          </w:p>
        </w:tc>
        <w:tc>
          <w:tcPr>
            <w:tcW w:w="16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Revenue Recognized from</w:t>
            </w:r>
          </w:p>
        </w:tc>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Previously Deferred Sales</w:t>
            </w:r>
          </w:p>
        </w:tc>
        <w:tc>
          <w:tcPr>
            <w:tcW w:w="3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3.1</w:t>
            </w:r>
          </w:p>
        </w:tc>
        <w:tc>
          <w:tcPr>
            <w:tcW w:w="16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3340" w:type="dxa"/>
            <w:vAlign w:val="bottom"/>
          </w:tcPr>
          <w:p>
            <w:pPr>
              <w:spacing w:after="0"/>
              <w:rPr>
                <w:sz w:val="14"/>
                <w:szCs w:val="14"/>
                <w:color w:val="auto"/>
              </w:rPr>
            </w:pPr>
          </w:p>
        </w:tc>
        <w:tc>
          <w:tcPr>
            <w:tcW w:w="1520" w:type="dxa"/>
            <w:vAlign w:val="bottom"/>
          </w:tcPr>
          <w:p>
            <w:pPr>
              <w:jc w:val="right"/>
              <w:ind w:right="508"/>
              <w:spacing w:after="0"/>
              <w:rPr>
                <w:sz w:val="20"/>
                <w:szCs w:val="20"/>
                <w:color w:val="auto"/>
              </w:rPr>
            </w:pPr>
            <w:r>
              <w:rPr>
                <w:rFonts w:ascii="Arial" w:cs="Arial" w:eastAsia="Arial" w:hAnsi="Arial"/>
                <w:sz w:val="14"/>
                <w:szCs w:val="14"/>
                <w:color w:val="auto"/>
              </w:rPr>
              <w:t>(1.2)</w:t>
            </w:r>
          </w:p>
        </w:tc>
        <w:tc>
          <w:tcPr>
            <w:tcW w:w="166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4"/>
                <w:szCs w:val="14"/>
                <w:i w:val="1"/>
                <w:iCs w:val="1"/>
                <w:color w:val="auto"/>
              </w:rPr>
              <w:t>(c)</w:t>
            </w:r>
          </w:p>
        </w:tc>
        <w:tc>
          <w:tcPr>
            <w:tcW w:w="33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Revenue from Land Sales</w:t>
            </w:r>
          </w:p>
        </w:tc>
        <w:tc>
          <w:tcPr>
            <w:tcW w:w="3340" w:type="dxa"/>
            <w:vAlign w:val="bottom"/>
          </w:tcPr>
          <w:p>
            <w:pPr>
              <w:spacing w:after="0"/>
              <w:rPr>
                <w:sz w:val="14"/>
                <w:szCs w:val="14"/>
                <w:color w:val="auto"/>
              </w:rPr>
            </w:pPr>
          </w:p>
        </w:tc>
        <w:tc>
          <w:tcPr>
            <w:tcW w:w="1520" w:type="dxa"/>
            <w:vAlign w:val="bottom"/>
          </w:tcPr>
          <w:p>
            <w:pPr>
              <w:jc w:val="right"/>
              <w:ind w:right="508"/>
              <w:spacing w:after="0"/>
              <w:rPr>
                <w:sz w:val="20"/>
                <w:szCs w:val="20"/>
                <w:color w:val="auto"/>
              </w:rPr>
            </w:pPr>
            <w:r>
              <w:rPr>
                <w:rFonts w:ascii="Arial" w:cs="Arial" w:eastAsia="Arial" w:hAnsi="Arial"/>
                <w:sz w:val="14"/>
                <w:szCs w:val="14"/>
                <w:color w:val="auto"/>
              </w:rPr>
              <w:t>44.3</w:t>
            </w:r>
          </w:p>
        </w:tc>
        <w:tc>
          <w:tcPr>
            <w:tcW w:w="166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Revenue</w:t>
            </w:r>
          </w:p>
        </w:tc>
        <w:tc>
          <w:tcPr>
            <w:tcW w:w="33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6.2</w:t>
            </w:r>
          </w:p>
        </w:tc>
        <w:tc>
          <w:tcPr>
            <w:tcW w:w="16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$50.5</w:t>
            </w:r>
          </w:p>
        </w:tc>
        <w:tc>
          <w:tcPr>
            <w:tcW w:w="1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780" w:hanging="774"/>
        <w:spacing w:after="0"/>
        <w:tabs>
          <w:tab w:leader="none" w:pos="7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Acreage amounts are shown on a gross basis, including wetlands and minority interest.</w:t>
      </w:r>
    </w:p>
    <w:p>
      <w:pPr>
        <w:spacing w:after="0" w:line="20" w:lineRule="exact"/>
        <w:rPr>
          <w:rFonts w:ascii="Arial" w:cs="Arial" w:eastAsia="Arial" w:hAnsi="Arial"/>
          <w:sz w:val="14"/>
          <w:szCs w:val="14"/>
          <w:i w:val="1"/>
          <w:iCs w:val="1"/>
          <w:color w:val="auto"/>
        </w:rPr>
      </w:pPr>
    </w:p>
    <w:p>
      <w:pPr>
        <w:ind w:left="780" w:hanging="774"/>
        <w:spacing w:after="0" w:line="257" w:lineRule="auto"/>
        <w:tabs>
          <w:tab w:leader="none" w:pos="7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Reflected total contract sales price on closed land transactions. Land sales are recorded using a percentage-of-completion method. (See Note 1. Operations and Significant Accounting Policies.)</w:t>
      </w:r>
    </w:p>
    <w:p>
      <w:pPr>
        <w:ind w:left="780" w:hanging="774"/>
        <w:spacing w:after="0"/>
        <w:tabs>
          <w:tab w:leader="none" w:pos="7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Contributed development dollars, which are credited to cost of real estate sold.</w:t>
      </w:r>
    </w:p>
    <w:p>
      <w:pPr>
        <w:spacing w:after="0" w:line="196"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b w:val="1"/>
          <w:bCs w:val="1"/>
          <w:i w:val="1"/>
          <w:iCs w:val="1"/>
          <w:color w:val="auto"/>
        </w:rPr>
        <w:t xml:space="preserve">Operating expenses </w:t>
      </w:r>
      <w:r>
        <w:rPr>
          <w:rFonts w:ascii="Arial" w:cs="Arial" w:eastAsia="Arial" w:hAnsi="Arial"/>
          <w:sz w:val="14"/>
          <w:szCs w:val="14"/>
          <w:color w:val="auto"/>
        </w:rPr>
        <w:t>increased $4.3 million, or 5 percent, from 2006 reflecting higher coal production expense at BNI Coal and higher property taxes. The increase in property taxes is primarily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due to higher assessed market values on our Minnesota land, while the increase in BNI Coal operating expenses is due to higher fuel costs, tire, and dragline repairs. At ALLETE Properties, higher community development district property tax assessments were partially offset by lower cost of sales.</w:t>
      </w:r>
    </w:p>
    <w:p>
      <w:pPr>
        <w:spacing w:after="0" w:line="164"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b w:val="1"/>
          <w:bCs w:val="1"/>
          <w:i w:val="1"/>
          <w:iCs w:val="1"/>
          <w:color w:val="auto"/>
        </w:rPr>
        <w:t xml:space="preserve">Interest expense </w:t>
      </w:r>
      <w:r>
        <w:rPr>
          <w:rFonts w:ascii="Arial" w:cs="Arial" w:eastAsia="Arial" w:hAnsi="Arial"/>
          <w:sz w:val="14"/>
          <w:szCs w:val="14"/>
          <w:color w:val="auto"/>
        </w:rPr>
        <w:t>decreased $3.2 million from 2006 primarily due to more interest charged to the regulated utility in 2007 as a result of increased capital expenditures and interest on additional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taxes owed on the gain on sale of our Florida Water Services Corporation assets in 2006. This decrease was partially offset by an increase of $0.5 million due to lower interest capitalization as the major infrastructure construction at Town Center was substantially completed at the end of 2006.</w:t>
      </w:r>
    </w:p>
    <w:p>
      <w:pPr>
        <w:spacing w:after="0" w:line="164"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b w:val="1"/>
          <w:bCs w:val="1"/>
          <w:i w:val="1"/>
          <w:iCs w:val="1"/>
          <w:color w:val="auto"/>
        </w:rPr>
        <w:t xml:space="preserve">Other income </w:t>
      </w:r>
      <w:r>
        <w:rPr>
          <w:rFonts w:ascii="Arial" w:cs="Arial" w:eastAsia="Arial" w:hAnsi="Arial"/>
          <w:sz w:val="14"/>
          <w:szCs w:val="14"/>
          <w:color w:val="auto"/>
        </w:rPr>
        <w:t>increased $0.4 million from 2006 reflecting higher gains on Minnesota land sales and higher lease lot revenue due to leasing newly developed lots, partially offset by lower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investment income as a result of lower average balances in 2007 and the release from a loan guarantee for Northwest Airlines, Inc. of $1.0 million.</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Minority interest </w:t>
      </w:r>
      <w:r>
        <w:rPr>
          <w:rFonts w:ascii="Arial" w:cs="Arial" w:eastAsia="Arial" w:hAnsi="Arial"/>
          <w:sz w:val="14"/>
          <w:szCs w:val="14"/>
          <w:color w:val="auto"/>
        </w:rPr>
        <w:t>participation decreased due to lower Real Estate earnings.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 – Consolidated</w:t>
      </w:r>
    </w:p>
    <w:p>
      <w:pPr>
        <w:spacing w:after="0" w:line="209" w:lineRule="exact"/>
        <w:rPr>
          <w:sz w:val="20"/>
          <w:szCs w:val="20"/>
          <w:color w:val="auto"/>
        </w:rPr>
      </w:pPr>
    </w:p>
    <w:p>
      <w:pPr>
        <w:jc w:val="both"/>
        <w:ind w:left="260"/>
        <w:spacing w:after="0" w:line="264" w:lineRule="auto"/>
        <w:rPr>
          <w:sz w:val="20"/>
          <w:szCs w:val="20"/>
          <w:color w:val="auto"/>
        </w:rPr>
      </w:pPr>
      <w:r>
        <w:rPr>
          <w:rFonts w:ascii="Arial" w:cs="Arial" w:eastAsia="Arial" w:hAnsi="Arial"/>
          <w:sz w:val="14"/>
          <w:szCs w:val="14"/>
          <w:color w:val="auto"/>
        </w:rPr>
        <w:t>For the year ended December 31, 2007, the effective tax rate on income from continuing operations before minority interest was 34.8 percent (36.1 percent for the year ended December 31, 2006). The decrease in the effective rate compared to 2006 was primarily due to a tax benefit realized as a result of a state income tax audit settlement ($1.6 million), higher AFUDC-Equity, and a larger domestic manufacturing deduction taken in 2007 compared to 2006. The effective rate of 34.8 percent for the year ended December 31, 2007, deviated from the statutory rate (approximately 40 percent) due to the state income tax audit settlement, deductions for Medicare health subsidies and domestic manufacturing production, AFUDC-Equity and investment tax credits.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Critical Accounting Estimates (Continued)</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Regulatory Accounting. </w:t>
      </w:r>
      <w:r>
        <w:rPr>
          <w:rFonts w:ascii="Arial" w:cs="Arial" w:eastAsia="Arial" w:hAnsi="Arial"/>
          <w:sz w:val="14"/>
          <w:szCs w:val="14"/>
          <w:color w:val="auto"/>
        </w:rPr>
        <w:t>Our regulated utility operations are subject to the provisions of SFAS 71, “Accounting for the Effects of Certain Types of Regulation.” SFAS 71 requires us to reflect the</w:t>
      </w:r>
      <w:r>
        <w:rPr>
          <w:rFonts w:ascii="Arial" w:cs="Arial" w:eastAsia="Arial" w:hAnsi="Arial"/>
          <w:sz w:val="14"/>
          <w:szCs w:val="14"/>
          <w:b w:val="1"/>
          <w:bCs w:val="1"/>
          <w:color w:val="auto"/>
        </w:rPr>
        <w:t xml:space="preserve"> </w:t>
      </w:r>
      <w:r>
        <w:rPr>
          <w:rFonts w:ascii="Arial" w:cs="Arial" w:eastAsia="Arial" w:hAnsi="Arial"/>
          <w:sz w:val="14"/>
          <w:szCs w:val="14"/>
          <w:color w:val="auto"/>
        </w:rPr>
        <w:t>effect of regulatory decisions in our financial statements. Regulatory assets or liabilities arise as a result of a difference between GAAP and the accounting principles imposed by the regulatory agencies.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recognize regulatory assets and liabilities in accordance with applicable state and federal regulatory rulings. The recoverability of regulatory assets is periodically assessed by considering factors such as, but not limited to, changes in regulatory rules and rate orders issued by applicable regulatory agencies. The assumptions and judgments used by regulatory authorities may have an impact on the recovery of costs, the rate of return on invested capital, and the timing and amount of assets to be recovered by rates. A change in these assumptions may result in a material impact on our results of operations. (See Note 5. Regulatory Matters.)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 xml:space="preserve">Valuation of Investments. </w:t>
      </w:r>
      <w:r>
        <w:rPr>
          <w:rFonts w:ascii="Arial" w:cs="Arial" w:eastAsia="Arial" w:hAnsi="Arial"/>
          <w:sz w:val="14"/>
          <w:szCs w:val="14"/>
          <w:color w:val="auto"/>
        </w:rPr>
        <w:t>Our long-term investment portfolio included the real estate assets of ALLETE Properties, debt and equity securities consisting primarily of securities held to fund</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benefits, our emerging technology portfolio, and auction rate securities.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investments in privately-held companies under the cost method because of our ownership percentage. Our policy is to review these investments for impairment on a quarterly basis by assessing such factors as continued commercial viability of products, cash flow and earnings. Any impairment would reduce the carrying value of the investment and be recognized as a loss. In 2008, there were no impairment losses recognized ($0.5 million pretax in 2007 and none in 2006). (See Note 6. Investments.)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b w:val="1"/>
          <w:bCs w:val="1"/>
          <w:color w:val="auto"/>
        </w:rPr>
        <w:t xml:space="preserve">Pension and Postretirement Health and Life Actuarial Assumptions. </w:t>
      </w:r>
      <w:r>
        <w:rPr>
          <w:rFonts w:ascii="Arial" w:cs="Arial" w:eastAsia="Arial" w:hAnsi="Arial"/>
          <w:sz w:val="13"/>
          <w:szCs w:val="13"/>
          <w:color w:val="auto"/>
        </w:rPr>
        <w:t>We account for our pension and postretirement benefit obligations in accordance with the provisions of SFAS 158,</w:t>
      </w:r>
      <w:r>
        <w:rPr>
          <w:rFonts w:ascii="Arial" w:cs="Arial" w:eastAsia="Arial" w:hAnsi="Arial"/>
          <w:sz w:val="13"/>
          <w:szCs w:val="13"/>
          <w:b w:val="1"/>
          <w:bCs w:val="1"/>
          <w:color w:val="auto"/>
        </w:rPr>
        <w:t xml:space="preserve"> </w:t>
      </w:r>
      <w:r>
        <w:rPr>
          <w:rFonts w:ascii="Arial" w:cs="Arial" w:eastAsia="Arial" w:hAnsi="Arial"/>
          <w:sz w:val="13"/>
          <w:szCs w:val="13"/>
          <w:color w:val="auto"/>
        </w:rPr>
        <w:t>“Employers’ Accounting for Defined Benefit Pension and Other Postretirement Plans,” SFAS 87, “Employers’ Accounting for Pensions,” and SFAS 106, “Employers’ Accounting for Postretirement Benefits Other Than Pensions.” These standards require the use of assumptions in determining our obligations and annual cost of our pension and postretirement benefits. An important actuarial assumption for pension and other postretirement benefit plans is the expected long-term rate of return on plan assets. In establishing this assumption,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 Our pension asset allocation at December 31, 2008, was approximately 46 percent equity, 32 percent debt, 16 percent private equity, and 6 percent real estate. Equity securities consist of a mix of market capitalization sizes and both domestic and international securities. We currently use an expected long-term rate of return of 8.5 percent in our actuarial determination of our pension and other postretirement expense. We annually review our expected long-term rate of return assumption and will adjust it to respond to any changing market conditions. A one-quarter percent decrease in the expected long-term rate of return would increase the annual expense for pension and other postretirement benefits by approximately $1 million, pre-tax.</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For plan valuation purposes, we currently use a discount rate of 6.12 percent. The discount rate is determined considering high-quality long-term corporate bond rates at the valuation date. The discount rate is compared to the Citigroup Pension Discount Curve adjusted for ALLETE’s specific cash flows. We believe the adjusted discount curve used in this comparison does not materially differ in duration and cash flows for our pension obligation. (See Note 14. Pension and Other Postretirement Benefit Plans.)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 xml:space="preserve">Taxation. </w:t>
      </w:r>
      <w:r>
        <w:rPr>
          <w:rFonts w:ascii="Arial" w:cs="Arial" w:eastAsia="Arial" w:hAnsi="Arial"/>
          <w:sz w:val="14"/>
          <w:szCs w:val="14"/>
          <w:color w:val="auto"/>
        </w:rPr>
        <w:t>We are required to make judgments regarding the potential tax effects of various financial transactions and our ongoing operations to estimate our obligations to taxing authorities. These</w:t>
      </w:r>
      <w:r>
        <w:rPr>
          <w:rFonts w:ascii="Arial" w:cs="Arial" w:eastAsia="Arial" w:hAnsi="Arial"/>
          <w:sz w:val="14"/>
          <w:szCs w:val="14"/>
          <w:b w:val="1"/>
          <w:bCs w:val="1"/>
          <w:color w:val="auto"/>
        </w:rPr>
        <w:t xml:space="preserve"> </w:t>
      </w:r>
      <w:r>
        <w:rPr>
          <w:rFonts w:ascii="Arial" w:cs="Arial" w:eastAsia="Arial" w:hAnsi="Arial"/>
          <w:sz w:val="14"/>
          <w:szCs w:val="14"/>
          <w:color w:val="auto"/>
        </w:rPr>
        <w:t>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FIN 48, “Accounting for Uncertainty in Income Taxes – an Interpretation of FASB Statement No. 109”. We must also assess our ability to generate capital gains to realize tax benefits associated with capital losses. Capital losses may be deducted only to the extent of capital gains realized during the year of the loss or during the two prior or five succeeding years for federal purposes. We have recorded a valuation allowance against our deferred tax assets associated with realized capital losses to the extent it has been determined that it is more-likely-than-not that some portion or all of the deferred tax asset will not be realized.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Outlook</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ALLETE is committed to earning a financial return that rewards our shareholders, allows for reinvestment in our businesses and sustains growth. Minnesota Power’s industrial customers are facing weak conditions in the markets for their products, and have and may continue to reduce the amount of energy they use. We will work to sell this released energy in the wholesale markets, and believe that our ability to produce energy at low cost will be a competitive advantage. Our focus will be to maintain the competitively-priced production of energy, while meeting environmental requirements. Minnesota Power will also focus on maintaining competitive retail rates, as we believe this is important to the success of our customers. Information published by the Edison Electric Institute in mid-2008 ranked Minnesota Power as having the ninth lowest retail rates out of 175 investor-owned utilities in the United States.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Our strategy going forward is to focus on growth opportunities within our core business as we expect to continue making significant investments to comply with renewable and environmental requirements, maintain our existing low-cost generation fleet, and strengthen and enhance the regional transmission grid. We will also look for additional transmission and renewable energy opportunities which take advantage of our geographical location between sources of renewable energy and growing energy markets. Earnings from our ATC investment are expected to grow as we anticipate making additional investments to fund our pro-rata share of ATC’s capital expansion program. We expect to invest an additional $5 to $7 million in ATC during 2009.</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Regulated Operations. </w:t>
      </w:r>
      <w:r>
        <w:rPr>
          <w:rFonts w:ascii="Arial" w:cs="Arial" w:eastAsia="Arial" w:hAnsi="Arial"/>
          <w:sz w:val="14"/>
          <w:szCs w:val="14"/>
          <w:color w:val="auto"/>
        </w:rPr>
        <w:t>Minnesota Power expects significant rate base growth over the next several years as it continues its program to comply with renewable energy requirements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environmental mandates. In addition, significant investment will be made in our existing low-cost generation fleet to provide for continued future operations. We anticipate our capital investments will be recovered through a combination of current cost recovery riders and anticipated increased base electric rates. We also expect an average annual kilowatt-hour growth of approximately 1 percent from our existing customers, as well as potential long term growth from several new industrial customers planning projects in our service territory.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Rate Cases</w:t>
      </w:r>
      <w:r>
        <w:rPr>
          <w:rFonts w:ascii="Arial" w:cs="Arial" w:eastAsia="Arial" w:hAnsi="Arial"/>
          <w:sz w:val="14"/>
          <w:szCs w:val="14"/>
          <w:color w:val="auto"/>
        </w:rPr>
        <w:t>. Entities within our Regulated Operations segment file for periodic rate revisions with the MPUC, the FERC or the PSCW.</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8, 2008, the FERC approved Minnesota Power’s wholesale tariff rate increase effective March 1, 2008. Minnesota Power’s wholesale customers consist of 16 municipalities in Minnesota and 1 private utility in Wisconsin. The FERC authorized an average 10.0 percent increase for wholesale municipal customers, and an overall return on equity of 11.25 percent. Incremental revenue in 2008 from the FERC authorized wholesale rate increase was approximately $6 million.</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2008, Minnesota Power entered into new contracts with all of our wholesale customers with the exception of one small customer whose contract is now in the cancellation period. The new contracts transition each customer to formula based rates, which means rates can be adjusted annually based on changes in costs. The new agreement with the private utility in Wisconsin is subject to PSCW approval. In November 2008, we filed a request with the FERC to implement the formula based rate provision in the new contracts. We anticipate final resolution and implementation of new rates in the first quarter of 2009.</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May 2, 2008, Minnesota Power filed a rate increase request with the MPUC seeking an average rate increase of 8.5 percent for retail customers. The rate filing seeks a return on equity of 11.15 percent, and a capital structure consisting of 54.8 percent equity and 45.2 percent debt. On an annualized basis, the requested rate increase would generate approximately $40 million in additional revenue. Interim rates were effective on August 1, 2008, and resulted in an increase for retail customers of approximately $36 million, or 7.5 percent, on an annualized basis, subject to refund pending the final rate order. Incremental revenue in 2008 from the interim retail rate increase was approximately $13 million. The transition to a new base cost of fuel coincident with interim rates resulted in the non-recovery through the fuel adjustment clause of approximately $19 million of fuel and purchased power costs incurred in 2008. We have entered into a stipulation and settlement agreement that would allow recovery of the $19 million in 2009 and which addresses specific concerns identified by interveners in the rate case; the stipulation and settlement agreement is subject to MPUC approval. The final rate order is expected in the second quarter of 2009. We cannot predict the final level of rates that may be approved by the MPUC. Prior to the May 2008 retail rate request Minnesota Power’s rates were based on a 1994 MPUC retail rate order that allowed for an 11.6 percent return on equity.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SWL&amp;P’s current retail rates are based on a December 2008 PSCW retail rate order that became effective January 1, 2009, and allows for an 11.1 percent return on common equity. The new rates reflected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Outlook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Industrial Customers. </w:t>
      </w:r>
      <w:r>
        <w:rPr>
          <w:rFonts w:ascii="Arial" w:cs="Arial" w:eastAsia="Arial" w:hAnsi="Arial"/>
          <w:sz w:val="14"/>
          <w:szCs w:val="14"/>
          <w:color w:val="auto"/>
        </w:rPr>
        <w:t>Electric power is one of several key inputs in the mining, paper production, and pipeline industries. Approximately 57 percent of our Regulated Utility kilowatt-hour sales were</w:t>
      </w:r>
      <w:r>
        <w:rPr>
          <w:rFonts w:ascii="Arial" w:cs="Arial" w:eastAsia="Arial" w:hAnsi="Arial"/>
          <w:sz w:val="14"/>
          <w:szCs w:val="14"/>
          <w:i w:val="1"/>
          <w:iCs w:val="1"/>
          <w:color w:val="auto"/>
        </w:rPr>
        <w:t xml:space="preserve"> </w:t>
      </w:r>
      <w:r>
        <w:rPr>
          <w:rFonts w:ascii="Arial" w:cs="Arial" w:eastAsia="Arial" w:hAnsi="Arial"/>
          <w:sz w:val="14"/>
          <w:szCs w:val="14"/>
          <w:color w:val="auto"/>
        </w:rPr>
        <w:t>made to our industrial customers in 2008, which include the taconite, paper and pulp, and pipeline industries.</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Strong worldwide steel demand, driven largely by extensive infrastructure development in China, resulted in very robust world iron ore demand and steel pricing for nearly a six year period which lasted through the summer of 2008. Between 2004 and 2008 annual taconite production averaged just over 40 million tons per year from taconite mines in Northeastern Minnesota. Beginning in the fall of 2008, worldwide steel makers began to dramatically cut steel production in response to reduced demand driven largely by the world credit situation. During the fourth quarter of 2008, United States raw steel production was running at less than 50 percent of capacity and at levels not seen since the early 1980s. Currently, domestic raw steel production is at 45 percent of capacity reflecting poor demand in automobiles, durable goods, structural, and other steel products. Minnesota taconite producers began to be impacted in late 2008 and reduced production levels are expected in 2009. Consequently, 2009 demand nominations for power from our taconite customers are expected to be lower by at least 25 percent from 2008 levels. We intend to remarket available power to Other Power Suppliers in an effort to mitigate the earnings impact of these lower industrial sales. These sales are dependent upon the availability of generation and are sold at market based prices into the MISO market on a daily basis or through bilateral agreements of various durations. To date in 2009, we have sold power to Other Power Suppliers to mitigate the demand reductions made to date from our taconite customers. These contracts expire at various times during 2009, and have pricing levels similar to the rates charged to our large power customers. We will have additional power to sell in 2009 if our taconite customers continue to reduce their demand; we are unable to predict pricing levels on such sales at this time.</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Minnesota Power’s paper and pulp customers ran at, or very near, full capacity for the majority of 2008 despite the fact that the industry continued to face high fiber, chemical, and energy costs as well as competition from exports in certain grades of paper products. Minnesota Power’s customers benefited from the temporary or permanent idling of plants both in North America at mills other than those served by Minnesota Power and the idling of plants in Europe, as well as continued (but declining) strength of the Canadian dollar and the Euro which has reduced imports both from Canada and Europe.</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pipeline customers continued to operate at or above historic pumping levels during 2008 and forecast operating at record pumping levels in 2009. As Western Canadian oil sands reserves continue to develop and expand, pipeline operators served by the Company are executing expansion plans to transport additional crude oil supply to United States markets. We believe we are strategically positioned to serve these expanding pipeline facilities as Canadian supply continues to grow and displace domestic and imported Gulf Coast production.</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Several natural resource-based companies continue to make progress developing new projects in Northeastern Minnesota that have the potential for long-term growth for Minnesota Power. These potential projects are in the ferrous and non-ferrous mining, paper, oil and steel related industries. They include the Polymet Mining Corp. (Polymet), Mesabi Nugget Delaware, LLC (Mesabi Nugget) and Essar Steel Limited Minnesota projects, as well as a proposed expansion at the Keewatin Taconite facility of United States Steel Corporation.</w:t>
      </w:r>
    </w:p>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3"/>
          <w:szCs w:val="13"/>
          <w:i w:val="1"/>
          <w:iCs w:val="1"/>
          <w:color w:val="auto"/>
        </w:rPr>
        <w:t xml:space="preserve">PolyMet. </w:t>
      </w:r>
      <w:r>
        <w:rPr>
          <w:rFonts w:ascii="Arial" w:cs="Arial" w:eastAsia="Arial" w:hAnsi="Arial"/>
          <w:sz w:val="13"/>
          <w:szCs w:val="13"/>
          <w:color w:val="auto"/>
        </w:rPr>
        <w:t>In 2007, the MPUC approved our contract with PolyMet, a new customer planning to start a copper, nickel and precious metals (non-ferrous) mining operation in Northeastern Minnesota. If</w:t>
      </w:r>
      <w:r>
        <w:rPr>
          <w:rFonts w:ascii="Arial" w:cs="Arial" w:eastAsia="Arial" w:hAnsi="Arial"/>
          <w:sz w:val="13"/>
          <w:szCs w:val="13"/>
          <w:i w:val="1"/>
          <w:iCs w:val="1"/>
          <w:color w:val="auto"/>
        </w:rPr>
        <w:t xml:space="preserve"> </w:t>
      </w:r>
      <w:r>
        <w:rPr>
          <w:rFonts w:ascii="Arial" w:cs="Arial" w:eastAsia="Arial" w:hAnsi="Arial"/>
          <w:sz w:val="13"/>
          <w:szCs w:val="13"/>
          <w:color w:val="auto"/>
        </w:rPr>
        <w:t>PolyMet receives all necessary environmental permits and achieves start-up, the contract will run through at least 2018 and supply approximately 70 MWs of capacity. PolyMet continues to make progress towards production. In December 2008, PolyMet received a draft environmental impact statement from the Minnesota Department of Natural Resources.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Mesabi Nugget. </w:t>
      </w:r>
      <w:r>
        <w:rPr>
          <w:rFonts w:ascii="Arial" w:cs="Arial" w:eastAsia="Arial" w:hAnsi="Arial"/>
          <w:sz w:val="14"/>
          <w:szCs w:val="14"/>
          <w:color w:val="auto"/>
        </w:rPr>
        <w:t>In 2007, Minnesota Power entered into a contract with Mesabi Nugget, a joint venture between Steel Dynamics, Inc. and Kobe Steel Ltd. Mesabi Nugget will produce high-quality</w:t>
      </w:r>
      <w:r>
        <w:rPr>
          <w:rFonts w:ascii="Arial" w:cs="Arial" w:eastAsia="Arial" w:hAnsi="Arial"/>
          <w:sz w:val="14"/>
          <w:szCs w:val="14"/>
          <w:i w:val="1"/>
          <w:iCs w:val="1"/>
          <w:color w:val="auto"/>
        </w:rPr>
        <w:t xml:space="preserve"> </w:t>
      </w:r>
      <w:r>
        <w:rPr>
          <w:rFonts w:ascii="Arial" w:cs="Arial" w:eastAsia="Arial" w:hAnsi="Arial"/>
          <w:sz w:val="14"/>
          <w:szCs w:val="14"/>
          <w:color w:val="auto"/>
        </w:rPr>
        <w:t>iron nuggets to supply steel mills owned by Steel Dynamics. Construction of the facility, near Hoyt Lakes, Minnesota, began in 2007 and completion is expected in late 2009. Mesabi Nugget is expected to initially be a 15-MW customer, with the potential for future load growth. The MPUC approved contract runs through at least 2017.</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Keewatin Taconite. </w:t>
      </w:r>
      <w:r>
        <w:rPr>
          <w:rFonts w:ascii="Arial" w:cs="Arial" w:eastAsia="Arial" w:hAnsi="Arial"/>
          <w:sz w:val="14"/>
          <w:szCs w:val="14"/>
          <w:color w:val="auto"/>
        </w:rPr>
        <w:t>In February 2008, United States Steel announced its intent to restart a pellet line at its Keewatin Taconite processing facility. This pellet line, which has been idled since 1980,</w:t>
      </w:r>
      <w:r>
        <w:rPr>
          <w:rFonts w:ascii="Arial" w:cs="Arial" w:eastAsia="Arial" w:hAnsi="Arial"/>
          <w:sz w:val="14"/>
          <w:szCs w:val="14"/>
          <w:i w:val="1"/>
          <w:iCs w:val="1"/>
          <w:color w:val="auto"/>
        </w:rPr>
        <w:t xml:space="preserve"> </w:t>
      </w:r>
      <w:r>
        <w:rPr>
          <w:rFonts w:ascii="Arial" w:cs="Arial" w:eastAsia="Arial" w:hAnsi="Arial"/>
          <w:sz w:val="14"/>
          <w:szCs w:val="14"/>
          <w:color w:val="auto"/>
        </w:rPr>
        <w:t>would be restarted and updated as part of a $300 million investment. It is anticipated to bring about 3.6 million tons of additional pellet making capability to Northeastern Minnesota, pending successful approval of environmental permitting.</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March 2008, Minnesota Power signed a new contract with Northshore Mining Company to meet additional load requirements. The contract was approved by the MPUC and runs through at least June 30, 2011.</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September 2008, Cliffs and Minnesota Power signed new contracts for service to Hibbing Taconite Co. and United Taconite LLC. These electric service agreements, which are pending final MPUC approval, extend the existing contract terms out to at least December 31, 2015.</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Outlook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3"/>
          <w:szCs w:val="13"/>
          <w:i w:val="1"/>
          <w:iCs w:val="1"/>
          <w:color w:val="auto"/>
        </w:rPr>
        <w:t xml:space="preserve">Renewable Generation Sources. </w:t>
      </w:r>
      <w:r>
        <w:rPr>
          <w:rFonts w:ascii="Arial" w:cs="Arial" w:eastAsia="Arial" w:hAnsi="Arial"/>
          <w:sz w:val="13"/>
          <w:szCs w:val="13"/>
          <w:color w:val="auto"/>
        </w:rPr>
        <w:t>In February 2007, Minnesota enacted a law requiring Minnesota Power to generate or procure 25 percent of its energy from renewable energy sources by 2025. The</w:t>
      </w:r>
      <w:r>
        <w:rPr>
          <w:rFonts w:ascii="Arial" w:cs="Arial" w:eastAsia="Arial" w:hAnsi="Arial"/>
          <w:sz w:val="13"/>
          <w:szCs w:val="13"/>
          <w:i w:val="1"/>
          <w:iCs w:val="1"/>
          <w:color w:val="auto"/>
        </w:rPr>
        <w:t xml:space="preserve"> </w:t>
      </w:r>
      <w:r>
        <w:rPr>
          <w:rFonts w:ascii="Arial" w:cs="Arial" w:eastAsia="Arial" w:hAnsi="Arial"/>
          <w:sz w:val="13"/>
          <w:szCs w:val="13"/>
          <w:color w:val="auto"/>
        </w:rPr>
        <w:t>law also requires Minnesota Power to meet interim milestones of 12 percent by 2012, 17 percent by 2016, 20 percent by 2020, and 25 percent by 2025.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 Minnesota Power believes it will meet the requirements of this legislation.</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The areas in which we operate have strong wind, water and biomass resources, and provide us with opportunities to develop a number of renewable forms of generation. Our electric service area in northeastern Minnesota is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cooperatively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 For more than a century, we have been Minnesota’s leading producer of renewable hydroelectric energy.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executing our renewable energy and environmental compliance strategy. Taconite Ridge Wind I, a $50 million, 25-MW wind facility located in northeastern Minnesota became operational in July 2008. In 2006 and 2007, we began long term purchase power agreements for 98 MWs of wind energy constructed in North Dakota (Oliver Wind I and II); 366,945 megawatt-hours were purchased under these agreements in 2008.</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On May 13, 2008, we announced plans to develop several hundred megawatts of wind energy in North Dakota and purchase an existing 250 kV DC transmission line to transport this wind energy to our customers while gradually reducing the supply of energy currently delivered to our system on this same transmission line from Square Butte’s coal-fired Milton R. Young Unit 2. The North Dakota wind project is expected to complete the 2025 renewable energy supply requirements for our retail load. In September 2008, we signed an agreement to purchase the transmission line from Square Butte Electric Cooperative for approximately $80 million. The transaction is subject to regulatory approvals and is anticipated to close in 2009.</w:t>
      </w:r>
    </w:p>
    <w:p>
      <w:pPr>
        <w:spacing w:after="0" w:line="15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January 2008, Minnesota Power and Manitoba Hydro executed a term sheet to purchase surplus energy beginning in 2009 and an anticipated 250-MW capacity purchase to begin in about 2020. Minnesota Power anticipates the initial purchase of surplus energy will be about 100 MWs during high hydro production periods in the spring and fall. The 250-MW long-term purchase will require construction of hydroelectric facilities in Manitoba and major new transmission facilities between Canada and the United States. In November 2008, we signed an amendment to the term sheet extending the deadline to complete negotiations and sign a definitive agreement from November 30, 2008, to October 31, 2009. Both purchases require MPUC approval.</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Integrated Resource Plan. </w:t>
      </w:r>
      <w:r>
        <w:rPr>
          <w:rFonts w:ascii="Arial" w:cs="Arial" w:eastAsia="Arial" w:hAnsi="Arial"/>
          <w:sz w:val="14"/>
          <w:szCs w:val="14"/>
          <w:color w:val="auto"/>
        </w:rPr>
        <w:t>On October 31, 2007, Minnesota Power filed its Integrated Resource Plan (IRP), a comprehensive estimate of future capacity needs within the Minnesota Power service</w:t>
      </w:r>
      <w:r>
        <w:rPr>
          <w:rFonts w:ascii="Arial" w:cs="Arial" w:eastAsia="Arial" w:hAnsi="Arial"/>
          <w:sz w:val="14"/>
          <w:szCs w:val="14"/>
          <w:i w:val="1"/>
          <w:iCs w:val="1"/>
          <w:color w:val="auto"/>
        </w:rPr>
        <w:t xml:space="preserve"> </w:t>
      </w:r>
      <w:r>
        <w:rPr>
          <w:rFonts w:ascii="Arial" w:cs="Arial" w:eastAsia="Arial" w:hAnsi="Arial"/>
          <w:sz w:val="14"/>
          <w:szCs w:val="14"/>
          <w:color w:val="auto"/>
        </w:rPr>
        <w:t>territory. In October 2008, the MPUC issued an order approving our request to re-file the IRP by October 1, 2009 in order to incorporate the North Dakota wind project and otherwise update our load forecasting and modeling in the IRP.</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Minnesota Power plans to meet expected loads through 2020 by adding a significant amount of renewable generation and some supporting peaking generation. We plan to add 300 to 500 MWs of carbon-minimizing renewable energy to our generation mix. Besides the additional generation from renewable sources, Minnesota Power anticipates future supply could come from a combination of sources, including:</w:t>
      </w:r>
    </w:p>
    <w:p>
      <w:pPr>
        <w:spacing w:after="0" w:line="164"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“As-needed” peaking and intermediate generation facilities;</w:t>
      </w:r>
    </w:p>
    <w:p>
      <w:pPr>
        <w:spacing w:after="0" w:line="2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Expiration of wholesale contracts presently in place;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Short-term market purchases;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Improved efficiency of existing generation and power delivery assets;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Expanded conservation and demand-side management initiatives.</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do not anticipate the need for new base load system generation within the Minnesota Power service territory through approximately 2020, and we project a one percent average annual growth in electric usage from our existing customers over that time frame.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Outlook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Climate Change</w:t>
      </w:r>
      <w:r>
        <w:rPr>
          <w:rFonts w:ascii="Arial" w:cs="Arial" w:eastAsia="Arial" w:hAnsi="Arial"/>
          <w:sz w:val="14"/>
          <w:szCs w:val="14"/>
          <w:color w:val="auto"/>
        </w:rPr>
        <w:t>. Minnesota Power has a long history of environmental stewardship. A key component of our energy strategy is a goal to reduce overall GHG emissions.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future regulations may restrict the emissions of GHGs from our generation facilities. Several proposals on the Federal level to “cap” the amount of GHG emissions have been made.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Other proposals consider establishing emissions allowances or taxes as economic incentives to address the GHG emission issue.</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2007, Minnesota passed legislation establishing non-binding targets for GHG reductions. This legislation establishes a goal of reducing statewide GHG emissions across all sectors producing those emissions to a level at least 15 percent below 2005 levels by 2015, at least 30 percent below 2005 levels by 2025, and at least 80 percent below 2005 levels by 2050. Minnesota is also participating in the Midwestern Greenhouse Gas Reduction Accord, a regional effort to develop a multi-state approach to GHG emission reductions. We are proactively taking steps to strategically engage the GHG emission issue and the impact of climate change regulation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Minnesota Power is addressing this challenge by taking the following steps that also ensure reliable and environmentally compliant generation resources to meet our customer’s requirements.</w:t>
      </w:r>
    </w:p>
    <w:p>
      <w:pPr>
        <w:spacing w:after="0" w:line="217" w:lineRule="exact"/>
        <w:rPr>
          <w:sz w:val="20"/>
          <w:szCs w:val="20"/>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will consider only carbon minimizing resources to supply power to our customers. We will not consider a new coal resource without a carbon emission solution.</w:t>
      </w:r>
    </w:p>
    <w:p>
      <w:pPr>
        <w:spacing w:after="0" w:line="2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pursuing Minnesota’s Renewable Energy Standard by adding significant renewable resources to our portfolio of generation facilities and power supply agreements.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plan to continue improving the efficiency of our coal-based generation facilities.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plan to implement demand side conservation efforts.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will continue to support research of technologies to reduce carbon emissions from generation facilities and support carbon sequestration efforts.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plan to achieve overall carbon emission reductions while maintaining competitively priced electric service to our customers.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has become a “founding reporter” of The Climate Registry, an organization established to measure and publicly report GHG emissions consistently and accurately across borders and industry sectors. In becoming one of the founding reporters of The Climate Registry, we have voluntarily committed to measure, independently verify and publicly report our GHG emissions annually.</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CapX 2020. </w:t>
      </w:r>
      <w:r>
        <w:rPr>
          <w:rFonts w:ascii="Arial" w:cs="Arial" w:eastAsia="Arial" w:hAnsi="Arial"/>
          <w:sz w:val="14"/>
          <w:szCs w:val="14"/>
          <w:color w:val="auto"/>
        </w:rPr>
        <w:t>Minnesota Power is a participant in the CapX 2020 initiative which represents an effort to ensure the electricity reliability of Minnesota and the surrounding region for the future. CapX</w:t>
      </w:r>
      <w:r>
        <w:rPr>
          <w:rFonts w:ascii="Arial" w:cs="Arial" w:eastAsia="Arial" w:hAnsi="Arial"/>
          <w:sz w:val="14"/>
          <w:szCs w:val="14"/>
          <w:i w:val="1"/>
          <w:iCs w:val="1"/>
          <w:color w:val="auto"/>
        </w:rPr>
        <w:t xml:space="preserve"> </w:t>
      </w:r>
      <w:r>
        <w:rPr>
          <w:rFonts w:ascii="Arial" w:cs="Arial" w:eastAsia="Arial" w:hAnsi="Arial"/>
          <w:sz w:val="14"/>
          <w:szCs w:val="14"/>
          <w:color w:val="auto"/>
        </w:rPr>
        <w:t>2020 includes the state's largest transmission owners, including electric cooperatives, municipals and investor-owned utilities, and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CapX 2020 participants filed a Certificate of Need for three 345 kV lines and associated system interconnections with the MPUC in August 2007. Following a public process, the MPUC is expected to decide on the need for these 345 kV lines by early 2009. If the MPUC issues the required Certificate of Need, the MPUC will then determine routes for the new lines in subsequent proceedings. Portions of the 345 kV lines will also require approvals by federal officials and by regulators in North Dakota, South Dakota and Wisconsin. A fourth line, a 230 kV line in north central Minnesota, is also among the CapX 2020 projects. A request for a Certificate of Need Permit for this line was filed in March 2008, and a Route Permit application was filed in June 2008. The MPUC decision on need and routing are expected in 2010.</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Minnesota Power may invest in two of the lines, a 250-mile 345 kV line between Fargo, North Dakota and Monticello, Minnesota, and a 70-mile 230 kV line between Bemidji and Grand Rapids, Minnesota. Our total investment in these two lines would be approximately $80 million. Upon receipt of the required Certificates of Need, we intend to include these costs in an annual filing with the MPUC for current cost recovery of the expenditures related to our investment in the lines under a Minnesota Power transmission cost recovery tariff rider mechanism authorized by Minnesota legislation. Construction of the lines is targeted to begin in 2010 and last approximately three to four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Outlook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Regulated Operations (Continued)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AREA and Boswell Unit 3 Emission Reduction Plans. </w:t>
      </w:r>
      <w:r>
        <w:rPr>
          <w:rFonts w:ascii="Arial" w:cs="Arial" w:eastAsia="Arial" w:hAnsi="Arial"/>
          <w:sz w:val="14"/>
          <w:szCs w:val="14"/>
          <w:color w:val="auto"/>
        </w:rPr>
        <w:t>In May 2006, the MPUC authorized current cost recovery of expenditures to reduce emissions of SO</w:t>
      </w:r>
      <w:r>
        <w:rPr>
          <w:rFonts w:ascii="Arial" w:cs="Arial" w:eastAsia="Arial" w:hAnsi="Arial"/>
          <w:sz w:val="20"/>
          <w:szCs w:val="20"/>
          <w:color w:val="auto"/>
          <w:vertAlign w:val="subscript"/>
        </w:rPr>
        <w:t>2</w:t>
      </w:r>
      <w:r>
        <w:rPr>
          <w:rFonts w:ascii="Arial" w:cs="Arial" w:eastAsia="Arial" w:hAnsi="Arial"/>
          <w:sz w:val="14"/>
          <w:szCs w:val="14"/>
          <w:color w:val="auto"/>
        </w:rPr>
        <w:t>, NO</w:t>
      </w:r>
      <w:r>
        <w:rPr>
          <w:rFonts w:ascii="Arial" w:cs="Arial" w:eastAsia="Arial" w:hAnsi="Arial"/>
          <w:sz w:val="20"/>
          <w:szCs w:val="20"/>
          <w:color w:val="auto"/>
          <w:vertAlign w:val="subscript"/>
        </w:rPr>
        <w:t>X</w:t>
      </w:r>
      <w:r>
        <w:rPr>
          <w:rFonts w:ascii="Arial" w:cs="Arial" w:eastAsia="Arial" w:hAnsi="Arial"/>
          <w:sz w:val="14"/>
          <w:szCs w:val="14"/>
          <w:color w:val="auto"/>
        </w:rPr>
        <w:t>, and mercury emissions at Taconite</w:t>
      </w:r>
      <w:r>
        <w:rPr>
          <w:rFonts w:ascii="Arial" w:cs="Arial" w:eastAsia="Arial" w:hAnsi="Arial"/>
          <w:sz w:val="14"/>
          <w:szCs w:val="14"/>
          <w:i w:val="1"/>
          <w:iCs w:val="1"/>
          <w:color w:val="auto"/>
        </w:rPr>
        <w:t xml:space="preserve"> </w:t>
      </w:r>
      <w:r>
        <w:rPr>
          <w:rFonts w:ascii="Arial" w:cs="Arial" w:eastAsia="Arial" w:hAnsi="Arial"/>
          <w:sz w:val="14"/>
          <w:szCs w:val="14"/>
          <w:color w:val="auto"/>
        </w:rPr>
        <w:t>Harbor and Laskin under the AREA Plan. The AREA Plan has significantly reduced emissions from Taconite Harbor and Laskin, while maintaining a reliable and reasonably-priced energy supply to meet the needs of our customers. Environmental retrofits at Laskin and Taconite Harbor Units 1 and 2 are complete and in service. The environmental regulatory requirements for Taconite Harbor Unit 3 are pending finalization of the Minnesota Regional Haze implementation plan by the MPCA. We are expecting to retrofit Taconite Harbor Unit 3 by 2013 and are evaluating compliance requirements and cost recovery options for this final unit.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making emission reduction investments at our Boswell Unit 3 generating unit. The investments in pollution control equipment will reduce particulates, SO</w:t>
      </w:r>
      <w:r>
        <w:rPr>
          <w:rFonts w:ascii="Arial" w:cs="Arial" w:eastAsia="Arial" w:hAnsi="Arial"/>
          <w:sz w:val="20"/>
          <w:szCs w:val="20"/>
          <w:color w:val="auto"/>
          <w:vertAlign w:val="subscript"/>
        </w:rPr>
        <w:t>2</w:t>
      </w:r>
      <w:r>
        <w:rPr>
          <w:rFonts w:ascii="Arial" w:cs="Arial" w:eastAsia="Arial" w:hAnsi="Arial"/>
          <w:sz w:val="14"/>
          <w:szCs w:val="14"/>
          <w:color w:val="auto"/>
        </w:rPr>
        <w:t>, NO</w:t>
      </w:r>
      <w:r>
        <w:rPr>
          <w:rFonts w:ascii="Arial" w:cs="Arial" w:eastAsia="Arial" w:hAnsi="Arial"/>
          <w:sz w:val="20"/>
          <w:szCs w:val="20"/>
          <w:color w:val="auto"/>
          <w:vertAlign w:val="subscript"/>
        </w:rPr>
        <w:t>X</w:t>
      </w:r>
      <w:r>
        <w:rPr>
          <w:rFonts w:ascii="Arial" w:cs="Arial" w:eastAsia="Arial" w:hAnsi="Arial"/>
          <w:sz w:val="14"/>
          <w:szCs w:val="14"/>
          <w:color w:val="auto"/>
        </w:rPr>
        <w:t>, and mercury emissions to meet future federal and state requirements. The MPUC has authorized a cash return on construction work in progress during the construction phase in lieu of AFUDC-Equity and allows for a return on investment and current cost recovery of incremental operations and maintenance expenses once the new equipment is installed and the unit is placed back in service in late 2009. We began cost recovery on January 1, 2008. In September 2008, we filed a petition with the MPUC to approve the Boswell Unit 3 rate adjustment for 2009. If approved, new rates would allow cost recovery relating to additional investments planned for 2009.</w:t>
      </w:r>
    </w:p>
    <w:p>
      <w:pPr>
        <w:spacing w:after="0" w:line="113" w:lineRule="exact"/>
        <w:rPr>
          <w:sz w:val="20"/>
          <w:szCs w:val="20"/>
          <w:color w:val="auto"/>
        </w:rPr>
      </w:pPr>
    </w:p>
    <w:p>
      <w:pPr>
        <w:jc w:val="both"/>
        <w:spacing w:after="0" w:line="220" w:lineRule="auto"/>
        <w:rPr>
          <w:sz w:val="20"/>
          <w:szCs w:val="20"/>
          <w:color w:val="auto"/>
        </w:rPr>
      </w:pPr>
      <w:r>
        <w:rPr>
          <w:rFonts w:ascii="Arial" w:cs="Arial" w:eastAsia="Arial" w:hAnsi="Arial"/>
          <w:sz w:val="14"/>
          <w:szCs w:val="14"/>
          <w:i w:val="1"/>
          <w:iCs w:val="1"/>
          <w:color w:val="auto"/>
        </w:rPr>
        <w:t>Boswell NO</w:t>
      </w:r>
      <w:r>
        <w:rPr>
          <w:rFonts w:ascii="Arial" w:cs="Arial" w:eastAsia="Arial" w:hAnsi="Arial"/>
          <w:sz w:val="20"/>
          <w:szCs w:val="20"/>
          <w:i w:val="1"/>
          <w:iCs w:val="1"/>
          <w:color w:val="auto"/>
          <w:vertAlign w:val="subscript"/>
        </w:rPr>
        <w:t>X</w:t>
      </w:r>
      <w:r>
        <w:rPr>
          <w:rFonts w:ascii="Arial" w:cs="Arial" w:eastAsia="Arial" w:hAnsi="Arial"/>
          <w:sz w:val="14"/>
          <w:szCs w:val="14"/>
          <w:i w:val="1"/>
          <w:iCs w:val="1"/>
          <w:color w:val="auto"/>
        </w:rPr>
        <w:t xml:space="preserve"> Reduction Plan. </w:t>
      </w:r>
      <w:r>
        <w:rPr>
          <w:rFonts w:ascii="Arial" w:cs="Arial" w:eastAsia="Arial" w:hAnsi="Arial"/>
          <w:sz w:val="14"/>
          <w:szCs w:val="14"/>
          <w:color w:val="auto"/>
        </w:rPr>
        <w:t>In September 2008, we submitted to the MPCA and MPUC a $92 million environmental initiative proposing cost recovery for NO</w:t>
      </w:r>
      <w:r>
        <w:rPr>
          <w:rFonts w:ascii="Arial" w:cs="Arial" w:eastAsia="Arial" w:hAnsi="Arial"/>
          <w:sz w:val="20"/>
          <w:szCs w:val="20"/>
          <w:color w:val="auto"/>
          <w:vertAlign w:val="subscript"/>
        </w:rPr>
        <w:t>X</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 reductions from Boswell</w:t>
      </w:r>
      <w:r>
        <w:rPr>
          <w:rFonts w:ascii="Arial" w:cs="Arial" w:eastAsia="Arial" w:hAnsi="Arial"/>
          <w:sz w:val="14"/>
          <w:szCs w:val="14"/>
          <w:i w:val="1"/>
          <w:iCs w:val="1"/>
          <w:color w:val="auto"/>
        </w:rPr>
        <w:t xml:space="preserve"> </w:t>
      </w:r>
      <w:r>
        <w:rPr>
          <w:rFonts w:ascii="Arial" w:cs="Arial" w:eastAsia="Arial" w:hAnsi="Arial"/>
          <w:sz w:val="14"/>
          <w:szCs w:val="14"/>
          <w:color w:val="auto"/>
        </w:rPr>
        <w:t>Units 1, 2, and 4. If approved by the MPUC, the Boswell NO</w:t>
      </w:r>
      <w:r>
        <w:rPr>
          <w:rFonts w:ascii="Arial" w:cs="Arial" w:eastAsia="Arial" w:hAnsi="Arial"/>
          <w:sz w:val="20"/>
          <w:szCs w:val="20"/>
          <w:color w:val="auto"/>
          <w:vertAlign w:val="subscript"/>
        </w:rPr>
        <w:t>X</w:t>
      </w:r>
      <w:r>
        <w:rPr>
          <w:rFonts w:ascii="Arial" w:cs="Arial" w:eastAsia="Arial" w:hAnsi="Arial"/>
          <w:sz w:val="14"/>
          <w:szCs w:val="14"/>
          <w:color w:val="auto"/>
        </w:rPr>
        <w:t xml:space="preserve"> Reduction Plan is expected to significantly reduce NO</w:t>
      </w:r>
      <w:r>
        <w:rPr>
          <w:rFonts w:ascii="Arial" w:cs="Arial" w:eastAsia="Arial" w:hAnsi="Arial"/>
          <w:sz w:val="20"/>
          <w:szCs w:val="20"/>
          <w:color w:val="auto"/>
          <w:vertAlign w:val="subscript"/>
        </w:rPr>
        <w:t>X</w:t>
      </w:r>
      <w:r>
        <w:rPr>
          <w:rFonts w:ascii="Arial" w:cs="Arial" w:eastAsia="Arial" w:hAnsi="Arial"/>
          <w:sz w:val="14"/>
          <w:szCs w:val="14"/>
          <w:color w:val="auto"/>
        </w:rPr>
        <w:t xml:space="preserve"> emissions from these units. In conjunction with the NO</w:t>
      </w:r>
      <w:r>
        <w:rPr>
          <w:rFonts w:ascii="Arial" w:cs="Arial" w:eastAsia="Arial" w:hAnsi="Arial"/>
          <w:sz w:val="20"/>
          <w:szCs w:val="20"/>
          <w:color w:val="auto"/>
          <w:vertAlign w:val="subscript"/>
        </w:rPr>
        <w:t>X</w:t>
      </w:r>
      <w:r>
        <w:rPr>
          <w:rFonts w:ascii="Arial" w:cs="Arial" w:eastAsia="Arial" w:hAnsi="Arial"/>
          <w:sz w:val="14"/>
          <w:szCs w:val="14"/>
          <w:color w:val="auto"/>
        </w:rPr>
        <w:t xml:space="preserve"> reduction, we plan to install an efficiency improvement to the existing turbine/generator at Boswell Unit 4 adding approximately 60 MWs of total output with no additional emissions. A second filing requesting cost recovery for the plan will be submitted to the MPUC in the first quarter of 2009.</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Transmission. </w:t>
      </w:r>
      <w:r>
        <w:rPr>
          <w:rFonts w:ascii="Arial" w:cs="Arial" w:eastAsia="Arial" w:hAnsi="Arial"/>
          <w:sz w:val="14"/>
          <w:szCs w:val="14"/>
          <w:color w:val="auto"/>
        </w:rPr>
        <w:t>In September 2008, we filed a petition with the MPUC seeking total 2009 cost recovery of $2.2 million for ongoing expenditures related to the Badoura and Tower transmission</w:t>
      </w:r>
      <w:r>
        <w:rPr>
          <w:rFonts w:ascii="Arial" w:cs="Arial" w:eastAsia="Arial" w:hAnsi="Arial"/>
          <w:sz w:val="14"/>
          <w:szCs w:val="14"/>
          <w:i w:val="1"/>
          <w:iCs w:val="1"/>
          <w:color w:val="auto"/>
        </w:rPr>
        <w:t xml:space="preserve"> </w:t>
      </w:r>
      <w:r>
        <w:rPr>
          <w:rFonts w:ascii="Arial" w:cs="Arial" w:eastAsia="Arial" w:hAnsi="Arial"/>
          <w:sz w:val="14"/>
          <w:szCs w:val="14"/>
          <w:color w:val="auto"/>
        </w:rPr>
        <w:t>projects and certain MISO related transmission facility charges. The Tower and Badoura projects are being developed to address transmission inadequacies in northeastern Minnesota. Both projects will provide regional transmission benefits through increased voltage support and additional line capacity.</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Depreciation. </w:t>
      </w:r>
      <w:r>
        <w:rPr>
          <w:rFonts w:ascii="Arial" w:cs="Arial" w:eastAsia="Arial" w:hAnsi="Arial"/>
          <w:sz w:val="14"/>
          <w:szCs w:val="14"/>
          <w:color w:val="auto"/>
        </w:rPr>
        <w:t>In a November 2008 Order, the MPUC increased depreciation rates for certain assets effective January 1, 2008. Minnesota Power had been seeking to have the increased depreciation</w:t>
      </w:r>
      <w:r>
        <w:rPr>
          <w:rFonts w:ascii="Arial" w:cs="Arial" w:eastAsia="Arial" w:hAnsi="Arial"/>
          <w:sz w:val="14"/>
          <w:szCs w:val="14"/>
          <w:i w:val="1"/>
          <w:iCs w:val="1"/>
          <w:color w:val="auto"/>
        </w:rPr>
        <w:t xml:space="preserve"> </w:t>
      </w:r>
      <w:r>
        <w:rPr>
          <w:rFonts w:ascii="Arial" w:cs="Arial" w:eastAsia="Arial" w:hAnsi="Arial"/>
          <w:sz w:val="14"/>
          <w:szCs w:val="14"/>
          <w:color w:val="auto"/>
        </w:rPr>
        <w:t>rates become effective with the date of final rates in the current retail rate filing (expected to be in the second quarter of 2009). Under this order, depreciation expense increased approximately $3 million in 2008.</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 xml:space="preserve">Investment in ATC. </w:t>
      </w:r>
      <w:r>
        <w:rPr>
          <w:rFonts w:ascii="Arial" w:cs="Arial" w:eastAsia="Arial" w:hAnsi="Arial"/>
          <w:sz w:val="14"/>
          <w:szCs w:val="14"/>
          <w:color w:val="auto"/>
        </w:rPr>
        <w:t>At December 31, 2008, our equity investment was $76.9 million, representing an approximate 8 percent ownership interest. ATC provides transmission service under rates</w:t>
      </w:r>
      <w:r>
        <w:rPr>
          <w:rFonts w:ascii="Arial" w:cs="Arial" w:eastAsia="Arial" w:hAnsi="Arial"/>
          <w:sz w:val="14"/>
          <w:szCs w:val="14"/>
          <w:i w:val="1"/>
          <w:iCs w:val="1"/>
          <w:color w:val="auto"/>
        </w:rPr>
        <w:t xml:space="preserve"> </w:t>
      </w:r>
      <w:r>
        <w:rPr>
          <w:rFonts w:ascii="Arial" w:cs="Arial" w:eastAsia="Arial" w:hAnsi="Arial"/>
          <w:sz w:val="14"/>
          <w:szCs w:val="14"/>
          <w:color w:val="auto"/>
        </w:rPr>
        <w:t>regulated by the FERC that are set in accordance with the FERC’s policy of establishing the independent operation and ownership of, and investment in, transmission facilities. ATC rates are based on a 12.2 percent return on common equity dedicated to utility plant. ATC has identified $2.7 billion in future projects needed over the next 10 years to improve the adequacy and reliability of the electric transmission system. This investment is expected to be funded through a combination of debt and investor contributions. As additional opportunities arise, we plan to make additional investments in ATC through general capital calls based upon our pro-rata ownership interest in ATC. On January 30, 2009, we invested an additional $1.9 million into ATC. In total, we expect to invest an additional $5 to $7 million throughout 2009.</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and Other</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BNI Coal. </w:t>
      </w:r>
      <w:r>
        <w:rPr>
          <w:rFonts w:ascii="Arial" w:cs="Arial" w:eastAsia="Arial" w:hAnsi="Arial"/>
          <w:sz w:val="14"/>
          <w:szCs w:val="14"/>
          <w:color w:val="auto"/>
        </w:rPr>
        <w:t>In 2008, BNI Coal sold approximately 4.5 million tons of coal (4.0 million tons in 2007) and anticipates similar sales in 2009.</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ALLETE Properties. </w:t>
      </w:r>
      <w:r>
        <w:rPr>
          <w:rFonts w:ascii="Arial" w:cs="Arial" w:eastAsia="Arial" w:hAnsi="Arial"/>
          <w:sz w:val="14"/>
          <w:szCs w:val="14"/>
          <w:color w:val="auto"/>
        </w:rPr>
        <w:t>ALLETE Properties is our real estate business that has operated in Florida since 1991. Our current strategy is to complete and maintain key entitlements and infrastructure</w:t>
      </w:r>
      <w:r>
        <w:rPr>
          <w:rFonts w:ascii="Arial" w:cs="Arial" w:eastAsia="Arial" w:hAnsi="Arial"/>
          <w:sz w:val="14"/>
          <w:szCs w:val="14"/>
          <w:i w:val="1"/>
          <w:iCs w:val="1"/>
          <w:color w:val="auto"/>
        </w:rPr>
        <w:t xml:space="preserve"> </w:t>
      </w:r>
      <w:r>
        <w:rPr>
          <w:rFonts w:ascii="Arial" w:cs="Arial" w:eastAsia="Arial" w:hAnsi="Arial"/>
          <w:sz w:val="14"/>
          <w:szCs w:val="14"/>
          <w:color w:val="auto"/>
        </w:rPr>
        <w:t>improvements which enhance values without requiring significant additional investment, and position the current property portfolio for a maximization of value and cash flow when market conditions improve.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two major development projects include Town Center and Palm Coast Park. A third proposed development project, Ormond Crossings, is in the permitting and planning stage. Development activities involve mainly zoning, permitting, platting, and master infrastructure construction. See Item 1. Business – Investments and Other for additional descriptions of each of our development projects. Development costs are financed through a combination of community development district bonds, bank loans, and internally-generated funds.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Outlook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and Other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Development Projects</w:t>
            </w:r>
          </w:p>
        </w:tc>
        <w:tc>
          <w:tcPr>
            <w:tcW w:w="24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Total</w:t>
            </w:r>
          </w:p>
        </w:tc>
        <w:tc>
          <w:tcPr>
            <w:tcW w:w="142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Residential</w:t>
            </w:r>
          </w:p>
        </w:tc>
        <w:tc>
          <w:tcPr>
            <w:tcW w:w="1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Non-residential</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Land Available-for-Sale</w:t>
            </w:r>
          </w:p>
        </w:tc>
        <w:tc>
          <w:tcPr>
            <w:tcW w:w="242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Ownership</w:t>
            </w: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xml:space="preserve">Acres </w:t>
            </w:r>
            <w:r>
              <w:rPr>
                <w:rFonts w:ascii="Arial" w:cs="Arial" w:eastAsia="Arial" w:hAnsi="Arial"/>
                <w:sz w:val="14"/>
                <w:szCs w:val="14"/>
                <w:b w:val="1"/>
                <w:bCs w:val="1"/>
                <w:i w:val="1"/>
                <w:iCs w:val="1"/>
                <w:color w:val="auto"/>
              </w:rPr>
              <w:t>(a)</w:t>
            </w:r>
          </w:p>
        </w:tc>
        <w:tc>
          <w:tcPr>
            <w:tcW w:w="14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4"/>
                <w:szCs w:val="14"/>
                <w:b w:val="1"/>
                <w:bCs w:val="1"/>
                <w:i w:val="1"/>
                <w:iCs w:val="1"/>
                <w:color w:val="auto"/>
              </w:rPr>
              <w:t>(b)</w:t>
            </w:r>
          </w:p>
        </w:tc>
        <w:tc>
          <w:tcPr>
            <w:tcW w:w="15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xml:space="preserve">Sq. Ft. </w:t>
            </w:r>
            <w:r>
              <w:rPr>
                <w:rFonts w:ascii="Arial" w:cs="Arial" w:eastAsia="Arial" w:hAnsi="Arial"/>
                <w:sz w:val="14"/>
                <w:szCs w:val="14"/>
                <w:b w:val="1"/>
                <w:bCs w:val="1"/>
                <w:i w:val="1"/>
                <w:iCs w:val="1"/>
                <w:color w:val="auto"/>
              </w:rPr>
              <w:t>(b, c)</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Development Projects</w:t>
            </w:r>
          </w:p>
        </w:tc>
        <w:tc>
          <w:tcPr>
            <w:tcW w:w="24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Town Center</w:t>
            </w:r>
          </w:p>
        </w:tc>
        <w:tc>
          <w:tcPr>
            <w:tcW w:w="2420" w:type="dxa"/>
            <w:vAlign w:val="bottom"/>
          </w:tcPr>
          <w:p>
            <w:pPr>
              <w:jc w:val="center"/>
              <w:ind w:left="928"/>
              <w:spacing w:after="0"/>
              <w:rPr>
                <w:sz w:val="20"/>
                <w:szCs w:val="20"/>
                <w:color w:val="auto"/>
              </w:rPr>
            </w:pPr>
            <w:r>
              <w:rPr>
                <w:rFonts w:ascii="Arial" w:cs="Arial" w:eastAsia="Arial" w:hAnsi="Arial"/>
                <w:sz w:val="14"/>
                <w:szCs w:val="14"/>
                <w:color w:val="auto"/>
                <w:w w:val="92"/>
              </w:rPr>
              <w:t>80%</w:t>
            </w: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At December 31, 2007</w:t>
            </w:r>
          </w:p>
        </w:tc>
        <w:tc>
          <w:tcPr>
            <w:tcW w:w="24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991</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2,289</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2,228,200</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Property Sold</w:t>
            </w:r>
          </w:p>
        </w:tc>
        <w:tc>
          <w:tcPr>
            <w:tcW w:w="2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At December 31, 2008</w:t>
            </w:r>
          </w:p>
        </w:tc>
        <w:tc>
          <w:tcPr>
            <w:tcW w:w="2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991</w:t>
            </w:r>
          </w:p>
        </w:tc>
        <w:tc>
          <w:tcPr>
            <w:tcW w:w="1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2,289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2,228,200</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Palm Coast Park</w:t>
            </w:r>
          </w:p>
        </w:tc>
        <w:tc>
          <w:tcPr>
            <w:tcW w:w="2420" w:type="dxa"/>
            <w:vAlign w:val="bottom"/>
          </w:tcPr>
          <w:p>
            <w:pPr>
              <w:jc w:val="center"/>
              <w:ind w:left="928"/>
              <w:spacing w:after="0"/>
              <w:rPr>
                <w:sz w:val="20"/>
                <w:szCs w:val="20"/>
                <w:color w:val="auto"/>
              </w:rPr>
            </w:pPr>
            <w:r>
              <w:rPr>
                <w:rFonts w:ascii="Arial" w:cs="Arial" w:eastAsia="Arial" w:hAnsi="Arial"/>
                <w:sz w:val="14"/>
                <w:szCs w:val="14"/>
                <w:color w:val="auto"/>
                <w:w w:val="94"/>
              </w:rPr>
              <w:t>100%</w:t>
            </w: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At December 31, 2007</w:t>
            </w:r>
          </w:p>
        </w:tc>
        <w:tc>
          <w:tcPr>
            <w:tcW w:w="24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3,436</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3,154</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3,116,800</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60" w:type="dxa"/>
            <w:vAlign w:val="bottom"/>
          </w:tcPr>
          <w:p>
            <w:pPr>
              <w:ind w:left="240"/>
              <w:spacing w:after="0"/>
              <w:rPr>
                <w:sz w:val="20"/>
                <w:szCs w:val="20"/>
                <w:color w:val="auto"/>
              </w:rPr>
            </w:pPr>
            <w:r>
              <w:rPr>
                <w:rFonts w:ascii="Arial" w:cs="Arial" w:eastAsia="Arial" w:hAnsi="Arial"/>
                <w:sz w:val="14"/>
                <w:szCs w:val="14"/>
                <w:color w:val="auto"/>
              </w:rPr>
              <w:t>Property Sold</w:t>
            </w:r>
          </w:p>
        </w:tc>
        <w:tc>
          <w:tcPr>
            <w:tcW w:w="242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Change in Estimate</w:t>
            </w:r>
          </w:p>
        </w:tc>
        <w:tc>
          <w:tcPr>
            <w:tcW w:w="2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At December 31, 2008</w:t>
            </w:r>
          </w:p>
        </w:tc>
        <w:tc>
          <w:tcPr>
            <w:tcW w:w="2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3,436</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3,239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3,116,800</w:t>
            </w: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 Current Development Projects</w:t>
            </w:r>
          </w:p>
        </w:tc>
        <w:tc>
          <w:tcPr>
            <w:tcW w:w="2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4,427</w:t>
            </w:r>
          </w:p>
        </w:tc>
        <w:tc>
          <w:tcPr>
            <w:tcW w:w="1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5,528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5,345,000</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Proposed Development Project</w:t>
            </w:r>
          </w:p>
        </w:tc>
        <w:tc>
          <w:tcPr>
            <w:tcW w:w="2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Ormond Crossings</w:t>
            </w:r>
          </w:p>
        </w:tc>
        <w:tc>
          <w:tcPr>
            <w:tcW w:w="242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w w:val="94"/>
              </w:rPr>
              <w:t>100%</w:t>
            </w:r>
          </w:p>
        </w:tc>
        <w:tc>
          <w:tcPr>
            <w:tcW w:w="15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60" w:type="dxa"/>
            <w:vAlign w:val="bottom"/>
          </w:tcPr>
          <w:p>
            <w:pPr>
              <w:ind w:left="240"/>
              <w:spacing w:after="0"/>
              <w:rPr>
                <w:sz w:val="20"/>
                <w:szCs w:val="20"/>
                <w:color w:val="auto"/>
              </w:rPr>
            </w:pPr>
            <w:r>
              <w:rPr>
                <w:rFonts w:ascii="Arial" w:cs="Arial" w:eastAsia="Arial" w:hAnsi="Arial"/>
                <w:sz w:val="14"/>
                <w:szCs w:val="14"/>
                <w:color w:val="auto"/>
              </w:rPr>
              <w:t>At December 31, 2008</w:t>
            </w:r>
          </w:p>
        </w:tc>
        <w:tc>
          <w:tcPr>
            <w:tcW w:w="242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5,968</w:t>
            </w:r>
          </w:p>
        </w:tc>
        <w:tc>
          <w:tcPr>
            <w:tcW w:w="1420" w:type="dxa"/>
            <w:vAlign w:val="bottom"/>
          </w:tcPr>
          <w:p>
            <w:pPr>
              <w:jc w:val="right"/>
              <w:ind w:right="128"/>
              <w:spacing w:after="0"/>
              <w:rPr>
                <w:sz w:val="20"/>
                <w:szCs w:val="20"/>
                <w:color w:val="auto"/>
              </w:rPr>
            </w:pPr>
            <w:r>
              <w:rPr>
                <w:rFonts w:ascii="Arial" w:cs="Arial" w:eastAsia="Arial" w:hAnsi="Arial"/>
                <w:sz w:val="14"/>
                <w:szCs w:val="14"/>
                <w:i w:val="1"/>
                <w:iCs w:val="1"/>
                <w:color w:val="auto"/>
              </w:rPr>
              <w:t>(d)</w:t>
            </w: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(d)</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of Development Projects at December 31, 2008</w:t>
            </w:r>
          </w:p>
        </w:tc>
        <w:tc>
          <w:tcPr>
            <w:tcW w:w="2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10,395</w:t>
            </w:r>
          </w:p>
        </w:tc>
        <w:tc>
          <w:tcPr>
            <w:tcW w:w="1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5,528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5,345,000</w:t>
            </w:r>
          </w:p>
        </w:tc>
        <w:tc>
          <w:tcPr>
            <w:tcW w:w="20" w:type="dxa"/>
            <w:vAlign w:val="bottom"/>
          </w:tcPr>
          <w:p>
            <w:pPr>
              <w:spacing w:after="0"/>
              <w:rPr>
                <w:sz w:val="15"/>
                <w:szCs w:val="15"/>
                <w:color w:val="auto"/>
              </w:rPr>
            </w:pPr>
          </w:p>
        </w:tc>
      </w:tr>
    </w:tbl>
    <w:p>
      <w:pPr>
        <w:spacing w:after="0" w:line="183" w:lineRule="exact"/>
        <w:rPr>
          <w:sz w:val="20"/>
          <w:szCs w:val="20"/>
          <w:color w:val="auto"/>
        </w:rPr>
      </w:pPr>
    </w:p>
    <w:p>
      <w:pPr>
        <w:ind w:left="260" w:hanging="254"/>
        <w:spacing w:after="0"/>
        <w:tabs>
          <w:tab w:leader="none" w:pos="2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Acreage amounts are approximate and shown on a gross basis, including wetlands and minority interest.</w:t>
      </w:r>
    </w:p>
    <w:p>
      <w:pPr>
        <w:spacing w:after="0" w:line="20" w:lineRule="exact"/>
        <w:rPr>
          <w:rFonts w:ascii="Arial" w:cs="Arial" w:eastAsia="Arial" w:hAnsi="Arial"/>
          <w:sz w:val="14"/>
          <w:szCs w:val="14"/>
          <w:i w:val="1"/>
          <w:iCs w:val="1"/>
          <w:color w:val="auto"/>
        </w:rPr>
      </w:pPr>
    </w:p>
    <w:p>
      <w:pPr>
        <w:ind w:left="260" w:hanging="254"/>
        <w:spacing w:after="0"/>
        <w:tabs>
          <w:tab w:leader="none" w:pos="2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and includes minority interest. Density at build out may differ from these estimates.</w:t>
      </w:r>
    </w:p>
    <w:p>
      <w:pPr>
        <w:spacing w:after="0" w:line="11" w:lineRule="exact"/>
        <w:rPr>
          <w:rFonts w:ascii="Arial" w:cs="Arial" w:eastAsia="Arial" w:hAnsi="Arial"/>
          <w:sz w:val="14"/>
          <w:szCs w:val="14"/>
          <w:i w:val="1"/>
          <w:iCs w:val="1"/>
          <w:color w:val="auto"/>
        </w:rPr>
      </w:pPr>
    </w:p>
    <w:p>
      <w:pPr>
        <w:ind w:left="260" w:hanging="254"/>
        <w:spacing w:after="0"/>
        <w:tabs>
          <w:tab w:leader="none" w:pos="2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Depending on the project, non-residential includes retail commercial, non-retail commercial, office, industrial, warehouse, storage and institutional.</w:t>
      </w:r>
    </w:p>
    <w:p>
      <w:pPr>
        <w:spacing w:after="0" w:line="11" w:lineRule="exact"/>
        <w:rPr>
          <w:rFonts w:ascii="Arial" w:cs="Arial" w:eastAsia="Arial" w:hAnsi="Arial"/>
          <w:sz w:val="14"/>
          <w:szCs w:val="14"/>
          <w:i w:val="1"/>
          <w:iCs w:val="1"/>
          <w:color w:val="auto"/>
        </w:rPr>
      </w:pPr>
    </w:p>
    <w:p>
      <w:pPr>
        <w:jc w:val="both"/>
        <w:ind w:left="260" w:hanging="254"/>
        <w:spacing w:after="0" w:line="295" w:lineRule="auto"/>
        <w:tabs>
          <w:tab w:leader="none" w:pos="260"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Mixed</w:t>
            </w:r>
          </w:p>
        </w:tc>
        <w:tc>
          <w:tcPr>
            <w:tcW w:w="1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Non-</w:t>
            </w: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 xml:space="preserve">Other Land Available-for-Sale </w:t>
            </w:r>
            <w:r>
              <w:rPr>
                <w:rFonts w:ascii="Arial" w:cs="Arial" w:eastAsia="Arial" w:hAnsi="Arial"/>
                <w:sz w:val="14"/>
                <w:szCs w:val="14"/>
                <w:b w:val="1"/>
                <w:bCs w:val="1"/>
                <w:i w:val="1"/>
                <w:iCs w:val="1"/>
                <w:color w:val="auto"/>
              </w:rPr>
              <w:t>(a)</w:t>
            </w:r>
          </w:p>
        </w:tc>
        <w:tc>
          <w:tcPr>
            <w:tcW w:w="25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Use</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Residential</w:t>
            </w:r>
          </w:p>
        </w:tc>
        <w:tc>
          <w:tcPr>
            <w:tcW w:w="13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residential</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Agricultural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 xml:space="preserve">Acres </w:t>
            </w:r>
            <w:r>
              <w:rPr>
                <w:rFonts w:ascii="Arial" w:cs="Arial" w:eastAsia="Arial" w:hAnsi="Arial"/>
                <w:sz w:val="14"/>
                <w:szCs w:val="14"/>
                <w:b w:val="1"/>
                <w:bCs w:val="1"/>
                <w:i w:val="1"/>
                <w:iCs w:val="1"/>
                <w:color w:val="auto"/>
              </w:rPr>
              <w:t>(b)</w:t>
            </w:r>
          </w:p>
        </w:tc>
        <w:tc>
          <w:tcPr>
            <w:tcW w:w="2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At December 31, 2007</w:t>
            </w:r>
          </w:p>
        </w:tc>
        <w:tc>
          <w:tcPr>
            <w:tcW w:w="2520" w:type="dxa"/>
            <w:vAlign w:val="bottom"/>
          </w:tcPr>
          <w:p>
            <w:pPr>
              <w:jc w:val="right"/>
              <w:ind w:right="128"/>
              <w:spacing w:after="0"/>
              <w:rPr>
                <w:sz w:val="20"/>
                <w:szCs w:val="20"/>
                <w:color w:val="auto"/>
              </w:rPr>
            </w:pPr>
            <w:r>
              <w:rPr>
                <w:rFonts w:ascii="Arial" w:cs="Arial" w:eastAsia="Arial" w:hAnsi="Arial"/>
                <w:sz w:val="14"/>
                <w:szCs w:val="14"/>
                <w:color w:val="auto"/>
              </w:rPr>
              <w:t>1,573</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362</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248</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424</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Property Sold</w:t>
            </w:r>
          </w:p>
        </w:tc>
        <w:tc>
          <w:tcPr>
            <w:tcW w:w="2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(166)</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w:t>
            </w:r>
          </w:p>
        </w:tc>
        <w:tc>
          <w:tcPr>
            <w:tcW w:w="13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(18)</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ind w:left="240"/>
              <w:spacing w:after="0"/>
              <w:rPr>
                <w:sz w:val="20"/>
                <w:szCs w:val="20"/>
                <w:color w:val="auto"/>
              </w:rPr>
            </w:pPr>
            <w:r>
              <w:rPr>
                <w:rFonts w:ascii="Arial" w:cs="Arial" w:eastAsia="Arial" w:hAnsi="Arial"/>
                <w:sz w:val="14"/>
                <w:szCs w:val="14"/>
                <w:color w:val="auto"/>
              </w:rPr>
              <w:t>Contributed Land</w:t>
            </w:r>
          </w:p>
        </w:tc>
        <w:tc>
          <w:tcPr>
            <w:tcW w:w="252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Change in Estimate</w:t>
            </w:r>
          </w:p>
        </w:tc>
        <w:tc>
          <w:tcPr>
            <w:tcW w:w="2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(7)</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(4)</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At December 31, 2008</w:t>
            </w:r>
          </w:p>
        </w:tc>
        <w:tc>
          <w:tcPr>
            <w:tcW w:w="2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1,353</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353</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402</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60" w:hanging="254"/>
        <w:spacing w:after="0"/>
        <w:tabs>
          <w:tab w:leader="none" w:pos="2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Other land includes land located in Palm Coast, Florida not included in development projects, Lehigh Acquisition Corporation and Cape Coral Holdings, Inc.</w:t>
      </w:r>
    </w:p>
    <w:p>
      <w:pPr>
        <w:spacing w:after="0" w:line="21" w:lineRule="exact"/>
        <w:rPr>
          <w:rFonts w:ascii="Arial" w:cs="Arial" w:eastAsia="Arial" w:hAnsi="Arial"/>
          <w:sz w:val="14"/>
          <w:szCs w:val="14"/>
          <w:i w:val="1"/>
          <w:iCs w:val="1"/>
          <w:color w:val="auto"/>
        </w:rPr>
      </w:pPr>
    </w:p>
    <w:p>
      <w:pPr>
        <w:ind w:left="260" w:hanging="254"/>
        <w:spacing w:after="0"/>
        <w:tabs>
          <w:tab w:leader="none" w:pos="2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Acreage amounts are approximate and shown on a gross basis, including wetlands and minority interest.</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 xml:space="preserve">Pending Contracts. </w:t>
      </w:r>
      <w:r>
        <w:rPr>
          <w:rFonts w:ascii="Arial" w:cs="Arial" w:eastAsia="Arial" w:hAnsi="Arial"/>
          <w:sz w:val="14"/>
          <w:szCs w:val="14"/>
          <w:color w:val="auto"/>
        </w:rPr>
        <w:t>At December 31, 2008, total pending land sales under contract were $12.4 million ($55.2 million at December 31, 2007) and are scheduled to close at various times through 2009.</w:t>
      </w:r>
      <w:r>
        <w:rPr>
          <w:rFonts w:ascii="Arial" w:cs="Arial" w:eastAsia="Arial" w:hAnsi="Arial"/>
          <w:sz w:val="14"/>
          <w:szCs w:val="14"/>
          <w:i w:val="1"/>
          <w:iCs w:val="1"/>
          <w:color w:val="auto"/>
        </w:rPr>
        <w:t xml:space="preserve"> </w:t>
      </w:r>
      <w:r>
        <w:rPr>
          <w:rFonts w:ascii="Arial" w:cs="Arial" w:eastAsia="Arial" w:hAnsi="Arial"/>
          <w:sz w:val="14"/>
          <w:szCs w:val="14"/>
          <w:color w:val="auto"/>
        </w:rPr>
        <w:t>However, given current market conditions it may be difficult to complete these closings in 2009. In July 2008, a $28.9 million contract with LDD Palm Coast North LLC, a subsidiary of Lowe Enterprises was terminated, and a $0.6 million contract deposit was forfeited. We are currently reviewing the best options to proceed with this property. We believe this property, along with the remaining property at Palm Coast Park, continues to have long-term value. We continue to have discussions with other buyers under pending contracts. Our objective is to proactively assist our buyers through this current period of weak market conditions, as we believe the long-term prospects for our properties are favorable. Our discussions sometimes result in adjustments to contract terms, and may include extending closing dates, revised pricing or termination. 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Outlook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and Other (Continued)</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Emerging Technology. </w:t>
      </w:r>
      <w:r>
        <w:rPr>
          <w:rFonts w:ascii="Arial" w:cs="Arial" w:eastAsia="Arial" w:hAnsi="Arial"/>
          <w:sz w:val="14"/>
          <w:szCs w:val="14"/>
          <w:color w:val="auto"/>
        </w:rPr>
        <w:t>We have the potential to recognize gains or losses on the sale of investments in our emerging technology portfolio. We plan to sell investments in our emerging technology</w:t>
      </w:r>
      <w:r>
        <w:rPr>
          <w:rFonts w:ascii="Arial" w:cs="Arial" w:eastAsia="Arial" w:hAnsi="Arial"/>
          <w:sz w:val="14"/>
          <w:szCs w:val="14"/>
          <w:i w:val="1"/>
          <w:iCs w:val="1"/>
          <w:color w:val="auto"/>
        </w:rPr>
        <w:t xml:space="preserve"> </w:t>
      </w:r>
      <w:r>
        <w:rPr>
          <w:rFonts w:ascii="Arial" w:cs="Arial" w:eastAsia="Arial" w:hAnsi="Arial"/>
          <w:sz w:val="14"/>
          <w:szCs w:val="14"/>
          <w:color w:val="auto"/>
        </w:rPr>
        <w:t>portfolio when publically traded shares are distributed to us. Some restrictions on sales may apply, including, but not limited to, underwriter lock-up periods that typically extend for 180 days following an initial public offering. We have committed to make up to $0.7 million in additional investments in certain emerging technology holdings. We do not have plans to make any additional investments beyond this commitment.</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Income Taxes</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ALLETE’s aggregate federal and multi-state statutory tax rate is expected to be approximately 40 percent for 2009. On an ongoing basis, ALLETE has certain tax credits and other tax</w:t>
      </w:r>
      <w:r>
        <w:rPr>
          <w:rFonts w:ascii="Arial" w:cs="Arial" w:eastAsia="Arial" w:hAnsi="Arial"/>
          <w:sz w:val="13"/>
          <w:szCs w:val="13"/>
          <w:b w:val="1"/>
          <w:bCs w:val="1"/>
          <w:color w:val="auto"/>
        </w:rPr>
        <w:t xml:space="preserve"> </w:t>
      </w:r>
      <w:r>
        <w:rPr>
          <w:rFonts w:ascii="Arial" w:cs="Arial" w:eastAsia="Arial" w:hAnsi="Arial"/>
          <w:sz w:val="13"/>
          <w:szCs w:val="13"/>
          <w:color w:val="auto"/>
        </w:rPr>
        <w:t>adjustments that will reduce the statutory rate to the expected effective tax rate. These tax credits and adjustments historically have included items such as investment tax credits, wind production tax credits, AFUDC-Equity, domestic manufacturer’s deduction, depletion, Medicare prescription reimbursement, as well as other items. The annual effective rate can also be impacted by such items as changes in income from operations before minority interest and income taxes, state and federal tax law changes that become effective during the year, business combinations and configuration changes, tax planning initiatives and resolution of prior years’ tax matters. We expect our effective tax rate to be approximately 36 percent for 2009.</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Activities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ALLETE is well-positioned to meet the Company’s immediate cash flow needs. With our cash balance of approximately $102 million, $160.5 million in Lines of Credit which includes a committed, syndicated, unsecured revolving line of credit of $150 million, and a debt to capital ratio of 42.2 percent at December 31, 2008, we project sufficient capital availability through the immediate term. If needed, we have the flexibility to reduce our planned capital expenditure program to meet changing capital market conditions.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Operating Activities. </w:t>
      </w:r>
      <w:r>
        <w:rPr>
          <w:rFonts w:ascii="Arial" w:cs="Arial" w:eastAsia="Arial" w:hAnsi="Arial"/>
          <w:sz w:val="14"/>
          <w:szCs w:val="14"/>
          <w:color w:val="auto"/>
        </w:rPr>
        <w:t>Cash from operating activities was $152.1 million for 2008 ($123.1 million for 2007; $142.0 million for 2006). Cash from operating activities was higher in 2008 than</w:t>
      </w:r>
      <w:r>
        <w:rPr>
          <w:rFonts w:ascii="Arial" w:cs="Arial" w:eastAsia="Arial" w:hAnsi="Arial"/>
          <w:sz w:val="14"/>
          <w:szCs w:val="14"/>
          <w:b w:val="1"/>
          <w:bCs w:val="1"/>
          <w:color w:val="auto"/>
        </w:rPr>
        <w:t xml:space="preserve"> </w:t>
      </w:r>
      <w:r>
        <w:rPr>
          <w:rFonts w:ascii="Arial" w:cs="Arial" w:eastAsia="Arial" w:hAnsi="Arial"/>
          <w:sz w:val="14"/>
          <w:szCs w:val="14"/>
          <w:color w:val="auto"/>
        </w:rPr>
        <w:t>2007 due to an increase in deferred income tax expense and decreased working capital requirements, which was partially offset by lower net income and higher contributions to defined benefit pension and postretirement health plans (included in Other Liabilities on the Consolidated Statement of Cash Flows). Working capital requirements decreased mainly due to lower uncollected purchased power costs (included in Prepayments and Other on the Consolidated Statement of Cash Flows). Deferred income tax expense increased due to the bonus depreciation provisions of the Economic Stimulus Act of 2008, and contributions to defined benefit pension and postretirement health plans increased $15.6 million during 2008.</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Cash from operating activities was lower in 2007 than 2006 primarily due to a decrease in cash flow from operating assets and liabilities. Colder weather in December 2007 resulted in an increase in customer receivables of $14.7 million compared to 2006. Cash used for prepayments and other was higher in 2007 than 2006 due to an $11.5 million change in deferred fuel costs. The increase in deferred fuel costs was the result of higher purchased power expenses due to generation outages relating to the AREA Plan environmental retrofits, lower hydro generation, lower Square Butte entitlement and Square Butte’s major scheduled outage. Other current liabilities decreased primarily due to a reduction in accrued taxes of $8.9 million. The decrease in cash from operating activities for 2007 was partially offset by increased earnings from continuing operations of $11.2 million and a decrease in cash used for discontinued operations of $13.5 million.</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3"/>
          <w:szCs w:val="13"/>
          <w:b w:val="1"/>
          <w:bCs w:val="1"/>
          <w:color w:val="auto"/>
        </w:rPr>
        <w:t xml:space="preserve">Investing Activities. </w:t>
      </w:r>
      <w:r>
        <w:rPr>
          <w:rFonts w:ascii="Arial" w:cs="Arial" w:eastAsia="Arial" w:hAnsi="Arial"/>
          <w:sz w:val="13"/>
          <w:szCs w:val="13"/>
          <w:color w:val="auto"/>
        </w:rPr>
        <w:t>Cash used for investing activities was $276.1 million for 2008 ($154.1 million for 2007; $154.2 million for 2006). Cash used for investing activities was higher than 2007</w:t>
      </w:r>
      <w:r>
        <w:rPr>
          <w:rFonts w:ascii="Arial" w:cs="Arial" w:eastAsia="Arial" w:hAnsi="Arial"/>
          <w:sz w:val="13"/>
          <w:szCs w:val="13"/>
          <w:b w:val="1"/>
          <w:bCs w:val="1"/>
          <w:color w:val="auto"/>
        </w:rPr>
        <w:t xml:space="preserve"> </w:t>
      </w:r>
      <w:r>
        <w:rPr>
          <w:rFonts w:ascii="Arial" w:cs="Arial" w:eastAsia="Arial" w:hAnsi="Arial"/>
          <w:sz w:val="13"/>
          <w:szCs w:val="13"/>
          <w:color w:val="auto"/>
        </w:rPr>
        <w:t>reflecting increased capital additions to property, plant, and equipment which were partially offset by the proceeds from the sale of assets (retail shopping center) in Winter Haven, Florida. Capital additions to property, plant, and equipment increased due to construction activity for environmental retrofit projects, AREA Plan projects, Taconite Ridge, and additional investments in ATC.</w:t>
      </w:r>
    </w:p>
    <w:p>
      <w:pPr>
        <w:spacing w:after="0" w:line="143"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Cash used for investing activities was insignificantly lower in 2007 than 2006 primarily due to an increase of $81.4 million in net sales of short-term investments compared to $12.4 million in 2006. The net proceeds from the sale of short-term investments were used to fund increased additions to property, plant and equipment. Additions to property, plant and equipment were higher in 2007 than 2006 by $111.7 million primarily due to increased spending on major environmental construction projects. Cash invested in ATC decreased from $51.4 million in 2006 to $8.7 million in 2007.</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3"/>
          <w:szCs w:val="13"/>
          <w:b w:val="1"/>
          <w:bCs w:val="1"/>
          <w:color w:val="auto"/>
        </w:rPr>
        <w:t xml:space="preserve">Financing Activities. </w:t>
      </w:r>
      <w:r>
        <w:rPr>
          <w:rFonts w:ascii="Arial" w:cs="Arial" w:eastAsia="Arial" w:hAnsi="Arial"/>
          <w:sz w:val="13"/>
          <w:szCs w:val="13"/>
          <w:color w:val="auto"/>
        </w:rPr>
        <w:t>Cash from financing activities was $202.7 million for 2008 (cash from financing activities was $9.5 million for 2007; cash used for financing activities was $32.6 million for</w:t>
      </w:r>
      <w:r>
        <w:rPr>
          <w:rFonts w:ascii="Arial" w:cs="Arial" w:eastAsia="Arial" w:hAnsi="Arial"/>
          <w:sz w:val="13"/>
          <w:szCs w:val="13"/>
          <w:b w:val="1"/>
          <w:bCs w:val="1"/>
          <w:color w:val="auto"/>
        </w:rPr>
        <w:t xml:space="preserve"> </w:t>
      </w:r>
      <w:r>
        <w:rPr>
          <w:rFonts w:ascii="Arial" w:cs="Arial" w:eastAsia="Arial" w:hAnsi="Arial"/>
          <w:sz w:val="13"/>
          <w:szCs w:val="13"/>
          <w:color w:val="auto"/>
        </w:rPr>
        <w:t>2006). The increase in cash from financing activities resulted from the issuance of three series of first mortgage bonds: $60 million in February 2008; $75 million in May 2008; and $38 million in December 2008. In addition, 1.8 million shares of common stock were issued for net proceeds of $71.1 million. Financing activities increased to support our current capital expenditure program.</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Cash from financing activities was higher in 2007 than 2006 primarily due to additional long-term debt issued in 2007, which included $60 million of first mortgage bonds, $50.0 million of senior unsecured notes and $12.5 million in collateralized tax exempt bonds at SWL&amp;P. The increase in new long-term debt was offset partially by the retirement of $20.0 million in first mortgage bonds, $2.5 million in variable demand revenue refunding bonds and $6.5 million in SWL&amp;P first mortgage bonds.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Liquidity and Capital Resources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Activities (Continued)</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b w:val="1"/>
          <w:bCs w:val="1"/>
          <w:color w:val="auto"/>
        </w:rPr>
        <w:t xml:space="preserve">Working Capital. </w:t>
      </w:r>
      <w:r>
        <w:rPr>
          <w:rFonts w:ascii="Arial" w:cs="Arial" w:eastAsia="Arial" w:hAnsi="Arial"/>
          <w:sz w:val="13"/>
          <w:szCs w:val="13"/>
          <w:color w:val="auto"/>
        </w:rPr>
        <w:t>Additional working capital, if and when needed, generally is provided by the sale of commercial paper. We have 0.8 million original issue shares of our common stock available for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issuance through </w:t>
      </w:r>
      <w:r>
        <w:rPr>
          <w:rFonts w:ascii="Arial" w:cs="Arial" w:eastAsia="Arial" w:hAnsi="Arial"/>
          <w:sz w:val="13"/>
          <w:szCs w:val="13"/>
          <w:i w:val="1"/>
          <w:iCs w:val="1"/>
          <w:color w:val="auto"/>
        </w:rPr>
        <w:t>Invest Direct</w:t>
      </w:r>
      <w:r>
        <w:rPr>
          <w:rFonts w:ascii="Arial" w:cs="Arial" w:eastAsia="Arial" w:hAnsi="Arial"/>
          <w:sz w:val="13"/>
          <w:szCs w:val="13"/>
          <w:color w:val="auto"/>
        </w:rPr>
        <w:t>, our direct stock purchase and dividend reinvestment plan. Additionally, we have 0.9 million original issue shares of common stock available for issuance through a Distribution Agreement with KCCI, Inc. We have consolidated bank lines of credit aggregating $160.5 million, the majority of which expire in January 2012. In January 2006, we renewed, increased and extended a committed, syndicated, unsecured revolving credit facility (Line) with Bank of America as Agent, and four other banks, for $150 million. No individual bank has more than 25 percent participation in the Line. The Line was subsequently extended for an additional year in December 2006 and currently matures on January 11, 2012. At our request and subject to certain conditions, the Line may be increased to $200 million and extended for two additional 12-month periods. We may prepay amounts outstanding under the Line in whole or in part at our discretion. Additionally, we may irrevocably terminate or reduce the size of the Line prior to maturity. The Line may be used for general corporate purposes, working capital and to provide liquidity in support of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 xml:space="preserve">Auction Rate Securities. </w:t>
      </w:r>
      <w:r>
        <w:rPr>
          <w:rFonts w:ascii="Arial" w:cs="Arial" w:eastAsia="Arial" w:hAnsi="Arial"/>
          <w:sz w:val="13"/>
          <w:szCs w:val="13"/>
          <w:color w:val="auto"/>
        </w:rPr>
        <w:t>As of December 31, 2008, we held $15.2 million of investments ($23.1 million at December 31, 2007) consisting of three auction rate municipal bonds (auction rate</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with stated maturity dates ranging between 15 and 28 years. These ARS consist of guaranteed student loans insured or reinsured by the federal government and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typically above market interest rates.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Company has used a discounted cash flow model to determine the estimated fair value of its investment in ARS as of December 31, 2008.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Based upon the results of the discounted cash flow model and the fact that these ARS consist of guaranteed student loans insured or reinsured by the federal government no other than temporary impairment loss has been reported.</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Securities</w:t>
      </w:r>
      <w:r>
        <w:rPr>
          <w:rFonts w:ascii="Arial" w:cs="Arial" w:eastAsia="Arial" w:hAnsi="Arial"/>
          <w:sz w:val="14"/>
          <w:szCs w:val="14"/>
          <w:color w:val="auto"/>
        </w:rPr>
        <w:t>. On December 10, 2007, ALLETE filed a registration statement with the SEC, pursuant to Rule 415 under the Securities Act of 1933, relating to the possible issuance from time to time of</w:t>
      </w:r>
      <w:r>
        <w:rPr>
          <w:rFonts w:ascii="Arial" w:cs="Arial" w:eastAsia="Arial" w:hAnsi="Arial"/>
          <w:sz w:val="14"/>
          <w:szCs w:val="14"/>
          <w:b w:val="1"/>
          <w:bCs w:val="1"/>
          <w:color w:val="auto"/>
        </w:rPr>
        <w:t xml:space="preserve"> </w:t>
      </w:r>
      <w:r>
        <w:rPr>
          <w:rFonts w:ascii="Arial" w:cs="Arial" w:eastAsia="Arial" w:hAnsi="Arial"/>
          <w:sz w:val="14"/>
          <w:szCs w:val="14"/>
          <w:color w:val="auto"/>
        </w:rPr>
        <w:t>ALLETE common stock or first mortgage bonds. The amount of securities issuable by ALLETE is established from time to time by its board of directors. We may sell all or a portion of the above-described registered securities if warranted by market conditions and our capital requirements. Any offer and sale of the above-mentioned securities will be made only by means of a prospectus meeting the requirements of the Securities Act of 1933 and the rules and regulations there under.</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1, 2008, we issued $60 million in principal amount of First Mortgage Bonds, 4.86% Series due April 1, 2013, in the private placement market. We have the option to prepay all or a portion of the bonds at our discretion, subject to a make-whole provision. The bonds are subject to additional terms and conditions which are customary for this type of transaction. We used the proceeds from the sale of the bonds to fund utility capital expenditures and for general corporate purposes.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May 14, 2008, we issued $75 million in principal amount of First Mortgage Bonds, 6.02% Series due May 1, 2023, in the private placement market. We have the option to prepay all or a portion of the bonds at our discretion, subject to a make-whole provision. The bonds are subject to additional terms and conditions which are customary for this type of transaction. We used the proceeds from the sale of the bonds to fund utility capital expenditures and for general corporate purposes.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issued $80 million in principal amount of First Mortgage Bonds in the private placement market in three series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Issue Date</w:t>
            </w:r>
          </w:p>
        </w:tc>
        <w:tc>
          <w:tcPr>
            <w:tcW w:w="3340" w:type="dxa"/>
            <w:vAlign w:val="bottom"/>
            <w:tcBorders>
              <w:bottom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b w:val="1"/>
                <w:bCs w:val="1"/>
                <w:color w:val="auto"/>
              </w:rPr>
              <w:t>Maturity</w:t>
            </w:r>
          </w:p>
        </w:tc>
        <w:tc>
          <w:tcPr>
            <w:tcW w:w="280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w w:val="94"/>
              </w:rPr>
              <w:t>Amount</w:t>
            </w:r>
          </w:p>
        </w:tc>
        <w:tc>
          <w:tcPr>
            <w:tcW w:w="2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Coupon</w:t>
            </w:r>
          </w:p>
        </w:tc>
      </w:tr>
      <w:tr>
        <w:trPr>
          <w:trHeight w:val="172"/>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December 15, 2008</w:t>
            </w:r>
          </w:p>
        </w:tc>
        <w:tc>
          <w:tcPr>
            <w:tcW w:w="3340" w:type="dxa"/>
            <w:vAlign w:val="bottom"/>
          </w:tcPr>
          <w:p>
            <w:pPr>
              <w:jc w:val="center"/>
              <w:ind w:left="308"/>
              <w:spacing w:after="0"/>
              <w:rPr>
                <w:sz w:val="20"/>
                <w:szCs w:val="20"/>
                <w:color w:val="auto"/>
              </w:rPr>
            </w:pPr>
            <w:r>
              <w:rPr>
                <w:rFonts w:ascii="Arial" w:cs="Arial" w:eastAsia="Arial" w:hAnsi="Arial"/>
                <w:sz w:val="14"/>
                <w:szCs w:val="14"/>
                <w:color w:val="auto"/>
                <w:w w:val="92"/>
              </w:rPr>
              <w:t>January 15, 2014</w:t>
            </w:r>
          </w:p>
        </w:tc>
        <w:tc>
          <w:tcPr>
            <w:tcW w:w="2800" w:type="dxa"/>
            <w:vAlign w:val="bottom"/>
          </w:tcPr>
          <w:p>
            <w:pPr>
              <w:jc w:val="center"/>
              <w:ind w:right="88"/>
              <w:spacing w:after="0"/>
              <w:rPr>
                <w:sz w:val="20"/>
                <w:szCs w:val="20"/>
                <w:color w:val="auto"/>
              </w:rPr>
            </w:pPr>
            <w:r>
              <w:rPr>
                <w:rFonts w:ascii="Arial" w:cs="Arial" w:eastAsia="Arial" w:hAnsi="Arial"/>
                <w:sz w:val="14"/>
                <w:szCs w:val="14"/>
                <w:color w:val="auto"/>
              </w:rPr>
              <w:t>$18 Million</w:t>
            </w:r>
          </w:p>
        </w:tc>
        <w:tc>
          <w:tcPr>
            <w:tcW w:w="2820" w:type="dxa"/>
            <w:vAlign w:val="bottom"/>
          </w:tcPr>
          <w:p>
            <w:pPr>
              <w:jc w:val="center"/>
              <w:spacing w:after="0"/>
              <w:rPr>
                <w:sz w:val="20"/>
                <w:szCs w:val="20"/>
                <w:color w:val="auto"/>
              </w:rPr>
            </w:pPr>
            <w:r>
              <w:rPr>
                <w:rFonts w:ascii="Arial" w:cs="Arial" w:eastAsia="Arial" w:hAnsi="Arial"/>
                <w:sz w:val="14"/>
                <w:szCs w:val="14"/>
                <w:color w:val="auto"/>
                <w:w w:val="90"/>
              </w:rPr>
              <w:t>6.94%</w:t>
            </w:r>
          </w:p>
        </w:tc>
      </w:tr>
      <w:tr>
        <w:trPr>
          <w:trHeight w:val="172"/>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December 15, 2008</w:t>
            </w:r>
          </w:p>
        </w:tc>
        <w:tc>
          <w:tcPr>
            <w:tcW w:w="33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2"/>
              </w:rPr>
              <w:t>January 15, 2016</w:t>
            </w:r>
          </w:p>
        </w:tc>
        <w:tc>
          <w:tcPr>
            <w:tcW w:w="280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$20 Million</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7.70%</w:t>
            </w:r>
          </w:p>
        </w:tc>
      </w:tr>
      <w:tr>
        <w:trPr>
          <w:trHeight w:val="174"/>
        </w:trPr>
        <w:tc>
          <w:tcPr>
            <w:tcW w:w="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January 15, 2009</w:t>
            </w:r>
          </w:p>
        </w:tc>
        <w:tc>
          <w:tcPr>
            <w:tcW w:w="33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2"/>
              </w:rPr>
              <w:t>January 15, 2019</w:t>
            </w:r>
          </w:p>
        </w:tc>
        <w:tc>
          <w:tcPr>
            <w:tcW w:w="2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$42 Million</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8.17%</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Liquidity and Capital Resources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(Continued)</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19, 2008, we entered into a Distribution Agreement with KCCI, Inc. with respect to the issuance and sale of up to 2.5 million shares of our common stock, without par value. The shares may be offered for sale, from time to time, in accordance with the terms of the Distribution Agreement, which terminates on June 30, 2009. For the year ended December 31, 2008, 1,556,200 shares of common stock have been issued under this agreement resulting in net proceeds of $60.8 million.</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Financial Covenants</w:t>
      </w:r>
      <w:r>
        <w:rPr>
          <w:rFonts w:ascii="Arial" w:cs="Arial" w:eastAsia="Arial" w:hAnsi="Arial"/>
          <w:sz w:val="14"/>
          <w:szCs w:val="14"/>
          <w:color w:val="auto"/>
        </w:rPr>
        <w:t>. Our long-term debt arrangements contain customary covenants. In addition, our lines of credit and letters of credit supporting certain long-term debt arrangements contain</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covenants. The most restrictive covenant requires ALLETE to maintain a ratio of its Funded Debt to Total Capital of less than or equal to 0.65 to 1.00 measured quarterly. As of December 31, 2008 our ratio was approximately 0.40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2008, ALLETE was in compliance with its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r>
        <w:rPr>
          <w:rFonts w:ascii="Arial" w:cs="Arial" w:eastAsia="Arial" w:hAnsi="Arial"/>
          <w:sz w:val="14"/>
          <w:szCs w:val="14"/>
          <w:color w:val="auto"/>
        </w:rPr>
        <w:t>. Off-balance sheet arrangements are discussed in Note 8.</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Contractual Obligations and Commercial Commitments</w:t>
      </w:r>
      <w:r>
        <w:rPr>
          <w:rFonts w:ascii="Arial" w:cs="Arial" w:eastAsia="Arial" w:hAnsi="Arial"/>
          <w:sz w:val="14"/>
          <w:szCs w:val="14"/>
          <w:color w:val="auto"/>
        </w:rPr>
        <w:t>. Our long-term debt obligations, including long-term debt due within one year, represent the principal amount of bonds, notes and loans</w:t>
      </w:r>
      <w:r>
        <w:rPr>
          <w:rFonts w:ascii="Arial" w:cs="Arial" w:eastAsia="Arial" w:hAnsi="Arial"/>
          <w:sz w:val="14"/>
          <w:szCs w:val="14"/>
          <w:b w:val="1"/>
          <w:bCs w:val="1"/>
          <w:color w:val="auto"/>
        </w:rPr>
        <w:t xml:space="preserve"> </w:t>
      </w:r>
      <w:r>
        <w:rPr>
          <w:rFonts w:ascii="Arial" w:cs="Arial" w:eastAsia="Arial" w:hAnsi="Arial"/>
          <w:sz w:val="14"/>
          <w:szCs w:val="14"/>
          <w:color w:val="auto"/>
        </w:rPr>
        <w:t>which are recorded on our consolidated balance sheet, plus interest. The table below assumes the interest rate in effect at December 31, 2008, remains constant through the remaining term. (See Note 8. Commitment, Guarantees and Contingencies.)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Unconditional purchase obligations represent our Square Butte power purchase agreements, minimum purchase commitments under coal and rail contracts, and purchase obligations for certain capital expenditure projects. (See Note 8. Commitments, Guarantees and Contingencies.)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our power purchase agreement with Square Butte that extends through 2026, we are obligated to pay our pro rata share of Square Butte’s costs based on our entitlement to the output of Square Butte’s 455-MW coal-fired generating unit near Center, North Dakota. Our payment obligation is suspended if Square Butte fails to deliver any power, whether produced or purchased, for a period of one year. Square Butte’s fixed costs consist primarily of debt service. The following table reflects our share of future debt service based on our output entitlement of 50 percent. For further information on Square Butte see Note. 8 Commitments, Guarantees and Contingencies.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two wind power purchase agreements with an affiliate of NextEra Energy to purchase the output from two wind facilities, Oliver Wind I and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There are no fixed capacity charges, and we only pay for energy as it is delivered to 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91"/>
              </w:rPr>
              <w:t>Payments Due by Period</w:t>
            </w:r>
          </w:p>
        </w:tc>
        <w:tc>
          <w:tcPr>
            <w:tcW w:w="1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146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Less than</w:t>
            </w:r>
          </w:p>
        </w:tc>
        <w:tc>
          <w:tcPr>
            <w:tcW w:w="1760" w:type="dxa"/>
            <w:vAlign w:val="bottom"/>
          </w:tcPr>
          <w:p>
            <w:pPr>
              <w:jc w:val="right"/>
              <w:ind w:right="708"/>
              <w:spacing w:after="0"/>
              <w:rPr>
                <w:sz w:val="20"/>
                <w:szCs w:val="20"/>
                <w:color w:val="auto"/>
              </w:rPr>
            </w:pPr>
            <w:r>
              <w:rPr>
                <w:rFonts w:ascii="Arial" w:cs="Arial" w:eastAsia="Arial" w:hAnsi="Arial"/>
                <w:sz w:val="14"/>
                <w:szCs w:val="14"/>
                <w:b w:val="1"/>
                <w:bCs w:val="1"/>
                <w:color w:val="auto"/>
              </w:rPr>
              <w:t>1 to 3</w:t>
            </w: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4 to 5</w:t>
            </w: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After</w:t>
            </w: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 of December 31, 2008</w:t>
            </w:r>
          </w:p>
        </w:tc>
        <w:tc>
          <w:tcPr>
            <w:tcW w:w="14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1 Year</w:t>
            </w:r>
          </w:p>
        </w:tc>
        <w:tc>
          <w:tcPr>
            <w:tcW w:w="17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Years</w:t>
            </w:r>
          </w:p>
        </w:tc>
        <w:tc>
          <w:tcPr>
            <w:tcW w:w="12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Years</w:t>
            </w:r>
          </w:p>
        </w:tc>
        <w:tc>
          <w:tcPr>
            <w:tcW w:w="11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5 Years</w:t>
            </w: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14"/>
                <w:szCs w:val="14"/>
                <w:i w:val="1"/>
                <w:iCs w:val="1"/>
                <w:color w:val="auto"/>
              </w:rPr>
              <w:t>(a)</w:t>
            </w:r>
          </w:p>
        </w:tc>
        <w:tc>
          <w:tcPr>
            <w:tcW w:w="1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$979.6</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7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$106.6</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$140.8</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$692.1</w:t>
            </w: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Operating Lease Obligations</w:t>
            </w:r>
          </w:p>
        </w:tc>
        <w:tc>
          <w:tcPr>
            <w:tcW w:w="1460" w:type="dxa"/>
            <w:vAlign w:val="bottom"/>
          </w:tcPr>
          <w:p>
            <w:pPr>
              <w:jc w:val="right"/>
              <w:ind w:right="208"/>
              <w:spacing w:after="0"/>
              <w:rPr>
                <w:sz w:val="20"/>
                <w:szCs w:val="20"/>
                <w:color w:val="auto"/>
              </w:rPr>
            </w:pPr>
            <w:r>
              <w:rPr>
                <w:rFonts w:ascii="Arial" w:cs="Arial" w:eastAsia="Arial" w:hAnsi="Arial"/>
                <w:sz w:val="14"/>
                <w:szCs w:val="14"/>
                <w:color w:val="auto"/>
              </w:rPr>
              <w:t>93.7</w:t>
            </w:r>
          </w:p>
        </w:tc>
        <w:tc>
          <w:tcPr>
            <w:tcW w:w="1120" w:type="dxa"/>
            <w:vAlign w:val="bottom"/>
          </w:tcPr>
          <w:p>
            <w:pPr>
              <w:jc w:val="right"/>
              <w:spacing w:after="0"/>
              <w:rPr>
                <w:sz w:val="20"/>
                <w:szCs w:val="20"/>
                <w:color w:val="auto"/>
              </w:rPr>
            </w:pPr>
            <w:r>
              <w:rPr>
                <w:rFonts w:ascii="Arial" w:cs="Arial" w:eastAsia="Arial" w:hAnsi="Arial"/>
                <w:sz w:val="14"/>
                <w:szCs w:val="14"/>
                <w:color w:val="auto"/>
              </w:rPr>
              <w:t>8.3</w:t>
            </w:r>
          </w:p>
        </w:tc>
        <w:tc>
          <w:tcPr>
            <w:tcW w:w="1760" w:type="dxa"/>
            <w:vAlign w:val="bottom"/>
          </w:tcPr>
          <w:p>
            <w:pPr>
              <w:jc w:val="right"/>
              <w:ind w:right="348"/>
              <w:spacing w:after="0"/>
              <w:rPr>
                <w:sz w:val="20"/>
                <w:szCs w:val="20"/>
                <w:color w:val="auto"/>
              </w:rPr>
            </w:pPr>
            <w:r>
              <w:rPr>
                <w:rFonts w:ascii="Arial" w:cs="Arial" w:eastAsia="Arial" w:hAnsi="Arial"/>
                <w:sz w:val="14"/>
                <w:szCs w:val="14"/>
                <w:color w:val="auto"/>
              </w:rPr>
              <w:t>24.8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15.1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45.5</w:t>
            </w: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FIN 48 – Uncertain Tax Positions</w:t>
            </w:r>
          </w:p>
        </w:tc>
        <w:tc>
          <w:tcPr>
            <w:tcW w:w="1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7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0.2</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Unconditional Purchase Obligations</w:t>
            </w:r>
          </w:p>
        </w:tc>
        <w:tc>
          <w:tcPr>
            <w:tcW w:w="1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352.9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1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63.3</w:t>
            </w: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28.8</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183.7</w:t>
            </w: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$1,427.4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17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$194.9</w:t>
            </w:r>
          </w:p>
        </w:tc>
        <w:tc>
          <w:tcPr>
            <w:tcW w:w="12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$184.7</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$921.3</w:t>
            </w:r>
          </w:p>
        </w:tc>
      </w:tr>
    </w:tbl>
    <w:p>
      <w:pPr>
        <w:spacing w:after="0" w:line="183" w:lineRule="exact"/>
        <w:rPr>
          <w:sz w:val="20"/>
          <w:szCs w:val="20"/>
          <w:color w:val="auto"/>
        </w:rPr>
      </w:pPr>
    </w:p>
    <w:p>
      <w:pPr>
        <w:ind w:left="380" w:hanging="374"/>
        <w:spacing w:after="0"/>
        <w:tabs>
          <w:tab w:leader="none" w:pos="38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interest and assumes variable interest rates in effect at December 31, 2008, remains constant through remaining term.</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expect to contribute approximately $30 - $35 million to our defined benefit pension plans and $11 million to our postretirement health and life plans in 2009. We are unable to predict contribution levels to our defined benefit pension or postretirement health and life plans after 2009.</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Liquidity and Capital Resources (Continued)</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color w:val="auto"/>
        </w:rPr>
        <w:t>Credit Ratings</w:t>
      </w:r>
      <w:r>
        <w:rPr>
          <w:rFonts w:ascii="Arial" w:cs="Arial" w:eastAsia="Arial" w:hAnsi="Arial"/>
          <w:sz w:val="13"/>
          <w:szCs w:val="13"/>
          <w:color w:val="auto"/>
        </w:rPr>
        <w:t>. Our securities have been rated by Standard &amp; Poor’s and by Moody’s. Rating agencies use both quantitative and qualitative measures in determining a company’s credit rating. These</w:t>
      </w:r>
      <w:r>
        <w:rPr>
          <w:rFonts w:ascii="Arial" w:cs="Arial" w:eastAsia="Arial" w:hAnsi="Arial"/>
          <w:sz w:val="13"/>
          <w:szCs w:val="13"/>
          <w:b w:val="1"/>
          <w:bCs w:val="1"/>
          <w:color w:val="auto"/>
        </w:rPr>
        <w:t xml:space="preserve"> </w:t>
      </w:r>
      <w:r>
        <w:rPr>
          <w:rFonts w:ascii="Arial" w:cs="Arial" w:eastAsia="Arial" w:hAnsi="Arial"/>
          <w:sz w:val="13"/>
          <w:szCs w:val="13"/>
          <w:color w:val="auto"/>
        </w:rPr>
        <w:t>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Credit Ratings</w:t>
            </w:r>
          </w:p>
        </w:tc>
        <w:tc>
          <w:tcPr>
            <w:tcW w:w="1980" w:type="dxa"/>
            <w:vAlign w:val="bottom"/>
            <w:tcBorders>
              <w:bottom w:val="single" w:sz="8" w:color="auto"/>
            </w:tcBorders>
            <w:shd w:val="clear" w:color="auto" w:fill="CCEEFF"/>
          </w:tcPr>
          <w:p>
            <w:pPr>
              <w:jc w:val="center"/>
              <w:ind w:right="388"/>
              <w:spacing w:after="0"/>
              <w:rPr>
                <w:sz w:val="20"/>
                <w:szCs w:val="20"/>
                <w:color w:val="auto"/>
              </w:rPr>
            </w:pPr>
            <w:r>
              <w:rPr>
                <w:rFonts w:ascii="Arial" w:cs="Arial" w:eastAsia="Arial" w:hAnsi="Arial"/>
                <w:sz w:val="14"/>
                <w:szCs w:val="14"/>
                <w:b w:val="1"/>
                <w:bCs w:val="1"/>
                <w:color w:val="auto"/>
                <w:w w:val="94"/>
              </w:rPr>
              <w:t>Standard &amp; Poor’s</w:t>
            </w:r>
          </w:p>
        </w:tc>
        <w:tc>
          <w:tcPr>
            <w:tcW w:w="2000" w:type="dxa"/>
            <w:vAlign w:val="bottom"/>
            <w:tcBorders>
              <w:bottom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91"/>
              </w:rPr>
              <w:t>Moody’s</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Issuer Credit Rating</w:t>
            </w:r>
          </w:p>
        </w:tc>
        <w:tc>
          <w:tcPr>
            <w:tcW w:w="1980" w:type="dxa"/>
            <w:vAlign w:val="bottom"/>
            <w:shd w:val="clear" w:color="auto" w:fill="CCEEFF"/>
          </w:tcPr>
          <w:p>
            <w:pPr>
              <w:jc w:val="center"/>
              <w:ind w:right="388"/>
              <w:spacing w:after="0"/>
              <w:rPr>
                <w:sz w:val="20"/>
                <w:szCs w:val="20"/>
                <w:color w:val="auto"/>
              </w:rPr>
            </w:pPr>
            <w:r>
              <w:rPr>
                <w:rFonts w:ascii="Arial" w:cs="Arial" w:eastAsia="Arial" w:hAnsi="Arial"/>
                <w:sz w:val="14"/>
                <w:szCs w:val="14"/>
                <w:color w:val="auto"/>
                <w:w w:val="99"/>
              </w:rPr>
              <w:t>BBB+</w:t>
            </w:r>
          </w:p>
        </w:tc>
        <w:tc>
          <w:tcPr>
            <w:tcW w:w="200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1"/>
              </w:rPr>
              <w:t>Baa1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Commercial Paper</w:t>
            </w:r>
          </w:p>
        </w:tc>
        <w:tc>
          <w:tcPr>
            <w:tcW w:w="1980" w:type="dxa"/>
            <w:vAlign w:val="bottom"/>
          </w:tcPr>
          <w:p>
            <w:pPr>
              <w:jc w:val="center"/>
              <w:ind w:right="368"/>
              <w:spacing w:after="0"/>
              <w:rPr>
                <w:sz w:val="20"/>
                <w:szCs w:val="20"/>
                <w:color w:val="auto"/>
              </w:rPr>
            </w:pPr>
            <w:r>
              <w:rPr>
                <w:rFonts w:ascii="Arial" w:cs="Arial" w:eastAsia="Arial" w:hAnsi="Arial"/>
                <w:sz w:val="14"/>
                <w:szCs w:val="14"/>
                <w:color w:val="auto"/>
              </w:rPr>
              <w:t>A-2</w:t>
            </w:r>
          </w:p>
        </w:tc>
        <w:tc>
          <w:tcPr>
            <w:tcW w:w="2000" w:type="dxa"/>
            <w:vAlign w:val="bottom"/>
          </w:tcPr>
          <w:p>
            <w:pPr>
              <w:jc w:val="center"/>
              <w:ind w:right="128"/>
              <w:spacing w:after="0"/>
              <w:rPr>
                <w:sz w:val="20"/>
                <w:szCs w:val="20"/>
                <w:color w:val="auto"/>
              </w:rPr>
            </w:pPr>
            <w:r>
              <w:rPr>
                <w:rFonts w:ascii="Arial" w:cs="Arial" w:eastAsia="Arial" w:hAnsi="Arial"/>
                <w:sz w:val="14"/>
                <w:szCs w:val="14"/>
                <w:color w:val="auto"/>
                <w:w w:val="91"/>
              </w:rPr>
              <w:t>P-2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Senior Secured</w:t>
            </w:r>
          </w:p>
        </w:tc>
        <w:tc>
          <w:tcPr>
            <w:tcW w:w="19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ind w:left="120"/>
              <w:spacing w:after="0"/>
              <w:rPr>
                <w:sz w:val="20"/>
                <w:szCs w:val="20"/>
                <w:color w:val="auto"/>
              </w:rPr>
            </w:pPr>
            <w:r>
              <w:rPr>
                <w:rFonts w:ascii="Arial" w:cs="Arial" w:eastAsia="Arial" w:hAnsi="Arial"/>
                <w:sz w:val="14"/>
                <w:szCs w:val="14"/>
                <w:color w:val="auto"/>
              </w:rPr>
              <w:t>First Mortgage Bonds</w:t>
            </w:r>
          </w:p>
        </w:tc>
        <w:tc>
          <w:tcPr>
            <w:tcW w:w="1980" w:type="dxa"/>
            <w:vAlign w:val="bottom"/>
          </w:tcPr>
          <w:p>
            <w:pPr>
              <w:jc w:val="center"/>
              <w:ind w:right="368"/>
              <w:spacing w:after="0"/>
              <w:rPr>
                <w:sz w:val="20"/>
                <w:szCs w:val="20"/>
                <w:color w:val="auto"/>
              </w:rPr>
            </w:pPr>
            <w:r>
              <w:rPr>
                <w:rFonts w:ascii="Arial" w:cs="Arial" w:eastAsia="Arial" w:hAnsi="Arial"/>
                <w:sz w:val="14"/>
                <w:szCs w:val="14"/>
                <w:color w:val="auto"/>
              </w:rPr>
              <w:t>A–</w:t>
            </w:r>
          </w:p>
        </w:tc>
        <w:tc>
          <w:tcPr>
            <w:tcW w:w="2000" w:type="dxa"/>
            <w:vAlign w:val="bottom"/>
          </w:tcPr>
          <w:p>
            <w:pPr>
              <w:jc w:val="center"/>
              <w:ind w:right="108"/>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Pollution Control Bonds</w:t>
            </w:r>
          </w:p>
        </w:tc>
        <w:tc>
          <w:tcPr>
            <w:tcW w:w="1980" w:type="dxa"/>
            <w:vAlign w:val="bottom"/>
            <w:shd w:val="clear" w:color="auto" w:fill="CCEEFF"/>
          </w:tcPr>
          <w:p>
            <w:pPr>
              <w:jc w:val="center"/>
              <w:ind w:right="368"/>
              <w:spacing w:after="0"/>
              <w:rPr>
                <w:sz w:val="20"/>
                <w:szCs w:val="20"/>
                <w:color w:val="auto"/>
              </w:rPr>
            </w:pPr>
            <w:r>
              <w:rPr>
                <w:rFonts w:ascii="Arial" w:cs="Arial" w:eastAsia="Arial" w:hAnsi="Arial"/>
                <w:sz w:val="14"/>
                <w:szCs w:val="14"/>
                <w:color w:val="auto"/>
              </w:rPr>
              <w:t>A–</w:t>
            </w:r>
          </w:p>
        </w:tc>
        <w:tc>
          <w:tcPr>
            <w:tcW w:w="200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Unsecured Debt</w:t>
            </w:r>
          </w:p>
        </w:tc>
        <w:tc>
          <w:tcPr>
            <w:tcW w:w="1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Collier County Industrial Development Revenue Bonds – Fixed Rate</w:t>
            </w:r>
          </w:p>
        </w:tc>
        <w:tc>
          <w:tcPr>
            <w:tcW w:w="1980" w:type="dxa"/>
            <w:vAlign w:val="bottom"/>
            <w:tcBorders>
              <w:bottom w:val="single" w:sz="8" w:color="auto"/>
            </w:tcBorders>
            <w:shd w:val="clear" w:color="auto" w:fill="CCEEFF"/>
          </w:tcPr>
          <w:p>
            <w:pPr>
              <w:jc w:val="center"/>
              <w:ind w:right="388"/>
              <w:spacing w:after="0"/>
              <w:rPr>
                <w:sz w:val="20"/>
                <w:szCs w:val="20"/>
                <w:color w:val="auto"/>
              </w:rPr>
            </w:pPr>
            <w:r>
              <w:rPr>
                <w:rFonts w:ascii="Arial" w:cs="Arial" w:eastAsia="Arial" w:hAnsi="Arial"/>
                <w:sz w:val="14"/>
                <w:szCs w:val="14"/>
                <w:color w:val="auto"/>
                <w:w w:val="99"/>
              </w:rPr>
              <w:t>BBB</w:t>
            </w:r>
          </w:p>
        </w:tc>
        <w:tc>
          <w:tcPr>
            <w:tcW w:w="2000" w:type="dxa"/>
            <w:vAlign w:val="bottom"/>
            <w:tcBorders>
              <w:bottom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w w:val="95"/>
              </w:rPr>
              <w:t>Payout Ratio</w:t>
            </w:r>
            <w:r>
              <w:rPr>
                <w:rFonts w:ascii="Arial" w:cs="Arial" w:eastAsia="Arial" w:hAnsi="Arial"/>
                <w:sz w:val="14"/>
                <w:szCs w:val="14"/>
                <w:color w:val="auto"/>
                <w:w w:val="95"/>
              </w:rPr>
              <w:t>. In 2008, we paid out 61 percent (53 percent in 2007; 53 percent in 2006) of our per share earnings in dividends.</w:t>
            </w:r>
          </w:p>
        </w:tc>
        <w:tc>
          <w:tcPr>
            <w:tcW w:w="1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January 22, 2009, our Board of Directors increased the dividend on ALLETE common stock by 2.3 percent, declaring a dividend of $0.44 per share payable on March 1, 2009, to shareholders of record at the close of business on February 16, 2009.</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Requirements</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ALLETE’s projected capital expenditures for the years 2009 through 2013 are presented in the table below. Actual capital expenditures may vary from the estimates due to changes in forecasted plant maintenance, regulatory decisions or approvals, future environmental requirements, base load growth or capital market conditions.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Capital Expenditure</w:t>
            </w:r>
            <w:r>
              <w:rPr>
                <w:rFonts w:ascii="Arial" w:cs="Arial" w:eastAsia="Arial" w:hAnsi="Arial"/>
                <w:sz w:val="14"/>
                <w:szCs w:val="14"/>
                <w:b w:val="1"/>
                <w:bCs w:val="1"/>
                <w:i w:val="1"/>
                <w:iCs w:val="1"/>
                <w:color w:val="auto"/>
              </w:rPr>
              <w:t>s</w:t>
            </w:r>
          </w:p>
        </w:tc>
        <w:tc>
          <w:tcPr>
            <w:tcW w:w="18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2009</w:t>
            </w:r>
          </w:p>
        </w:tc>
        <w:tc>
          <w:tcPr>
            <w:tcW w:w="13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13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Regulated Utility Operations</w:t>
            </w: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Base and Other</w:t>
            </w:r>
          </w:p>
        </w:tc>
        <w:tc>
          <w:tcPr>
            <w:tcW w:w="18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$197</w:t>
            </w:r>
          </w:p>
        </w:tc>
        <w:tc>
          <w:tcPr>
            <w:tcW w:w="13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$125</w:t>
            </w:r>
          </w:p>
        </w:tc>
        <w:tc>
          <w:tcPr>
            <w:tcW w:w="13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$109</w:t>
            </w:r>
          </w:p>
        </w:tc>
        <w:tc>
          <w:tcPr>
            <w:tcW w:w="13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$114</w:t>
            </w:r>
          </w:p>
        </w:tc>
        <w:tc>
          <w:tcPr>
            <w:tcW w:w="13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$128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720"/>
              <w:spacing w:after="0"/>
              <w:rPr>
                <w:sz w:val="20"/>
                <w:szCs w:val="20"/>
                <w:color w:val="auto"/>
              </w:rPr>
            </w:pPr>
            <w:r>
              <w:rPr>
                <w:rFonts w:ascii="Arial" w:cs="Arial" w:eastAsia="Arial" w:hAnsi="Arial"/>
                <w:sz w:val="14"/>
                <w:szCs w:val="14"/>
                <w:color w:val="auto"/>
              </w:rPr>
              <w:t xml:space="preserve">Current Cost Recovery </w:t>
            </w:r>
            <w:r>
              <w:rPr>
                <w:rFonts w:ascii="Arial" w:cs="Arial" w:eastAsia="Arial" w:hAnsi="Arial"/>
                <w:sz w:val="14"/>
                <w:szCs w:val="14"/>
                <w:i w:val="1"/>
                <w:iCs w:val="1"/>
                <w:color w:val="auto"/>
              </w:rPr>
              <w:t>(a)</w:t>
            </w: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Environmental</w:t>
            </w:r>
          </w:p>
        </w:tc>
        <w:tc>
          <w:tcPr>
            <w:tcW w:w="18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43</w:t>
            </w:r>
          </w:p>
        </w:tc>
        <w:tc>
          <w:tcPr>
            <w:tcW w:w="13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9</w:t>
            </w:r>
          </w:p>
        </w:tc>
        <w:tc>
          <w:tcPr>
            <w:tcW w:w="13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37</w:t>
            </w:r>
          </w:p>
        </w:tc>
        <w:tc>
          <w:tcPr>
            <w:tcW w:w="13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56</w:t>
            </w:r>
          </w:p>
        </w:tc>
        <w:tc>
          <w:tcPr>
            <w:tcW w:w="13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112</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1080"/>
              <w:spacing w:after="0"/>
              <w:rPr>
                <w:sz w:val="20"/>
                <w:szCs w:val="20"/>
                <w:color w:val="auto"/>
              </w:rPr>
            </w:pPr>
            <w:r>
              <w:rPr>
                <w:rFonts w:ascii="Arial" w:cs="Arial" w:eastAsia="Arial" w:hAnsi="Arial"/>
                <w:sz w:val="14"/>
                <w:szCs w:val="14"/>
                <w:color w:val="auto"/>
              </w:rPr>
              <w:t>Renewable</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29</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138</w:t>
            </w:r>
          </w:p>
        </w:tc>
        <w:tc>
          <w:tcPr>
            <w:tcW w:w="1360" w:type="dxa"/>
            <w:vAlign w:val="bottom"/>
          </w:tcPr>
          <w:p>
            <w:pPr>
              <w:jc w:val="right"/>
              <w:ind w:right="468"/>
              <w:spacing w:after="0"/>
              <w:rPr>
                <w:sz w:val="20"/>
                <w:szCs w:val="20"/>
                <w:color w:val="auto"/>
              </w:rPr>
            </w:pPr>
            <w:r>
              <w:rPr>
                <w:rFonts w:ascii="Arial" w:cs="Arial" w:eastAsia="Arial" w:hAnsi="Arial"/>
                <w:sz w:val="14"/>
                <w:szCs w:val="14"/>
                <w:color w:val="auto"/>
              </w:rPr>
              <w:t>16</w:t>
            </w:r>
          </w:p>
        </w:tc>
        <w:tc>
          <w:tcPr>
            <w:tcW w:w="1360" w:type="dxa"/>
            <w:vAlign w:val="bottom"/>
          </w:tcPr>
          <w:p>
            <w:pPr>
              <w:jc w:val="right"/>
              <w:ind w:right="468"/>
              <w:spacing w:after="0"/>
              <w:rPr>
                <w:sz w:val="20"/>
                <w:szCs w:val="20"/>
                <w:color w:val="auto"/>
              </w:rPr>
            </w:pPr>
            <w:r>
              <w:rPr>
                <w:rFonts w:ascii="Arial" w:cs="Arial" w:eastAsia="Arial" w:hAnsi="Arial"/>
                <w:sz w:val="14"/>
                <w:szCs w:val="14"/>
                <w:color w:val="auto"/>
              </w:rPr>
              <w:t>15</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198</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Transmission</w:t>
            </w:r>
          </w:p>
        </w:tc>
        <w:tc>
          <w:tcPr>
            <w:tcW w:w="18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3</w:t>
            </w:r>
          </w:p>
        </w:tc>
        <w:tc>
          <w:tcPr>
            <w:tcW w:w="13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17</w:t>
            </w:r>
          </w:p>
        </w:tc>
        <w:tc>
          <w:tcPr>
            <w:tcW w:w="13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18</w:t>
            </w:r>
          </w:p>
        </w:tc>
        <w:tc>
          <w:tcPr>
            <w:tcW w:w="13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18</w:t>
            </w:r>
          </w:p>
        </w:tc>
        <w:tc>
          <w:tcPr>
            <w:tcW w:w="13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Generation</w:t>
            </w:r>
          </w:p>
        </w:tc>
        <w:tc>
          <w:tcPr>
            <w:tcW w:w="18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21</w:t>
            </w: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17</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Total Current Cost Recovery</w:t>
            </w:r>
          </w:p>
        </w:tc>
        <w:tc>
          <w:tcPr>
            <w:tcW w:w="18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96</w:t>
            </w:r>
          </w:p>
        </w:tc>
        <w:tc>
          <w:tcPr>
            <w:tcW w:w="13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181</w:t>
            </w:r>
          </w:p>
        </w:tc>
        <w:tc>
          <w:tcPr>
            <w:tcW w:w="13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71</w:t>
            </w:r>
          </w:p>
        </w:tc>
        <w:tc>
          <w:tcPr>
            <w:tcW w:w="13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89</w:t>
            </w:r>
          </w:p>
        </w:tc>
        <w:tc>
          <w:tcPr>
            <w:tcW w:w="13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129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Regulated Utility Capital Expenditures</w:t>
            </w:r>
          </w:p>
        </w:tc>
        <w:tc>
          <w:tcPr>
            <w:tcW w:w="18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293</w:t>
            </w: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306</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180</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203</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257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w:t>
            </w: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18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7</w:t>
            </w:r>
          </w:p>
        </w:tc>
        <w:tc>
          <w:tcPr>
            <w:tcW w:w="13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8</w:t>
            </w:r>
          </w:p>
        </w:tc>
        <w:tc>
          <w:tcPr>
            <w:tcW w:w="13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11</w:t>
            </w:r>
          </w:p>
        </w:tc>
        <w:tc>
          <w:tcPr>
            <w:tcW w:w="13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8</w:t>
            </w:r>
          </w:p>
        </w:tc>
        <w:tc>
          <w:tcPr>
            <w:tcW w:w="13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Capital Expenditures</w:t>
            </w:r>
          </w:p>
        </w:tc>
        <w:tc>
          <w:tcPr>
            <w:tcW w:w="18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$300</w:t>
            </w: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$314</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$191</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$211</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$283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w:t>
            </w:r>
          </w:p>
        </w:tc>
        <w:tc>
          <w:tcPr>
            <w:tcW w:w="20" w:type="dxa"/>
            <w:vAlign w:val="bottom"/>
            <w:tcBorders>
              <w:bottom w:val="single" w:sz="8" w:color="auto"/>
            </w:tcBorders>
          </w:tcPr>
          <w:p>
            <w:pPr>
              <w:spacing w:after="0"/>
              <w:rPr>
                <w:sz w:val="15"/>
                <w:szCs w:val="15"/>
                <w:color w:val="auto"/>
              </w:rPr>
            </w:pPr>
          </w:p>
        </w:tc>
      </w:tr>
    </w:tbl>
    <w:p>
      <w:pPr>
        <w:spacing w:after="0" w:line="183"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(a) Estimated current capital expenditures recoverable outside of a rate case.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intend to finance expenditures from both internally generated funds and incremental debt and equity.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and Other Matters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8. (See Item 1. Business – Environmental Matters.)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Risk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Investments</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Available-for-Sale Securities. </w:t>
      </w:r>
      <w:r>
        <w:rPr>
          <w:rFonts w:ascii="Arial" w:cs="Arial" w:eastAsia="Arial" w:hAnsi="Arial"/>
          <w:sz w:val="14"/>
          <w:szCs w:val="14"/>
          <w:color w:val="auto"/>
        </w:rPr>
        <w:t>At December 31, 2008, our available-for-sale securities portfolio consisted of securities in a grantor trust, established to fund certain employee benefits, and auction rate</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(See Note 6. Investments.)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Emerging Technology Portfolio. </w:t>
      </w:r>
      <w:r>
        <w:rPr>
          <w:rFonts w:ascii="Arial" w:cs="Arial" w:eastAsia="Arial" w:hAnsi="Arial"/>
          <w:sz w:val="14"/>
          <w:szCs w:val="14"/>
          <w:color w:val="auto"/>
        </w:rPr>
        <w:t>As part of our emerging technology portfolio, we have several minority investments in venture capital funds and direct investments in privately-held, start-up</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(See Note 6. Investments.)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Market Risk (Continued)</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Interest Rate Risk</w:t>
      </w:r>
      <w:r>
        <w:rPr>
          <w:rFonts w:ascii="Arial" w:cs="Arial" w:eastAsia="Arial" w:hAnsi="Arial"/>
          <w:sz w:val="14"/>
          <w:szCs w:val="14"/>
          <w:color w:val="auto"/>
        </w:rPr>
        <w:t>. We are exposed to risks resulting from changes in interest rates as a result of our issuance of variable rate debt. We manage our interest rate risk by varying the issuance and</w:t>
      </w:r>
      <w:r>
        <w:rPr>
          <w:rFonts w:ascii="Arial" w:cs="Arial" w:eastAsia="Arial" w:hAnsi="Arial"/>
          <w:sz w:val="14"/>
          <w:szCs w:val="14"/>
          <w:b w:val="1"/>
          <w:bCs w:val="1"/>
          <w:color w:val="auto"/>
        </w:rPr>
        <w:t xml:space="preserve"> </w:t>
      </w:r>
      <w:r>
        <w:rPr>
          <w:rFonts w:ascii="Arial" w:cs="Arial" w:eastAsia="Arial" w:hAnsi="Arial"/>
          <w:sz w:val="14"/>
          <w:szCs w:val="14"/>
          <w:color w:val="auto"/>
        </w:rPr>
        <w:t>maturity dates of our fixed rate debt, limiting the amount of variable rate debt, and continually monitoring the effects of market changes in interest rates. The table below presents the long-term debt obligations and the corresponding weighted average interest rate at December 31, 2008.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Expected Maturity Date</w:t>
            </w:r>
          </w:p>
        </w:tc>
        <w:tc>
          <w:tcPr>
            <w:tcW w:w="13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Interest Rate Sensitive</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Financial Instruments</w:t>
            </w:r>
          </w:p>
        </w:tc>
        <w:tc>
          <w:tcPr>
            <w:tcW w:w="12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2009</w:t>
            </w:r>
          </w:p>
        </w:tc>
        <w:tc>
          <w:tcPr>
            <w:tcW w:w="9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8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3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Thereafter</w:t>
            </w:r>
          </w:p>
        </w:tc>
        <w:tc>
          <w:tcPr>
            <w:tcW w:w="9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Long-Term Debt</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w:t>
            </w:r>
          </w:p>
        </w:tc>
        <w:tc>
          <w:tcPr>
            <w:tcW w:w="12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$2.2</w:t>
            </w:r>
          </w:p>
        </w:tc>
        <w:tc>
          <w:tcPr>
            <w:tcW w:w="9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$1.1</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$1.2</w:t>
            </w:r>
          </w:p>
        </w:tc>
        <w:tc>
          <w:tcPr>
            <w:tcW w:w="10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$70.6</w:t>
            </w:r>
          </w:p>
        </w:tc>
        <w:tc>
          <w:tcPr>
            <w:tcW w:w="13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$438.6</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$514.9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Arial" w:cs="Arial" w:eastAsia="Arial" w:hAnsi="Arial"/>
                <w:sz w:val="14"/>
                <w:szCs w:val="14"/>
                <w:color w:val="auto"/>
              </w:rPr>
              <w:t>Average Interest Rate – %</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5.5</w:t>
            </w: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6.2</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6.2</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6.2</w:t>
            </w: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5.2</w:t>
            </w: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5.6</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Arial" w:cs="Arial" w:eastAsia="Arial" w:hAnsi="Arial"/>
                <w:sz w:val="14"/>
                <w:szCs w:val="14"/>
                <w:color w:val="auto"/>
              </w:rPr>
              <w:t>Variable Rate</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$8.2</w:t>
            </w: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$3.6</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$10.5</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$1.7</w:t>
            </w: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$2.8</w:t>
            </w: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$57.0</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$83.8</w:t>
            </w:r>
          </w:p>
        </w:tc>
        <w:tc>
          <w:tcPr>
            <w:tcW w:w="780" w:type="dxa"/>
            <w:vAlign w:val="bottom"/>
          </w:tcPr>
          <w:p>
            <w:pPr>
              <w:jc w:val="right"/>
              <w:spacing w:after="0"/>
              <w:rPr>
                <w:sz w:val="20"/>
                <w:szCs w:val="20"/>
                <w:color w:val="auto"/>
              </w:rPr>
            </w:pPr>
            <w:r>
              <w:rPr>
                <w:rFonts w:ascii="Arial" w:cs="Arial" w:eastAsia="Arial" w:hAnsi="Arial"/>
                <w:sz w:val="14"/>
                <w:szCs w:val="14"/>
                <w:color w:val="auto"/>
              </w:rPr>
              <w:t>$83.8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 xml:space="preserve">Average Interest Rate – % </w:t>
            </w:r>
            <w:r>
              <w:rPr>
                <w:rFonts w:ascii="Arial" w:cs="Arial" w:eastAsia="Arial" w:hAnsi="Arial"/>
                <w:sz w:val="14"/>
                <w:szCs w:val="14"/>
                <w:i w:val="1"/>
                <w:iCs w:val="1"/>
                <w:color w:val="auto"/>
              </w:rPr>
              <w:t>(a)</w:t>
            </w:r>
          </w:p>
        </w:tc>
        <w:tc>
          <w:tcPr>
            <w:tcW w:w="12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1.8</w:t>
            </w:r>
          </w:p>
        </w:tc>
        <w:tc>
          <w:tcPr>
            <w:tcW w:w="8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3.5</w:t>
            </w:r>
          </w:p>
        </w:tc>
        <w:tc>
          <w:tcPr>
            <w:tcW w:w="9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2.7</w:t>
            </w:r>
          </w:p>
        </w:tc>
        <w:tc>
          <w:tcPr>
            <w:tcW w:w="10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1.2</w:t>
            </w:r>
          </w:p>
        </w:tc>
        <w:tc>
          <w:tcPr>
            <w:tcW w:w="13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1.7</w:t>
            </w: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78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Assumes rate in effect at December 31, 2008, remains constant through remaining term.</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interest rates on variable rate long-term debt are reset on a periodic basis reflecting current market conditions. Based on the variable rate debt outstanding at December 31, 2008, and assuming no other changes to our financial structure, an increase or decrease of 100 basis points in interest rates would impact the amount of pretax interest expense by $0.8 million. This amount was determined by considering the impact of a hypothetical 100 basis point change to the average variable interest rate on the variable rate debt outstanding as of December 31, 2008.</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Commodity Price Risk</w:t>
      </w:r>
      <w:r>
        <w:rPr>
          <w:rFonts w:ascii="Arial" w:cs="Arial" w:eastAsia="Arial" w:hAnsi="Arial"/>
          <w:sz w:val="14"/>
          <w:szCs w:val="14"/>
          <w:color w:val="auto"/>
        </w:rPr>
        <w:t>. Our regulated utility operations in Minnesota and Wisconsin incur costs for fuel (primarily coal), power and natural gas purchased for resale in our regulated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Power Marketing</w:t>
      </w:r>
      <w:r>
        <w:rPr>
          <w:rFonts w:ascii="Arial" w:cs="Arial" w:eastAsia="Arial" w:hAnsi="Arial"/>
          <w:sz w:val="14"/>
          <w:szCs w:val="14"/>
          <w:color w:val="auto"/>
        </w:rPr>
        <w:t>. Our power marketing activities consist of (1) purchasing energy in the wholesale market for resale in our regulated service territories when retail energy requirements exceed</w:t>
      </w:r>
      <w:r>
        <w:rPr>
          <w:rFonts w:ascii="Arial" w:cs="Arial" w:eastAsia="Arial" w:hAnsi="Arial"/>
          <w:sz w:val="14"/>
          <w:szCs w:val="14"/>
          <w:b w:val="1"/>
          <w:bCs w:val="1"/>
          <w:color w:val="auto"/>
        </w:rPr>
        <w:t xml:space="preserve"> </w:t>
      </w:r>
      <w:r>
        <w:rPr>
          <w:rFonts w:ascii="Arial" w:cs="Arial" w:eastAsia="Arial" w:hAnsi="Arial"/>
          <w:sz w:val="14"/>
          <w:szCs w:val="14"/>
          <w:color w:val="auto"/>
        </w:rPr>
        <w:t>generation output and (2) selling excess available energy and purchased power.</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From time to time, our utility operations may have excess energy that is temporarily not required by retail and wholesale customers in our regulated service territory. We actively sell this energy to the wholesale market to optimize the value of our generating facilities. This energy is typically sold in the MISO market at market prices or through bilateral agreements of various duration to Other Power Suppliers.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Standards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New accounting standards are discussed in Note 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See Item 7 Management’s Discussion and Analysis of Financial Condition and Results of Operations – Market Risk for information related to quantitative and qualitative disclosure about market risk.</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color w:val="auto"/>
        </w:rPr>
        <w:t>Financial Statements and Supplementary Data</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See our consolidated financial statements as of December 31, 2008 and 2007, and for each of the three years in the period ended December 31, 2008, and supplementary data, also included, which are indexed in Item 15(a).</w:t>
      </w:r>
    </w:p>
    <w:p>
      <w:pPr>
        <w:spacing w:after="0" w:line="148"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Conclusion Regarding the Effectiveness of Disclosure Controls and Procedures</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Under the supervision and with the participation of management, including our principal executive officer and principal financial officer, we conducted an evaluation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and principal financial officer, to allow timely decisions regarding required disclosure.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There has been no change in our internal control over financial reporting that occurred during our most recent fiscal quarter that has materially affected, or is reasonably likely to materially affect, our internal control over financial reporting. Based on our evaluation under the framework in Internal Control—Integrated Framework, our management concluded that our internal control over financial reporting was effective as of December 31, 2008.</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effectiveness of the Company’s internal control over financial reporting as of December 31, 2008, has been audited by PricewaterhouseCoopers LLP, an independent registered public accounting firm, as stated in their report which is included herein.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Part III</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stated, the information required for this Item is incorporated by reference herein from our Proxy Statement for the 2009 Annual Meeting of Shareholders (2009 Proxy Statement)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under the following headings:</w:t>
      </w:r>
    </w:p>
    <w:p>
      <w:pPr>
        <w:spacing w:after="0" w:line="192" w:lineRule="exact"/>
        <w:rPr>
          <w:sz w:val="20"/>
          <w:szCs w:val="20"/>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Directors. </w:t>
      </w:r>
      <w:r>
        <w:rPr>
          <w:rFonts w:ascii="Arial" w:cs="Arial" w:eastAsia="Arial" w:hAnsi="Arial"/>
          <w:sz w:val="14"/>
          <w:szCs w:val="14"/>
          <w:color w:val="auto"/>
        </w:rPr>
        <w:t>The information regarding directors will be included in the “Election of Directors” section;</w:t>
      </w:r>
    </w:p>
    <w:p>
      <w:pPr>
        <w:spacing w:after="0" w:line="205"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Audit Committee Financial Expert. </w:t>
      </w:r>
      <w:r>
        <w:rPr>
          <w:rFonts w:ascii="Arial" w:cs="Arial" w:eastAsia="Arial" w:hAnsi="Arial"/>
          <w:sz w:val="14"/>
          <w:szCs w:val="14"/>
          <w:color w:val="auto"/>
        </w:rPr>
        <w:t>The information regarding the Audit Committee financial expert will be included in the “Audit Committee Report” section;</w:t>
      </w:r>
    </w:p>
    <w:p>
      <w:pPr>
        <w:spacing w:after="0" w:line="205"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Audit Committee Members. </w:t>
      </w:r>
      <w:r>
        <w:rPr>
          <w:rFonts w:ascii="Arial" w:cs="Arial" w:eastAsia="Arial" w:hAnsi="Arial"/>
          <w:sz w:val="14"/>
          <w:szCs w:val="14"/>
          <w:color w:val="auto"/>
        </w:rPr>
        <w:t>The identity of the Audit Committee members is included in the “Audit Committee Report” section;</w:t>
      </w:r>
    </w:p>
    <w:p>
      <w:pPr>
        <w:spacing w:after="0" w:line="205"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Executive Officers. </w:t>
      </w:r>
      <w:r>
        <w:rPr>
          <w:rFonts w:ascii="Arial" w:cs="Arial" w:eastAsia="Arial" w:hAnsi="Arial"/>
          <w:sz w:val="14"/>
          <w:szCs w:val="14"/>
          <w:color w:val="auto"/>
        </w:rPr>
        <w:t>The information regarding executive officers is included in Part I of this Form 10-K; and</w:t>
      </w:r>
    </w:p>
    <w:p>
      <w:pPr>
        <w:spacing w:after="0" w:line="205" w:lineRule="exact"/>
        <w:rPr>
          <w:rFonts w:ascii="Arial" w:cs="Arial" w:eastAsia="Arial" w:hAnsi="Arial"/>
          <w:sz w:val="14"/>
          <w:szCs w:val="14"/>
          <w:color w:val="auto"/>
        </w:rPr>
      </w:pPr>
    </w:p>
    <w:p>
      <w:pPr>
        <w:ind w:right="900" w:firstLine="265"/>
        <w:spacing w:after="0" w:line="546" w:lineRule="auto"/>
        <w:tabs>
          <w:tab w:leader="none" w:pos="517"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Section 16(a) Compliance. </w:t>
      </w:r>
      <w:r>
        <w:rPr>
          <w:rFonts w:ascii="Arial" w:cs="Arial" w:eastAsia="Arial" w:hAnsi="Arial"/>
          <w:sz w:val="14"/>
          <w:szCs w:val="14"/>
          <w:color w:val="auto"/>
        </w:rPr>
        <w:t>The information regarding Section 16(a) compliance will be included in the “Section 16(a) Beneficial Ownership Reporting Compliance” section.</w:t>
      </w:r>
      <w:r>
        <w:rPr>
          <w:rFonts w:ascii="Arial" w:cs="Arial" w:eastAsia="Arial" w:hAnsi="Arial"/>
          <w:sz w:val="14"/>
          <w:szCs w:val="14"/>
          <w:b w:val="1"/>
          <w:bCs w:val="1"/>
          <w:color w:val="auto"/>
        </w:rPr>
        <w:t xml:space="preserve"> </w:t>
      </w:r>
      <w:r>
        <w:rPr>
          <w:rFonts w:ascii="Arial" w:cs="Arial" w:eastAsia="Arial" w:hAnsi="Arial"/>
          <w:sz w:val="14"/>
          <w:szCs w:val="14"/>
          <w:color w:val="auto"/>
        </w:rPr>
        <w:t>Our 2009 Proxy Statement will be filed with the SEC within 120 days after the end of our 2008 fiscal year.</w:t>
      </w:r>
    </w:p>
    <w:p>
      <w:pPr>
        <w:jc w:val="both"/>
        <w:spacing w:after="0" w:line="306" w:lineRule="auto"/>
        <w:rPr>
          <w:sz w:val="20"/>
          <w:szCs w:val="20"/>
          <w:color w:val="auto"/>
        </w:rPr>
      </w:pPr>
      <w:r>
        <w:rPr>
          <w:rFonts w:ascii="Arial" w:cs="Arial" w:eastAsia="Arial" w:hAnsi="Arial"/>
          <w:sz w:val="13"/>
          <w:szCs w:val="13"/>
          <w:b w:val="1"/>
          <w:bCs w:val="1"/>
          <w:color w:val="auto"/>
        </w:rPr>
        <w:t xml:space="preserve">Code of Ethics. </w:t>
      </w:r>
      <w:r>
        <w:rPr>
          <w:rFonts w:ascii="Arial" w:cs="Arial" w:eastAsia="Arial" w:hAnsi="Arial"/>
          <w:sz w:val="13"/>
          <w:szCs w:val="13"/>
          <w:color w:val="auto"/>
        </w:rPr>
        <w:t>We have adopted a written Code of Ethics that applies to all of our employees, including our chief executive officer, chief financial officer and controller. A copy of our Code of</w:t>
      </w:r>
      <w:r>
        <w:rPr>
          <w:rFonts w:ascii="Arial" w:cs="Arial" w:eastAsia="Arial" w:hAnsi="Arial"/>
          <w:sz w:val="13"/>
          <w:szCs w:val="13"/>
          <w:b w:val="1"/>
          <w:bCs w:val="1"/>
          <w:color w:val="auto"/>
        </w:rPr>
        <w:t xml:space="preserve"> </w:t>
      </w:r>
      <w:r>
        <w:rPr>
          <w:rFonts w:ascii="Arial" w:cs="Arial" w:eastAsia="Arial" w:hAnsi="Arial"/>
          <w:sz w:val="13"/>
          <w:szCs w:val="13"/>
          <w:color w:val="auto"/>
        </w:rPr>
        <w:t>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w:t>
      </w:r>
      <w:r>
        <w:rPr>
          <w:rFonts w:ascii="Arial" w:cs="Arial" w:eastAsia="Arial" w:hAnsi="Arial"/>
          <w:sz w:val="14"/>
          <w:szCs w:val="14"/>
          <w:color w:val="auto"/>
        </w:rPr>
        <w:t>The following documents are available on our Website at www.allete.com and print copies are available upon request:</w:t>
      </w:r>
    </w:p>
    <w:p>
      <w:pPr>
        <w:spacing w:after="0" w:line="209"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Corporate Governance Guidelines;</w:t>
      </w:r>
    </w:p>
    <w:p>
      <w:pPr>
        <w:spacing w:after="0" w:line="205"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 Committee Charter;</w:t>
      </w:r>
    </w:p>
    <w:p>
      <w:pPr>
        <w:spacing w:after="0" w:line="205"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Executive Compensation Committee Charter; and</w:t>
      </w:r>
    </w:p>
    <w:p>
      <w:pPr>
        <w:spacing w:after="0" w:line="205"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Corporate Governance and Nominating Committee Charter.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Any amendment to these documents will be disclosed on our Website at www.allete.com promptly following the date of such amendment.</w:t>
      </w:r>
    </w:p>
    <w:p>
      <w:pPr>
        <w:spacing w:after="0" w:line="395"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information required for this Item is incorporated by reference herein from the “Compensation of Executive Officers,” the “Compensation Discussion and Analysis”, the “Executive Compensation Committee Report” and the “Director Compensation – 2008” sections in our 2009 Proxy Statement.</w:t>
      </w:r>
    </w:p>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information required for this Item is incorporated by reference herein from the “Securities Owned by Certain Beneficial Owners,” the “Securities owned by Directors and Management” and the “Equity Compensation Plan Information” sections in our 2009 Proxy Statement.</w:t>
      </w:r>
    </w:p>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for this Item is incorporated by reference herein from the “Corporate Governance” section in our 2009 Proxy Statement.</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herein from the “Audit Committee Report” section in our 2009 Proxy Statement.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Part IV</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209" w:lineRule="exact"/>
        <w:rPr>
          <w:sz w:val="20"/>
          <w:szCs w:val="20"/>
          <w:color w:val="auto"/>
        </w:rPr>
      </w:pPr>
    </w:p>
    <w:p>
      <w:pPr>
        <w:ind w:left="540" w:hanging="534"/>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109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4560" cy="10922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(1)</w:t>
            </w:r>
          </w:p>
        </w:tc>
        <w:tc>
          <w:tcPr>
            <w:tcW w:w="7660" w:type="dxa"/>
            <w:vAlign w:val="bottom"/>
          </w:tcPr>
          <w:p>
            <w:pPr>
              <w:ind w:left="180"/>
              <w:spacing w:after="0"/>
              <w:rPr>
                <w:sz w:val="20"/>
                <w:szCs w:val="20"/>
                <w:color w:val="auto"/>
              </w:rPr>
            </w:pPr>
            <w:r>
              <w:rPr>
                <w:rFonts w:ascii="Arial" w:cs="Arial" w:eastAsia="Arial" w:hAnsi="Arial"/>
                <w:sz w:val="14"/>
                <w:szCs w:val="14"/>
                <w:color w:val="auto"/>
              </w:rPr>
              <w:t>Financial Statements</w:t>
            </w:r>
          </w:p>
        </w:tc>
        <w:tc>
          <w:tcPr>
            <w:tcW w:w="3440" w:type="dxa"/>
            <w:vAlign w:val="bottom"/>
          </w:tcPr>
          <w:p>
            <w:pPr>
              <w:jc w:val="right"/>
              <w:ind w:right="88"/>
              <w:spacing w:after="0"/>
              <w:rPr>
                <w:sz w:val="20"/>
                <w:szCs w:val="20"/>
                <w:color w:val="auto"/>
              </w:rPr>
            </w:pPr>
            <w:r>
              <w:rPr>
                <w:rFonts w:ascii="Arial" w:cs="Arial" w:eastAsia="Arial" w:hAnsi="Arial"/>
                <w:sz w:val="14"/>
                <w:szCs w:val="14"/>
                <w:color w:val="auto"/>
              </w:rPr>
              <w:t>Page</w:t>
            </w:r>
          </w:p>
        </w:tc>
      </w:tr>
      <w:tr>
        <w:trPr>
          <w:trHeight w:val="172"/>
        </w:trPr>
        <w:tc>
          <w:tcPr>
            <w:tcW w:w="360" w:type="dxa"/>
            <w:vAlign w:val="bottom"/>
            <w:shd w:val="clear" w:color="auto" w:fill="CCEEFF"/>
          </w:tcPr>
          <w:p>
            <w:pPr>
              <w:spacing w:after="0"/>
              <w:rPr>
                <w:sz w:val="14"/>
                <w:szCs w:val="14"/>
                <w:color w:val="auto"/>
              </w:rPr>
            </w:pPr>
          </w:p>
        </w:tc>
        <w:tc>
          <w:tcPr>
            <w:tcW w:w="7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ALLETE</w:t>
            </w:r>
          </w:p>
        </w:tc>
        <w:tc>
          <w:tcPr>
            <w:tcW w:w="3440" w:type="dxa"/>
            <w:vAlign w:val="bottom"/>
            <w:shd w:val="clear" w:color="auto" w:fill="CCEEFF"/>
          </w:tcPr>
          <w:p>
            <w:pPr>
              <w:spacing w:after="0"/>
              <w:rPr>
                <w:sz w:val="14"/>
                <w:szCs w:val="14"/>
                <w:color w:val="auto"/>
              </w:rPr>
            </w:pPr>
          </w:p>
        </w:tc>
      </w:tr>
      <w:tr>
        <w:trPr>
          <w:trHeight w:val="172"/>
        </w:trPr>
        <w:tc>
          <w:tcPr>
            <w:tcW w:w="360" w:type="dxa"/>
            <w:vAlign w:val="bottom"/>
          </w:tcPr>
          <w:p>
            <w:pPr>
              <w:spacing w:after="0"/>
              <w:rPr>
                <w:sz w:val="14"/>
                <w:szCs w:val="14"/>
                <w:color w:val="auto"/>
              </w:rPr>
            </w:pPr>
          </w:p>
        </w:tc>
        <w:tc>
          <w:tcPr>
            <w:tcW w:w="7660" w:type="dxa"/>
            <w:vAlign w:val="bottom"/>
          </w:tcPr>
          <w:p>
            <w:pPr>
              <w:ind w:left="440"/>
              <w:spacing w:after="0"/>
              <w:rPr>
                <w:sz w:val="20"/>
                <w:szCs w:val="20"/>
                <w:color w:val="auto"/>
              </w:rPr>
            </w:pPr>
            <w:r>
              <w:rPr>
                <w:rFonts w:ascii="Arial" w:cs="Arial" w:eastAsia="Arial" w:hAnsi="Arial"/>
                <w:sz w:val="14"/>
                <w:szCs w:val="14"/>
                <w:color w:val="auto"/>
              </w:rPr>
              <w:t>Report of Independent Registered Public Accounting Firm</w:t>
            </w:r>
          </w:p>
        </w:tc>
        <w:tc>
          <w:tcPr>
            <w:tcW w:w="34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72"/>
        </w:trPr>
        <w:tc>
          <w:tcPr>
            <w:tcW w:w="360" w:type="dxa"/>
            <w:vAlign w:val="bottom"/>
            <w:shd w:val="clear" w:color="auto" w:fill="CCEEFF"/>
          </w:tcPr>
          <w:p>
            <w:pPr>
              <w:spacing w:after="0"/>
              <w:rPr>
                <w:sz w:val="14"/>
                <w:szCs w:val="14"/>
                <w:color w:val="auto"/>
              </w:rPr>
            </w:pPr>
          </w:p>
        </w:tc>
        <w:tc>
          <w:tcPr>
            <w:tcW w:w="7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Consolidated Balance Sheet at December 31, 2008 and 2007</w:t>
            </w:r>
          </w:p>
        </w:tc>
        <w:tc>
          <w:tcPr>
            <w:tcW w:w="3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360" w:type="dxa"/>
            <w:vAlign w:val="bottom"/>
          </w:tcPr>
          <w:p>
            <w:pPr>
              <w:spacing w:after="0"/>
              <w:rPr>
                <w:sz w:val="14"/>
                <w:szCs w:val="14"/>
                <w:color w:val="auto"/>
              </w:rPr>
            </w:pPr>
          </w:p>
        </w:tc>
        <w:tc>
          <w:tcPr>
            <w:tcW w:w="7660" w:type="dxa"/>
            <w:vAlign w:val="bottom"/>
          </w:tcPr>
          <w:p>
            <w:pPr>
              <w:ind w:left="440"/>
              <w:spacing w:after="0"/>
              <w:rPr>
                <w:sz w:val="20"/>
                <w:szCs w:val="20"/>
                <w:color w:val="auto"/>
              </w:rPr>
            </w:pPr>
            <w:r>
              <w:rPr>
                <w:rFonts w:ascii="Arial" w:cs="Arial" w:eastAsia="Arial" w:hAnsi="Arial"/>
                <w:sz w:val="14"/>
                <w:szCs w:val="14"/>
                <w:color w:val="auto"/>
              </w:rPr>
              <w:t>For the Three Years Ended December 31, 2008</w:t>
            </w:r>
          </w:p>
        </w:tc>
        <w:tc>
          <w:tcPr>
            <w:tcW w:w="3440" w:type="dxa"/>
            <w:vAlign w:val="bottom"/>
          </w:tcPr>
          <w:p>
            <w:pPr>
              <w:spacing w:after="0"/>
              <w:rPr>
                <w:sz w:val="14"/>
                <w:szCs w:val="14"/>
                <w:color w:val="auto"/>
              </w:rPr>
            </w:pPr>
          </w:p>
        </w:tc>
      </w:tr>
      <w:tr>
        <w:trPr>
          <w:trHeight w:val="172"/>
        </w:trPr>
        <w:tc>
          <w:tcPr>
            <w:tcW w:w="360" w:type="dxa"/>
            <w:vAlign w:val="bottom"/>
            <w:shd w:val="clear" w:color="auto" w:fill="CCEEFF"/>
          </w:tcPr>
          <w:p>
            <w:pPr>
              <w:spacing w:after="0"/>
              <w:rPr>
                <w:sz w:val="14"/>
                <w:szCs w:val="14"/>
                <w:color w:val="auto"/>
              </w:rPr>
            </w:pPr>
          </w:p>
        </w:tc>
        <w:tc>
          <w:tcPr>
            <w:tcW w:w="76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Consolidated Statement of Income</w:t>
            </w:r>
          </w:p>
        </w:tc>
        <w:tc>
          <w:tcPr>
            <w:tcW w:w="3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72"/>
        </w:trPr>
        <w:tc>
          <w:tcPr>
            <w:tcW w:w="360" w:type="dxa"/>
            <w:vAlign w:val="bottom"/>
          </w:tcPr>
          <w:p>
            <w:pPr>
              <w:spacing w:after="0"/>
              <w:rPr>
                <w:sz w:val="14"/>
                <w:szCs w:val="14"/>
                <w:color w:val="auto"/>
              </w:rPr>
            </w:pPr>
          </w:p>
        </w:tc>
        <w:tc>
          <w:tcPr>
            <w:tcW w:w="7660" w:type="dxa"/>
            <w:vAlign w:val="bottom"/>
          </w:tcPr>
          <w:p>
            <w:pPr>
              <w:ind w:left="700"/>
              <w:spacing w:after="0"/>
              <w:rPr>
                <w:sz w:val="20"/>
                <w:szCs w:val="20"/>
                <w:color w:val="auto"/>
              </w:rPr>
            </w:pPr>
            <w:r>
              <w:rPr>
                <w:rFonts w:ascii="Arial" w:cs="Arial" w:eastAsia="Arial" w:hAnsi="Arial"/>
                <w:sz w:val="14"/>
                <w:szCs w:val="14"/>
                <w:color w:val="auto"/>
              </w:rPr>
              <w:t>Consolidated Statement of Cash Flows</w:t>
            </w:r>
          </w:p>
        </w:tc>
        <w:tc>
          <w:tcPr>
            <w:tcW w:w="34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72"/>
        </w:trPr>
        <w:tc>
          <w:tcPr>
            <w:tcW w:w="360" w:type="dxa"/>
            <w:vAlign w:val="bottom"/>
            <w:shd w:val="clear" w:color="auto" w:fill="CCEEFF"/>
          </w:tcPr>
          <w:p>
            <w:pPr>
              <w:spacing w:after="0"/>
              <w:rPr>
                <w:sz w:val="14"/>
                <w:szCs w:val="14"/>
                <w:color w:val="auto"/>
              </w:rPr>
            </w:pPr>
          </w:p>
        </w:tc>
        <w:tc>
          <w:tcPr>
            <w:tcW w:w="76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Consolidated Statement of Shareholders’ Equity</w:t>
            </w:r>
          </w:p>
        </w:tc>
        <w:tc>
          <w:tcPr>
            <w:tcW w:w="3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72"/>
        </w:trPr>
        <w:tc>
          <w:tcPr>
            <w:tcW w:w="360" w:type="dxa"/>
            <w:vAlign w:val="bottom"/>
          </w:tcPr>
          <w:p>
            <w:pPr>
              <w:spacing w:after="0"/>
              <w:rPr>
                <w:sz w:val="14"/>
                <w:szCs w:val="14"/>
                <w:color w:val="auto"/>
              </w:rPr>
            </w:pPr>
          </w:p>
        </w:tc>
        <w:tc>
          <w:tcPr>
            <w:tcW w:w="7660" w:type="dxa"/>
            <w:vAlign w:val="bottom"/>
          </w:tcPr>
          <w:p>
            <w:pPr>
              <w:ind w:left="440"/>
              <w:spacing w:after="0"/>
              <w:rPr>
                <w:sz w:val="20"/>
                <w:szCs w:val="20"/>
                <w:color w:val="auto"/>
              </w:rPr>
            </w:pPr>
            <w:r>
              <w:rPr>
                <w:rFonts w:ascii="Arial" w:cs="Arial" w:eastAsia="Arial" w:hAnsi="Arial"/>
                <w:sz w:val="14"/>
                <w:szCs w:val="14"/>
                <w:color w:val="auto"/>
              </w:rPr>
              <w:t>Notes to Consolidated Financial Statements</w:t>
            </w:r>
          </w:p>
        </w:tc>
        <w:tc>
          <w:tcPr>
            <w:tcW w:w="34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72"/>
        </w:trPr>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w:t>
            </w:r>
          </w:p>
        </w:tc>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Financial Statement Schedules</w:t>
            </w:r>
          </w:p>
        </w:tc>
        <w:tc>
          <w:tcPr>
            <w:tcW w:w="3440" w:type="dxa"/>
            <w:vAlign w:val="bottom"/>
            <w:shd w:val="clear" w:color="auto" w:fill="CCEEFF"/>
          </w:tcPr>
          <w:p>
            <w:pPr>
              <w:spacing w:after="0"/>
              <w:rPr>
                <w:sz w:val="14"/>
                <w:szCs w:val="14"/>
                <w:color w:val="auto"/>
              </w:rPr>
            </w:pPr>
          </w:p>
        </w:tc>
      </w:tr>
      <w:tr>
        <w:trPr>
          <w:trHeight w:val="172"/>
        </w:trPr>
        <w:tc>
          <w:tcPr>
            <w:tcW w:w="360" w:type="dxa"/>
            <w:vAlign w:val="bottom"/>
          </w:tcPr>
          <w:p>
            <w:pPr>
              <w:spacing w:after="0"/>
              <w:rPr>
                <w:sz w:val="14"/>
                <w:szCs w:val="14"/>
                <w:color w:val="auto"/>
              </w:rPr>
            </w:pPr>
          </w:p>
        </w:tc>
        <w:tc>
          <w:tcPr>
            <w:tcW w:w="7660" w:type="dxa"/>
            <w:vAlign w:val="bottom"/>
          </w:tcPr>
          <w:p>
            <w:pPr>
              <w:ind w:left="440"/>
              <w:spacing w:after="0"/>
              <w:rPr>
                <w:sz w:val="20"/>
                <w:szCs w:val="20"/>
                <w:color w:val="auto"/>
              </w:rPr>
            </w:pPr>
            <w:r>
              <w:rPr>
                <w:rFonts w:ascii="Arial" w:cs="Arial" w:eastAsia="Arial" w:hAnsi="Arial"/>
                <w:sz w:val="14"/>
                <w:szCs w:val="14"/>
                <w:color w:val="auto"/>
              </w:rPr>
              <w:t>Schedule II – ALLETE Valuation and Qualifying Accounts and Reserves</w:t>
            </w:r>
          </w:p>
        </w:tc>
        <w:tc>
          <w:tcPr>
            <w:tcW w:w="34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62"/>
        </w:trPr>
        <w:tc>
          <w:tcPr>
            <w:tcW w:w="360" w:type="dxa"/>
            <w:vAlign w:val="bottom"/>
            <w:shd w:val="clear" w:color="auto" w:fill="CCEEFF"/>
          </w:tcPr>
          <w:p>
            <w:pPr>
              <w:spacing w:after="0"/>
              <w:rPr>
                <w:sz w:val="14"/>
                <w:szCs w:val="14"/>
                <w:color w:val="auto"/>
              </w:rPr>
            </w:pPr>
          </w:p>
        </w:tc>
        <w:tc>
          <w:tcPr>
            <w:tcW w:w="11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8"/>
              </w:rPr>
              <w:t>All other schedules have been omitted either because the information is not required to be reported by ALLETE or because the information is included in the consolidated financial</w:t>
            </w:r>
          </w:p>
        </w:tc>
      </w:tr>
      <w:tr>
        <w:trPr>
          <w:trHeight w:val="183"/>
        </w:trPr>
        <w:tc>
          <w:tcPr>
            <w:tcW w:w="360" w:type="dxa"/>
            <w:vAlign w:val="bottom"/>
            <w:shd w:val="clear" w:color="auto" w:fill="CCEEFF"/>
          </w:tcPr>
          <w:p>
            <w:pPr>
              <w:spacing w:after="0"/>
              <w:rPr>
                <w:sz w:val="15"/>
                <w:szCs w:val="15"/>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statements or the notes.</w:t>
            </w:r>
          </w:p>
        </w:tc>
        <w:tc>
          <w:tcPr>
            <w:tcW w:w="3440" w:type="dxa"/>
            <w:vAlign w:val="bottom"/>
            <w:shd w:val="clear" w:color="auto" w:fill="CCEEFF"/>
          </w:tcPr>
          <w:p>
            <w:pPr>
              <w:spacing w:after="0"/>
              <w:rPr>
                <w:sz w:val="15"/>
                <w:szCs w:val="15"/>
                <w:color w:val="auto"/>
              </w:rPr>
            </w:pPr>
          </w:p>
        </w:tc>
      </w:tr>
    </w:tbl>
    <w:p>
      <w:pPr>
        <w:ind w:left="540" w:hanging="534"/>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Exhibits including those incorporated by reference.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20"/>
                <w:szCs w:val="20"/>
                <w:color w:val="auto"/>
              </w:rPr>
            </w:pPr>
            <w:r>
              <w:rPr>
                <w:rFonts w:ascii="Arial" w:cs="Arial" w:eastAsia="Arial" w:hAnsi="Arial"/>
                <w:sz w:val="14"/>
                <w:szCs w:val="14"/>
                <w:b w:val="1"/>
                <w:bCs w:val="1"/>
                <w:color w:val="auto"/>
                <w:w w:val="96"/>
              </w:rPr>
              <w:t>Exhibit Number</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73"/>
        </w:trPr>
        <w:tc>
          <w:tcPr>
            <w:tcW w:w="1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*3(a)1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6"/>
              </w:rPr>
              <w:t>Articles of Incorporation, amended and restated as of May 8, 2001 (filed as Exhibit 3(b) to the March 31, 2001, Form 10-Q, File No. 1-3548).</w:t>
            </w:r>
          </w:p>
        </w:tc>
        <w:tc>
          <w:tcPr>
            <w:tcW w:w="1740" w:type="dxa"/>
            <w:vAlign w:val="bottom"/>
            <w:shd w:val="clear" w:color="auto" w:fill="CCEEFF"/>
          </w:tcPr>
          <w:p>
            <w:pPr>
              <w:spacing w:after="0"/>
              <w:rPr>
                <w:sz w:val="15"/>
                <w:szCs w:val="15"/>
                <w:color w:val="auto"/>
              </w:rPr>
            </w:pPr>
          </w:p>
        </w:tc>
      </w:tr>
      <w:tr>
        <w:trPr>
          <w:trHeight w:val="172"/>
        </w:trPr>
        <w:tc>
          <w:tcPr>
            <w:tcW w:w="1020" w:type="dxa"/>
            <w:vAlign w:val="bottom"/>
          </w:tcPr>
          <w:p>
            <w:pPr>
              <w:ind w:left="260"/>
              <w:spacing w:after="0"/>
              <w:rPr>
                <w:sz w:val="20"/>
                <w:szCs w:val="20"/>
                <w:color w:val="auto"/>
              </w:rPr>
            </w:pPr>
            <w:r>
              <w:rPr>
                <w:rFonts w:ascii="Arial" w:cs="Arial" w:eastAsia="Arial" w:hAnsi="Arial"/>
                <w:sz w:val="14"/>
                <w:szCs w:val="14"/>
                <w:color w:val="auto"/>
              </w:rPr>
              <w:t>*3(a)2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60" w:type="dxa"/>
            <w:vAlign w:val="bottom"/>
            <w:gridSpan w:val="4"/>
          </w:tcPr>
          <w:p>
            <w:pPr>
              <w:ind w:left="120"/>
              <w:spacing w:after="0"/>
              <w:rPr>
                <w:sz w:val="20"/>
                <w:szCs w:val="20"/>
                <w:color w:val="auto"/>
              </w:rPr>
            </w:pPr>
            <w:r>
              <w:rPr>
                <w:rFonts w:ascii="Arial" w:cs="Arial" w:eastAsia="Arial" w:hAnsi="Arial"/>
                <w:sz w:val="14"/>
                <w:szCs w:val="14"/>
                <w:color w:val="auto"/>
                <w:w w:val="94"/>
              </w:rPr>
              <w:t>Amendment to Articles of Incorporation, effective 12:00 p.m. Eastern Time on September 20, 2004 (filed as Exhibit 3 to the September 21, 2004, Form 8-K, File No. 1-3548).</w:t>
            </w:r>
          </w:p>
        </w:tc>
      </w:tr>
      <w:tr>
        <w:trPr>
          <w:trHeight w:val="162"/>
        </w:trPr>
        <w:tc>
          <w:tcPr>
            <w:tcW w:w="1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*3(a)3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w w:val="95"/>
              </w:rPr>
              <w:t>Amendment to Certificate of Assumed Name, filed with the Minnesota Secretary of State on May 8, 2001 (filed as Exhibit 3(a) to the March 31, 2001, Form 10-Q, File No. 1-</w:t>
            </w:r>
          </w:p>
        </w:tc>
      </w:tr>
      <w:tr>
        <w:trPr>
          <w:trHeight w:val="183"/>
        </w:trPr>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3548).</w:t>
            </w:r>
          </w:p>
        </w:tc>
        <w:tc>
          <w:tcPr>
            <w:tcW w:w="280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2"/>
        </w:trPr>
        <w:tc>
          <w:tcPr>
            <w:tcW w:w="1020" w:type="dxa"/>
            <w:vAlign w:val="bottom"/>
          </w:tcPr>
          <w:p>
            <w:pPr>
              <w:ind w:left="260"/>
              <w:spacing w:after="0"/>
              <w:rPr>
                <w:sz w:val="20"/>
                <w:szCs w:val="20"/>
                <w:color w:val="auto"/>
              </w:rPr>
            </w:pPr>
            <w:r>
              <w:rPr>
                <w:rFonts w:ascii="Arial" w:cs="Arial" w:eastAsia="Arial" w:hAnsi="Arial"/>
                <w:sz w:val="14"/>
                <w:szCs w:val="14"/>
                <w:color w:val="auto"/>
              </w:rPr>
              <w:t>*3(b)</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520" w:type="dxa"/>
            <w:vAlign w:val="bottom"/>
            <w:gridSpan w:val="3"/>
          </w:tcPr>
          <w:p>
            <w:pPr>
              <w:ind w:left="120"/>
              <w:spacing w:after="0"/>
              <w:rPr>
                <w:sz w:val="20"/>
                <w:szCs w:val="20"/>
                <w:color w:val="auto"/>
              </w:rPr>
            </w:pPr>
            <w:r>
              <w:rPr>
                <w:rFonts w:ascii="Arial" w:cs="Arial" w:eastAsia="Arial" w:hAnsi="Arial"/>
                <w:sz w:val="14"/>
                <w:szCs w:val="14"/>
                <w:color w:val="auto"/>
              </w:rPr>
              <w:t>Bylaws, as amended effective August 24, 2004 (filed as Exhibit 3 to the August 25, 2004, Form 8-K, File No. 1-3548).</w:t>
            </w:r>
          </w:p>
        </w:tc>
        <w:tc>
          <w:tcPr>
            <w:tcW w:w="1740" w:type="dxa"/>
            <w:vAlign w:val="bottom"/>
          </w:tcPr>
          <w:p>
            <w:pPr>
              <w:spacing w:after="0"/>
              <w:rPr>
                <w:sz w:val="14"/>
                <w:szCs w:val="14"/>
                <w:color w:val="auto"/>
              </w:rPr>
            </w:pPr>
          </w:p>
        </w:tc>
      </w:tr>
      <w:tr>
        <w:trPr>
          <w:trHeight w:val="162"/>
        </w:trPr>
        <w:tc>
          <w:tcPr>
            <w:tcW w:w="1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*4(a)1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w w:val="94"/>
              </w:rPr>
              <w:t>Mortgage and Deed of Trust, dated as of September 1, 1945, between Minnesota Power &amp; Light Company (now ALLETE) and The Bank of New York Mellon (formerly Irving</w:t>
            </w:r>
          </w:p>
        </w:tc>
      </w:tr>
      <w:tr>
        <w:trPr>
          <w:trHeight w:val="183"/>
        </w:trPr>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Trust Company) and Douglas J. MacInnes (successor to Richard H. West), Trustees (filed as Exhibit 7(c), File No. 2-5865).</w:t>
            </w:r>
          </w:p>
        </w:tc>
        <w:tc>
          <w:tcPr>
            <w:tcW w:w="1740" w:type="dxa"/>
            <w:vAlign w:val="bottom"/>
            <w:shd w:val="clear" w:color="auto" w:fill="CCEEFF"/>
          </w:tcPr>
          <w:p>
            <w:pPr>
              <w:spacing w:after="0"/>
              <w:rPr>
                <w:sz w:val="15"/>
                <w:szCs w:val="15"/>
                <w:color w:val="auto"/>
              </w:rPr>
            </w:pPr>
          </w:p>
        </w:tc>
      </w:tr>
      <w:tr>
        <w:trPr>
          <w:trHeight w:val="172"/>
        </w:trPr>
        <w:tc>
          <w:tcPr>
            <w:tcW w:w="1020" w:type="dxa"/>
            <w:vAlign w:val="bottom"/>
          </w:tcPr>
          <w:p>
            <w:pPr>
              <w:ind w:left="260"/>
              <w:spacing w:after="0"/>
              <w:rPr>
                <w:sz w:val="20"/>
                <w:szCs w:val="20"/>
                <w:color w:val="auto"/>
              </w:rPr>
            </w:pPr>
            <w:r>
              <w:rPr>
                <w:rFonts w:ascii="Arial" w:cs="Arial" w:eastAsia="Arial" w:hAnsi="Arial"/>
                <w:sz w:val="14"/>
                <w:szCs w:val="14"/>
                <w:color w:val="auto"/>
              </w:rPr>
              <w:t>*4(a)2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560" w:type="dxa"/>
            <w:vAlign w:val="bottom"/>
            <w:gridSpan w:val="2"/>
          </w:tcPr>
          <w:p>
            <w:pPr>
              <w:ind w:left="120"/>
              <w:spacing w:after="0"/>
              <w:rPr>
                <w:sz w:val="20"/>
                <w:szCs w:val="20"/>
                <w:color w:val="auto"/>
              </w:rPr>
            </w:pPr>
            <w:r>
              <w:rPr>
                <w:rFonts w:ascii="Arial" w:cs="Arial" w:eastAsia="Arial" w:hAnsi="Arial"/>
                <w:sz w:val="14"/>
                <w:szCs w:val="14"/>
                <w:color w:val="auto"/>
              </w:rPr>
              <w:t>Supplemental Indentures to ALLETE’s Mortgage and Deed of Trust:</w:t>
            </w:r>
          </w:p>
        </w:tc>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Number</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b w:val="1"/>
                <w:bCs w:val="1"/>
                <w:color w:val="auto"/>
              </w:rPr>
              <w:t>Dated as of</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Reference File</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Exhibit</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First</w:t>
            </w:r>
          </w:p>
        </w:tc>
        <w:tc>
          <w:tcPr>
            <w:tcW w:w="2800" w:type="dxa"/>
            <w:vAlign w:val="bottom"/>
          </w:tcPr>
          <w:p>
            <w:pPr>
              <w:ind w:left="760"/>
              <w:spacing w:after="0"/>
              <w:rPr>
                <w:sz w:val="20"/>
                <w:szCs w:val="20"/>
                <w:color w:val="auto"/>
              </w:rPr>
            </w:pPr>
            <w:r>
              <w:rPr>
                <w:rFonts w:ascii="Arial" w:cs="Arial" w:eastAsia="Arial" w:hAnsi="Arial"/>
                <w:sz w:val="14"/>
                <w:szCs w:val="14"/>
                <w:color w:val="auto"/>
              </w:rPr>
              <w:t>March 1, 1949</w:t>
            </w:r>
          </w:p>
        </w:tc>
        <w:tc>
          <w:tcPr>
            <w:tcW w:w="3960" w:type="dxa"/>
            <w:vAlign w:val="bottom"/>
          </w:tcPr>
          <w:p>
            <w:pPr>
              <w:ind w:left="480"/>
              <w:spacing w:after="0"/>
              <w:rPr>
                <w:sz w:val="20"/>
                <w:szCs w:val="20"/>
                <w:color w:val="auto"/>
              </w:rPr>
            </w:pPr>
            <w:r>
              <w:rPr>
                <w:rFonts w:ascii="Arial" w:cs="Arial" w:eastAsia="Arial" w:hAnsi="Arial"/>
                <w:sz w:val="14"/>
                <w:szCs w:val="14"/>
                <w:color w:val="auto"/>
              </w:rPr>
              <w:t>2-7826</w:t>
            </w:r>
          </w:p>
        </w:tc>
        <w:tc>
          <w:tcPr>
            <w:tcW w:w="1740" w:type="dxa"/>
            <w:vAlign w:val="bottom"/>
          </w:tcPr>
          <w:p>
            <w:pPr>
              <w:ind w:left="260"/>
              <w:spacing w:after="0"/>
              <w:rPr>
                <w:sz w:val="20"/>
                <w:szCs w:val="20"/>
                <w:color w:val="auto"/>
              </w:rPr>
            </w:pPr>
            <w:r>
              <w:rPr>
                <w:rFonts w:ascii="Arial" w:cs="Arial" w:eastAsia="Arial" w:hAnsi="Arial"/>
                <w:sz w:val="14"/>
                <w:szCs w:val="14"/>
                <w:color w:val="auto"/>
              </w:rPr>
              <w:t>7(b)</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Second</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July 1, 1951</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2-9036</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7(c)</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Third</w:t>
            </w:r>
          </w:p>
        </w:tc>
        <w:tc>
          <w:tcPr>
            <w:tcW w:w="2800" w:type="dxa"/>
            <w:vAlign w:val="bottom"/>
          </w:tcPr>
          <w:p>
            <w:pPr>
              <w:ind w:left="760"/>
              <w:spacing w:after="0"/>
              <w:rPr>
                <w:sz w:val="20"/>
                <w:szCs w:val="20"/>
                <w:color w:val="auto"/>
              </w:rPr>
            </w:pPr>
            <w:r>
              <w:rPr>
                <w:rFonts w:ascii="Arial" w:cs="Arial" w:eastAsia="Arial" w:hAnsi="Arial"/>
                <w:sz w:val="14"/>
                <w:szCs w:val="14"/>
                <w:color w:val="auto"/>
              </w:rPr>
              <w:t>March 1, 1957</w:t>
            </w:r>
          </w:p>
        </w:tc>
        <w:tc>
          <w:tcPr>
            <w:tcW w:w="3960" w:type="dxa"/>
            <w:vAlign w:val="bottom"/>
          </w:tcPr>
          <w:p>
            <w:pPr>
              <w:ind w:left="480"/>
              <w:spacing w:after="0"/>
              <w:rPr>
                <w:sz w:val="20"/>
                <w:szCs w:val="20"/>
                <w:color w:val="auto"/>
              </w:rPr>
            </w:pPr>
            <w:r>
              <w:rPr>
                <w:rFonts w:ascii="Arial" w:cs="Arial" w:eastAsia="Arial" w:hAnsi="Arial"/>
                <w:sz w:val="14"/>
                <w:szCs w:val="14"/>
                <w:color w:val="auto"/>
              </w:rPr>
              <w:t>2-13075</w:t>
            </w:r>
          </w:p>
        </w:tc>
        <w:tc>
          <w:tcPr>
            <w:tcW w:w="1740" w:type="dxa"/>
            <w:vAlign w:val="bottom"/>
          </w:tcPr>
          <w:p>
            <w:pPr>
              <w:ind w:left="260"/>
              <w:spacing w:after="0"/>
              <w:rPr>
                <w:sz w:val="20"/>
                <w:szCs w:val="20"/>
                <w:color w:val="auto"/>
              </w:rPr>
            </w:pPr>
            <w:r>
              <w:rPr>
                <w:rFonts w:ascii="Arial" w:cs="Arial" w:eastAsia="Arial" w:hAnsi="Arial"/>
                <w:sz w:val="14"/>
                <w:szCs w:val="14"/>
                <w:color w:val="auto"/>
              </w:rPr>
              <w:t>2(c)</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Fourth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January 1, 1968</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2-27794</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2(c)</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Fifth</w:t>
            </w:r>
          </w:p>
        </w:tc>
        <w:tc>
          <w:tcPr>
            <w:tcW w:w="2800" w:type="dxa"/>
            <w:vAlign w:val="bottom"/>
          </w:tcPr>
          <w:p>
            <w:pPr>
              <w:ind w:left="760"/>
              <w:spacing w:after="0"/>
              <w:rPr>
                <w:sz w:val="20"/>
                <w:szCs w:val="20"/>
                <w:color w:val="auto"/>
              </w:rPr>
            </w:pPr>
            <w:r>
              <w:rPr>
                <w:rFonts w:ascii="Arial" w:cs="Arial" w:eastAsia="Arial" w:hAnsi="Arial"/>
                <w:sz w:val="14"/>
                <w:szCs w:val="14"/>
                <w:color w:val="auto"/>
              </w:rPr>
              <w:t>April 1, 1971</w:t>
            </w:r>
          </w:p>
        </w:tc>
        <w:tc>
          <w:tcPr>
            <w:tcW w:w="3960" w:type="dxa"/>
            <w:vAlign w:val="bottom"/>
          </w:tcPr>
          <w:p>
            <w:pPr>
              <w:ind w:left="480"/>
              <w:spacing w:after="0"/>
              <w:rPr>
                <w:sz w:val="20"/>
                <w:szCs w:val="20"/>
                <w:color w:val="auto"/>
              </w:rPr>
            </w:pPr>
            <w:r>
              <w:rPr>
                <w:rFonts w:ascii="Arial" w:cs="Arial" w:eastAsia="Arial" w:hAnsi="Arial"/>
                <w:sz w:val="14"/>
                <w:szCs w:val="14"/>
                <w:color w:val="auto"/>
              </w:rPr>
              <w:t>2-39537</w:t>
            </w:r>
          </w:p>
        </w:tc>
        <w:tc>
          <w:tcPr>
            <w:tcW w:w="1740" w:type="dxa"/>
            <w:vAlign w:val="bottom"/>
          </w:tcPr>
          <w:p>
            <w:pPr>
              <w:ind w:left="260"/>
              <w:spacing w:after="0"/>
              <w:rPr>
                <w:sz w:val="20"/>
                <w:szCs w:val="20"/>
                <w:color w:val="auto"/>
              </w:rPr>
            </w:pPr>
            <w:r>
              <w:rPr>
                <w:rFonts w:ascii="Arial" w:cs="Arial" w:eastAsia="Arial" w:hAnsi="Arial"/>
                <w:sz w:val="14"/>
                <w:szCs w:val="14"/>
                <w:color w:val="auto"/>
              </w:rPr>
              <w:t>2(c)</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Sixth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August 1, 1975</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2-54116</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2(c)</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Seventh</w:t>
            </w:r>
          </w:p>
        </w:tc>
        <w:tc>
          <w:tcPr>
            <w:tcW w:w="2800" w:type="dxa"/>
            <w:vAlign w:val="bottom"/>
          </w:tcPr>
          <w:p>
            <w:pPr>
              <w:ind w:left="760"/>
              <w:spacing w:after="0"/>
              <w:rPr>
                <w:sz w:val="20"/>
                <w:szCs w:val="20"/>
                <w:color w:val="auto"/>
              </w:rPr>
            </w:pPr>
            <w:r>
              <w:rPr>
                <w:rFonts w:ascii="Arial" w:cs="Arial" w:eastAsia="Arial" w:hAnsi="Arial"/>
                <w:sz w:val="14"/>
                <w:szCs w:val="14"/>
                <w:color w:val="auto"/>
              </w:rPr>
              <w:t>September 1, 1976</w:t>
            </w:r>
          </w:p>
        </w:tc>
        <w:tc>
          <w:tcPr>
            <w:tcW w:w="3960" w:type="dxa"/>
            <w:vAlign w:val="bottom"/>
          </w:tcPr>
          <w:p>
            <w:pPr>
              <w:ind w:left="480"/>
              <w:spacing w:after="0"/>
              <w:rPr>
                <w:sz w:val="20"/>
                <w:szCs w:val="20"/>
                <w:color w:val="auto"/>
              </w:rPr>
            </w:pPr>
            <w:r>
              <w:rPr>
                <w:rFonts w:ascii="Arial" w:cs="Arial" w:eastAsia="Arial" w:hAnsi="Arial"/>
                <w:sz w:val="14"/>
                <w:szCs w:val="14"/>
                <w:color w:val="auto"/>
              </w:rPr>
              <w:t>2-57014</w:t>
            </w:r>
          </w:p>
        </w:tc>
        <w:tc>
          <w:tcPr>
            <w:tcW w:w="1740" w:type="dxa"/>
            <w:vAlign w:val="bottom"/>
          </w:tcPr>
          <w:p>
            <w:pPr>
              <w:ind w:left="260"/>
              <w:spacing w:after="0"/>
              <w:rPr>
                <w:sz w:val="20"/>
                <w:szCs w:val="20"/>
                <w:color w:val="auto"/>
              </w:rPr>
            </w:pPr>
            <w:r>
              <w:rPr>
                <w:rFonts w:ascii="Arial" w:cs="Arial" w:eastAsia="Arial" w:hAnsi="Arial"/>
                <w:sz w:val="14"/>
                <w:szCs w:val="14"/>
                <w:color w:val="auto"/>
              </w:rPr>
              <w:t>2(c)</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Eighth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September 1, 1977</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2-59690</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2(c)</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Ninth</w:t>
            </w:r>
          </w:p>
        </w:tc>
        <w:tc>
          <w:tcPr>
            <w:tcW w:w="2800" w:type="dxa"/>
            <w:vAlign w:val="bottom"/>
          </w:tcPr>
          <w:p>
            <w:pPr>
              <w:ind w:left="760"/>
              <w:spacing w:after="0"/>
              <w:rPr>
                <w:sz w:val="20"/>
                <w:szCs w:val="20"/>
                <w:color w:val="auto"/>
              </w:rPr>
            </w:pPr>
            <w:r>
              <w:rPr>
                <w:rFonts w:ascii="Arial" w:cs="Arial" w:eastAsia="Arial" w:hAnsi="Arial"/>
                <w:sz w:val="14"/>
                <w:szCs w:val="14"/>
                <w:color w:val="auto"/>
              </w:rPr>
              <w:t>April 1, 1978</w:t>
            </w:r>
          </w:p>
        </w:tc>
        <w:tc>
          <w:tcPr>
            <w:tcW w:w="3960" w:type="dxa"/>
            <w:vAlign w:val="bottom"/>
          </w:tcPr>
          <w:p>
            <w:pPr>
              <w:ind w:left="480"/>
              <w:spacing w:after="0"/>
              <w:rPr>
                <w:sz w:val="20"/>
                <w:szCs w:val="20"/>
                <w:color w:val="auto"/>
              </w:rPr>
            </w:pPr>
            <w:r>
              <w:rPr>
                <w:rFonts w:ascii="Arial" w:cs="Arial" w:eastAsia="Arial" w:hAnsi="Arial"/>
                <w:sz w:val="14"/>
                <w:szCs w:val="14"/>
                <w:color w:val="auto"/>
              </w:rPr>
              <w:t>2-60866</w:t>
            </w:r>
          </w:p>
        </w:tc>
        <w:tc>
          <w:tcPr>
            <w:tcW w:w="1740" w:type="dxa"/>
            <w:vAlign w:val="bottom"/>
          </w:tcPr>
          <w:p>
            <w:pPr>
              <w:ind w:left="260"/>
              <w:spacing w:after="0"/>
              <w:rPr>
                <w:sz w:val="20"/>
                <w:szCs w:val="20"/>
                <w:color w:val="auto"/>
              </w:rPr>
            </w:pPr>
            <w:r>
              <w:rPr>
                <w:rFonts w:ascii="Arial" w:cs="Arial" w:eastAsia="Arial" w:hAnsi="Arial"/>
                <w:sz w:val="14"/>
                <w:szCs w:val="14"/>
                <w:color w:val="auto"/>
              </w:rPr>
              <w:t>2(c)</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Tenth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August 1, 1978</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2-62852</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2(d)2</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Eleventh</w:t>
            </w:r>
          </w:p>
        </w:tc>
        <w:tc>
          <w:tcPr>
            <w:tcW w:w="2800" w:type="dxa"/>
            <w:vAlign w:val="bottom"/>
          </w:tcPr>
          <w:p>
            <w:pPr>
              <w:ind w:left="760"/>
              <w:spacing w:after="0"/>
              <w:rPr>
                <w:sz w:val="20"/>
                <w:szCs w:val="20"/>
                <w:color w:val="auto"/>
              </w:rPr>
            </w:pPr>
            <w:r>
              <w:rPr>
                <w:rFonts w:ascii="Arial" w:cs="Arial" w:eastAsia="Arial" w:hAnsi="Arial"/>
                <w:sz w:val="14"/>
                <w:szCs w:val="14"/>
                <w:color w:val="auto"/>
              </w:rPr>
              <w:t>December 1, 1982</w:t>
            </w:r>
          </w:p>
        </w:tc>
        <w:tc>
          <w:tcPr>
            <w:tcW w:w="3960" w:type="dxa"/>
            <w:vAlign w:val="bottom"/>
          </w:tcPr>
          <w:p>
            <w:pPr>
              <w:ind w:left="480"/>
              <w:spacing w:after="0"/>
              <w:rPr>
                <w:sz w:val="20"/>
                <w:szCs w:val="20"/>
                <w:color w:val="auto"/>
              </w:rPr>
            </w:pPr>
            <w:r>
              <w:rPr>
                <w:rFonts w:ascii="Arial" w:cs="Arial" w:eastAsia="Arial" w:hAnsi="Arial"/>
                <w:sz w:val="14"/>
                <w:szCs w:val="14"/>
                <w:color w:val="auto"/>
              </w:rPr>
              <w:t>2-56649</w:t>
            </w:r>
          </w:p>
        </w:tc>
        <w:tc>
          <w:tcPr>
            <w:tcW w:w="1740" w:type="dxa"/>
            <w:vAlign w:val="bottom"/>
          </w:tcPr>
          <w:p>
            <w:pPr>
              <w:ind w:left="260"/>
              <w:spacing w:after="0"/>
              <w:rPr>
                <w:sz w:val="20"/>
                <w:szCs w:val="20"/>
                <w:color w:val="auto"/>
              </w:rPr>
            </w:pPr>
            <w:r>
              <w:rPr>
                <w:rFonts w:ascii="Arial" w:cs="Arial" w:eastAsia="Arial" w:hAnsi="Arial"/>
                <w:sz w:val="14"/>
                <w:szCs w:val="14"/>
                <w:color w:val="auto"/>
              </w:rPr>
              <w:t>4(a)3</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Twelfth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April 1, 1987</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33-30224</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4(a)3</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Thirteenth</w:t>
            </w:r>
          </w:p>
        </w:tc>
        <w:tc>
          <w:tcPr>
            <w:tcW w:w="2800" w:type="dxa"/>
            <w:vAlign w:val="bottom"/>
          </w:tcPr>
          <w:p>
            <w:pPr>
              <w:ind w:left="760"/>
              <w:spacing w:after="0"/>
              <w:rPr>
                <w:sz w:val="20"/>
                <w:szCs w:val="20"/>
                <w:color w:val="auto"/>
              </w:rPr>
            </w:pPr>
            <w:r>
              <w:rPr>
                <w:rFonts w:ascii="Arial" w:cs="Arial" w:eastAsia="Arial" w:hAnsi="Arial"/>
                <w:sz w:val="14"/>
                <w:szCs w:val="14"/>
                <w:color w:val="auto"/>
              </w:rPr>
              <w:t>March 1, 1992</w:t>
            </w:r>
          </w:p>
        </w:tc>
        <w:tc>
          <w:tcPr>
            <w:tcW w:w="3960" w:type="dxa"/>
            <w:vAlign w:val="bottom"/>
          </w:tcPr>
          <w:p>
            <w:pPr>
              <w:ind w:left="480"/>
              <w:spacing w:after="0"/>
              <w:rPr>
                <w:sz w:val="20"/>
                <w:szCs w:val="20"/>
                <w:color w:val="auto"/>
              </w:rPr>
            </w:pPr>
            <w:r>
              <w:rPr>
                <w:rFonts w:ascii="Arial" w:cs="Arial" w:eastAsia="Arial" w:hAnsi="Arial"/>
                <w:sz w:val="14"/>
                <w:szCs w:val="14"/>
                <w:color w:val="auto"/>
              </w:rPr>
              <w:t>33-47438</w:t>
            </w:r>
          </w:p>
        </w:tc>
        <w:tc>
          <w:tcPr>
            <w:tcW w:w="1740" w:type="dxa"/>
            <w:vAlign w:val="bottom"/>
          </w:tcPr>
          <w:p>
            <w:pPr>
              <w:ind w:left="260"/>
              <w:spacing w:after="0"/>
              <w:rPr>
                <w:sz w:val="20"/>
                <w:szCs w:val="20"/>
                <w:color w:val="auto"/>
              </w:rPr>
            </w:pPr>
            <w:r>
              <w:rPr>
                <w:rFonts w:ascii="Arial" w:cs="Arial" w:eastAsia="Arial" w:hAnsi="Arial"/>
                <w:sz w:val="14"/>
                <w:szCs w:val="14"/>
                <w:color w:val="auto"/>
              </w:rPr>
              <w:t>4(b)</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Fourteenth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June 1, 1992</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33-55240</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4(b)</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Fifteenth</w:t>
            </w:r>
          </w:p>
        </w:tc>
        <w:tc>
          <w:tcPr>
            <w:tcW w:w="2800" w:type="dxa"/>
            <w:vAlign w:val="bottom"/>
          </w:tcPr>
          <w:p>
            <w:pPr>
              <w:ind w:left="760"/>
              <w:spacing w:after="0"/>
              <w:rPr>
                <w:sz w:val="20"/>
                <w:szCs w:val="20"/>
                <w:color w:val="auto"/>
              </w:rPr>
            </w:pPr>
            <w:r>
              <w:rPr>
                <w:rFonts w:ascii="Arial" w:cs="Arial" w:eastAsia="Arial" w:hAnsi="Arial"/>
                <w:sz w:val="14"/>
                <w:szCs w:val="14"/>
                <w:color w:val="auto"/>
              </w:rPr>
              <w:t>July 1, 1992</w:t>
            </w:r>
          </w:p>
        </w:tc>
        <w:tc>
          <w:tcPr>
            <w:tcW w:w="3960" w:type="dxa"/>
            <w:vAlign w:val="bottom"/>
          </w:tcPr>
          <w:p>
            <w:pPr>
              <w:ind w:left="480"/>
              <w:spacing w:after="0"/>
              <w:rPr>
                <w:sz w:val="20"/>
                <w:szCs w:val="20"/>
                <w:color w:val="auto"/>
              </w:rPr>
            </w:pPr>
            <w:r>
              <w:rPr>
                <w:rFonts w:ascii="Arial" w:cs="Arial" w:eastAsia="Arial" w:hAnsi="Arial"/>
                <w:sz w:val="14"/>
                <w:szCs w:val="14"/>
                <w:color w:val="auto"/>
              </w:rPr>
              <w:t>33-55240</w:t>
            </w:r>
          </w:p>
        </w:tc>
        <w:tc>
          <w:tcPr>
            <w:tcW w:w="1740" w:type="dxa"/>
            <w:vAlign w:val="bottom"/>
          </w:tcPr>
          <w:p>
            <w:pPr>
              <w:ind w:left="260"/>
              <w:spacing w:after="0"/>
              <w:rPr>
                <w:sz w:val="20"/>
                <w:szCs w:val="20"/>
                <w:color w:val="auto"/>
              </w:rPr>
            </w:pPr>
            <w:r>
              <w:rPr>
                <w:rFonts w:ascii="Arial" w:cs="Arial" w:eastAsia="Arial" w:hAnsi="Arial"/>
                <w:sz w:val="14"/>
                <w:szCs w:val="14"/>
                <w:color w:val="auto"/>
              </w:rPr>
              <w:t>4(c)</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Sixteenth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July 1, 1992</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33-55240</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4(d)</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Seventeenth</w:t>
            </w:r>
          </w:p>
        </w:tc>
        <w:tc>
          <w:tcPr>
            <w:tcW w:w="2800" w:type="dxa"/>
            <w:vAlign w:val="bottom"/>
          </w:tcPr>
          <w:p>
            <w:pPr>
              <w:ind w:left="760"/>
              <w:spacing w:after="0"/>
              <w:rPr>
                <w:sz w:val="20"/>
                <w:szCs w:val="20"/>
                <w:color w:val="auto"/>
              </w:rPr>
            </w:pPr>
            <w:r>
              <w:rPr>
                <w:rFonts w:ascii="Arial" w:cs="Arial" w:eastAsia="Arial" w:hAnsi="Arial"/>
                <w:sz w:val="14"/>
                <w:szCs w:val="14"/>
                <w:color w:val="auto"/>
              </w:rPr>
              <w:t>February 1, 1993</w:t>
            </w:r>
          </w:p>
        </w:tc>
        <w:tc>
          <w:tcPr>
            <w:tcW w:w="3960" w:type="dxa"/>
            <w:vAlign w:val="bottom"/>
          </w:tcPr>
          <w:p>
            <w:pPr>
              <w:ind w:left="480"/>
              <w:spacing w:after="0"/>
              <w:rPr>
                <w:sz w:val="20"/>
                <w:szCs w:val="20"/>
                <w:color w:val="auto"/>
              </w:rPr>
            </w:pPr>
            <w:r>
              <w:rPr>
                <w:rFonts w:ascii="Arial" w:cs="Arial" w:eastAsia="Arial" w:hAnsi="Arial"/>
                <w:sz w:val="14"/>
                <w:szCs w:val="14"/>
                <w:color w:val="auto"/>
              </w:rPr>
              <w:t>33-50143</w:t>
            </w:r>
          </w:p>
        </w:tc>
        <w:tc>
          <w:tcPr>
            <w:tcW w:w="1740" w:type="dxa"/>
            <w:vAlign w:val="bottom"/>
          </w:tcPr>
          <w:p>
            <w:pPr>
              <w:ind w:left="260"/>
              <w:spacing w:after="0"/>
              <w:rPr>
                <w:sz w:val="20"/>
                <w:szCs w:val="20"/>
                <w:color w:val="auto"/>
              </w:rPr>
            </w:pPr>
            <w:r>
              <w:rPr>
                <w:rFonts w:ascii="Arial" w:cs="Arial" w:eastAsia="Arial" w:hAnsi="Arial"/>
                <w:sz w:val="14"/>
                <w:szCs w:val="14"/>
                <w:color w:val="auto"/>
              </w:rPr>
              <w:t>4(b)</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Eighteenth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July 1, 1993</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33-50143</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4(c)</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Nineteenth</w:t>
            </w:r>
          </w:p>
        </w:tc>
        <w:tc>
          <w:tcPr>
            <w:tcW w:w="2800" w:type="dxa"/>
            <w:vAlign w:val="bottom"/>
          </w:tcPr>
          <w:p>
            <w:pPr>
              <w:ind w:left="760"/>
              <w:spacing w:after="0"/>
              <w:rPr>
                <w:sz w:val="20"/>
                <w:szCs w:val="20"/>
                <w:color w:val="auto"/>
              </w:rPr>
            </w:pPr>
            <w:r>
              <w:rPr>
                <w:rFonts w:ascii="Arial" w:cs="Arial" w:eastAsia="Arial" w:hAnsi="Arial"/>
                <w:sz w:val="14"/>
                <w:szCs w:val="14"/>
                <w:color w:val="auto"/>
              </w:rPr>
              <w:t>February 1, 1997</w:t>
            </w:r>
          </w:p>
        </w:tc>
        <w:tc>
          <w:tcPr>
            <w:tcW w:w="3960" w:type="dxa"/>
            <w:vAlign w:val="bottom"/>
          </w:tcPr>
          <w:p>
            <w:pPr>
              <w:ind w:left="480"/>
              <w:spacing w:after="0"/>
              <w:rPr>
                <w:sz w:val="20"/>
                <w:szCs w:val="20"/>
                <w:color w:val="auto"/>
              </w:rPr>
            </w:pPr>
            <w:r>
              <w:rPr>
                <w:rFonts w:ascii="Arial" w:cs="Arial" w:eastAsia="Arial" w:hAnsi="Arial"/>
                <w:sz w:val="14"/>
                <w:szCs w:val="14"/>
                <w:color w:val="auto"/>
              </w:rPr>
              <w:t>1-3548 (1996 Form 10-K)</w:t>
            </w:r>
          </w:p>
        </w:tc>
        <w:tc>
          <w:tcPr>
            <w:tcW w:w="1740" w:type="dxa"/>
            <w:vAlign w:val="bottom"/>
          </w:tcPr>
          <w:p>
            <w:pPr>
              <w:ind w:left="260"/>
              <w:spacing w:after="0"/>
              <w:rPr>
                <w:sz w:val="20"/>
                <w:szCs w:val="20"/>
                <w:color w:val="auto"/>
              </w:rPr>
            </w:pPr>
            <w:r>
              <w:rPr>
                <w:rFonts w:ascii="Arial" w:cs="Arial" w:eastAsia="Arial" w:hAnsi="Arial"/>
                <w:sz w:val="14"/>
                <w:szCs w:val="14"/>
                <w:color w:val="auto"/>
              </w:rPr>
              <w:t>4(a)3</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Twentieth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November 1, 1997</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1-3548 (1997 Form 10-K)</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4(a)3</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Twenty-first</w:t>
            </w:r>
          </w:p>
        </w:tc>
        <w:tc>
          <w:tcPr>
            <w:tcW w:w="2800" w:type="dxa"/>
            <w:vAlign w:val="bottom"/>
          </w:tcPr>
          <w:p>
            <w:pPr>
              <w:ind w:left="760"/>
              <w:spacing w:after="0"/>
              <w:rPr>
                <w:sz w:val="20"/>
                <w:szCs w:val="20"/>
                <w:color w:val="auto"/>
              </w:rPr>
            </w:pPr>
            <w:r>
              <w:rPr>
                <w:rFonts w:ascii="Arial" w:cs="Arial" w:eastAsia="Arial" w:hAnsi="Arial"/>
                <w:sz w:val="14"/>
                <w:szCs w:val="14"/>
                <w:color w:val="auto"/>
              </w:rPr>
              <w:t>October 1, 2000</w:t>
            </w:r>
          </w:p>
        </w:tc>
        <w:tc>
          <w:tcPr>
            <w:tcW w:w="3960" w:type="dxa"/>
            <w:vAlign w:val="bottom"/>
          </w:tcPr>
          <w:p>
            <w:pPr>
              <w:ind w:left="480"/>
              <w:spacing w:after="0"/>
              <w:rPr>
                <w:sz w:val="20"/>
                <w:szCs w:val="20"/>
                <w:color w:val="auto"/>
              </w:rPr>
            </w:pPr>
            <w:r>
              <w:rPr>
                <w:rFonts w:ascii="Arial" w:cs="Arial" w:eastAsia="Arial" w:hAnsi="Arial"/>
                <w:sz w:val="14"/>
                <w:szCs w:val="14"/>
                <w:color w:val="auto"/>
              </w:rPr>
              <w:t>333-54330</w:t>
            </w:r>
          </w:p>
        </w:tc>
        <w:tc>
          <w:tcPr>
            <w:tcW w:w="1740" w:type="dxa"/>
            <w:vAlign w:val="bottom"/>
          </w:tcPr>
          <w:p>
            <w:pPr>
              <w:ind w:left="260"/>
              <w:spacing w:after="0"/>
              <w:rPr>
                <w:sz w:val="20"/>
                <w:szCs w:val="20"/>
                <w:color w:val="auto"/>
              </w:rPr>
            </w:pPr>
            <w:r>
              <w:rPr>
                <w:rFonts w:ascii="Arial" w:cs="Arial" w:eastAsia="Arial" w:hAnsi="Arial"/>
                <w:sz w:val="14"/>
                <w:szCs w:val="14"/>
                <w:color w:val="auto"/>
              </w:rPr>
              <w:t>4(c)3</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Twenty-second</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July 1, 2003</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1-3548 (June 30, 2003 Form 10-Q)</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Twenty-third</w:t>
            </w:r>
          </w:p>
        </w:tc>
        <w:tc>
          <w:tcPr>
            <w:tcW w:w="2800" w:type="dxa"/>
            <w:vAlign w:val="bottom"/>
          </w:tcPr>
          <w:p>
            <w:pPr>
              <w:ind w:left="760"/>
              <w:spacing w:after="0"/>
              <w:rPr>
                <w:sz w:val="20"/>
                <w:szCs w:val="20"/>
                <w:color w:val="auto"/>
              </w:rPr>
            </w:pPr>
            <w:r>
              <w:rPr>
                <w:rFonts w:ascii="Arial" w:cs="Arial" w:eastAsia="Arial" w:hAnsi="Arial"/>
                <w:sz w:val="14"/>
                <w:szCs w:val="14"/>
                <w:color w:val="auto"/>
              </w:rPr>
              <w:t>August 1, 2004</w:t>
            </w:r>
          </w:p>
        </w:tc>
        <w:tc>
          <w:tcPr>
            <w:tcW w:w="3960" w:type="dxa"/>
            <w:vAlign w:val="bottom"/>
          </w:tcPr>
          <w:p>
            <w:pPr>
              <w:ind w:left="480"/>
              <w:spacing w:after="0"/>
              <w:rPr>
                <w:sz w:val="20"/>
                <w:szCs w:val="20"/>
                <w:color w:val="auto"/>
              </w:rPr>
            </w:pPr>
            <w:r>
              <w:rPr>
                <w:rFonts w:ascii="Arial" w:cs="Arial" w:eastAsia="Arial" w:hAnsi="Arial"/>
                <w:sz w:val="14"/>
                <w:szCs w:val="14"/>
                <w:color w:val="auto"/>
              </w:rPr>
              <w:t>1-3548 (Sept. 30, 2004 Form 10-Q)</w:t>
            </w:r>
          </w:p>
        </w:tc>
        <w:tc>
          <w:tcPr>
            <w:tcW w:w="1740" w:type="dxa"/>
            <w:vAlign w:val="bottom"/>
          </w:tcPr>
          <w:p>
            <w:pPr>
              <w:ind w:left="260"/>
              <w:spacing w:after="0"/>
              <w:rPr>
                <w:sz w:val="20"/>
                <w:szCs w:val="20"/>
                <w:color w:val="auto"/>
              </w:rPr>
            </w:pPr>
            <w:r>
              <w:rPr>
                <w:rFonts w:ascii="Arial" w:cs="Arial" w:eastAsia="Arial" w:hAnsi="Arial"/>
                <w:sz w:val="14"/>
                <w:szCs w:val="14"/>
                <w:color w:val="auto"/>
              </w:rPr>
              <w:t>4(a)</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Twenty-fourth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March 1, 2005</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1-3548 (March 31, 2005 Form 10-Q)</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Twenty-fifth</w:t>
            </w:r>
          </w:p>
        </w:tc>
        <w:tc>
          <w:tcPr>
            <w:tcW w:w="2800" w:type="dxa"/>
            <w:vAlign w:val="bottom"/>
          </w:tcPr>
          <w:p>
            <w:pPr>
              <w:ind w:left="760"/>
              <w:spacing w:after="0"/>
              <w:rPr>
                <w:sz w:val="20"/>
                <w:szCs w:val="20"/>
                <w:color w:val="auto"/>
              </w:rPr>
            </w:pPr>
            <w:r>
              <w:rPr>
                <w:rFonts w:ascii="Arial" w:cs="Arial" w:eastAsia="Arial" w:hAnsi="Arial"/>
                <w:sz w:val="14"/>
                <w:szCs w:val="14"/>
                <w:color w:val="auto"/>
              </w:rPr>
              <w:t>December 1, 2005</w:t>
            </w:r>
          </w:p>
        </w:tc>
        <w:tc>
          <w:tcPr>
            <w:tcW w:w="3960" w:type="dxa"/>
            <w:vAlign w:val="bottom"/>
          </w:tcPr>
          <w:p>
            <w:pPr>
              <w:ind w:left="480"/>
              <w:spacing w:after="0"/>
              <w:rPr>
                <w:sz w:val="20"/>
                <w:szCs w:val="20"/>
                <w:color w:val="auto"/>
              </w:rPr>
            </w:pPr>
            <w:r>
              <w:rPr>
                <w:rFonts w:ascii="Arial" w:cs="Arial" w:eastAsia="Arial" w:hAnsi="Arial"/>
                <w:sz w:val="14"/>
                <w:szCs w:val="14"/>
                <w:color w:val="auto"/>
              </w:rPr>
              <w:t>1-3548 (March 31, 2006 Form 10-Q)</w:t>
            </w:r>
          </w:p>
        </w:tc>
        <w:tc>
          <w:tcPr>
            <w:tcW w:w="1740" w:type="dxa"/>
            <w:vAlign w:val="bottom"/>
          </w:tcPr>
          <w:p>
            <w:pPr>
              <w:ind w:left="260"/>
              <w:spacing w:after="0"/>
              <w:rPr>
                <w:sz w:val="20"/>
                <w:szCs w:val="20"/>
                <w:color w:val="auto"/>
              </w:rPr>
            </w:pPr>
            <w:r>
              <w:rPr>
                <w:rFonts w:ascii="Arial" w:cs="Arial" w:eastAsia="Arial" w:hAnsi="Arial"/>
                <w:sz w:val="14"/>
                <w:szCs w:val="14"/>
                <w:color w:val="auto"/>
              </w:rPr>
              <w:t>4</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Twenty-sixth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October 1, 2006</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1-3548 (2006 Form 10-K)</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w:t>
            </w:r>
          </w:p>
        </w:tc>
      </w:tr>
      <w:tr>
        <w:trPr>
          <w:trHeight w:val="17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4"/>
                <w:szCs w:val="14"/>
                <w:color w:val="auto"/>
              </w:rPr>
              <w:t>Twenty-seventh</w:t>
            </w:r>
          </w:p>
        </w:tc>
        <w:tc>
          <w:tcPr>
            <w:tcW w:w="2800" w:type="dxa"/>
            <w:vAlign w:val="bottom"/>
          </w:tcPr>
          <w:p>
            <w:pPr>
              <w:ind w:left="760"/>
              <w:spacing w:after="0"/>
              <w:rPr>
                <w:sz w:val="20"/>
                <w:szCs w:val="20"/>
                <w:color w:val="auto"/>
              </w:rPr>
            </w:pPr>
            <w:r>
              <w:rPr>
                <w:rFonts w:ascii="Arial" w:cs="Arial" w:eastAsia="Arial" w:hAnsi="Arial"/>
                <w:sz w:val="14"/>
                <w:szCs w:val="14"/>
                <w:color w:val="auto"/>
              </w:rPr>
              <w:t>February 1, 2008</w:t>
            </w:r>
          </w:p>
        </w:tc>
        <w:tc>
          <w:tcPr>
            <w:tcW w:w="3960" w:type="dxa"/>
            <w:vAlign w:val="bottom"/>
          </w:tcPr>
          <w:p>
            <w:pPr>
              <w:ind w:left="480"/>
              <w:spacing w:after="0"/>
              <w:rPr>
                <w:sz w:val="20"/>
                <w:szCs w:val="20"/>
                <w:color w:val="auto"/>
              </w:rPr>
            </w:pPr>
            <w:r>
              <w:rPr>
                <w:rFonts w:ascii="Arial" w:cs="Arial" w:eastAsia="Arial" w:hAnsi="Arial"/>
                <w:sz w:val="14"/>
                <w:szCs w:val="14"/>
                <w:color w:val="auto"/>
              </w:rPr>
              <w:t>1-3548 (2007 Form 10-K)</w:t>
            </w:r>
          </w:p>
        </w:tc>
        <w:tc>
          <w:tcPr>
            <w:tcW w:w="1740" w:type="dxa"/>
            <w:vAlign w:val="bottom"/>
          </w:tcPr>
          <w:p>
            <w:pPr>
              <w:ind w:left="260"/>
              <w:spacing w:after="0"/>
              <w:rPr>
                <w:sz w:val="20"/>
                <w:szCs w:val="20"/>
                <w:color w:val="auto"/>
              </w:rPr>
            </w:pPr>
            <w:r>
              <w:rPr>
                <w:rFonts w:ascii="Arial" w:cs="Arial" w:eastAsia="Arial" w:hAnsi="Arial"/>
                <w:sz w:val="14"/>
                <w:szCs w:val="14"/>
                <w:color w:val="auto"/>
              </w:rPr>
              <w:t>4(a)3</w:t>
            </w:r>
          </w:p>
        </w:tc>
      </w:tr>
      <w:tr>
        <w:trPr>
          <w:trHeight w:val="172"/>
        </w:trPr>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Twenty-eighth</w:t>
            </w:r>
          </w:p>
        </w:tc>
        <w:tc>
          <w:tcPr>
            <w:tcW w:w="28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May 1, 2008</w:t>
            </w:r>
          </w:p>
        </w:tc>
        <w:tc>
          <w:tcPr>
            <w:tcW w:w="3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1-3548 (June 30, 2008 Form 10-Q)</w:t>
            </w:r>
          </w:p>
        </w:tc>
        <w:tc>
          <w:tcPr>
            <w:tcW w:w="1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7"/>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73"/>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4(a)3</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8"/>
              </w:rPr>
              <w:t>-   Twenty-ninth Supplemental Indenture, dated as of November 1, 2008, between ALLETE and The Bank of New York Mellon and Douglas J. MacInnes, as Trustees.</w:t>
            </w:r>
          </w:p>
        </w:tc>
      </w:tr>
      <w:tr>
        <w:trPr>
          <w:trHeight w:val="172"/>
        </w:trPr>
        <w:tc>
          <w:tcPr>
            <w:tcW w:w="1180" w:type="dxa"/>
            <w:vAlign w:val="bottom"/>
          </w:tcPr>
          <w:p>
            <w:pPr>
              <w:ind w:left="260"/>
              <w:spacing w:after="0"/>
              <w:rPr>
                <w:sz w:val="20"/>
                <w:szCs w:val="20"/>
                <w:color w:val="auto"/>
              </w:rPr>
            </w:pPr>
            <w:r>
              <w:rPr>
                <w:rFonts w:ascii="Arial" w:cs="Arial" w:eastAsia="Arial" w:hAnsi="Arial"/>
                <w:sz w:val="14"/>
                <w:szCs w:val="14"/>
                <w:color w:val="auto"/>
              </w:rPr>
              <w:t>4(a)4</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rPr>
              <w:t>-   Thirtieth Supplemental Indenture, dated as of January 1, 2009, between ALLETE and The Bank of New York Mellon and Douglas J. MacInnes, as Trustees.</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*4(b)1</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   Indenture of Trust, dated as of August 1, 2004, between the City of Cohasset, Minnesota and U.S. Bank National Association, as Trustee relating to $111 Million</w:t>
            </w:r>
          </w:p>
        </w:tc>
      </w:tr>
      <w:tr>
        <w:trPr>
          <w:trHeight w:val="183"/>
        </w:trPr>
        <w:tc>
          <w:tcPr>
            <w:tcW w:w="1180" w:type="dxa"/>
            <w:vAlign w:val="bottom"/>
            <w:shd w:val="clear" w:color="auto" w:fill="CCEEFF"/>
          </w:tcPr>
          <w:p>
            <w:pPr>
              <w:spacing w:after="0"/>
              <w:rPr>
                <w:sz w:val="15"/>
                <w:szCs w:val="15"/>
                <w:color w:val="auto"/>
              </w:rPr>
            </w:pPr>
          </w:p>
        </w:tc>
        <w:tc>
          <w:tcPr>
            <w:tcW w:w="864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w w:val="96"/>
              </w:rPr>
              <w:t>Collateralized Pollution Control Refunding Revenue Bonds (filed as Exhibit 4(b) to the September 30, 2004, Form 10-Q, File No. 1-3548).</w:t>
            </w:r>
          </w:p>
        </w:tc>
        <w:tc>
          <w:tcPr>
            <w:tcW w:w="1640" w:type="dxa"/>
            <w:vAlign w:val="bottom"/>
            <w:shd w:val="clear" w:color="auto" w:fill="CCEEFF"/>
          </w:tcPr>
          <w:p>
            <w:pPr>
              <w:spacing w:after="0"/>
              <w:rPr>
                <w:sz w:val="15"/>
                <w:szCs w:val="15"/>
                <w:color w:val="auto"/>
              </w:rPr>
            </w:pP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*4(b)2</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w w:val="96"/>
              </w:rPr>
              <w:t>-   Loan Agreement, dated as of August 1, 2004, between the City of Cohasset, Minnesota and ALLETE relating to $111 Million Collateralized Pollution Control Refunding</w:t>
            </w:r>
          </w:p>
        </w:tc>
      </w:tr>
      <w:tr>
        <w:trPr>
          <w:trHeight w:val="183"/>
        </w:trPr>
        <w:tc>
          <w:tcPr>
            <w:tcW w:w="1180" w:type="dxa"/>
            <w:vAlign w:val="bottom"/>
          </w:tcPr>
          <w:p>
            <w:pPr>
              <w:spacing w:after="0"/>
              <w:rPr>
                <w:sz w:val="15"/>
                <w:szCs w:val="15"/>
                <w:color w:val="auto"/>
              </w:rPr>
            </w:pPr>
          </w:p>
        </w:tc>
        <w:tc>
          <w:tcPr>
            <w:tcW w:w="8640" w:type="dxa"/>
            <w:vAlign w:val="bottom"/>
            <w:gridSpan w:val="3"/>
          </w:tcPr>
          <w:p>
            <w:pPr>
              <w:ind w:left="420"/>
              <w:spacing w:after="0"/>
              <w:rPr>
                <w:sz w:val="20"/>
                <w:szCs w:val="20"/>
                <w:color w:val="auto"/>
              </w:rPr>
            </w:pPr>
            <w:r>
              <w:rPr>
                <w:rFonts w:ascii="Arial" w:cs="Arial" w:eastAsia="Arial" w:hAnsi="Arial"/>
                <w:sz w:val="14"/>
                <w:szCs w:val="14"/>
                <w:color w:val="auto"/>
              </w:rPr>
              <w:t>Revenue Bonds (filed as Exhibit 4(c) to the September 30, 2004, Form 10-Q, File No. 1-3548).</w:t>
            </w:r>
          </w:p>
        </w:tc>
        <w:tc>
          <w:tcPr>
            <w:tcW w:w="1640" w:type="dxa"/>
            <w:vAlign w:val="bottom"/>
          </w:tcPr>
          <w:p>
            <w:pPr>
              <w:spacing w:after="0"/>
              <w:rPr>
                <w:sz w:val="15"/>
                <w:szCs w:val="15"/>
                <w:color w:val="auto"/>
              </w:rPr>
            </w:pP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*4(c)1</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4"/>
              </w:rPr>
              <w:t>-   Mortgage and Deed of Trust, dated as of March 1, 1943, between Superior Water, Light and Power Company and Chemical Bank &amp; Trust Company and Howard B. Smith,</w:t>
            </w:r>
          </w:p>
        </w:tc>
      </w:tr>
      <w:tr>
        <w:trPr>
          <w:trHeight w:val="183"/>
        </w:trPr>
        <w:tc>
          <w:tcPr>
            <w:tcW w:w="1180" w:type="dxa"/>
            <w:vAlign w:val="bottom"/>
            <w:shd w:val="clear" w:color="auto" w:fill="CCEEFF"/>
          </w:tcPr>
          <w:p>
            <w:pPr>
              <w:spacing w:after="0"/>
              <w:rPr>
                <w:sz w:val="15"/>
                <w:szCs w:val="15"/>
                <w:color w:val="auto"/>
              </w:rPr>
            </w:pPr>
          </w:p>
        </w:tc>
        <w:tc>
          <w:tcPr>
            <w:tcW w:w="864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as Trustees, both succeeded by U.S. Bank Trust N.A., as Trustee (filed as Exhibit 7(c), File No. 2-8668).</w:t>
            </w:r>
          </w:p>
        </w:tc>
        <w:tc>
          <w:tcPr>
            <w:tcW w:w="1640" w:type="dxa"/>
            <w:vAlign w:val="bottom"/>
            <w:shd w:val="clear" w:color="auto" w:fill="CCEEFF"/>
          </w:tcPr>
          <w:p>
            <w:pPr>
              <w:spacing w:after="0"/>
              <w:rPr>
                <w:sz w:val="15"/>
                <w:szCs w:val="15"/>
                <w:color w:val="auto"/>
              </w:rPr>
            </w:pPr>
          </w:p>
        </w:tc>
      </w:tr>
      <w:tr>
        <w:trPr>
          <w:trHeight w:val="172"/>
        </w:trPr>
        <w:tc>
          <w:tcPr>
            <w:tcW w:w="1180" w:type="dxa"/>
            <w:vAlign w:val="bottom"/>
          </w:tcPr>
          <w:p>
            <w:pPr>
              <w:ind w:left="260"/>
              <w:spacing w:after="0"/>
              <w:rPr>
                <w:sz w:val="20"/>
                <w:szCs w:val="20"/>
                <w:color w:val="auto"/>
              </w:rPr>
            </w:pPr>
            <w:r>
              <w:rPr>
                <w:rFonts w:ascii="Arial" w:cs="Arial" w:eastAsia="Arial" w:hAnsi="Arial"/>
                <w:sz w:val="14"/>
                <w:szCs w:val="14"/>
                <w:color w:val="auto"/>
              </w:rPr>
              <w:t>*4(c)2</w:t>
            </w:r>
          </w:p>
        </w:tc>
        <w:tc>
          <w:tcPr>
            <w:tcW w:w="8640" w:type="dxa"/>
            <w:vAlign w:val="bottom"/>
            <w:gridSpan w:val="3"/>
          </w:tcPr>
          <w:p>
            <w:pPr>
              <w:ind w:left="160"/>
              <w:spacing w:after="0"/>
              <w:rPr>
                <w:sz w:val="20"/>
                <w:szCs w:val="20"/>
                <w:color w:val="auto"/>
              </w:rPr>
            </w:pPr>
            <w:r>
              <w:rPr>
                <w:rFonts w:ascii="Arial" w:cs="Arial" w:eastAsia="Arial" w:hAnsi="Arial"/>
                <w:sz w:val="14"/>
                <w:szCs w:val="14"/>
                <w:color w:val="auto"/>
              </w:rPr>
              <w:t>-   Supplemental Indentures to Superior Water, Light and Power Company’s Mortgage and Deed of Trust:</w:t>
            </w:r>
          </w:p>
        </w:tc>
        <w:tc>
          <w:tcPr>
            <w:tcW w:w="1640" w:type="dxa"/>
            <w:vAlign w:val="bottom"/>
          </w:tcPr>
          <w:p>
            <w:pPr>
              <w:spacing w:after="0"/>
              <w:rPr>
                <w:sz w:val="14"/>
                <w:szCs w:val="14"/>
                <w:color w:val="auto"/>
              </w:rPr>
            </w:pPr>
          </w:p>
        </w:tc>
      </w:tr>
      <w:tr>
        <w:trPr>
          <w:trHeight w:val="172"/>
        </w:trPr>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Number</w:t>
            </w:r>
          </w:p>
        </w:tc>
        <w:tc>
          <w:tcPr>
            <w:tcW w:w="29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Dated as of</w:t>
            </w:r>
          </w:p>
        </w:tc>
        <w:tc>
          <w:tcPr>
            <w:tcW w:w="37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Reference File</w:t>
            </w:r>
          </w:p>
        </w:tc>
        <w:tc>
          <w:tcPr>
            <w:tcW w:w="1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Exhibit</w:t>
            </w:r>
          </w:p>
        </w:tc>
      </w:tr>
      <w:tr>
        <w:trPr>
          <w:trHeight w:val="172"/>
        </w:trPr>
        <w:tc>
          <w:tcPr>
            <w:tcW w:w="1180" w:type="dxa"/>
            <w:vAlign w:val="bottom"/>
          </w:tcPr>
          <w:p>
            <w:pPr>
              <w:spacing w:after="0"/>
              <w:rPr>
                <w:sz w:val="14"/>
                <w:szCs w:val="14"/>
                <w:color w:val="auto"/>
              </w:rPr>
            </w:pPr>
          </w:p>
        </w:tc>
        <w:tc>
          <w:tcPr>
            <w:tcW w:w="1980" w:type="dxa"/>
            <w:vAlign w:val="bottom"/>
          </w:tcPr>
          <w:p>
            <w:pPr>
              <w:ind w:left="420"/>
              <w:spacing w:after="0"/>
              <w:rPr>
                <w:sz w:val="20"/>
                <w:szCs w:val="20"/>
                <w:color w:val="auto"/>
              </w:rPr>
            </w:pPr>
            <w:r>
              <w:rPr>
                <w:rFonts w:ascii="Arial" w:cs="Arial" w:eastAsia="Arial" w:hAnsi="Arial"/>
                <w:sz w:val="14"/>
                <w:szCs w:val="14"/>
                <w:color w:val="auto"/>
              </w:rPr>
              <w:t>First</w:t>
            </w:r>
          </w:p>
        </w:tc>
        <w:tc>
          <w:tcPr>
            <w:tcW w:w="2920" w:type="dxa"/>
            <w:vAlign w:val="bottom"/>
          </w:tcPr>
          <w:p>
            <w:pPr>
              <w:ind w:left="180"/>
              <w:spacing w:after="0"/>
              <w:rPr>
                <w:sz w:val="20"/>
                <w:szCs w:val="20"/>
                <w:color w:val="auto"/>
              </w:rPr>
            </w:pPr>
            <w:r>
              <w:rPr>
                <w:rFonts w:ascii="Arial" w:cs="Arial" w:eastAsia="Arial" w:hAnsi="Arial"/>
                <w:sz w:val="14"/>
                <w:szCs w:val="14"/>
                <w:color w:val="auto"/>
              </w:rPr>
              <w:t>March 1, 1951</w:t>
            </w:r>
          </w:p>
        </w:tc>
        <w:tc>
          <w:tcPr>
            <w:tcW w:w="3740" w:type="dxa"/>
            <w:vAlign w:val="bottom"/>
          </w:tcPr>
          <w:p>
            <w:pPr>
              <w:ind w:left="100"/>
              <w:spacing w:after="0"/>
              <w:rPr>
                <w:sz w:val="20"/>
                <w:szCs w:val="20"/>
                <w:color w:val="auto"/>
              </w:rPr>
            </w:pPr>
            <w:r>
              <w:rPr>
                <w:rFonts w:ascii="Arial" w:cs="Arial" w:eastAsia="Arial" w:hAnsi="Arial"/>
                <w:sz w:val="14"/>
                <w:szCs w:val="14"/>
                <w:color w:val="auto"/>
              </w:rPr>
              <w:t>2-59690</w:t>
            </w:r>
          </w:p>
        </w:tc>
        <w:tc>
          <w:tcPr>
            <w:tcW w:w="1640" w:type="dxa"/>
            <w:vAlign w:val="bottom"/>
          </w:tcPr>
          <w:p>
            <w:pPr>
              <w:ind w:left="20"/>
              <w:spacing w:after="0"/>
              <w:rPr>
                <w:sz w:val="20"/>
                <w:szCs w:val="20"/>
                <w:color w:val="auto"/>
              </w:rPr>
            </w:pPr>
            <w:r>
              <w:rPr>
                <w:rFonts w:ascii="Arial" w:cs="Arial" w:eastAsia="Arial" w:hAnsi="Arial"/>
                <w:sz w:val="14"/>
                <w:szCs w:val="14"/>
                <w:color w:val="auto"/>
              </w:rPr>
              <w:t>2(d)(1)</w:t>
            </w:r>
          </w:p>
        </w:tc>
      </w:tr>
      <w:tr>
        <w:trPr>
          <w:trHeight w:val="172"/>
        </w:trPr>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Second</w:t>
            </w:r>
          </w:p>
        </w:tc>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March 1, 1962</w:t>
            </w:r>
          </w:p>
        </w:tc>
        <w:tc>
          <w:tcPr>
            <w:tcW w:w="3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2-27794</w:t>
            </w:r>
          </w:p>
        </w:tc>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2(d)1</w:t>
            </w:r>
          </w:p>
        </w:tc>
      </w:tr>
      <w:tr>
        <w:trPr>
          <w:trHeight w:val="172"/>
        </w:trPr>
        <w:tc>
          <w:tcPr>
            <w:tcW w:w="1180" w:type="dxa"/>
            <w:vAlign w:val="bottom"/>
          </w:tcPr>
          <w:p>
            <w:pPr>
              <w:spacing w:after="0"/>
              <w:rPr>
                <w:sz w:val="14"/>
                <w:szCs w:val="14"/>
                <w:color w:val="auto"/>
              </w:rPr>
            </w:pPr>
          </w:p>
        </w:tc>
        <w:tc>
          <w:tcPr>
            <w:tcW w:w="1980" w:type="dxa"/>
            <w:vAlign w:val="bottom"/>
          </w:tcPr>
          <w:p>
            <w:pPr>
              <w:ind w:left="420"/>
              <w:spacing w:after="0"/>
              <w:rPr>
                <w:sz w:val="20"/>
                <w:szCs w:val="20"/>
                <w:color w:val="auto"/>
              </w:rPr>
            </w:pPr>
            <w:r>
              <w:rPr>
                <w:rFonts w:ascii="Arial" w:cs="Arial" w:eastAsia="Arial" w:hAnsi="Arial"/>
                <w:sz w:val="14"/>
                <w:szCs w:val="14"/>
                <w:color w:val="auto"/>
              </w:rPr>
              <w:t>Third</w:t>
            </w:r>
          </w:p>
        </w:tc>
        <w:tc>
          <w:tcPr>
            <w:tcW w:w="2920" w:type="dxa"/>
            <w:vAlign w:val="bottom"/>
          </w:tcPr>
          <w:p>
            <w:pPr>
              <w:ind w:left="180"/>
              <w:spacing w:after="0"/>
              <w:rPr>
                <w:sz w:val="20"/>
                <w:szCs w:val="20"/>
                <w:color w:val="auto"/>
              </w:rPr>
            </w:pPr>
            <w:r>
              <w:rPr>
                <w:rFonts w:ascii="Arial" w:cs="Arial" w:eastAsia="Arial" w:hAnsi="Arial"/>
                <w:sz w:val="14"/>
                <w:szCs w:val="14"/>
                <w:color w:val="auto"/>
              </w:rPr>
              <w:t>July 1, 1976</w:t>
            </w:r>
          </w:p>
        </w:tc>
        <w:tc>
          <w:tcPr>
            <w:tcW w:w="3740" w:type="dxa"/>
            <w:vAlign w:val="bottom"/>
          </w:tcPr>
          <w:p>
            <w:pPr>
              <w:ind w:left="100"/>
              <w:spacing w:after="0"/>
              <w:rPr>
                <w:sz w:val="20"/>
                <w:szCs w:val="20"/>
                <w:color w:val="auto"/>
              </w:rPr>
            </w:pPr>
            <w:r>
              <w:rPr>
                <w:rFonts w:ascii="Arial" w:cs="Arial" w:eastAsia="Arial" w:hAnsi="Arial"/>
                <w:sz w:val="14"/>
                <w:szCs w:val="14"/>
                <w:color w:val="auto"/>
              </w:rPr>
              <w:t>2-57478</w:t>
            </w:r>
          </w:p>
        </w:tc>
        <w:tc>
          <w:tcPr>
            <w:tcW w:w="1640" w:type="dxa"/>
            <w:vAlign w:val="bottom"/>
          </w:tcPr>
          <w:p>
            <w:pPr>
              <w:ind w:left="20"/>
              <w:spacing w:after="0"/>
              <w:rPr>
                <w:sz w:val="20"/>
                <w:szCs w:val="20"/>
                <w:color w:val="auto"/>
              </w:rPr>
            </w:pPr>
            <w:r>
              <w:rPr>
                <w:rFonts w:ascii="Arial" w:cs="Arial" w:eastAsia="Arial" w:hAnsi="Arial"/>
                <w:sz w:val="14"/>
                <w:szCs w:val="14"/>
                <w:color w:val="auto"/>
              </w:rPr>
              <w:t>2(e)1</w:t>
            </w:r>
          </w:p>
        </w:tc>
      </w:tr>
      <w:tr>
        <w:trPr>
          <w:trHeight w:val="172"/>
        </w:trPr>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Fourth</w:t>
            </w:r>
          </w:p>
        </w:tc>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March 1, 1985</w:t>
            </w:r>
          </w:p>
        </w:tc>
        <w:tc>
          <w:tcPr>
            <w:tcW w:w="3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2-78641</w:t>
            </w:r>
          </w:p>
        </w:tc>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4(b)</w:t>
            </w:r>
          </w:p>
        </w:tc>
      </w:tr>
      <w:tr>
        <w:trPr>
          <w:trHeight w:val="172"/>
        </w:trPr>
        <w:tc>
          <w:tcPr>
            <w:tcW w:w="1180" w:type="dxa"/>
            <w:vAlign w:val="bottom"/>
          </w:tcPr>
          <w:p>
            <w:pPr>
              <w:spacing w:after="0"/>
              <w:rPr>
                <w:sz w:val="14"/>
                <w:szCs w:val="14"/>
                <w:color w:val="auto"/>
              </w:rPr>
            </w:pPr>
          </w:p>
        </w:tc>
        <w:tc>
          <w:tcPr>
            <w:tcW w:w="1980" w:type="dxa"/>
            <w:vAlign w:val="bottom"/>
          </w:tcPr>
          <w:p>
            <w:pPr>
              <w:ind w:left="420"/>
              <w:spacing w:after="0"/>
              <w:rPr>
                <w:sz w:val="20"/>
                <w:szCs w:val="20"/>
                <w:color w:val="auto"/>
              </w:rPr>
            </w:pPr>
            <w:r>
              <w:rPr>
                <w:rFonts w:ascii="Arial" w:cs="Arial" w:eastAsia="Arial" w:hAnsi="Arial"/>
                <w:sz w:val="14"/>
                <w:szCs w:val="14"/>
                <w:color w:val="auto"/>
              </w:rPr>
              <w:t>Fifth</w:t>
            </w:r>
          </w:p>
        </w:tc>
        <w:tc>
          <w:tcPr>
            <w:tcW w:w="2920" w:type="dxa"/>
            <w:vAlign w:val="bottom"/>
          </w:tcPr>
          <w:p>
            <w:pPr>
              <w:ind w:left="180"/>
              <w:spacing w:after="0"/>
              <w:rPr>
                <w:sz w:val="20"/>
                <w:szCs w:val="20"/>
                <w:color w:val="auto"/>
              </w:rPr>
            </w:pPr>
            <w:r>
              <w:rPr>
                <w:rFonts w:ascii="Arial" w:cs="Arial" w:eastAsia="Arial" w:hAnsi="Arial"/>
                <w:sz w:val="14"/>
                <w:szCs w:val="14"/>
                <w:color w:val="auto"/>
              </w:rPr>
              <w:t>December 1, 1992</w:t>
            </w:r>
          </w:p>
        </w:tc>
        <w:tc>
          <w:tcPr>
            <w:tcW w:w="3740" w:type="dxa"/>
            <w:vAlign w:val="bottom"/>
          </w:tcPr>
          <w:p>
            <w:pPr>
              <w:ind w:left="100"/>
              <w:spacing w:after="0"/>
              <w:rPr>
                <w:sz w:val="20"/>
                <w:szCs w:val="20"/>
                <w:color w:val="auto"/>
              </w:rPr>
            </w:pPr>
            <w:r>
              <w:rPr>
                <w:rFonts w:ascii="Arial" w:cs="Arial" w:eastAsia="Arial" w:hAnsi="Arial"/>
                <w:sz w:val="14"/>
                <w:szCs w:val="14"/>
                <w:color w:val="auto"/>
              </w:rPr>
              <w:t>1-3548 (1992 Form 10-K)</w:t>
            </w:r>
          </w:p>
        </w:tc>
        <w:tc>
          <w:tcPr>
            <w:tcW w:w="1640" w:type="dxa"/>
            <w:vAlign w:val="bottom"/>
          </w:tcPr>
          <w:p>
            <w:pPr>
              <w:ind w:left="20"/>
              <w:spacing w:after="0"/>
              <w:rPr>
                <w:sz w:val="20"/>
                <w:szCs w:val="20"/>
                <w:color w:val="auto"/>
              </w:rPr>
            </w:pPr>
            <w:r>
              <w:rPr>
                <w:rFonts w:ascii="Arial" w:cs="Arial" w:eastAsia="Arial" w:hAnsi="Arial"/>
                <w:sz w:val="14"/>
                <w:szCs w:val="14"/>
                <w:color w:val="auto"/>
              </w:rPr>
              <w:t>4(b)1</w:t>
            </w:r>
          </w:p>
        </w:tc>
      </w:tr>
      <w:tr>
        <w:trPr>
          <w:trHeight w:val="172"/>
        </w:trPr>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Sixth</w:t>
            </w:r>
          </w:p>
        </w:tc>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March 24, 1994</w:t>
            </w:r>
          </w:p>
        </w:tc>
        <w:tc>
          <w:tcPr>
            <w:tcW w:w="3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1-3548 (1996 Form 10-K)</w:t>
            </w:r>
          </w:p>
        </w:tc>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4(b)1</w:t>
            </w:r>
          </w:p>
        </w:tc>
      </w:tr>
      <w:tr>
        <w:trPr>
          <w:trHeight w:val="172"/>
        </w:trPr>
        <w:tc>
          <w:tcPr>
            <w:tcW w:w="1180" w:type="dxa"/>
            <w:vAlign w:val="bottom"/>
          </w:tcPr>
          <w:p>
            <w:pPr>
              <w:spacing w:after="0"/>
              <w:rPr>
                <w:sz w:val="14"/>
                <w:szCs w:val="14"/>
                <w:color w:val="auto"/>
              </w:rPr>
            </w:pPr>
          </w:p>
        </w:tc>
        <w:tc>
          <w:tcPr>
            <w:tcW w:w="1980" w:type="dxa"/>
            <w:vAlign w:val="bottom"/>
          </w:tcPr>
          <w:p>
            <w:pPr>
              <w:ind w:left="420"/>
              <w:spacing w:after="0"/>
              <w:rPr>
                <w:sz w:val="20"/>
                <w:szCs w:val="20"/>
                <w:color w:val="auto"/>
              </w:rPr>
            </w:pPr>
            <w:r>
              <w:rPr>
                <w:rFonts w:ascii="Arial" w:cs="Arial" w:eastAsia="Arial" w:hAnsi="Arial"/>
                <w:sz w:val="14"/>
                <w:szCs w:val="14"/>
                <w:color w:val="auto"/>
              </w:rPr>
              <w:t>Seventh</w:t>
            </w:r>
          </w:p>
        </w:tc>
        <w:tc>
          <w:tcPr>
            <w:tcW w:w="2920" w:type="dxa"/>
            <w:vAlign w:val="bottom"/>
          </w:tcPr>
          <w:p>
            <w:pPr>
              <w:ind w:left="180"/>
              <w:spacing w:after="0"/>
              <w:rPr>
                <w:sz w:val="20"/>
                <w:szCs w:val="20"/>
                <w:color w:val="auto"/>
              </w:rPr>
            </w:pPr>
            <w:r>
              <w:rPr>
                <w:rFonts w:ascii="Arial" w:cs="Arial" w:eastAsia="Arial" w:hAnsi="Arial"/>
                <w:sz w:val="14"/>
                <w:szCs w:val="14"/>
                <w:color w:val="auto"/>
              </w:rPr>
              <w:t>November 1, 1994</w:t>
            </w:r>
          </w:p>
        </w:tc>
        <w:tc>
          <w:tcPr>
            <w:tcW w:w="3740" w:type="dxa"/>
            <w:vAlign w:val="bottom"/>
          </w:tcPr>
          <w:p>
            <w:pPr>
              <w:ind w:left="100"/>
              <w:spacing w:after="0"/>
              <w:rPr>
                <w:sz w:val="20"/>
                <w:szCs w:val="20"/>
                <w:color w:val="auto"/>
              </w:rPr>
            </w:pPr>
            <w:r>
              <w:rPr>
                <w:rFonts w:ascii="Arial" w:cs="Arial" w:eastAsia="Arial" w:hAnsi="Arial"/>
                <w:sz w:val="14"/>
                <w:szCs w:val="14"/>
                <w:color w:val="auto"/>
              </w:rPr>
              <w:t>1-3548 (1996 Form 10-K)</w:t>
            </w:r>
          </w:p>
        </w:tc>
        <w:tc>
          <w:tcPr>
            <w:tcW w:w="1640" w:type="dxa"/>
            <w:vAlign w:val="bottom"/>
          </w:tcPr>
          <w:p>
            <w:pPr>
              <w:ind w:left="20"/>
              <w:spacing w:after="0"/>
              <w:rPr>
                <w:sz w:val="20"/>
                <w:szCs w:val="20"/>
                <w:color w:val="auto"/>
              </w:rPr>
            </w:pPr>
            <w:r>
              <w:rPr>
                <w:rFonts w:ascii="Arial" w:cs="Arial" w:eastAsia="Arial" w:hAnsi="Arial"/>
                <w:sz w:val="14"/>
                <w:szCs w:val="14"/>
                <w:color w:val="auto"/>
              </w:rPr>
              <w:t>4(b)2</w:t>
            </w:r>
          </w:p>
        </w:tc>
      </w:tr>
      <w:tr>
        <w:trPr>
          <w:trHeight w:val="172"/>
        </w:trPr>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Eighth</w:t>
            </w:r>
          </w:p>
        </w:tc>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January 1, 1997</w:t>
            </w:r>
          </w:p>
        </w:tc>
        <w:tc>
          <w:tcPr>
            <w:tcW w:w="3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1-3548 (1996 Form 10-K)</w:t>
            </w:r>
          </w:p>
        </w:tc>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4(b)3</w:t>
            </w:r>
          </w:p>
        </w:tc>
      </w:tr>
      <w:tr>
        <w:trPr>
          <w:trHeight w:val="172"/>
        </w:trPr>
        <w:tc>
          <w:tcPr>
            <w:tcW w:w="1180" w:type="dxa"/>
            <w:vAlign w:val="bottom"/>
          </w:tcPr>
          <w:p>
            <w:pPr>
              <w:spacing w:after="0"/>
              <w:rPr>
                <w:sz w:val="14"/>
                <w:szCs w:val="14"/>
                <w:color w:val="auto"/>
              </w:rPr>
            </w:pPr>
          </w:p>
        </w:tc>
        <w:tc>
          <w:tcPr>
            <w:tcW w:w="1980" w:type="dxa"/>
            <w:vAlign w:val="bottom"/>
          </w:tcPr>
          <w:p>
            <w:pPr>
              <w:ind w:left="420"/>
              <w:spacing w:after="0"/>
              <w:rPr>
                <w:sz w:val="20"/>
                <w:szCs w:val="20"/>
                <w:color w:val="auto"/>
              </w:rPr>
            </w:pPr>
            <w:r>
              <w:rPr>
                <w:rFonts w:ascii="Arial" w:cs="Arial" w:eastAsia="Arial" w:hAnsi="Arial"/>
                <w:sz w:val="14"/>
                <w:szCs w:val="14"/>
                <w:color w:val="auto"/>
              </w:rPr>
              <w:t>Ninth</w:t>
            </w:r>
          </w:p>
        </w:tc>
        <w:tc>
          <w:tcPr>
            <w:tcW w:w="2920" w:type="dxa"/>
            <w:vAlign w:val="bottom"/>
          </w:tcPr>
          <w:p>
            <w:pPr>
              <w:ind w:left="180"/>
              <w:spacing w:after="0"/>
              <w:rPr>
                <w:sz w:val="20"/>
                <w:szCs w:val="20"/>
                <w:color w:val="auto"/>
              </w:rPr>
            </w:pPr>
            <w:r>
              <w:rPr>
                <w:rFonts w:ascii="Arial" w:cs="Arial" w:eastAsia="Arial" w:hAnsi="Arial"/>
                <w:sz w:val="14"/>
                <w:szCs w:val="14"/>
                <w:color w:val="auto"/>
              </w:rPr>
              <w:t>October 1, 2007</w:t>
            </w:r>
          </w:p>
        </w:tc>
        <w:tc>
          <w:tcPr>
            <w:tcW w:w="3740" w:type="dxa"/>
            <w:vAlign w:val="bottom"/>
          </w:tcPr>
          <w:p>
            <w:pPr>
              <w:ind w:left="100"/>
              <w:spacing w:after="0"/>
              <w:rPr>
                <w:sz w:val="20"/>
                <w:szCs w:val="20"/>
                <w:color w:val="auto"/>
              </w:rPr>
            </w:pPr>
            <w:r>
              <w:rPr>
                <w:rFonts w:ascii="Arial" w:cs="Arial" w:eastAsia="Arial" w:hAnsi="Arial"/>
                <w:sz w:val="14"/>
                <w:szCs w:val="14"/>
                <w:color w:val="auto"/>
              </w:rPr>
              <w:t>1-3548 (2007 Form 10-K)</w:t>
            </w:r>
          </w:p>
        </w:tc>
        <w:tc>
          <w:tcPr>
            <w:tcW w:w="1640" w:type="dxa"/>
            <w:vAlign w:val="bottom"/>
          </w:tcPr>
          <w:p>
            <w:pPr>
              <w:ind w:left="20"/>
              <w:spacing w:after="0"/>
              <w:rPr>
                <w:sz w:val="20"/>
                <w:szCs w:val="20"/>
                <w:color w:val="auto"/>
              </w:rPr>
            </w:pPr>
            <w:r>
              <w:rPr>
                <w:rFonts w:ascii="Arial" w:cs="Arial" w:eastAsia="Arial" w:hAnsi="Arial"/>
                <w:sz w:val="14"/>
                <w:szCs w:val="14"/>
                <w:color w:val="auto"/>
              </w:rPr>
              <w:t>4(c)3</w:t>
            </w:r>
          </w:p>
        </w:tc>
      </w:tr>
      <w:tr>
        <w:trPr>
          <w:trHeight w:val="172"/>
        </w:trPr>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Tenth</w:t>
            </w:r>
          </w:p>
        </w:tc>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October 1, 2007</w:t>
            </w:r>
          </w:p>
        </w:tc>
        <w:tc>
          <w:tcPr>
            <w:tcW w:w="3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1-3548 (2007 Form 10-K)</w:t>
            </w:r>
          </w:p>
        </w:tc>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4(c)4</w:t>
            </w:r>
          </w:p>
        </w:tc>
      </w:tr>
      <w:tr>
        <w:trPr>
          <w:trHeight w:val="172"/>
        </w:trPr>
        <w:tc>
          <w:tcPr>
            <w:tcW w:w="1180" w:type="dxa"/>
            <w:vAlign w:val="bottom"/>
          </w:tcPr>
          <w:p>
            <w:pPr>
              <w:ind w:left="260"/>
              <w:spacing w:after="0"/>
              <w:rPr>
                <w:sz w:val="20"/>
                <w:szCs w:val="20"/>
                <w:color w:val="auto"/>
              </w:rPr>
            </w:pPr>
            <w:r>
              <w:rPr>
                <w:rFonts w:ascii="Arial" w:cs="Arial" w:eastAsia="Arial" w:hAnsi="Arial"/>
                <w:sz w:val="14"/>
                <w:szCs w:val="14"/>
                <w:color w:val="auto"/>
              </w:rPr>
              <w:t>*4(c)3</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w w:val="95"/>
              </w:rPr>
              <w:t>-   Eleventh Supplemental Indenture, dated as of December 1, 2008, between Superior Water, Light and Power Company and U.S. Bank National Association, as Trustees.</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*4(d)</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4"/>
              </w:rPr>
              <w:t>-   Amended and Restated Rights Agreement, dated as of July 12, 2006, between ALLETE and the Corporate Secretary of ALLETE, as Rights Agent (filed as Exhibit 4 to the</w:t>
            </w:r>
          </w:p>
        </w:tc>
      </w:tr>
      <w:tr>
        <w:trPr>
          <w:trHeight w:val="183"/>
        </w:trPr>
        <w:tc>
          <w:tcPr>
            <w:tcW w:w="118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July 14, 2006, Form 8-K, File No. 1-3548).</w:t>
            </w:r>
          </w:p>
        </w:tc>
        <w:tc>
          <w:tcPr>
            <w:tcW w:w="37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*10(a)</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w w:val="95"/>
              </w:rPr>
              <w:t>-   Power Purchase and Sale Agreement, dated as of May 29, 1998, between Minnesota Power, Inc. (now ALLETE) and Square Butte Electric Cooperative (filed as Exhibit</w:t>
            </w:r>
          </w:p>
        </w:tc>
      </w:tr>
      <w:tr>
        <w:trPr>
          <w:trHeight w:val="183"/>
        </w:trPr>
        <w:tc>
          <w:tcPr>
            <w:tcW w:w="1180" w:type="dxa"/>
            <w:vAlign w:val="bottom"/>
          </w:tcPr>
          <w:p>
            <w:pPr>
              <w:spacing w:after="0"/>
              <w:rPr>
                <w:sz w:val="15"/>
                <w:szCs w:val="15"/>
                <w:color w:val="auto"/>
              </w:rPr>
            </w:pPr>
          </w:p>
        </w:tc>
        <w:tc>
          <w:tcPr>
            <w:tcW w:w="4900" w:type="dxa"/>
            <w:vAlign w:val="bottom"/>
            <w:gridSpan w:val="2"/>
          </w:tcPr>
          <w:p>
            <w:pPr>
              <w:ind w:left="420"/>
              <w:spacing w:after="0"/>
              <w:rPr>
                <w:sz w:val="20"/>
                <w:szCs w:val="20"/>
                <w:color w:val="auto"/>
              </w:rPr>
            </w:pPr>
            <w:r>
              <w:rPr>
                <w:rFonts w:ascii="Arial" w:cs="Arial" w:eastAsia="Arial" w:hAnsi="Arial"/>
                <w:sz w:val="14"/>
                <w:szCs w:val="14"/>
                <w:color w:val="auto"/>
              </w:rPr>
              <w:t>10 to the June 30, 1998, Form 10-Q, File No. 1-3548).</w:t>
            </w:r>
          </w:p>
        </w:tc>
        <w:tc>
          <w:tcPr>
            <w:tcW w:w="37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*10(c)</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4"/>
              </w:rPr>
              <w:t>-   Master Agreement (without Appendices and Exhibits), dated December 28, 2004, by and between Rainy River Energy Corporation and Constellation Energy Commodities</w:t>
            </w:r>
          </w:p>
        </w:tc>
      </w:tr>
      <w:tr>
        <w:trPr>
          <w:trHeight w:val="183"/>
        </w:trPr>
        <w:tc>
          <w:tcPr>
            <w:tcW w:w="118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96"/>
              </w:rPr>
              <w:t>Group, Inc. (filed as Exhibit 10(c) to the 2004 Form 10-K, File No. 1-3548).</w:t>
            </w:r>
          </w:p>
        </w:tc>
        <w:tc>
          <w:tcPr>
            <w:tcW w:w="37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*10(d)1</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w w:val="96"/>
              </w:rPr>
              <w:t>-   Fourth Amended and Restated Committed Facility Letter (without Exhibits), dated January 11, 2006, by and among ALLETE and LaSalle Bank National Association, as</w:t>
            </w:r>
          </w:p>
        </w:tc>
      </w:tr>
      <w:tr>
        <w:trPr>
          <w:trHeight w:val="183"/>
        </w:trPr>
        <w:tc>
          <w:tcPr>
            <w:tcW w:w="1180" w:type="dxa"/>
            <w:vAlign w:val="bottom"/>
          </w:tcPr>
          <w:p>
            <w:pPr>
              <w:spacing w:after="0"/>
              <w:rPr>
                <w:sz w:val="15"/>
                <w:szCs w:val="15"/>
                <w:color w:val="auto"/>
              </w:rPr>
            </w:pPr>
          </w:p>
        </w:tc>
        <w:tc>
          <w:tcPr>
            <w:tcW w:w="8640" w:type="dxa"/>
            <w:vAlign w:val="bottom"/>
            <w:gridSpan w:val="3"/>
          </w:tcPr>
          <w:p>
            <w:pPr>
              <w:ind w:left="420"/>
              <w:spacing w:after="0"/>
              <w:rPr>
                <w:sz w:val="20"/>
                <w:szCs w:val="20"/>
                <w:color w:val="auto"/>
              </w:rPr>
            </w:pPr>
            <w:r>
              <w:rPr>
                <w:rFonts w:ascii="Arial" w:cs="Arial" w:eastAsia="Arial" w:hAnsi="Arial"/>
                <w:sz w:val="14"/>
                <w:szCs w:val="14"/>
                <w:color w:val="auto"/>
              </w:rPr>
              <w:t>Agent (filed as Exhibit 10 to the January 17, 2006, Form 8-K, File No. 1-3548).</w:t>
            </w:r>
          </w:p>
        </w:tc>
        <w:tc>
          <w:tcPr>
            <w:tcW w:w="1640" w:type="dxa"/>
            <w:vAlign w:val="bottom"/>
          </w:tcPr>
          <w:p>
            <w:pPr>
              <w:spacing w:after="0"/>
              <w:rPr>
                <w:sz w:val="15"/>
                <w:szCs w:val="15"/>
                <w:color w:val="auto"/>
              </w:rPr>
            </w:pP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*10(d)2</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6"/>
              </w:rPr>
              <w:t>-   First Amendment to Fourth Amended and Restated Committed Facility Letter dated June 19, 2006, by and among ALLETE and LaSalle Bank National Association, as</w:t>
            </w:r>
          </w:p>
        </w:tc>
      </w:tr>
      <w:tr>
        <w:trPr>
          <w:trHeight w:val="183"/>
        </w:trPr>
        <w:tc>
          <w:tcPr>
            <w:tcW w:w="1180" w:type="dxa"/>
            <w:vAlign w:val="bottom"/>
            <w:shd w:val="clear" w:color="auto" w:fill="CCEEFF"/>
          </w:tcPr>
          <w:p>
            <w:pPr>
              <w:spacing w:after="0"/>
              <w:rPr>
                <w:sz w:val="15"/>
                <w:szCs w:val="15"/>
                <w:color w:val="auto"/>
              </w:rPr>
            </w:pPr>
          </w:p>
        </w:tc>
        <w:tc>
          <w:tcPr>
            <w:tcW w:w="864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Agent (filed as Exhibit 10(a) to the June 30, 2006, Form 10-Q, File No. 1-3548).</w:t>
            </w:r>
          </w:p>
        </w:tc>
        <w:tc>
          <w:tcPr>
            <w:tcW w:w="1640" w:type="dxa"/>
            <w:vAlign w:val="bottom"/>
            <w:shd w:val="clear" w:color="auto" w:fill="CCEEFF"/>
          </w:tcPr>
          <w:p>
            <w:pPr>
              <w:spacing w:after="0"/>
              <w:rPr>
                <w:sz w:val="15"/>
                <w:szCs w:val="15"/>
                <w:color w:val="auto"/>
              </w:rPr>
            </w:pP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10(d)3</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rPr>
              <w:t>-   Second Amendment to Fourth Amended and Restated Committed Facility Letter dated December 14, 2006, by and among ALLETE and LaSalle Bank National</w:t>
            </w:r>
          </w:p>
        </w:tc>
      </w:tr>
      <w:tr>
        <w:trPr>
          <w:trHeight w:val="183"/>
        </w:trPr>
        <w:tc>
          <w:tcPr>
            <w:tcW w:w="1180" w:type="dxa"/>
            <w:vAlign w:val="bottom"/>
          </w:tcPr>
          <w:p>
            <w:pPr>
              <w:spacing w:after="0"/>
              <w:rPr>
                <w:sz w:val="15"/>
                <w:szCs w:val="15"/>
                <w:color w:val="auto"/>
              </w:rPr>
            </w:pPr>
          </w:p>
        </w:tc>
        <w:tc>
          <w:tcPr>
            <w:tcW w:w="1980" w:type="dxa"/>
            <w:vAlign w:val="bottom"/>
          </w:tcPr>
          <w:p>
            <w:pPr>
              <w:ind w:left="420"/>
              <w:spacing w:after="0"/>
              <w:rPr>
                <w:sz w:val="20"/>
                <w:szCs w:val="20"/>
                <w:color w:val="auto"/>
              </w:rPr>
            </w:pPr>
            <w:r>
              <w:rPr>
                <w:rFonts w:ascii="Arial" w:cs="Arial" w:eastAsia="Arial" w:hAnsi="Arial"/>
                <w:sz w:val="14"/>
                <w:szCs w:val="14"/>
                <w:color w:val="auto"/>
              </w:rPr>
              <w:t>Association, as Agent.</w:t>
            </w:r>
          </w:p>
        </w:tc>
        <w:tc>
          <w:tcPr>
            <w:tcW w:w="29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*10(e)1</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5"/>
              </w:rPr>
              <w:t>-   Financing Agreement between Collier County Industrial Development Authority and ALLETE dated as of July 1, 2006 (filed as Exhibit 10(b)1 to the June 30, 2006, Form</w:t>
            </w:r>
          </w:p>
        </w:tc>
      </w:tr>
      <w:tr>
        <w:trPr>
          <w:trHeight w:val="183"/>
        </w:trPr>
        <w:tc>
          <w:tcPr>
            <w:tcW w:w="1180" w:type="dxa"/>
            <w:vAlign w:val="bottom"/>
            <w:shd w:val="clear" w:color="auto" w:fill="CCEEFF"/>
          </w:tcPr>
          <w:p>
            <w:pPr>
              <w:spacing w:after="0"/>
              <w:rPr>
                <w:sz w:val="15"/>
                <w:szCs w:val="15"/>
                <w:color w:val="auto"/>
              </w:rPr>
            </w:pPr>
          </w:p>
        </w:tc>
        <w:tc>
          <w:tcPr>
            <w:tcW w:w="1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10-Q, File No. 1-3548).</w:t>
            </w:r>
          </w:p>
        </w:tc>
        <w:tc>
          <w:tcPr>
            <w:tcW w:w="292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*10(e)2</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w w:val="95"/>
              </w:rPr>
              <w:t>-   Letter of Credit Agreement, dated as of July 5, 2006, among ALLETE, the Participating Banks and Wells Fargo Bank, National Association, as Administrative Agent and</w:t>
            </w:r>
          </w:p>
        </w:tc>
      </w:tr>
      <w:tr>
        <w:trPr>
          <w:trHeight w:val="183"/>
        </w:trPr>
        <w:tc>
          <w:tcPr>
            <w:tcW w:w="1180" w:type="dxa"/>
            <w:vAlign w:val="bottom"/>
          </w:tcPr>
          <w:p>
            <w:pPr>
              <w:spacing w:after="0"/>
              <w:rPr>
                <w:sz w:val="15"/>
                <w:szCs w:val="15"/>
                <w:color w:val="auto"/>
              </w:rPr>
            </w:pPr>
          </w:p>
        </w:tc>
        <w:tc>
          <w:tcPr>
            <w:tcW w:w="8640" w:type="dxa"/>
            <w:vAlign w:val="bottom"/>
            <w:gridSpan w:val="3"/>
          </w:tcPr>
          <w:p>
            <w:pPr>
              <w:ind w:left="420"/>
              <w:spacing w:after="0"/>
              <w:rPr>
                <w:sz w:val="20"/>
                <w:szCs w:val="20"/>
                <w:color w:val="auto"/>
              </w:rPr>
            </w:pPr>
            <w:r>
              <w:rPr>
                <w:rFonts w:ascii="Arial" w:cs="Arial" w:eastAsia="Arial" w:hAnsi="Arial"/>
                <w:sz w:val="14"/>
                <w:szCs w:val="14"/>
                <w:color w:val="auto"/>
              </w:rPr>
              <w:t>Issuing Bank (filed as Exhibit 10(b)2 to the June 30, 2006, Form 10-Q, File No. 1-3548).</w:t>
            </w:r>
          </w:p>
        </w:tc>
        <w:tc>
          <w:tcPr>
            <w:tcW w:w="1640" w:type="dxa"/>
            <w:vAlign w:val="bottom"/>
          </w:tcPr>
          <w:p>
            <w:pPr>
              <w:spacing w:after="0"/>
              <w:rPr>
                <w:sz w:val="15"/>
                <w:szCs w:val="15"/>
                <w:color w:val="auto"/>
              </w:rPr>
            </w:pP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*10(g)</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7"/>
              </w:rPr>
              <w:t>-   Agreement (without Exhibit) dated December 16, 2005, among ALLETE, Wisconsin Public Service Corporation and WPS Investments, LLC (filed as Exhibit 10 to the</w:t>
            </w:r>
          </w:p>
        </w:tc>
      </w:tr>
      <w:tr>
        <w:trPr>
          <w:trHeight w:val="183"/>
        </w:trPr>
        <w:tc>
          <w:tcPr>
            <w:tcW w:w="118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December 21, 2005 Form 8-K, File No. 1-3548).</w:t>
            </w:r>
          </w:p>
        </w:tc>
        <w:tc>
          <w:tcPr>
            <w:tcW w:w="37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+*10(h)1</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w w:val="95"/>
              </w:rPr>
              <w:t>-   Minnesota Power (now ALLETE) Executive Annual Incentive Plan, as amended, effective January 1, 1999 with amendments through January 2003 (filed as Exhibit 10 to</w:t>
            </w:r>
          </w:p>
        </w:tc>
      </w:tr>
      <w:tr>
        <w:trPr>
          <w:trHeight w:val="183"/>
        </w:trPr>
        <w:tc>
          <w:tcPr>
            <w:tcW w:w="1180" w:type="dxa"/>
            <w:vAlign w:val="bottom"/>
          </w:tcPr>
          <w:p>
            <w:pPr>
              <w:spacing w:after="0"/>
              <w:rPr>
                <w:sz w:val="15"/>
                <w:szCs w:val="15"/>
                <w:color w:val="auto"/>
              </w:rPr>
            </w:pPr>
          </w:p>
        </w:tc>
        <w:tc>
          <w:tcPr>
            <w:tcW w:w="4900" w:type="dxa"/>
            <w:vAlign w:val="bottom"/>
            <w:gridSpan w:val="2"/>
          </w:tcPr>
          <w:p>
            <w:pPr>
              <w:ind w:left="420"/>
              <w:spacing w:after="0"/>
              <w:rPr>
                <w:sz w:val="20"/>
                <w:szCs w:val="20"/>
                <w:color w:val="auto"/>
              </w:rPr>
            </w:pPr>
            <w:r>
              <w:rPr>
                <w:rFonts w:ascii="Arial" w:cs="Arial" w:eastAsia="Arial" w:hAnsi="Arial"/>
                <w:sz w:val="14"/>
                <w:szCs w:val="14"/>
                <w:color w:val="auto"/>
              </w:rPr>
              <w:t>the September 30, 2003, Form 10-Q, File No. 1-3548).</w:t>
            </w:r>
          </w:p>
        </w:tc>
        <w:tc>
          <w:tcPr>
            <w:tcW w:w="37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3"/>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+*10(h)2</w:t>
            </w:r>
          </w:p>
        </w:tc>
        <w:tc>
          <w:tcPr>
            <w:tcW w:w="1028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   November 2003 Amendment to the ALLETE Executive Annual Incentive Plan (filed as Exhibit 10(t)2 to the 2003 Form 10-K, File No. 1-3548).</w:t>
            </w:r>
          </w:p>
        </w:tc>
      </w:tr>
      <w:tr>
        <w:trPr>
          <w:trHeight w:val="172"/>
        </w:trPr>
        <w:tc>
          <w:tcPr>
            <w:tcW w:w="1180" w:type="dxa"/>
            <w:vAlign w:val="bottom"/>
          </w:tcPr>
          <w:p>
            <w:pPr>
              <w:ind w:left="260"/>
              <w:spacing w:after="0"/>
              <w:rPr>
                <w:sz w:val="20"/>
                <w:szCs w:val="20"/>
                <w:color w:val="auto"/>
              </w:rPr>
            </w:pPr>
            <w:r>
              <w:rPr>
                <w:rFonts w:ascii="Arial" w:cs="Arial" w:eastAsia="Arial" w:hAnsi="Arial"/>
                <w:sz w:val="14"/>
                <w:szCs w:val="14"/>
                <w:color w:val="auto"/>
              </w:rPr>
              <w:t>+*10(h)3</w:t>
            </w:r>
          </w:p>
        </w:tc>
        <w:tc>
          <w:tcPr>
            <w:tcW w:w="10280" w:type="dxa"/>
            <w:vAlign w:val="bottom"/>
            <w:gridSpan w:val="4"/>
          </w:tcPr>
          <w:p>
            <w:pPr>
              <w:ind w:left="160"/>
              <w:spacing w:after="0"/>
              <w:rPr>
                <w:sz w:val="20"/>
                <w:szCs w:val="20"/>
                <w:color w:val="auto"/>
              </w:rPr>
            </w:pPr>
            <w:r>
              <w:rPr>
                <w:rFonts w:ascii="Arial" w:cs="Arial" w:eastAsia="Arial" w:hAnsi="Arial"/>
                <w:sz w:val="14"/>
                <w:szCs w:val="14"/>
                <w:color w:val="auto"/>
              </w:rPr>
              <w:t>-   July 2004 Amendment to the ALLETE Executive Annual Incentive Plan (filed as Exhibit 10(a) to the June 30, 2004, Form 10-Q, File No. 1-3548).</w:t>
            </w:r>
          </w:p>
        </w:tc>
      </w:tr>
      <w:tr>
        <w:trPr>
          <w:trHeight w:val="17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+*10(h)4</w:t>
            </w:r>
          </w:p>
        </w:tc>
        <w:tc>
          <w:tcPr>
            <w:tcW w:w="86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w w:val="96"/>
              </w:rPr>
              <w:t>-   January 2007 Amendment to the ALLETE Executive Annual Incentive Plan (filed as Exhibit 10(h)4 to the 2006 Form 10-K, File No. 1-3548).</w:t>
            </w:r>
          </w:p>
        </w:tc>
        <w:tc>
          <w:tcPr>
            <w:tcW w:w="1640" w:type="dxa"/>
            <w:vAlign w:val="bottom"/>
            <w:shd w:val="clear" w:color="auto" w:fill="CCEEFF"/>
          </w:tcPr>
          <w:p>
            <w:pPr>
              <w:spacing w:after="0"/>
              <w:rPr>
                <w:sz w:val="14"/>
                <w:szCs w:val="14"/>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7"/>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0280" w:type="dxa"/>
            <w:vAlign w:val="bottom"/>
          </w:tcPr>
          <w:p>
            <w:pPr>
              <w:spacing w:after="0"/>
              <w:rPr>
                <w:sz w:val="16"/>
                <w:szCs w:val="16"/>
                <w:color w:val="auto"/>
              </w:rPr>
            </w:pPr>
          </w:p>
        </w:tc>
      </w:tr>
      <w:tr>
        <w:trPr>
          <w:trHeight w:val="173"/>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+*10(h)5</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Form of ALLETE Executive Annual Incentive Plan 2006 Award (filed as Exhibit 10 to the February 17, 2006, Form 8-K, File No. 1-3548).</w:t>
            </w:r>
          </w:p>
        </w:tc>
      </w:tr>
      <w:tr>
        <w:trPr>
          <w:trHeight w:val="172"/>
        </w:trPr>
        <w:tc>
          <w:tcPr>
            <w:tcW w:w="1180" w:type="dxa"/>
            <w:vAlign w:val="bottom"/>
          </w:tcPr>
          <w:p>
            <w:pPr>
              <w:ind w:left="260"/>
              <w:spacing w:after="0"/>
              <w:rPr>
                <w:sz w:val="20"/>
                <w:szCs w:val="20"/>
                <w:color w:val="auto"/>
              </w:rPr>
            </w:pPr>
            <w:r>
              <w:rPr>
                <w:rFonts w:ascii="Arial" w:cs="Arial" w:eastAsia="Arial" w:hAnsi="Arial"/>
                <w:sz w:val="14"/>
                <w:szCs w:val="14"/>
                <w:color w:val="auto"/>
              </w:rPr>
              <w:t>+*10(h)6</w:t>
            </w:r>
          </w:p>
        </w:tc>
        <w:tc>
          <w:tcPr>
            <w:tcW w:w="10280" w:type="dxa"/>
            <w:vAlign w:val="bottom"/>
          </w:tcPr>
          <w:p>
            <w:pPr>
              <w:ind w:left="160"/>
              <w:spacing w:after="0"/>
              <w:rPr>
                <w:sz w:val="20"/>
                <w:szCs w:val="20"/>
                <w:color w:val="auto"/>
              </w:rPr>
            </w:pPr>
            <w:r>
              <w:rPr>
                <w:rFonts w:ascii="Arial" w:cs="Arial" w:eastAsia="Arial" w:hAnsi="Arial"/>
                <w:sz w:val="14"/>
                <w:szCs w:val="14"/>
                <w:color w:val="auto"/>
              </w:rPr>
              <w:t>-   Form of ALLETE Executive Annual Incentive Plan Awards Effective 2007 (filed as Exhibit 10(h)7 to the 2006 Form 10-K, File No. 1-3548).</w:t>
            </w:r>
          </w:p>
        </w:tc>
      </w:tr>
      <w:tr>
        <w:trPr>
          <w:trHeight w:val="17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+*10(h)7</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Form of ALLETE Executive Annual Incentive Plan Form of Awards Effective 2009.</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+*10(i)1</w:t>
            </w:r>
          </w:p>
        </w:tc>
        <w:tc>
          <w:tcPr>
            <w:tcW w:w="10280" w:type="dxa"/>
            <w:vAlign w:val="bottom"/>
          </w:tcPr>
          <w:p>
            <w:pPr>
              <w:ind w:left="160"/>
              <w:spacing w:after="0"/>
              <w:rPr>
                <w:sz w:val="20"/>
                <w:szCs w:val="20"/>
                <w:color w:val="auto"/>
              </w:rPr>
            </w:pPr>
            <w:r>
              <w:rPr>
                <w:rFonts w:ascii="Arial" w:cs="Arial" w:eastAsia="Arial" w:hAnsi="Arial"/>
                <w:sz w:val="14"/>
                <w:szCs w:val="14"/>
                <w:color w:val="auto"/>
                <w:w w:val="98"/>
              </w:rPr>
              <w:t>-   ALLETE and Affiliated Companies Supplemental Executive Retirement Plan, as amended and restated, effective January 1, 2004 (filed as Exhibit 10(u) to the 2003</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Form 10-K, File 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+*10(i)2</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January 2005 Amendment to the ALLETE and Affiliated Companies Supplemental Executive Retirement Plan (filed as Exhibit 10(b) to the March 31, 2005, Form</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10-Q, File 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+*10(i)3</w:t>
            </w:r>
          </w:p>
        </w:tc>
        <w:tc>
          <w:tcPr>
            <w:tcW w:w="10280" w:type="dxa"/>
            <w:vAlign w:val="bottom"/>
          </w:tcPr>
          <w:p>
            <w:pPr>
              <w:ind w:left="160"/>
              <w:spacing w:after="0"/>
              <w:rPr>
                <w:sz w:val="20"/>
                <w:szCs w:val="20"/>
                <w:color w:val="auto"/>
              </w:rPr>
            </w:pPr>
            <w:r>
              <w:rPr>
                <w:rFonts w:ascii="Arial" w:cs="Arial" w:eastAsia="Arial" w:hAnsi="Arial"/>
                <w:sz w:val="14"/>
                <w:szCs w:val="14"/>
                <w:color w:val="auto"/>
              </w:rPr>
              <w:t>-   August 2006 Amendments to the ALLETE and Affiliated Companies Supplemental Executive Retirement Plan (filed as Exhibit 10(a) to the September 30, 2006,</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Form 10-Q, File No. 1-3548).</w:t>
            </w:r>
          </w:p>
        </w:tc>
      </w:tr>
      <w:tr>
        <w:trPr>
          <w:trHeight w:val="173"/>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+*10(i)4</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ALLETE and Affiliated Companies Supplemental Executive Retirement Plan I (SERP I), as amended and restated, effective January 1, 2009.</w:t>
            </w:r>
          </w:p>
        </w:tc>
      </w:tr>
      <w:tr>
        <w:trPr>
          <w:trHeight w:val="172"/>
        </w:trPr>
        <w:tc>
          <w:tcPr>
            <w:tcW w:w="1180" w:type="dxa"/>
            <w:vAlign w:val="bottom"/>
          </w:tcPr>
          <w:p>
            <w:pPr>
              <w:ind w:left="260"/>
              <w:spacing w:after="0"/>
              <w:rPr>
                <w:sz w:val="20"/>
                <w:szCs w:val="20"/>
                <w:color w:val="auto"/>
              </w:rPr>
            </w:pPr>
            <w:r>
              <w:rPr>
                <w:rFonts w:ascii="Arial" w:cs="Arial" w:eastAsia="Arial" w:hAnsi="Arial"/>
                <w:sz w:val="14"/>
                <w:szCs w:val="14"/>
                <w:color w:val="auto"/>
              </w:rPr>
              <w:t>+*10(i)5</w:t>
            </w:r>
          </w:p>
        </w:tc>
        <w:tc>
          <w:tcPr>
            <w:tcW w:w="10280" w:type="dxa"/>
            <w:vAlign w:val="bottom"/>
          </w:tcPr>
          <w:p>
            <w:pPr>
              <w:ind w:left="160"/>
              <w:spacing w:after="0"/>
              <w:rPr>
                <w:sz w:val="20"/>
                <w:szCs w:val="20"/>
                <w:color w:val="auto"/>
              </w:rPr>
            </w:pPr>
            <w:r>
              <w:rPr>
                <w:rFonts w:ascii="Arial" w:cs="Arial" w:eastAsia="Arial" w:hAnsi="Arial"/>
                <w:sz w:val="14"/>
                <w:szCs w:val="14"/>
                <w:color w:val="auto"/>
              </w:rPr>
              <w:t>-   ALLETE and Affiliated Companies Supplemental Executive Retirement Plan II (SERP II), effective January 1, 2009.</w:t>
            </w:r>
          </w:p>
        </w:tc>
      </w:tr>
      <w:tr>
        <w:trPr>
          <w:trHeight w:val="17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+*10(i)6</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January 2009 Amendment to the ALLETE and Affiliated Companies Supplemental Executive Retirement Plan II (SERP II), effective January 20, 2009.</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+*10(j)1</w:t>
            </w:r>
          </w:p>
        </w:tc>
        <w:tc>
          <w:tcPr>
            <w:tcW w:w="10280" w:type="dxa"/>
            <w:vAlign w:val="bottom"/>
          </w:tcPr>
          <w:p>
            <w:pPr>
              <w:ind w:left="160"/>
              <w:spacing w:after="0"/>
              <w:rPr>
                <w:sz w:val="20"/>
                <w:szCs w:val="20"/>
                <w:color w:val="auto"/>
              </w:rPr>
            </w:pPr>
            <w:r>
              <w:rPr>
                <w:rFonts w:ascii="Arial" w:cs="Arial" w:eastAsia="Arial" w:hAnsi="Arial"/>
                <w:sz w:val="14"/>
                <w:szCs w:val="14"/>
                <w:color w:val="auto"/>
                <w:w w:val="99"/>
              </w:rPr>
              <w:t>-   Minnesota Power and Affiliated Companies Executive Investment Plan I, as amended and restated, effective November 1, 1988 (filed as Exhibit 10(c) to the 1988</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Form 10-K, File 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+*10(j)2</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   Amendments through December 2003 to the Minnesota Power and Affiliated Companies Executive Investment Plan I (filed as Exhibit 10(v)2 to the 2003 Form 10-K,</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File 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+*10(j)3</w:t>
            </w:r>
          </w:p>
        </w:tc>
        <w:tc>
          <w:tcPr>
            <w:tcW w:w="10280" w:type="dxa"/>
            <w:vAlign w:val="bottom"/>
          </w:tcPr>
          <w:p>
            <w:pPr>
              <w:ind w:left="160"/>
              <w:spacing w:after="0"/>
              <w:rPr>
                <w:sz w:val="20"/>
                <w:szCs w:val="20"/>
                <w:color w:val="auto"/>
              </w:rPr>
            </w:pPr>
            <w:r>
              <w:rPr>
                <w:rFonts w:ascii="Arial" w:cs="Arial" w:eastAsia="Arial" w:hAnsi="Arial"/>
                <w:sz w:val="14"/>
                <w:szCs w:val="14"/>
                <w:color w:val="auto"/>
                <w:w w:val="99"/>
              </w:rPr>
              <w:t>-   July 2004 Amendment to the Minnesota Power and Affiliated Companies Executive Investment Plan I (filed as Exhibit 10(b) to the June 30, 2004, Form 10-Q, File</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+*10(j)4</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   August 2006 Amendment to the Minnesota Power and Affiliated Companies Executive Investment Plan I (filed as Exhibit 10(b) to the September 30, 2006, Form 10-</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Q, File 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+*10(k)1</w:t>
            </w:r>
          </w:p>
        </w:tc>
        <w:tc>
          <w:tcPr>
            <w:tcW w:w="10280" w:type="dxa"/>
            <w:vAlign w:val="bottom"/>
          </w:tcPr>
          <w:p>
            <w:pPr>
              <w:ind w:left="160"/>
              <w:spacing w:after="0"/>
              <w:rPr>
                <w:sz w:val="20"/>
                <w:szCs w:val="20"/>
                <w:color w:val="auto"/>
              </w:rPr>
            </w:pPr>
            <w:r>
              <w:rPr>
                <w:rFonts w:ascii="Arial" w:cs="Arial" w:eastAsia="Arial" w:hAnsi="Arial"/>
                <w:sz w:val="14"/>
                <w:szCs w:val="14"/>
                <w:color w:val="auto"/>
                <w:w w:val="99"/>
              </w:rPr>
              <w:t>-   Minnesota Power and Affiliated Companies Executive Investment Plan II, as amended and restated, effective November 1, 1988 (filed as Exhibit 10(d) to the 1988</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Form 10-K, File 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+*10(k)2</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   Amendments through December 2003 to the Minnesota Power and Affiliated Companies Executive Investment Plan II (filed as Exhibit 10(w)2 to the 2003 Form 10-</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K, File 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+*10(k)3</w:t>
            </w:r>
          </w:p>
        </w:tc>
        <w:tc>
          <w:tcPr>
            <w:tcW w:w="10280" w:type="dxa"/>
            <w:vAlign w:val="bottom"/>
          </w:tcPr>
          <w:p>
            <w:pPr>
              <w:ind w:left="160"/>
              <w:spacing w:after="0"/>
              <w:rPr>
                <w:sz w:val="20"/>
                <w:szCs w:val="20"/>
                <w:color w:val="auto"/>
              </w:rPr>
            </w:pPr>
            <w:r>
              <w:rPr>
                <w:rFonts w:ascii="Arial" w:cs="Arial" w:eastAsia="Arial" w:hAnsi="Arial"/>
                <w:sz w:val="14"/>
                <w:szCs w:val="14"/>
                <w:color w:val="auto"/>
                <w:w w:val="99"/>
              </w:rPr>
              <w:t>-   July 2004 Amendment to the Minnesota Power and Affiliated Companies Executive Investment Plan II (filed as Exhibit 10(c) to the June 30, 2004, Form 10-Q, File</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+*10(k)4</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   August 2006 Amendment to the Minnesota Power and Affiliated Companies Executive Investment Plan II (filed as Exhibit 10(c) to the September 30, 2006, Form 10-</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Q, File No. 1-3548).</w:t>
            </w:r>
          </w:p>
        </w:tc>
      </w:tr>
      <w:tr>
        <w:trPr>
          <w:trHeight w:val="172"/>
        </w:trPr>
        <w:tc>
          <w:tcPr>
            <w:tcW w:w="1180" w:type="dxa"/>
            <w:vAlign w:val="bottom"/>
          </w:tcPr>
          <w:p>
            <w:pPr>
              <w:ind w:left="260"/>
              <w:spacing w:after="0"/>
              <w:rPr>
                <w:sz w:val="20"/>
                <w:szCs w:val="20"/>
                <w:color w:val="auto"/>
              </w:rPr>
            </w:pPr>
            <w:r>
              <w:rPr>
                <w:rFonts w:ascii="Arial" w:cs="Arial" w:eastAsia="Arial" w:hAnsi="Arial"/>
                <w:sz w:val="14"/>
                <w:szCs w:val="14"/>
                <w:color w:val="auto"/>
              </w:rPr>
              <w:t>+*10(l)</w:t>
            </w:r>
          </w:p>
        </w:tc>
        <w:tc>
          <w:tcPr>
            <w:tcW w:w="10280" w:type="dxa"/>
            <w:vAlign w:val="bottom"/>
          </w:tcPr>
          <w:p>
            <w:pPr>
              <w:ind w:left="160"/>
              <w:spacing w:after="0"/>
              <w:rPr>
                <w:sz w:val="20"/>
                <w:szCs w:val="20"/>
                <w:color w:val="auto"/>
              </w:rPr>
            </w:pPr>
            <w:r>
              <w:rPr>
                <w:rFonts w:ascii="Arial" w:cs="Arial" w:eastAsia="Arial" w:hAnsi="Arial"/>
                <w:sz w:val="14"/>
                <w:szCs w:val="14"/>
                <w:color w:val="auto"/>
              </w:rPr>
              <w:t>-   Deferred Compensation Trust Agreement, as amended and restated, effective January 1, 1989 (filed as Exhibit 10(f) to the 1988 Form 10-K, File 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+*10(m)1</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   ALLETE Executive Long-Term Incentive Compensation Plan as amended and restated effective January 1, 2006 (filed as Exhibit 10 to the May 16, 2005, Form 8-K,</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File 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+*10(m)2</w:t>
            </w:r>
          </w:p>
        </w:tc>
        <w:tc>
          <w:tcPr>
            <w:tcW w:w="10280" w:type="dxa"/>
            <w:vAlign w:val="bottom"/>
          </w:tcPr>
          <w:p>
            <w:pPr>
              <w:ind w:left="160"/>
              <w:spacing w:after="0"/>
              <w:rPr>
                <w:sz w:val="20"/>
                <w:szCs w:val="20"/>
                <w:color w:val="auto"/>
              </w:rPr>
            </w:pPr>
            <w:r>
              <w:rPr>
                <w:rFonts w:ascii="Arial" w:cs="Arial" w:eastAsia="Arial" w:hAnsi="Arial"/>
                <w:sz w:val="14"/>
                <w:szCs w:val="14"/>
                <w:color w:val="auto"/>
                <w:w w:val="99"/>
              </w:rPr>
              <w:t>-   Form of ALLETE Executive Long-Term Incentive Compensation Plan 2006 Nonqualified Stock Option Grant (filed as Exhibit 10(a)1 to the January 30, 2006, Form</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8-K, File 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+*10(m)3</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   Form of ALLETE Executive Long-Term Incentive Compensation Plan 2006 Performance Share Grant (filed as Exhibit 10(a)2 to the January 30, 2006, Form 8-K, File</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+*10(m)4</w:t>
            </w:r>
          </w:p>
        </w:tc>
        <w:tc>
          <w:tcPr>
            <w:tcW w:w="10280" w:type="dxa"/>
            <w:vAlign w:val="bottom"/>
          </w:tcPr>
          <w:p>
            <w:pPr>
              <w:ind w:left="160"/>
              <w:spacing w:after="0"/>
              <w:rPr>
                <w:sz w:val="20"/>
                <w:szCs w:val="20"/>
                <w:color w:val="auto"/>
              </w:rPr>
            </w:pPr>
            <w:r>
              <w:rPr>
                <w:rFonts w:ascii="Arial" w:cs="Arial" w:eastAsia="Arial" w:hAnsi="Arial"/>
                <w:sz w:val="14"/>
                <w:szCs w:val="14"/>
                <w:color w:val="auto"/>
              </w:rPr>
              <w:t>-   Form of ALLETE Executive Long-Term Incentive Compensation Plan 2006 Long-Term Cash Incentive Award – President of ALLETE Properties (filed as Exhibit</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10(a)3 to the January 30, 2006, Form 8-K, File 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+*10(m)5</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   Form of ALLETE Executive Long-Term Incentive Compensation Plan 2006 Stock Grant – President of ALLETE Properties (filed as Exhibit 10(a)4 to the January 30,</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2006, Form 8-K, File 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+10(m)6</w:t>
            </w:r>
          </w:p>
        </w:tc>
        <w:tc>
          <w:tcPr>
            <w:tcW w:w="10280" w:type="dxa"/>
            <w:vAlign w:val="bottom"/>
          </w:tcPr>
          <w:p>
            <w:pPr>
              <w:ind w:left="160"/>
              <w:spacing w:after="0"/>
              <w:rPr>
                <w:sz w:val="20"/>
                <w:szCs w:val="20"/>
                <w:color w:val="auto"/>
              </w:rPr>
            </w:pPr>
            <w:r>
              <w:rPr>
                <w:rFonts w:ascii="Arial" w:cs="Arial" w:eastAsia="Arial" w:hAnsi="Arial"/>
                <w:sz w:val="14"/>
                <w:szCs w:val="14"/>
                <w:color w:val="auto"/>
                <w:w w:val="98"/>
              </w:rPr>
              <w:t>-   Form of ALLETE Executive Long-Term Incentive Compensation Plan Nonqualified Stock Option Grant Effective 2007 (filed as Exhibit 10(m)6 to the 2006 Form 10-</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K, File No. 1-3548).</w:t>
            </w:r>
          </w:p>
        </w:tc>
      </w:tr>
      <w:tr>
        <w:trPr>
          <w:trHeight w:val="162"/>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+10(m)7</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   Form of ALLETE Executive Long-Term Incentive Compensation Plan Performance Share Grant Effective 2007 (filed as Exhibit 10(m)7 to the 2006 Form 10-K, File</w:t>
            </w:r>
          </w:p>
        </w:tc>
      </w:tr>
      <w:tr>
        <w:trPr>
          <w:trHeight w:val="183"/>
        </w:trPr>
        <w:tc>
          <w:tcPr>
            <w:tcW w:w="1180" w:type="dxa"/>
            <w:vAlign w:val="bottom"/>
            <w:shd w:val="clear" w:color="auto" w:fill="CCEEFF"/>
          </w:tcPr>
          <w:p>
            <w:pPr>
              <w:spacing w:after="0"/>
              <w:rPr>
                <w:sz w:val="15"/>
                <w:szCs w:val="15"/>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+10(m)8</w:t>
            </w:r>
          </w:p>
        </w:tc>
        <w:tc>
          <w:tcPr>
            <w:tcW w:w="10280" w:type="dxa"/>
            <w:vAlign w:val="bottom"/>
          </w:tcPr>
          <w:p>
            <w:pPr>
              <w:ind w:left="160"/>
              <w:spacing w:after="0"/>
              <w:rPr>
                <w:sz w:val="20"/>
                <w:szCs w:val="20"/>
                <w:color w:val="auto"/>
              </w:rPr>
            </w:pPr>
            <w:r>
              <w:rPr>
                <w:rFonts w:ascii="Arial" w:cs="Arial" w:eastAsia="Arial" w:hAnsi="Arial"/>
                <w:sz w:val="14"/>
                <w:szCs w:val="14"/>
                <w:color w:val="auto"/>
              </w:rPr>
              <w:t>-   Form of ALLETE Executive Long-Term Incentive Compensation Plan Long-Term Cash Incentive Award Effective 2007 (filed as Exhibit 10(m)8 to the 2006 Form</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10-K, File No. 1-3548).</w:t>
            </w:r>
          </w:p>
        </w:tc>
      </w:tr>
      <w:tr>
        <w:trPr>
          <w:trHeight w:val="173"/>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+10(m)9</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   Form of ALLETE Executive Long-Term Incentive Compensation Plan Stock Grant Effective 2007 (filed as Exhibit 10(m)9 to the 2006 Form 10-K, File No. 1-3548).</w:t>
            </w:r>
          </w:p>
        </w:tc>
      </w:tr>
      <w:tr>
        <w:trPr>
          <w:trHeight w:val="162"/>
        </w:trPr>
        <w:tc>
          <w:tcPr>
            <w:tcW w:w="1180" w:type="dxa"/>
            <w:vAlign w:val="bottom"/>
          </w:tcPr>
          <w:p>
            <w:pPr>
              <w:ind w:left="260"/>
              <w:spacing w:after="0"/>
              <w:rPr>
                <w:sz w:val="20"/>
                <w:szCs w:val="20"/>
                <w:color w:val="auto"/>
              </w:rPr>
            </w:pPr>
            <w:r>
              <w:rPr>
                <w:rFonts w:ascii="Arial" w:cs="Arial" w:eastAsia="Arial" w:hAnsi="Arial"/>
                <w:sz w:val="14"/>
                <w:szCs w:val="14"/>
                <w:color w:val="auto"/>
              </w:rPr>
              <w:t>+10(m)10</w:t>
            </w:r>
          </w:p>
        </w:tc>
        <w:tc>
          <w:tcPr>
            <w:tcW w:w="10280" w:type="dxa"/>
            <w:vAlign w:val="bottom"/>
          </w:tcPr>
          <w:p>
            <w:pPr>
              <w:ind w:left="160"/>
              <w:spacing w:after="0"/>
              <w:rPr>
                <w:sz w:val="20"/>
                <w:szCs w:val="20"/>
                <w:color w:val="auto"/>
              </w:rPr>
            </w:pPr>
            <w:r>
              <w:rPr>
                <w:rFonts w:ascii="Arial" w:cs="Arial" w:eastAsia="Arial" w:hAnsi="Arial"/>
                <w:sz w:val="14"/>
                <w:szCs w:val="14"/>
                <w:color w:val="auto"/>
              </w:rPr>
              <w:t>-   Form of ALLETE Executive Long-Term Incentive Compensation Plan Performance Share Grant Effective 2008 (filed as Exhibit 10(m)10 to the 2007 Form 10-K,</w:t>
            </w:r>
          </w:p>
        </w:tc>
      </w:tr>
      <w:tr>
        <w:trPr>
          <w:trHeight w:val="183"/>
        </w:trPr>
        <w:tc>
          <w:tcPr>
            <w:tcW w:w="1180" w:type="dxa"/>
            <w:vAlign w:val="bottom"/>
          </w:tcPr>
          <w:p>
            <w:pPr>
              <w:spacing w:after="0"/>
              <w:rPr>
                <w:sz w:val="15"/>
                <w:szCs w:val="15"/>
                <w:color w:val="auto"/>
              </w:rPr>
            </w:pPr>
          </w:p>
        </w:tc>
        <w:tc>
          <w:tcPr>
            <w:tcW w:w="10280" w:type="dxa"/>
            <w:vAlign w:val="bottom"/>
          </w:tcPr>
          <w:p>
            <w:pPr>
              <w:ind w:left="420"/>
              <w:spacing w:after="0"/>
              <w:rPr>
                <w:sz w:val="20"/>
                <w:szCs w:val="20"/>
                <w:color w:val="auto"/>
              </w:rPr>
            </w:pPr>
            <w:r>
              <w:rPr>
                <w:rFonts w:ascii="Arial" w:cs="Arial" w:eastAsia="Arial" w:hAnsi="Arial"/>
                <w:sz w:val="14"/>
                <w:szCs w:val="14"/>
                <w:color w:val="auto"/>
              </w:rPr>
              <w:t>File No. 1-3548).</w:t>
            </w:r>
          </w:p>
        </w:tc>
      </w:tr>
      <w:tr>
        <w:trPr>
          <w:trHeight w:val="173"/>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+10(m)11</w:t>
            </w:r>
          </w:p>
        </w:tc>
        <w:tc>
          <w:tcPr>
            <w:tcW w:w="10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Form of ALLETE Executive Long-Term Incentive Compensation Plan Performance Share Grant Effective 2009.</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spacing w:after="0"/>
              <w:rPr>
                <w:sz w:val="16"/>
                <w:szCs w:val="16"/>
                <w:color w:val="auto"/>
              </w:rPr>
            </w:pPr>
          </w:p>
        </w:tc>
      </w:tr>
      <w:tr>
        <w:trPr>
          <w:trHeight w:val="195"/>
        </w:trPr>
        <w:tc>
          <w:tcPr>
            <w:tcW w:w="1300" w:type="dxa"/>
            <w:vAlign w:val="bottom"/>
          </w:tcPr>
          <w:p>
            <w:pPr>
              <w:spacing w:after="0"/>
              <w:rPr>
                <w:sz w:val="16"/>
                <w:szCs w:val="16"/>
                <w:color w:val="auto"/>
              </w:rPr>
            </w:pPr>
          </w:p>
        </w:tc>
        <w:tc>
          <w:tcPr>
            <w:tcW w:w="10160" w:type="dxa"/>
            <w:vAlign w:val="bottom"/>
          </w:tcPr>
          <w:p>
            <w:pPr>
              <w:spacing w:after="0"/>
              <w:rPr>
                <w:sz w:val="16"/>
                <w:szCs w:val="16"/>
                <w:color w:val="auto"/>
              </w:rPr>
            </w:pPr>
          </w:p>
        </w:tc>
      </w:tr>
      <w:tr>
        <w:trPr>
          <w:trHeight w:val="17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+*10(m)12</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Form of ALLETE Executive Long-Term Incentive Compensation Plan – Restricted Stock Unit Grant Effective 2009.</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+*10(n)1</w:t>
            </w:r>
          </w:p>
        </w:tc>
        <w:tc>
          <w:tcPr>
            <w:tcW w:w="10160" w:type="dxa"/>
            <w:vAlign w:val="bottom"/>
          </w:tcPr>
          <w:p>
            <w:pPr>
              <w:ind w:left="320"/>
              <w:spacing w:after="0"/>
              <w:rPr>
                <w:sz w:val="20"/>
                <w:szCs w:val="20"/>
                <w:color w:val="auto"/>
              </w:rPr>
            </w:pPr>
            <w:r>
              <w:rPr>
                <w:rFonts w:ascii="Arial" w:cs="Arial" w:eastAsia="Arial" w:hAnsi="Arial"/>
                <w:sz w:val="14"/>
                <w:szCs w:val="14"/>
                <w:color w:val="auto"/>
              </w:rPr>
              <w:t>-   Minnesota Power (now ALLETE) Director Stock Plan, effective January 1, 1995 (filed as Exhibit 10 to the March 31, 1995 Form 10-Q, File No. 1-3548).</w:t>
            </w:r>
          </w:p>
        </w:tc>
      </w:tr>
      <w:tr>
        <w:trPr>
          <w:trHeight w:val="16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+*10(n)2</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Amendments through December 2003 to the Minnesota Power (now ALLETE) Director Stock Plan (filed as Exhibit 10(z)2 to the 2003 Form 10-K, File No. 1-</w:t>
            </w:r>
          </w:p>
        </w:tc>
      </w:tr>
      <w:tr>
        <w:trPr>
          <w:trHeight w:val="183"/>
        </w:trPr>
        <w:tc>
          <w:tcPr>
            <w:tcW w:w="1300" w:type="dxa"/>
            <w:vAlign w:val="bottom"/>
            <w:shd w:val="clear" w:color="auto" w:fill="CCEEFF"/>
          </w:tcPr>
          <w:p>
            <w:pPr>
              <w:spacing w:after="0"/>
              <w:rPr>
                <w:sz w:val="15"/>
                <w:szCs w:val="15"/>
                <w:color w:val="auto"/>
              </w:rPr>
            </w:pPr>
          </w:p>
        </w:tc>
        <w:tc>
          <w:tcPr>
            <w:tcW w:w="101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3548).</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+*10(n)3</w:t>
            </w:r>
          </w:p>
        </w:tc>
        <w:tc>
          <w:tcPr>
            <w:tcW w:w="10160" w:type="dxa"/>
            <w:vAlign w:val="bottom"/>
          </w:tcPr>
          <w:p>
            <w:pPr>
              <w:ind w:left="320"/>
              <w:spacing w:after="0"/>
              <w:rPr>
                <w:sz w:val="20"/>
                <w:szCs w:val="20"/>
                <w:color w:val="auto"/>
              </w:rPr>
            </w:pPr>
            <w:r>
              <w:rPr>
                <w:rFonts w:ascii="Arial" w:cs="Arial" w:eastAsia="Arial" w:hAnsi="Arial"/>
                <w:sz w:val="14"/>
                <w:szCs w:val="14"/>
                <w:color w:val="auto"/>
              </w:rPr>
              <w:t>-   July 2004 Amendment to the ALLETE Director Stock Plan (filed as Exhibit 10(e) to the June 30, 2004, Form 10-Q, File No. 1-3548).</w:t>
            </w:r>
          </w:p>
        </w:tc>
      </w:tr>
      <w:tr>
        <w:trPr>
          <w:trHeight w:val="17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+*10(n)4</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January 2007 Amendment to the ALLETE Director Stock Plan (filed as Exhibit 10(n)4 to the 2006 Form 10-K, File No. 1-3548).</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+*10(n)5</w:t>
            </w:r>
          </w:p>
        </w:tc>
        <w:tc>
          <w:tcPr>
            <w:tcW w:w="10160" w:type="dxa"/>
            <w:vAlign w:val="bottom"/>
          </w:tcPr>
          <w:p>
            <w:pPr>
              <w:ind w:left="320"/>
              <w:spacing w:after="0"/>
              <w:rPr>
                <w:sz w:val="20"/>
                <w:szCs w:val="20"/>
                <w:color w:val="auto"/>
              </w:rPr>
            </w:pPr>
            <w:r>
              <w:rPr>
                <w:rFonts w:ascii="Arial" w:cs="Arial" w:eastAsia="Arial" w:hAnsi="Arial"/>
                <w:sz w:val="14"/>
                <w:szCs w:val="14"/>
                <w:color w:val="auto"/>
              </w:rPr>
              <w:t>-   ALLETE Non-Management Director Compensation Summary Effective February 15, 2007 (filed as Exhibit 10(n)6 to the 2006 Form 10-K, File No. 1-3548).</w:t>
            </w:r>
          </w:p>
        </w:tc>
      </w:tr>
      <w:tr>
        <w:trPr>
          <w:trHeight w:val="16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+*10(o)1</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9"/>
              </w:rPr>
              <w:t>-   Minnesota Power (now ALLETE) Director Compensation Deferral Plan Amended and Restated, effective January 1, 1990 (filed as Exhibit 10(ac) to the 2002</w:t>
            </w:r>
          </w:p>
        </w:tc>
      </w:tr>
      <w:tr>
        <w:trPr>
          <w:trHeight w:val="183"/>
        </w:trPr>
        <w:tc>
          <w:tcPr>
            <w:tcW w:w="1300" w:type="dxa"/>
            <w:vAlign w:val="bottom"/>
            <w:shd w:val="clear" w:color="auto" w:fill="CCEEFF"/>
          </w:tcPr>
          <w:p>
            <w:pPr>
              <w:spacing w:after="0"/>
              <w:rPr>
                <w:sz w:val="15"/>
                <w:szCs w:val="15"/>
                <w:color w:val="auto"/>
              </w:rPr>
            </w:pPr>
          </w:p>
        </w:tc>
        <w:tc>
          <w:tcPr>
            <w:tcW w:w="101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Form 10-K, File No. 1-3548).</w:t>
            </w:r>
          </w:p>
        </w:tc>
      </w:tr>
      <w:tr>
        <w:trPr>
          <w:trHeight w:val="162"/>
        </w:trPr>
        <w:tc>
          <w:tcPr>
            <w:tcW w:w="1300" w:type="dxa"/>
            <w:vAlign w:val="bottom"/>
          </w:tcPr>
          <w:p>
            <w:pPr>
              <w:ind w:left="260"/>
              <w:spacing w:after="0"/>
              <w:rPr>
                <w:sz w:val="20"/>
                <w:szCs w:val="20"/>
                <w:color w:val="auto"/>
              </w:rPr>
            </w:pPr>
            <w:r>
              <w:rPr>
                <w:rFonts w:ascii="Arial" w:cs="Arial" w:eastAsia="Arial" w:hAnsi="Arial"/>
                <w:sz w:val="14"/>
                <w:szCs w:val="14"/>
                <w:color w:val="auto"/>
              </w:rPr>
              <w:t>+*10(o)2</w:t>
            </w:r>
          </w:p>
        </w:tc>
        <w:tc>
          <w:tcPr>
            <w:tcW w:w="10160" w:type="dxa"/>
            <w:vAlign w:val="bottom"/>
          </w:tcPr>
          <w:p>
            <w:pPr>
              <w:ind w:left="320"/>
              <w:spacing w:after="0"/>
              <w:rPr>
                <w:sz w:val="20"/>
                <w:szCs w:val="20"/>
                <w:color w:val="auto"/>
              </w:rPr>
            </w:pPr>
            <w:r>
              <w:rPr>
                <w:rFonts w:ascii="Arial" w:cs="Arial" w:eastAsia="Arial" w:hAnsi="Arial"/>
                <w:sz w:val="14"/>
                <w:szCs w:val="14"/>
                <w:color w:val="auto"/>
                <w:w w:val="99"/>
              </w:rPr>
              <w:t>-   October 2003 Amendment to the Minnesota Power (now ALLETE) Director Compensation Deferral Plan (filed as Exhibit 10(aa)2 to the 2003 Form 10-K, File</w:t>
            </w:r>
          </w:p>
        </w:tc>
      </w:tr>
      <w:tr>
        <w:trPr>
          <w:trHeight w:val="183"/>
        </w:trPr>
        <w:tc>
          <w:tcPr>
            <w:tcW w:w="1300" w:type="dxa"/>
            <w:vAlign w:val="bottom"/>
          </w:tcPr>
          <w:p>
            <w:pPr>
              <w:spacing w:after="0"/>
              <w:rPr>
                <w:sz w:val="15"/>
                <w:szCs w:val="15"/>
                <w:color w:val="auto"/>
              </w:rPr>
            </w:pPr>
          </w:p>
        </w:tc>
        <w:tc>
          <w:tcPr>
            <w:tcW w:w="10160" w:type="dxa"/>
            <w:vAlign w:val="bottom"/>
          </w:tcPr>
          <w:p>
            <w:pPr>
              <w:ind w:left="580"/>
              <w:spacing w:after="0"/>
              <w:rPr>
                <w:sz w:val="20"/>
                <w:szCs w:val="20"/>
                <w:color w:val="auto"/>
              </w:rPr>
            </w:pPr>
            <w:r>
              <w:rPr>
                <w:rFonts w:ascii="Arial" w:cs="Arial" w:eastAsia="Arial" w:hAnsi="Arial"/>
                <w:sz w:val="14"/>
                <w:szCs w:val="14"/>
                <w:color w:val="auto"/>
              </w:rPr>
              <w:t>No. 1-3548).</w:t>
            </w:r>
          </w:p>
        </w:tc>
      </w:tr>
      <w:tr>
        <w:trPr>
          <w:trHeight w:val="173"/>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+*10(o)3</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January 2005 Amendment to the ALLETE Director Compensation Deferral Plan (filed as Exhibit 10(c) to the March 31, 2005, Form 10-Q, File No. 1-3548).</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+*10(o)4</w:t>
            </w:r>
          </w:p>
        </w:tc>
        <w:tc>
          <w:tcPr>
            <w:tcW w:w="10160" w:type="dxa"/>
            <w:vAlign w:val="bottom"/>
          </w:tcPr>
          <w:p>
            <w:pPr>
              <w:ind w:left="320"/>
              <w:spacing w:after="0"/>
              <w:rPr>
                <w:sz w:val="20"/>
                <w:szCs w:val="20"/>
                <w:color w:val="auto"/>
              </w:rPr>
            </w:pPr>
            <w:r>
              <w:rPr>
                <w:rFonts w:ascii="Arial" w:cs="Arial" w:eastAsia="Arial" w:hAnsi="Arial"/>
                <w:sz w:val="14"/>
                <w:szCs w:val="14"/>
                <w:color w:val="auto"/>
                <w:w w:val="98"/>
              </w:rPr>
              <w:t>-   August 2006 Amendment to the ALLETE Director Compensation Deferral Plan (filed as Exhibit 10(d) to the September 30, 2006, Form 10-Q, File No. 1-3548).</w:t>
            </w:r>
          </w:p>
        </w:tc>
      </w:tr>
      <w:tr>
        <w:trPr>
          <w:trHeight w:val="17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+*10(o)5</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ALLETE Non-Employee Director Compensation Deferral Plan II, effective January 1, 2009.</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+*10(p)</w:t>
            </w:r>
          </w:p>
        </w:tc>
        <w:tc>
          <w:tcPr>
            <w:tcW w:w="10160" w:type="dxa"/>
            <w:vAlign w:val="bottom"/>
          </w:tcPr>
          <w:p>
            <w:pPr>
              <w:ind w:left="320"/>
              <w:spacing w:after="0"/>
              <w:rPr>
                <w:sz w:val="20"/>
                <w:szCs w:val="20"/>
                <w:color w:val="auto"/>
              </w:rPr>
            </w:pPr>
            <w:r>
              <w:rPr>
                <w:rFonts w:ascii="Arial" w:cs="Arial" w:eastAsia="Arial" w:hAnsi="Arial"/>
                <w:sz w:val="14"/>
                <w:szCs w:val="14"/>
                <w:color w:val="auto"/>
                <w:w w:val="99"/>
              </w:rPr>
              <w:t>-   ALLETE Director Compensation Trust Agreement, effective October 11, 2004 (filed as Exhibit 10(a) to the September 30, 2004, Form 10-Q, File No. 1-3548).</w:t>
            </w:r>
          </w:p>
        </w:tc>
      </w:tr>
      <w:tr>
        <w:trPr>
          <w:trHeight w:val="17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+*10(q)</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ALLETE Change of Control Severance Pay Plan Effective February 13, 2008 (filed as Exhibit 10(q) to the 2007 Form 10-K, File No. 1-3548).</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12</w:t>
            </w:r>
          </w:p>
        </w:tc>
        <w:tc>
          <w:tcPr>
            <w:tcW w:w="10160" w:type="dxa"/>
            <w:vAlign w:val="bottom"/>
          </w:tcPr>
          <w:p>
            <w:pPr>
              <w:ind w:left="320"/>
              <w:spacing w:after="0"/>
              <w:rPr>
                <w:sz w:val="20"/>
                <w:szCs w:val="20"/>
                <w:color w:val="auto"/>
              </w:rPr>
            </w:pPr>
            <w:r>
              <w:rPr>
                <w:rFonts w:ascii="Arial" w:cs="Arial" w:eastAsia="Arial" w:hAnsi="Arial"/>
                <w:sz w:val="14"/>
                <w:szCs w:val="14"/>
                <w:color w:val="auto"/>
              </w:rPr>
              <w:t>-   Computation of Ratios of Earnings to Fixed Charges.</w:t>
            </w:r>
          </w:p>
        </w:tc>
      </w:tr>
      <w:tr>
        <w:trPr>
          <w:trHeight w:val="17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21</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Subsidiaries of the Registrant.</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23(a)</w:t>
            </w:r>
          </w:p>
        </w:tc>
        <w:tc>
          <w:tcPr>
            <w:tcW w:w="10160" w:type="dxa"/>
            <w:vAlign w:val="bottom"/>
          </w:tcPr>
          <w:p>
            <w:pPr>
              <w:ind w:left="320"/>
              <w:spacing w:after="0"/>
              <w:rPr>
                <w:sz w:val="20"/>
                <w:szCs w:val="20"/>
                <w:color w:val="auto"/>
              </w:rPr>
            </w:pPr>
            <w:r>
              <w:rPr>
                <w:rFonts w:ascii="Arial" w:cs="Arial" w:eastAsia="Arial" w:hAnsi="Arial"/>
                <w:sz w:val="14"/>
                <w:szCs w:val="14"/>
                <w:color w:val="auto"/>
              </w:rPr>
              <w:t>-   Consent of Independent Registered Public Accounting Firm.</w:t>
            </w:r>
          </w:p>
        </w:tc>
      </w:tr>
      <w:tr>
        <w:trPr>
          <w:trHeight w:val="17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23(b)</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Consent of General Counsel.</w:t>
            </w:r>
          </w:p>
        </w:tc>
      </w:tr>
      <w:tr>
        <w:trPr>
          <w:trHeight w:val="172"/>
        </w:trPr>
        <w:tc>
          <w:tcPr>
            <w:tcW w:w="1300" w:type="dxa"/>
            <w:vAlign w:val="bottom"/>
          </w:tcPr>
          <w:p>
            <w:pPr>
              <w:ind w:left="260"/>
              <w:spacing w:after="0"/>
              <w:rPr>
                <w:sz w:val="20"/>
                <w:szCs w:val="20"/>
                <w:color w:val="auto"/>
              </w:rPr>
            </w:pPr>
            <w:r>
              <w:rPr>
                <w:rFonts w:ascii="Arial" w:cs="Arial" w:eastAsia="Arial" w:hAnsi="Arial"/>
                <w:sz w:val="14"/>
                <w:szCs w:val="14"/>
                <w:color w:val="auto"/>
              </w:rPr>
              <w:t>31(a)</w:t>
            </w:r>
          </w:p>
        </w:tc>
        <w:tc>
          <w:tcPr>
            <w:tcW w:w="10160" w:type="dxa"/>
            <w:vAlign w:val="bottom"/>
          </w:tcPr>
          <w:p>
            <w:pPr>
              <w:ind w:left="320"/>
              <w:spacing w:after="0"/>
              <w:rPr>
                <w:sz w:val="20"/>
                <w:szCs w:val="20"/>
                <w:color w:val="auto"/>
              </w:rPr>
            </w:pPr>
            <w:r>
              <w:rPr>
                <w:rFonts w:ascii="Arial" w:cs="Arial" w:eastAsia="Arial" w:hAnsi="Arial"/>
                <w:sz w:val="14"/>
                <w:szCs w:val="14"/>
                <w:color w:val="auto"/>
              </w:rPr>
              <w:t>-   Rule 13a-14(a)/15d-14(a) Certification by the Chief Executive Officer Pursuant to Section 302 of the Sarbanes-Oxley Act of 2002.</w:t>
            </w:r>
          </w:p>
        </w:tc>
      </w:tr>
      <w:tr>
        <w:trPr>
          <w:trHeight w:val="172"/>
        </w:trPr>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31(b)</w:t>
            </w:r>
          </w:p>
        </w:tc>
        <w:tc>
          <w:tcPr>
            <w:tcW w:w="10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Rule 13a-14(a)/15d-14(a) Certification by the Chief Financial Officer Pursuant to Section 302 of the Sarbanes-Oxley Act of 2002.</w:t>
            </w:r>
          </w:p>
        </w:tc>
      </w:tr>
      <w:tr>
        <w:trPr>
          <w:trHeight w:val="162"/>
        </w:trPr>
        <w:tc>
          <w:tcPr>
            <w:tcW w:w="1300" w:type="dxa"/>
            <w:vAlign w:val="bottom"/>
          </w:tcPr>
          <w:p>
            <w:pPr>
              <w:ind w:left="260"/>
              <w:spacing w:after="0"/>
              <w:rPr>
                <w:sz w:val="20"/>
                <w:szCs w:val="20"/>
                <w:color w:val="auto"/>
              </w:rPr>
            </w:pPr>
            <w:r>
              <w:rPr>
                <w:rFonts w:ascii="Arial" w:cs="Arial" w:eastAsia="Arial" w:hAnsi="Arial"/>
                <w:sz w:val="14"/>
                <w:szCs w:val="14"/>
                <w:color w:val="auto"/>
              </w:rPr>
              <w:t>32</w:t>
            </w:r>
          </w:p>
        </w:tc>
        <w:tc>
          <w:tcPr>
            <w:tcW w:w="10160" w:type="dxa"/>
            <w:vAlign w:val="bottom"/>
          </w:tcPr>
          <w:p>
            <w:pPr>
              <w:ind w:left="320"/>
              <w:spacing w:after="0"/>
              <w:rPr>
                <w:sz w:val="20"/>
                <w:szCs w:val="20"/>
                <w:color w:val="auto"/>
              </w:rPr>
            </w:pPr>
            <w:r>
              <w:rPr>
                <w:rFonts w:ascii="Arial" w:cs="Arial" w:eastAsia="Arial" w:hAnsi="Arial"/>
                <w:sz w:val="14"/>
                <w:szCs w:val="14"/>
                <w:color w:val="auto"/>
              </w:rPr>
              <w:t>-   Section 1350 Certification of Annual Report by the Chief Executive Officer and Chief Financial Officer Pursuant to Section 906 of the Sarbanes-Oxley Act of</w:t>
            </w:r>
          </w:p>
        </w:tc>
      </w:tr>
      <w:tr>
        <w:trPr>
          <w:trHeight w:val="182"/>
        </w:trPr>
        <w:tc>
          <w:tcPr>
            <w:tcW w:w="1300" w:type="dxa"/>
            <w:vAlign w:val="bottom"/>
          </w:tcPr>
          <w:p>
            <w:pPr>
              <w:spacing w:after="0"/>
              <w:rPr>
                <w:sz w:val="15"/>
                <w:szCs w:val="15"/>
                <w:color w:val="auto"/>
              </w:rPr>
            </w:pPr>
          </w:p>
        </w:tc>
        <w:tc>
          <w:tcPr>
            <w:tcW w:w="10160" w:type="dxa"/>
            <w:vAlign w:val="bottom"/>
          </w:tcPr>
          <w:p>
            <w:pPr>
              <w:ind w:left="580"/>
              <w:spacing w:after="0"/>
              <w:rPr>
                <w:sz w:val="20"/>
                <w:szCs w:val="20"/>
                <w:color w:val="auto"/>
              </w:rPr>
            </w:pPr>
            <w:r>
              <w:rPr>
                <w:rFonts w:ascii="Arial" w:cs="Arial" w:eastAsia="Arial" w:hAnsi="Arial"/>
                <w:sz w:val="14"/>
                <w:szCs w:val="14"/>
                <w:color w:val="auto"/>
              </w:rPr>
              <w:t>2002.</w:t>
            </w:r>
          </w:p>
        </w:tc>
      </w:tr>
    </w:tbl>
    <w:p>
      <w:pPr>
        <w:ind w:left="1880" w:right="260" w:hanging="1615"/>
        <w:spacing w:after="0" w:line="265" w:lineRule="auto"/>
        <w:tabs>
          <w:tab w:leader="none" w:pos="1621"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 ALLETE News Release dated February 13, 2009, announcing earnings for the year ended December 31, 2008. </w:t>
      </w:r>
      <w:r>
        <w:rPr>
          <w:rFonts w:ascii="Arial" w:cs="Arial" w:eastAsia="Arial" w:hAnsi="Arial"/>
          <w:sz w:val="14"/>
          <w:szCs w:val="14"/>
          <w:b w:val="1"/>
          <w:bCs w:val="1"/>
          <w:color w:val="auto"/>
        </w:rPr>
        <w:t>(This exhibit has been furnished and shall not</w:t>
      </w:r>
      <w:r>
        <w:rPr>
          <w:rFonts w:ascii="Arial" w:cs="Arial" w:eastAsia="Arial" w:hAnsi="Arial"/>
          <w:sz w:val="14"/>
          <w:szCs w:val="14"/>
          <w:color w:val="auto"/>
        </w:rPr>
        <w:t xml:space="preserve"> </w:t>
      </w:r>
      <w:r>
        <w:rPr>
          <w:rFonts w:ascii="Arial" w:cs="Arial" w:eastAsia="Arial" w:hAnsi="Arial"/>
          <w:sz w:val="14"/>
          <w:szCs w:val="14"/>
          <w:b w:val="1"/>
          <w:bCs w:val="1"/>
          <w:color w:val="auto"/>
        </w:rPr>
        <w:t>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-337185</wp:posOffset>
            </wp:positionV>
            <wp:extent cx="7274560" cy="328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4560" cy="328295"/>
                    </a:xfrm>
                    <a:prstGeom prst="rect">
                      <a:avLst/>
                    </a:prstGeom>
                    <a:noFill/>
                  </pic:spPr>
                </pic:pic>
              </a:graphicData>
            </a:graphic>
          </wp:anchor>
        </w:drawing>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SWL&amp;P is a party to other long-term debt instruments, $6,370,000 of City of Superior, Wisconsin, Collateralized Utility Revenue Refunding Bonds Series 2007A and $6,130,000 of City of Superior, Wisconsin, Collateralized Utility Revenue Bonds Series 2007B, that, pursuant to Regulation S-K, Item 601(b)(4)(iii), are not filed as exhibits since the total amount of debt authorized under each of these omitted instruments does not exceed 10 percent of our total consolidated assets. We will furnish copies of these instruments to the SEC upon its request.</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a party to another long-term debt instrument, $38,995,000 of City of Cohasset, Minnesota, Variable Rate Demand Revenue Refunding Bonds (ALLETE, formerly Minnesota Power &amp; Light Company, Project) Series 1997A, Series 1997B and Series 1997C that, pursuant to Regulation S-K, Item 601(b)(4)(iii), is not filed as an exhibit since the total amount of debt authorized under this omitted instrument does not exceed 10 percent of our total consolidated assets. We will furnish copies of this instrument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745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155" w:lineRule="exact"/>
        <w:rPr>
          <w:sz w:val="20"/>
          <w:szCs w:val="20"/>
          <w:color w:val="auto"/>
        </w:rPr>
      </w:pPr>
    </w:p>
    <w:p>
      <w:pPr>
        <w:ind w:left="400" w:hanging="394"/>
        <w:spacing w:after="0"/>
        <w:tabs>
          <w:tab w:leader="none" w:pos="4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Incorporated herein by reference as indicated.</w:t>
      </w:r>
    </w:p>
    <w:p>
      <w:pPr>
        <w:spacing w:after="0" w:line="21" w:lineRule="exact"/>
        <w:rPr>
          <w:sz w:val="20"/>
          <w:szCs w:val="20"/>
          <w:color w:val="auto"/>
        </w:rPr>
      </w:pPr>
    </w:p>
    <w:p>
      <w:pPr>
        <w:ind w:left="400" w:hanging="394"/>
        <w:spacing w:after="0"/>
        <w:tabs>
          <w:tab w:leader="none" w:pos="4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 or compensatory plan or arrangement required to be filed as an exhibit to this report pursuant to Item 15(b) of Form 10-K.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Signatures</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80" w:type="dxa"/>
            <w:vAlign w:val="bottom"/>
          </w:tcPr>
          <w:p>
            <w:pPr>
              <w:jc w:val="center"/>
              <w:spacing w:after="0"/>
              <w:rPr>
                <w:sz w:val="20"/>
                <w:szCs w:val="20"/>
                <w:color w:val="auto"/>
              </w:rPr>
            </w:pPr>
            <w:r>
              <w:rPr>
                <w:rFonts w:ascii="Arial" w:cs="Arial" w:eastAsia="Arial" w:hAnsi="Arial"/>
                <w:sz w:val="14"/>
                <w:szCs w:val="14"/>
                <w:b w:val="1"/>
                <w:bCs w:val="1"/>
                <w:color w:val="auto"/>
              </w:rPr>
              <w:t>ALLETE, Inc.</w:t>
            </w:r>
          </w:p>
        </w:tc>
      </w:tr>
      <w:tr>
        <w:trPr>
          <w:trHeight w:val="520"/>
        </w:trPr>
        <w:tc>
          <w:tcPr>
            <w:tcW w:w="3300" w:type="dxa"/>
            <w:vAlign w:val="bottom"/>
          </w:tcPr>
          <w:p>
            <w:pPr>
              <w:spacing w:after="0"/>
              <w:rPr>
                <w:sz w:val="20"/>
                <w:szCs w:val="20"/>
                <w:color w:val="auto"/>
              </w:rPr>
            </w:pPr>
            <w:r>
              <w:rPr>
                <w:rFonts w:ascii="Arial" w:cs="Arial" w:eastAsia="Arial" w:hAnsi="Arial"/>
                <w:sz w:val="14"/>
                <w:szCs w:val="14"/>
                <w:color w:val="auto"/>
              </w:rPr>
              <w:t>Dated: February 13, 2009</w:t>
            </w:r>
          </w:p>
        </w:tc>
        <w:tc>
          <w:tcPr>
            <w:tcW w:w="2480" w:type="dxa"/>
            <w:vAlign w:val="bottom"/>
          </w:tcPr>
          <w:p>
            <w:pPr>
              <w:ind w:left="1820"/>
              <w:spacing w:after="0"/>
              <w:rPr>
                <w:sz w:val="20"/>
                <w:szCs w:val="20"/>
                <w:color w:val="auto"/>
              </w:rPr>
            </w:pPr>
            <w:r>
              <w:rPr>
                <w:rFonts w:ascii="Arial" w:cs="Arial" w:eastAsia="Arial" w:hAnsi="Arial"/>
                <w:sz w:val="14"/>
                <w:szCs w:val="14"/>
                <w:color w:val="auto"/>
              </w:rPr>
              <w:t>By</w:t>
            </w: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Donald J. Shippar</w:t>
            </w:r>
          </w:p>
        </w:tc>
      </w:tr>
      <w:tr>
        <w:trPr>
          <w:trHeight w:val="162"/>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80" w:type="dxa"/>
            <w:vAlign w:val="bottom"/>
          </w:tcPr>
          <w:p>
            <w:pPr>
              <w:jc w:val="center"/>
              <w:spacing w:after="0"/>
              <w:rPr>
                <w:sz w:val="20"/>
                <w:szCs w:val="20"/>
                <w:color w:val="auto"/>
              </w:rPr>
            </w:pPr>
            <w:r>
              <w:rPr>
                <w:rFonts w:ascii="Arial" w:cs="Arial" w:eastAsia="Arial" w:hAnsi="Arial"/>
                <w:sz w:val="14"/>
                <w:szCs w:val="14"/>
                <w:color w:val="auto"/>
                <w:w w:val="93"/>
              </w:rPr>
              <w:t>Donald J. Shippar</w:t>
            </w:r>
          </w:p>
        </w:tc>
      </w:tr>
      <w:tr>
        <w:trPr>
          <w:trHeight w:val="182"/>
        </w:trPr>
        <w:tc>
          <w:tcPr>
            <w:tcW w:w="3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Arial" w:cs="Arial" w:eastAsia="Arial" w:hAnsi="Arial"/>
                <w:sz w:val="14"/>
                <w:szCs w:val="14"/>
                <w:color w:val="auto"/>
                <w:w w:val="94"/>
              </w:rPr>
              <w:t>Chairman, President and Chief Executive Officer</w:t>
            </w:r>
          </w:p>
        </w:tc>
      </w:tr>
    </w:tbl>
    <w:p>
      <w:pPr>
        <w:spacing w:after="0" w:line="37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440" w:type="dxa"/>
            <w:vAlign w:val="bottom"/>
            <w:tcBorders>
              <w:bottom w:val="single" w:sz="8" w:color="auto"/>
            </w:tcBorders>
          </w:tcPr>
          <w:p>
            <w:pPr>
              <w:jc w:val="center"/>
              <w:ind w:left="409"/>
              <w:spacing w:after="0"/>
              <w:rPr>
                <w:sz w:val="20"/>
                <w:szCs w:val="20"/>
                <w:color w:val="auto"/>
              </w:rPr>
            </w:pPr>
            <w:r>
              <w:rPr>
                <w:rFonts w:ascii="Arial" w:cs="Arial" w:eastAsia="Arial" w:hAnsi="Arial"/>
                <w:sz w:val="14"/>
                <w:szCs w:val="14"/>
                <w:b w:val="1"/>
                <w:bCs w:val="1"/>
                <w:color w:val="auto"/>
                <w:w w:val="97"/>
              </w:rPr>
              <w:t>Title</w:t>
            </w:r>
          </w:p>
        </w:tc>
        <w:tc>
          <w:tcPr>
            <w:tcW w:w="266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8"/>
              </w:rPr>
              <w:t>Date</w:t>
            </w:r>
          </w:p>
        </w:tc>
      </w:tr>
      <w:tr>
        <w:trPr>
          <w:trHeight w:val="5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Donald J. Shippar</w:t>
            </w:r>
          </w:p>
        </w:tc>
        <w:tc>
          <w:tcPr>
            <w:tcW w:w="5440" w:type="dxa"/>
            <w:vAlign w:val="bottom"/>
          </w:tcPr>
          <w:p>
            <w:pPr>
              <w:jc w:val="center"/>
              <w:ind w:left="429"/>
              <w:spacing w:after="0"/>
              <w:rPr>
                <w:sz w:val="20"/>
                <w:szCs w:val="20"/>
                <w:color w:val="auto"/>
              </w:rPr>
            </w:pPr>
            <w:r>
              <w:rPr>
                <w:rFonts w:ascii="Arial" w:cs="Arial" w:eastAsia="Arial" w:hAnsi="Arial"/>
                <w:sz w:val="14"/>
                <w:szCs w:val="14"/>
                <w:color w:val="auto"/>
                <w:w w:val="94"/>
              </w:rPr>
              <w:t>Chairman, President, Chief Executive Officer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62"/>
        </w:trPr>
        <w:tc>
          <w:tcPr>
            <w:tcW w:w="3360" w:type="dxa"/>
            <w:vAlign w:val="bottom"/>
          </w:tcPr>
          <w:p>
            <w:pPr>
              <w:jc w:val="center"/>
              <w:spacing w:after="0"/>
              <w:rPr>
                <w:sz w:val="20"/>
                <w:szCs w:val="20"/>
                <w:color w:val="auto"/>
              </w:rPr>
            </w:pPr>
            <w:r>
              <w:rPr>
                <w:rFonts w:ascii="Arial" w:cs="Arial" w:eastAsia="Arial" w:hAnsi="Arial"/>
                <w:sz w:val="14"/>
                <w:szCs w:val="14"/>
                <w:color w:val="auto"/>
                <w:w w:val="91"/>
              </w:rPr>
              <w:t>Donald J. Shippar</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4"/>
              </w:rPr>
              <w:t>and Director</w:t>
            </w:r>
          </w:p>
        </w:tc>
        <w:tc>
          <w:tcPr>
            <w:tcW w:w="2660" w:type="dxa"/>
            <w:vAlign w:val="bottom"/>
          </w:tcPr>
          <w:p>
            <w:pPr>
              <w:spacing w:after="0"/>
              <w:rPr>
                <w:sz w:val="14"/>
                <w:szCs w:val="14"/>
                <w:color w:val="auto"/>
              </w:rPr>
            </w:pPr>
          </w:p>
        </w:tc>
      </w:tr>
      <w:tr>
        <w:trPr>
          <w:trHeight w:val="182"/>
        </w:trPr>
        <w:tc>
          <w:tcPr>
            <w:tcW w:w="3360" w:type="dxa"/>
            <w:vAlign w:val="bottom"/>
          </w:tcPr>
          <w:p>
            <w:pPr>
              <w:spacing w:after="0"/>
              <w:rPr>
                <w:sz w:val="15"/>
                <w:szCs w:val="15"/>
                <w:color w:val="auto"/>
              </w:rPr>
            </w:pPr>
          </w:p>
        </w:tc>
        <w:tc>
          <w:tcPr>
            <w:tcW w:w="5440" w:type="dxa"/>
            <w:vAlign w:val="bottom"/>
          </w:tcPr>
          <w:p>
            <w:pPr>
              <w:jc w:val="center"/>
              <w:ind w:left="429"/>
              <w:spacing w:after="0"/>
              <w:rPr>
                <w:sz w:val="20"/>
                <w:szCs w:val="20"/>
                <w:color w:val="auto"/>
              </w:rPr>
            </w:pPr>
            <w:r>
              <w:rPr>
                <w:rFonts w:ascii="Arial" w:cs="Arial" w:eastAsia="Arial" w:hAnsi="Arial"/>
                <w:sz w:val="14"/>
                <w:szCs w:val="14"/>
                <w:color w:val="auto"/>
                <w:w w:val="96"/>
              </w:rPr>
              <w:t>(Principal Executive Officer)</w:t>
            </w:r>
          </w:p>
        </w:tc>
        <w:tc>
          <w:tcPr>
            <w:tcW w:w="2660" w:type="dxa"/>
            <w:vAlign w:val="bottom"/>
          </w:tcPr>
          <w:p>
            <w:pPr>
              <w:spacing w:after="0"/>
              <w:rPr>
                <w:sz w:val="15"/>
                <w:szCs w:val="15"/>
                <w:color w:val="auto"/>
              </w:rPr>
            </w:pPr>
          </w:p>
        </w:tc>
      </w:tr>
      <w:tr>
        <w:trPr>
          <w:trHeight w:val="348"/>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Mark A. Schober</w:t>
            </w:r>
          </w:p>
        </w:tc>
        <w:tc>
          <w:tcPr>
            <w:tcW w:w="5440" w:type="dxa"/>
            <w:vAlign w:val="bottom"/>
          </w:tcPr>
          <w:p>
            <w:pPr>
              <w:jc w:val="center"/>
              <w:ind w:left="429"/>
              <w:spacing w:after="0"/>
              <w:rPr>
                <w:sz w:val="20"/>
                <w:szCs w:val="20"/>
                <w:color w:val="auto"/>
              </w:rPr>
            </w:pPr>
            <w:r>
              <w:rPr>
                <w:rFonts w:ascii="Arial" w:cs="Arial" w:eastAsia="Arial" w:hAnsi="Arial"/>
                <w:sz w:val="14"/>
                <w:szCs w:val="14"/>
                <w:color w:val="auto"/>
                <w:w w:val="94"/>
              </w:rPr>
              <w:t>Senior Vice President and Chief Financial Officer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3"/>
              </w:rPr>
              <w:t>Mark A. Schober</w:t>
            </w:r>
          </w:p>
        </w:tc>
        <w:tc>
          <w:tcPr>
            <w:tcW w:w="5440" w:type="dxa"/>
            <w:vAlign w:val="bottom"/>
          </w:tcPr>
          <w:p>
            <w:pPr>
              <w:jc w:val="center"/>
              <w:ind w:left="429"/>
              <w:spacing w:after="0"/>
              <w:rPr>
                <w:sz w:val="20"/>
                <w:szCs w:val="20"/>
                <w:color w:val="auto"/>
              </w:rPr>
            </w:pPr>
            <w:r>
              <w:rPr>
                <w:rFonts w:ascii="Arial" w:cs="Arial" w:eastAsia="Arial" w:hAnsi="Arial"/>
                <w:sz w:val="14"/>
                <w:szCs w:val="14"/>
                <w:color w:val="auto"/>
                <w:w w:val="96"/>
              </w:rPr>
              <w:t>(Principal Financial Officer)</w:t>
            </w: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Steven Q. DeVinck</w:t>
            </w:r>
          </w:p>
        </w:tc>
        <w:tc>
          <w:tcPr>
            <w:tcW w:w="5440" w:type="dxa"/>
            <w:vAlign w:val="bottom"/>
          </w:tcPr>
          <w:p>
            <w:pPr>
              <w:jc w:val="center"/>
              <w:ind w:left="429"/>
              <w:spacing w:after="0"/>
              <w:rPr>
                <w:sz w:val="20"/>
                <w:szCs w:val="20"/>
                <w:color w:val="auto"/>
              </w:rPr>
            </w:pPr>
            <w:r>
              <w:rPr>
                <w:rFonts w:ascii="Arial" w:cs="Arial" w:eastAsia="Arial" w:hAnsi="Arial"/>
                <w:sz w:val="14"/>
                <w:szCs w:val="14"/>
                <w:color w:val="auto"/>
                <w:w w:val="95"/>
              </w:rPr>
              <w:t>Controller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2"/>
              </w:rPr>
              <w:t>Steven Q. DeVinck</w:t>
            </w:r>
          </w:p>
        </w:tc>
        <w:tc>
          <w:tcPr>
            <w:tcW w:w="5440" w:type="dxa"/>
            <w:vAlign w:val="bottom"/>
          </w:tcPr>
          <w:p>
            <w:pPr>
              <w:jc w:val="center"/>
              <w:ind w:left="429"/>
              <w:spacing w:after="0"/>
              <w:rPr>
                <w:sz w:val="20"/>
                <w:szCs w:val="20"/>
                <w:color w:val="auto"/>
              </w:rPr>
            </w:pPr>
            <w:r>
              <w:rPr>
                <w:rFonts w:ascii="Arial" w:cs="Arial" w:eastAsia="Arial" w:hAnsi="Arial"/>
                <w:sz w:val="14"/>
                <w:szCs w:val="14"/>
                <w:color w:val="auto"/>
                <w:w w:val="98"/>
              </w:rPr>
              <w:t>(Principal Accounting Officer)</w:t>
            </w: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Kathleen A. Brekken</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5"/>
              </w:rPr>
              <w:t>Kathleen A. Brekken</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Heidi J. Eddins</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4"/>
              </w:rPr>
              <w:t>Heidi J. Eddins</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Sidney W. Emery, Jr.</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2"/>
              </w:rPr>
              <w:t>Sidney W. Emery, Jr.</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James J. Hoolihan</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2"/>
              </w:rPr>
              <w:t>James J. Hoolihan</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Madeleine W. Ludlow</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5"/>
              </w:rPr>
              <w:t>Madeleine W. Ludlow</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George L. Mayer</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3"/>
              </w:rPr>
              <w:t>George L. Mayer</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Douglas C. Neve</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2"/>
              </w:rPr>
              <w:t>Douglas C. Neve</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Jack I. Rajala</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2"/>
              </w:rPr>
              <w:t>Jack I. Rajala</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Bruce W. Stender</w:t>
            </w:r>
          </w:p>
        </w:tc>
        <w:tc>
          <w:tcPr>
            <w:tcW w:w="5440" w:type="dxa"/>
            <w:vAlign w:val="bottom"/>
          </w:tcPr>
          <w:p>
            <w:pPr>
              <w:jc w:val="center"/>
              <w:ind w:left="409"/>
              <w:spacing w:after="0"/>
              <w:rPr>
                <w:sz w:val="20"/>
                <w:szCs w:val="20"/>
                <w:color w:val="auto"/>
              </w:rPr>
            </w:pPr>
            <w:r>
              <w:rPr>
                <w:rFonts w:ascii="Arial" w:cs="Arial" w:eastAsia="Arial" w:hAnsi="Arial"/>
                <w:sz w:val="14"/>
                <w:szCs w:val="14"/>
                <w:color w:val="auto"/>
                <w:w w:val="97"/>
              </w:rPr>
              <w:t>Director</w:t>
            </w:r>
          </w:p>
        </w:tc>
        <w:tc>
          <w:tcPr>
            <w:tcW w:w="2660" w:type="dxa"/>
            <w:vAlign w:val="bottom"/>
          </w:tcPr>
          <w:p>
            <w:pPr>
              <w:jc w:val="center"/>
              <w:ind w:left="408"/>
              <w:spacing w:after="0"/>
              <w:rPr>
                <w:sz w:val="20"/>
                <w:szCs w:val="20"/>
                <w:color w:val="auto"/>
              </w:rPr>
            </w:pPr>
            <w:r>
              <w:rPr>
                <w:rFonts w:ascii="Arial" w:cs="Arial" w:eastAsia="Arial" w:hAnsi="Arial"/>
                <w:sz w:val="14"/>
                <w:szCs w:val="14"/>
                <w:color w:val="auto"/>
                <w:w w:val="92"/>
              </w:rPr>
              <w:t>February 13, 2009</w:t>
            </w:r>
          </w:p>
        </w:tc>
      </w:tr>
      <w:tr>
        <w:trPr>
          <w:trHeight w:val="182"/>
        </w:trPr>
        <w:tc>
          <w:tcPr>
            <w:tcW w:w="3360" w:type="dxa"/>
            <w:vAlign w:val="bottom"/>
          </w:tcPr>
          <w:p>
            <w:pPr>
              <w:jc w:val="center"/>
              <w:spacing w:after="0"/>
              <w:rPr>
                <w:sz w:val="20"/>
                <w:szCs w:val="20"/>
                <w:color w:val="auto"/>
              </w:rPr>
            </w:pPr>
            <w:r>
              <w:rPr>
                <w:rFonts w:ascii="Arial" w:cs="Arial" w:eastAsia="Arial" w:hAnsi="Arial"/>
                <w:sz w:val="14"/>
                <w:szCs w:val="14"/>
                <w:color w:val="auto"/>
                <w:w w:val="92"/>
              </w:rPr>
              <w:t>Bruce W. Stender</w:t>
            </w:r>
          </w:p>
        </w:tc>
        <w:tc>
          <w:tcPr>
            <w:tcW w:w="5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509"/>
        </w:trPr>
        <w:tc>
          <w:tcPr>
            <w:tcW w:w="336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1"/>
                <w:szCs w:val="11"/>
                <w:color w:val="auto"/>
              </w:rPr>
              <w:t>ALLETE 2008 Form 10-K</w:t>
            </w:r>
          </w:p>
        </w:tc>
        <w:tc>
          <w:tcPr>
            <w:tcW w:w="2660" w:type="dxa"/>
            <w:vAlign w:val="bottom"/>
          </w:tcPr>
          <w:p>
            <w:pPr>
              <w:spacing w:after="0"/>
              <w:rPr>
                <w:sz w:val="24"/>
                <w:szCs w:val="24"/>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ALLETE, Inc,</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In our opinion, the accompanying consolidated financial statements listed in the index appearing under Item 15(a)(1) present fairly, in all material respects, the financial position of ALLETE, Inc. and its subsidiaries (the Company) at December 31, 2008 and 2007, and the results of their operations and their cash flows for each of the three years in the period ended December 31, 2008 in conformity with accounting principles generally accepted in the United States of America. In addition, in our opinion, the financial statement schedule listed in the index appearing under Item 15(a)</w:t>
      </w:r>
    </w:p>
    <w:p>
      <w:pPr>
        <w:spacing w:after="0" w:line="2" w:lineRule="exact"/>
        <w:rPr>
          <w:sz w:val="20"/>
          <w:szCs w:val="20"/>
          <w:color w:val="auto"/>
        </w:rPr>
      </w:pPr>
    </w:p>
    <w:p>
      <w:pPr>
        <w:jc w:val="both"/>
        <w:ind w:firstLine="6"/>
        <w:spacing w:after="0" w:line="258" w:lineRule="auto"/>
        <w:tabs>
          <w:tab w:leader="none" w:pos="205"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As discussed in Note 11 to the consolidated financial statements, in 2007 the Company adopted the provisions of FIN 48, "Accounting for Uncertainty in Income Taxes - an Interpretation of FASB Statement No. 109."</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Minneapolis, MN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February 13, 2009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00" w:type="dxa"/>
            <w:vAlign w:val="bottom"/>
          </w:tcPr>
          <w:p>
            <w:pPr>
              <w:jc w:val="right"/>
              <w:ind w:right="3168"/>
              <w:spacing w:after="0"/>
              <w:rPr>
                <w:sz w:val="20"/>
                <w:szCs w:val="20"/>
                <w:color w:val="auto"/>
              </w:rPr>
            </w:pPr>
            <w:r>
              <w:rPr>
                <w:rFonts w:ascii="Arial" w:cs="Arial" w:eastAsia="Arial" w:hAnsi="Arial"/>
                <w:sz w:val="14"/>
                <w:szCs w:val="14"/>
                <w:b w:val="1"/>
                <w:bCs w:val="1"/>
                <w:color w:val="auto"/>
              </w:rPr>
              <w:t>Consolidated Financial Statements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ALLETE Consolidated Balance Sheet</w:t>
            </w:r>
          </w:p>
        </w:tc>
        <w:tc>
          <w:tcPr>
            <w:tcW w:w="6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w:t>
            </w:r>
          </w:p>
        </w:tc>
        <w:tc>
          <w:tcPr>
            <w:tcW w:w="600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2008</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6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6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60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$102.0</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Investments</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Accounts Receivable (Less Allowance of $0.7 and $1.0)</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76.3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49.7</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Prepayments and Other</w:t>
            </w:r>
          </w:p>
        </w:tc>
        <w:tc>
          <w:tcPr>
            <w:tcW w:w="6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24.3</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Current Assets</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252.3</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Property, Plant and Equipment – Net</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1,387.3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1,104.5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Investment in ATC</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76.9</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Other Investments</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136.9</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6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281.4</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Assets</w:t>
            </w:r>
          </w:p>
        </w:tc>
        <w:tc>
          <w:tcPr>
            <w:tcW w:w="6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$2,134.8</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$1,644.2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6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60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Current Liabilities</w:t>
            </w:r>
          </w:p>
        </w:tc>
        <w:tc>
          <w:tcPr>
            <w:tcW w:w="6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$75.7</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Accrued Taxes</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12.9</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Interest</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8.9</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Long-Term Debt Due Within One Year</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10.4</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Profit on Sales of Real Estate</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Notes Payable</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6.0</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6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36.8</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240"/>
              <w:spacing w:after="0"/>
              <w:rPr>
                <w:sz w:val="20"/>
                <w:szCs w:val="20"/>
                <w:color w:val="auto"/>
              </w:rPr>
            </w:pPr>
            <w:r>
              <w:rPr>
                <w:rFonts w:ascii="Arial" w:cs="Arial" w:eastAsia="Arial" w:hAnsi="Arial"/>
                <w:sz w:val="14"/>
                <w:szCs w:val="14"/>
                <w:color w:val="auto"/>
              </w:rPr>
              <w:t>Total Current Liabilities</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150.7</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588.3</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Deferred Income Taxes</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169.6</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389.3</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Minority Interest</w:t>
            </w:r>
          </w:p>
        </w:tc>
        <w:tc>
          <w:tcPr>
            <w:tcW w:w="6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9.8</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6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1,307.7</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901.6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w:t>
            </w:r>
          </w:p>
        </w:tc>
        <w:tc>
          <w:tcPr>
            <w:tcW w:w="60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Shareholders’ Equity</w:t>
            </w:r>
          </w:p>
        </w:tc>
        <w:tc>
          <w:tcPr>
            <w:tcW w:w="60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Common Stock Without Par Value, 43.3 Shares Authorized</w:t>
            </w:r>
          </w:p>
        </w:tc>
        <w:tc>
          <w:tcPr>
            <w:tcW w:w="6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32.6 and 30.8 Shares Outstanding</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534.1</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Unearned ESOP Shares</w:t>
            </w:r>
          </w:p>
        </w:tc>
        <w:tc>
          <w:tcPr>
            <w:tcW w:w="6000" w:type="dxa"/>
            <w:vAlign w:val="bottom"/>
          </w:tcPr>
          <w:p>
            <w:pPr>
              <w:jc w:val="right"/>
              <w:ind w:right="828"/>
              <w:spacing w:after="0"/>
              <w:rPr>
                <w:sz w:val="20"/>
                <w:szCs w:val="20"/>
                <w:color w:val="auto"/>
              </w:rPr>
            </w:pPr>
            <w:r>
              <w:rPr>
                <w:rFonts w:ascii="Arial" w:cs="Arial" w:eastAsia="Arial" w:hAnsi="Arial"/>
                <w:sz w:val="14"/>
                <w:szCs w:val="14"/>
                <w:color w:val="auto"/>
              </w:rPr>
              <w:t>(54.9)</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6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(33.0)</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Retained Earnings</w:t>
            </w:r>
          </w:p>
        </w:tc>
        <w:tc>
          <w:tcPr>
            <w:tcW w:w="6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380.9</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Total Shareholders’ Equity</w:t>
            </w:r>
          </w:p>
        </w:tc>
        <w:tc>
          <w:tcPr>
            <w:tcW w:w="6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827.1</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742.6</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Liabilities and Shareholders’ Equity</w:t>
            </w:r>
          </w:p>
        </w:tc>
        <w:tc>
          <w:tcPr>
            <w:tcW w:w="6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$2,134.8</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$1,644.2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ALLETE Consolidated Statement of Income</w:t>
            </w:r>
          </w:p>
        </w:tc>
        <w:tc>
          <w:tcPr>
            <w:tcW w:w="3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7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3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2008</w:t>
            </w:r>
          </w:p>
        </w:tc>
        <w:tc>
          <w:tcPr>
            <w:tcW w:w="14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2007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Operating Revenue</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$801.0</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$841.7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3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Fuel and Purchased Power</w:t>
            </w:r>
          </w:p>
        </w:tc>
        <w:tc>
          <w:tcPr>
            <w:tcW w:w="3340" w:type="dxa"/>
            <w:vAlign w:val="bottom"/>
          </w:tcPr>
          <w:p>
            <w:pPr>
              <w:jc w:val="right"/>
              <w:ind w:right="428"/>
              <w:spacing w:after="0"/>
              <w:rPr>
                <w:sz w:val="20"/>
                <w:szCs w:val="20"/>
                <w:color w:val="auto"/>
              </w:rPr>
            </w:pPr>
            <w:r>
              <w:rPr>
                <w:rFonts w:ascii="Arial" w:cs="Arial" w:eastAsia="Arial" w:hAnsi="Arial"/>
                <w:sz w:val="14"/>
                <w:szCs w:val="14"/>
                <w:color w:val="auto"/>
              </w:rPr>
              <w:t>305.6</w:t>
            </w:r>
          </w:p>
        </w:tc>
        <w:tc>
          <w:tcPr>
            <w:tcW w:w="1440" w:type="dxa"/>
            <w:vAlign w:val="bottom"/>
          </w:tcPr>
          <w:p>
            <w:pPr>
              <w:jc w:val="right"/>
              <w:ind w:right="488"/>
              <w:spacing w:after="0"/>
              <w:rPr>
                <w:sz w:val="20"/>
                <w:szCs w:val="20"/>
                <w:color w:val="auto"/>
              </w:rPr>
            </w:pPr>
            <w:r>
              <w:rPr>
                <w:rFonts w:ascii="Arial" w:cs="Arial" w:eastAsia="Arial" w:hAnsi="Arial"/>
                <w:sz w:val="14"/>
                <w:szCs w:val="14"/>
                <w:color w:val="auto"/>
              </w:rPr>
              <w:t>347.6</w:t>
            </w:r>
          </w:p>
        </w:tc>
        <w:tc>
          <w:tcPr>
            <w:tcW w:w="960" w:type="dxa"/>
            <w:vAlign w:val="bottom"/>
          </w:tcPr>
          <w:p>
            <w:pPr>
              <w:jc w:val="right"/>
              <w:spacing w:after="0"/>
              <w:rPr>
                <w:sz w:val="20"/>
                <w:szCs w:val="20"/>
                <w:color w:val="auto"/>
              </w:rPr>
            </w:pPr>
            <w:r>
              <w:rPr>
                <w:rFonts w:ascii="Arial" w:cs="Arial" w:eastAsia="Arial" w:hAnsi="Arial"/>
                <w:sz w:val="14"/>
                <w:szCs w:val="14"/>
                <w:color w:val="auto"/>
              </w:rPr>
              <w:t>281.7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and Maintenance</w:t>
            </w:r>
          </w:p>
        </w:tc>
        <w:tc>
          <w:tcPr>
            <w:tcW w:w="3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318.1</w:t>
            </w: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313.9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Depreciation</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55.5</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48.5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Total Operating Expenses</w:t>
            </w:r>
          </w:p>
        </w:tc>
        <w:tc>
          <w:tcPr>
            <w:tcW w:w="3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679.2</w:t>
            </w:r>
          </w:p>
        </w:tc>
        <w:tc>
          <w:tcPr>
            <w:tcW w:w="14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710.0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121.8</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131.7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(Expense)</w:t>
            </w:r>
          </w:p>
        </w:tc>
        <w:tc>
          <w:tcPr>
            <w:tcW w:w="3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340" w:type="dxa"/>
            <w:vAlign w:val="bottom"/>
          </w:tcPr>
          <w:p>
            <w:pPr>
              <w:jc w:val="right"/>
              <w:ind w:right="428"/>
              <w:spacing w:after="0"/>
              <w:rPr>
                <w:sz w:val="20"/>
                <w:szCs w:val="20"/>
                <w:color w:val="auto"/>
              </w:rPr>
            </w:pPr>
            <w:r>
              <w:rPr>
                <w:rFonts w:ascii="Arial" w:cs="Arial" w:eastAsia="Arial" w:hAnsi="Arial"/>
                <w:sz w:val="14"/>
                <w:szCs w:val="14"/>
                <w:color w:val="auto"/>
              </w:rPr>
              <w:t>(26.3)</w:t>
            </w:r>
          </w:p>
        </w:tc>
        <w:tc>
          <w:tcPr>
            <w:tcW w:w="1440" w:type="dxa"/>
            <w:vAlign w:val="bottom"/>
          </w:tcPr>
          <w:p>
            <w:pPr>
              <w:jc w:val="right"/>
              <w:ind w:right="488"/>
              <w:spacing w:after="0"/>
              <w:rPr>
                <w:sz w:val="20"/>
                <w:szCs w:val="20"/>
                <w:color w:val="auto"/>
              </w:rPr>
            </w:pPr>
            <w:r>
              <w:rPr>
                <w:rFonts w:ascii="Arial" w:cs="Arial" w:eastAsia="Arial" w:hAnsi="Arial"/>
                <w:sz w:val="14"/>
                <w:szCs w:val="14"/>
                <w:color w:val="auto"/>
              </w:rPr>
              <w:t>(22.6)</w:t>
            </w: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Earnings in ATC</w:t>
            </w:r>
          </w:p>
        </w:tc>
        <w:tc>
          <w:tcPr>
            <w:tcW w:w="3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15.3</w:t>
            </w: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12.6</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15.6</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15.5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Total Other Income (Expense)</w:t>
            </w:r>
          </w:p>
        </w:tc>
        <w:tc>
          <w:tcPr>
            <w:tcW w:w="3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4.6</w:t>
            </w:r>
          </w:p>
        </w:tc>
        <w:tc>
          <w:tcPr>
            <w:tcW w:w="14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5.5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Income from Continuing Operations Before Minority</w:t>
            </w: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Interest and Income Taxes</w:t>
            </w:r>
          </w:p>
        </w:tc>
        <w:tc>
          <w:tcPr>
            <w:tcW w:w="3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126.4</w:t>
            </w: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137.2</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Income Tax Expense</w:t>
            </w:r>
          </w:p>
        </w:tc>
        <w:tc>
          <w:tcPr>
            <w:tcW w:w="3340" w:type="dxa"/>
            <w:vAlign w:val="bottom"/>
          </w:tcPr>
          <w:p>
            <w:pPr>
              <w:jc w:val="right"/>
              <w:ind w:right="428"/>
              <w:spacing w:after="0"/>
              <w:rPr>
                <w:sz w:val="20"/>
                <w:szCs w:val="20"/>
                <w:color w:val="auto"/>
              </w:rPr>
            </w:pPr>
            <w:r>
              <w:rPr>
                <w:rFonts w:ascii="Arial" w:cs="Arial" w:eastAsia="Arial" w:hAnsi="Arial"/>
                <w:sz w:val="14"/>
                <w:szCs w:val="14"/>
                <w:color w:val="auto"/>
              </w:rPr>
              <w:t>43.4</w:t>
            </w:r>
          </w:p>
        </w:tc>
        <w:tc>
          <w:tcPr>
            <w:tcW w:w="1440" w:type="dxa"/>
            <w:vAlign w:val="bottom"/>
          </w:tcPr>
          <w:p>
            <w:pPr>
              <w:jc w:val="right"/>
              <w:ind w:right="488"/>
              <w:spacing w:after="0"/>
              <w:rPr>
                <w:sz w:val="20"/>
                <w:szCs w:val="20"/>
                <w:color w:val="auto"/>
              </w:rPr>
            </w:pPr>
            <w:r>
              <w:rPr>
                <w:rFonts w:ascii="Arial" w:cs="Arial" w:eastAsia="Arial" w:hAnsi="Arial"/>
                <w:sz w:val="14"/>
                <w:szCs w:val="14"/>
                <w:color w:val="auto"/>
              </w:rPr>
              <w:t>47.7</w:t>
            </w:r>
          </w:p>
        </w:tc>
        <w:tc>
          <w:tcPr>
            <w:tcW w:w="960" w:type="dxa"/>
            <w:vAlign w:val="bottom"/>
          </w:tcPr>
          <w:p>
            <w:pPr>
              <w:jc w:val="right"/>
              <w:spacing w:after="0"/>
              <w:rPr>
                <w:sz w:val="20"/>
                <w:szCs w:val="20"/>
                <w:color w:val="auto"/>
              </w:rPr>
            </w:pPr>
            <w:r>
              <w:rPr>
                <w:rFonts w:ascii="Arial" w:cs="Arial" w:eastAsia="Arial" w:hAnsi="Arial"/>
                <w:sz w:val="14"/>
                <w:szCs w:val="14"/>
                <w:color w:val="auto"/>
              </w:rPr>
              <w:t>46.3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Minority Interest</w:t>
            </w:r>
          </w:p>
        </w:tc>
        <w:tc>
          <w:tcPr>
            <w:tcW w:w="3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0.5</w:t>
            </w:r>
          </w:p>
        </w:tc>
        <w:tc>
          <w:tcPr>
            <w:tcW w:w="14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1.9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Income from Continuing Operations</w:t>
            </w:r>
          </w:p>
        </w:tc>
        <w:tc>
          <w:tcPr>
            <w:tcW w:w="3340" w:type="dxa"/>
            <w:vAlign w:val="bottom"/>
          </w:tcPr>
          <w:p>
            <w:pPr>
              <w:jc w:val="right"/>
              <w:ind w:right="428"/>
              <w:spacing w:after="0"/>
              <w:rPr>
                <w:sz w:val="20"/>
                <w:szCs w:val="20"/>
                <w:color w:val="auto"/>
              </w:rPr>
            </w:pPr>
            <w:r>
              <w:rPr>
                <w:rFonts w:ascii="Arial" w:cs="Arial" w:eastAsia="Arial" w:hAnsi="Arial"/>
                <w:sz w:val="14"/>
                <w:szCs w:val="14"/>
                <w:color w:val="auto"/>
              </w:rPr>
              <w:t>82.5</w:t>
            </w:r>
          </w:p>
        </w:tc>
        <w:tc>
          <w:tcPr>
            <w:tcW w:w="1440" w:type="dxa"/>
            <w:vAlign w:val="bottom"/>
          </w:tcPr>
          <w:p>
            <w:pPr>
              <w:jc w:val="right"/>
              <w:ind w:right="488"/>
              <w:spacing w:after="0"/>
              <w:rPr>
                <w:sz w:val="20"/>
                <w:szCs w:val="20"/>
                <w:color w:val="auto"/>
              </w:rPr>
            </w:pPr>
            <w:r>
              <w:rPr>
                <w:rFonts w:ascii="Arial" w:cs="Arial" w:eastAsia="Arial" w:hAnsi="Arial"/>
                <w:sz w:val="14"/>
                <w:szCs w:val="14"/>
                <w:color w:val="auto"/>
              </w:rPr>
              <w:t>87.6</w:t>
            </w:r>
          </w:p>
        </w:tc>
        <w:tc>
          <w:tcPr>
            <w:tcW w:w="960" w:type="dxa"/>
            <w:vAlign w:val="bottom"/>
          </w:tcPr>
          <w:p>
            <w:pPr>
              <w:jc w:val="right"/>
              <w:spacing w:after="0"/>
              <w:rPr>
                <w:sz w:val="20"/>
                <w:szCs w:val="20"/>
                <w:color w:val="auto"/>
              </w:rPr>
            </w:pPr>
            <w:r>
              <w:rPr>
                <w:rFonts w:ascii="Arial" w:cs="Arial" w:eastAsia="Arial" w:hAnsi="Arial"/>
                <w:sz w:val="14"/>
                <w:szCs w:val="14"/>
                <w:color w:val="auto"/>
              </w:rPr>
              <w:t>77.3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from Discontinued Operations – Net of Tax</w:t>
            </w:r>
          </w:p>
        </w:tc>
        <w:tc>
          <w:tcPr>
            <w:tcW w:w="3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$82.5</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$87.6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Average Shares of Common Stock</w:t>
            </w: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29.2</w:t>
            </w: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28.3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Diluted</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29.3</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28.4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Basic Earnings (Loss) Per Share of Common Stock</w:t>
            </w: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$2.82</w:t>
            </w: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$3.09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Discontinued Operations</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$2.82</w:t>
            </w:r>
          </w:p>
        </w:tc>
        <w:tc>
          <w:tcPr>
            <w:tcW w:w="14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$3.09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Diluted Earnings (Loss) Per Share of Common Stock</w:t>
            </w: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$2.82</w:t>
            </w: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$3.08</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Discontinued Operations</w:t>
            </w:r>
          </w:p>
        </w:tc>
        <w:tc>
          <w:tcPr>
            <w:tcW w:w="3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auto"/>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$2.82</w:t>
            </w:r>
          </w:p>
        </w:tc>
        <w:tc>
          <w:tcPr>
            <w:tcW w:w="14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$3.08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Dividends Per Share of Common Stock</w:t>
            </w:r>
          </w:p>
        </w:tc>
        <w:tc>
          <w:tcPr>
            <w:tcW w:w="3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$1.72</w:t>
            </w:r>
          </w:p>
        </w:tc>
        <w:tc>
          <w:tcPr>
            <w:tcW w:w="14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$1.64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ALLETE Consolidated Statement of Cash Flows</w:t>
            </w:r>
          </w:p>
        </w:tc>
        <w:tc>
          <w:tcPr>
            <w:tcW w:w="2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262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2008</w:t>
            </w:r>
          </w:p>
        </w:tc>
        <w:tc>
          <w:tcPr>
            <w:tcW w:w="186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2007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2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2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$82.5</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$87.6</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Loss from Discontinued Operations</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Allowance for Funds Used During Construction</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(3.3)</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(3.8)</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Income from Equity Investments, Net of Dividends</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(3.1)</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(2.7)</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of Assets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(4.8)</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(2.2)</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Gain on Sale of Available-for-sale Securities</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(6.4)</w:t>
            </w:r>
          </w:p>
        </w:tc>
        <w:tc>
          <w:tcPr>
            <w:tcW w:w="18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Impairment of Investments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0.3</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Depreciation Expense</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55.5</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48.5</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Income Tax Expense</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38.8</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14.0</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Minority Interest</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0.5</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1.9</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Compensation Expense</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1.8</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2.0</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Bad Debt Expense</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0.7</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1.0</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26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2.4</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(6.6)</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Inventories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(0.2)</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(6.1)</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240"/>
              <w:spacing w:after="0"/>
              <w:rPr>
                <w:sz w:val="20"/>
                <w:szCs w:val="20"/>
                <w:color w:val="auto"/>
              </w:rPr>
            </w:pPr>
            <w:r>
              <w:rPr>
                <w:rFonts w:ascii="Arial" w:cs="Arial" w:eastAsia="Arial" w:hAnsi="Arial"/>
                <w:sz w:val="14"/>
                <w:szCs w:val="14"/>
                <w:color w:val="auto"/>
              </w:rPr>
              <w:t>Prepayments and Other</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11.2</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(11.7)</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(14.1)</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9.4</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5.9</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(10.0)</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(2.5)</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0.8</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(12.8)</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0.7</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Operating Activities for Discontinued Operations</w:t>
            </w:r>
          </w:p>
        </w:tc>
        <w:tc>
          <w:tcPr>
            <w:tcW w:w="26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Cash from Operating Activities</w:t>
            </w:r>
          </w:p>
        </w:tc>
        <w:tc>
          <w:tcPr>
            <w:tcW w:w="2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152.1</w:t>
            </w:r>
          </w:p>
        </w:tc>
        <w:tc>
          <w:tcPr>
            <w:tcW w:w="1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123.1</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26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Proceeds from Sale of Available-for-sale Securities</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62.3</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449.7</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608.8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for Purchase of Available-for-sale Securities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(44.8)</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(368.3)</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Investment in ATC</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(7.4)</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(8.7)</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to Investments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(0.1)</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(10.9)</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(301.1)</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(210.2)</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Assets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20.4</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1.5</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Other</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(5.4)</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(7.2)</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Investing Activities from Discontinued Operations</w:t>
            </w:r>
          </w:p>
        </w:tc>
        <w:tc>
          <w:tcPr>
            <w:tcW w:w="26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Cash for Investing Activities</w:t>
            </w:r>
          </w:p>
        </w:tc>
        <w:tc>
          <w:tcPr>
            <w:tcW w:w="2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(276.1)</w:t>
            </w:r>
          </w:p>
        </w:tc>
        <w:tc>
          <w:tcPr>
            <w:tcW w:w="1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(154.1)</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26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Issuance of Common Stock</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71.1</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20.6</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Long-Term Debt</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198.7</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123.9</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Issuance of Notes Payable</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6.0</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Reductions of Long-Term Debt</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(22.7)</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(90.7)</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Dividends on Common Stock and Distributions to Minority Shareholders</w:t>
            </w:r>
          </w:p>
        </w:tc>
        <w:tc>
          <w:tcPr>
            <w:tcW w:w="2620" w:type="dxa"/>
            <w:vAlign w:val="bottom"/>
          </w:tcPr>
          <w:p>
            <w:pPr>
              <w:jc w:val="right"/>
              <w:ind w:right="728"/>
              <w:spacing w:after="0"/>
              <w:rPr>
                <w:sz w:val="20"/>
                <w:szCs w:val="20"/>
                <w:color w:val="auto"/>
              </w:rPr>
            </w:pPr>
            <w:r>
              <w:rPr>
                <w:rFonts w:ascii="Arial" w:cs="Arial" w:eastAsia="Arial" w:hAnsi="Arial"/>
                <w:sz w:val="14"/>
                <w:szCs w:val="14"/>
                <w:color w:val="auto"/>
              </w:rPr>
              <w:t>(50.4)</w:t>
            </w:r>
          </w:p>
        </w:tc>
        <w:tc>
          <w:tcPr>
            <w:tcW w:w="1860" w:type="dxa"/>
            <w:vAlign w:val="bottom"/>
          </w:tcPr>
          <w:p>
            <w:pPr>
              <w:jc w:val="right"/>
              <w:ind w:right="688"/>
              <w:spacing w:after="0"/>
              <w:rPr>
                <w:sz w:val="20"/>
                <w:szCs w:val="20"/>
                <w:color w:val="auto"/>
              </w:rPr>
            </w:pPr>
            <w:r>
              <w:rPr>
                <w:rFonts w:ascii="Arial" w:cs="Arial" w:eastAsia="Arial" w:hAnsi="Arial"/>
                <w:sz w:val="14"/>
                <w:szCs w:val="14"/>
                <w:color w:val="auto"/>
              </w:rPr>
              <w:t>(44.3)</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Decrease in Book Overdrafts</w:t>
            </w:r>
          </w:p>
        </w:tc>
        <w:tc>
          <w:tcPr>
            <w:tcW w:w="26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Cash from (for) Financing Activities</w:t>
            </w:r>
          </w:p>
        </w:tc>
        <w:tc>
          <w:tcPr>
            <w:tcW w:w="2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202.7</w:t>
            </w:r>
          </w:p>
        </w:tc>
        <w:tc>
          <w:tcPr>
            <w:tcW w:w="1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9.5</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 in Cash and Cash Equivalents</w:t>
            </w:r>
          </w:p>
        </w:tc>
        <w:tc>
          <w:tcPr>
            <w:tcW w:w="26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78.7</w:t>
            </w:r>
          </w:p>
        </w:tc>
        <w:tc>
          <w:tcPr>
            <w:tcW w:w="1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(21.5)</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23.3</w:t>
            </w:r>
          </w:p>
        </w:tc>
        <w:tc>
          <w:tcPr>
            <w:tcW w:w="1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44.8</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26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$102.0</w:t>
            </w:r>
          </w:p>
        </w:tc>
        <w:tc>
          <w:tcPr>
            <w:tcW w:w="1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$23.3</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ALLETE Consolidated Statement of Shareholders’ Equity</w:t>
            </w: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93"/>
              </w:rPr>
              <w:t>Accumulated</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80" w:type="dxa"/>
            <w:vAlign w:val="bottom"/>
          </w:tcPr>
          <w:p>
            <w:pPr>
              <w:spacing w:after="0"/>
              <w:rPr>
                <w:sz w:val="14"/>
                <w:szCs w:val="14"/>
                <w:color w:val="auto"/>
              </w:rPr>
            </w:pPr>
          </w:p>
        </w:tc>
        <w:tc>
          <w:tcPr>
            <w:tcW w:w="162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Other</w:t>
            </w:r>
          </w:p>
        </w:tc>
        <w:tc>
          <w:tcPr>
            <w:tcW w:w="1300" w:type="dxa"/>
            <w:vAlign w:val="bottom"/>
          </w:tcPr>
          <w:p>
            <w:pPr>
              <w:jc w:val="right"/>
              <w:ind w:right="308"/>
              <w:spacing w:after="0"/>
              <w:rPr>
                <w:sz w:val="20"/>
                <w:szCs w:val="20"/>
                <w:color w:val="auto"/>
              </w:rPr>
            </w:pPr>
            <w:r>
              <w:rPr>
                <w:rFonts w:ascii="Arial" w:cs="Arial" w:eastAsia="Arial" w:hAnsi="Arial"/>
                <w:sz w:val="14"/>
                <w:szCs w:val="14"/>
                <w:b w:val="1"/>
                <w:bCs w:val="1"/>
                <w:color w:val="auto"/>
              </w:rPr>
              <w:t>Unearned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Shareholders’</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Retained</w:t>
            </w:r>
          </w:p>
        </w:tc>
        <w:tc>
          <w:tcPr>
            <w:tcW w:w="1620" w:type="dxa"/>
            <w:vAlign w:val="bottom"/>
            <w:shd w:val="clear" w:color="auto" w:fill="CCEEFF"/>
          </w:tcPr>
          <w:p>
            <w:pPr>
              <w:jc w:val="center"/>
              <w:ind w:right="148"/>
              <w:spacing w:after="0"/>
              <w:rPr>
                <w:sz w:val="20"/>
                <w:szCs w:val="20"/>
                <w:color w:val="auto"/>
              </w:rPr>
            </w:pPr>
            <w:r>
              <w:rPr>
                <w:rFonts w:ascii="Arial" w:cs="Arial" w:eastAsia="Arial" w:hAnsi="Arial"/>
                <w:sz w:val="14"/>
                <w:szCs w:val="14"/>
                <w:b w:val="1"/>
                <w:bCs w:val="1"/>
                <w:color w:val="auto"/>
                <w:w w:val="91"/>
              </w:rPr>
              <w:t>Comprehensive</w:t>
            </w:r>
          </w:p>
        </w:tc>
        <w:tc>
          <w:tcPr>
            <w:tcW w:w="130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ESOP</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Earnings</w:t>
            </w:r>
          </w:p>
        </w:tc>
        <w:tc>
          <w:tcPr>
            <w:tcW w:w="16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Income (Loss)</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Shares</w:t>
            </w: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14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Balance at December 31, 2005</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$602.8</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$272.1</w:t>
            </w: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$(12.8)</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$(77.6)</w:t>
            </w:r>
          </w:p>
        </w:tc>
        <w:tc>
          <w:tcPr>
            <w:tcW w:w="1000" w:type="dxa"/>
            <w:vAlign w:val="bottom"/>
          </w:tcPr>
          <w:p>
            <w:pPr>
              <w:jc w:val="right"/>
              <w:spacing w:after="0"/>
              <w:rPr>
                <w:sz w:val="20"/>
                <w:szCs w:val="20"/>
                <w:color w:val="auto"/>
              </w:rPr>
            </w:pPr>
            <w:r>
              <w:rPr>
                <w:rFonts w:ascii="Arial" w:cs="Arial" w:eastAsia="Arial" w:hAnsi="Arial"/>
                <w:sz w:val="14"/>
                <w:szCs w:val="14"/>
                <w:color w:val="auto"/>
              </w:rPr>
              <w:t>$421.1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Comprehensive Income</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76.4</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76.4</w:t>
            </w: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 Comprehensive Income – Net of Tax</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Gains on Securities – Net</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w:t>
            </w: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1.9</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240"/>
              <w:spacing w:after="0"/>
              <w:rPr>
                <w:sz w:val="20"/>
                <w:szCs w:val="20"/>
                <w:color w:val="auto"/>
              </w:rPr>
            </w:pPr>
            <w:r>
              <w:rPr>
                <w:rFonts w:ascii="Arial" w:cs="Arial" w:eastAsia="Arial" w:hAnsi="Arial"/>
                <w:sz w:val="14"/>
                <w:szCs w:val="14"/>
                <w:color w:val="auto"/>
              </w:rPr>
              <w:t>Additional Pension Liability</w:t>
            </w: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6.4</w:t>
            </w:r>
          </w:p>
        </w:tc>
        <w:tc>
          <w:tcPr>
            <w:tcW w:w="1280" w:type="dxa"/>
            <w:vAlign w:val="bottom"/>
          </w:tcPr>
          <w:p>
            <w:pPr>
              <w:spacing w:after="0"/>
              <w:rPr>
                <w:sz w:val="15"/>
                <w:szCs w:val="15"/>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6.4</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Comprehensive Income</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84.7</w:t>
            </w: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Adjustment to initially apply SFAS 158 – Net of Tax</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(4.3)</w:t>
            </w:r>
          </w:p>
        </w:tc>
        <w:tc>
          <w:tcPr>
            <w:tcW w:w="12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(4.3)</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Common Stock Issued – Net</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17.6</w:t>
            </w: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Dividends Declared</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(40.7)</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(40.7)</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ESOP Shares Earned</w:t>
            </w:r>
          </w:p>
        </w:tc>
        <w:tc>
          <w:tcPr>
            <w:tcW w:w="1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5.7</w:t>
            </w:r>
          </w:p>
        </w:tc>
        <w:tc>
          <w:tcPr>
            <w:tcW w:w="12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5.7</w:t>
            </w:r>
          </w:p>
        </w:tc>
        <w:tc>
          <w:tcPr>
            <w:tcW w:w="10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Balance at December 31, 2006</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665.8</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307.8</w:t>
            </w: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(8.8)</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(71.9)</w:t>
            </w:r>
          </w:p>
        </w:tc>
        <w:tc>
          <w:tcPr>
            <w:tcW w:w="1000" w:type="dxa"/>
            <w:vAlign w:val="bottom"/>
          </w:tcPr>
          <w:p>
            <w:pPr>
              <w:jc w:val="right"/>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Comprehensive Income</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87.6</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87.6</w:t>
            </w: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 Comprehensive Income – Net of Tax</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Gains on Securities – Net</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w:t>
            </w: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1.1</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240"/>
              <w:spacing w:after="0"/>
              <w:rPr>
                <w:sz w:val="20"/>
                <w:szCs w:val="20"/>
                <w:color w:val="auto"/>
              </w:rPr>
            </w:pPr>
            <w:r>
              <w:rPr>
                <w:rFonts w:ascii="Arial" w:cs="Arial" w:eastAsia="Arial" w:hAnsi="Arial"/>
                <w:sz w:val="14"/>
                <w:szCs w:val="14"/>
                <w:color w:val="auto"/>
              </w:rPr>
              <w:t>Defined Benefit Pension and Other Postretirement Plans</w:t>
            </w: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3.2</w:t>
            </w:r>
          </w:p>
        </w:tc>
        <w:tc>
          <w:tcPr>
            <w:tcW w:w="1280" w:type="dxa"/>
            <w:vAlign w:val="bottom"/>
          </w:tcPr>
          <w:p>
            <w:pPr>
              <w:spacing w:after="0"/>
              <w:rPr>
                <w:sz w:val="15"/>
                <w:szCs w:val="15"/>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3.2</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Comprehensive Income</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91.9</w:t>
            </w: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Adjustment to initially apply FIN 48</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(0.7)</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(0.7)</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Common Stock Issued – Net</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22.5</w:t>
            </w: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Dividends Declared</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(44.3)</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(44.3)</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ESOP Shares Earned</w:t>
            </w:r>
          </w:p>
        </w:tc>
        <w:tc>
          <w:tcPr>
            <w:tcW w:w="1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7.4</w:t>
            </w:r>
          </w:p>
        </w:tc>
        <w:tc>
          <w:tcPr>
            <w:tcW w:w="12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7.4</w:t>
            </w:r>
          </w:p>
        </w:tc>
        <w:tc>
          <w:tcPr>
            <w:tcW w:w="10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Balance at December 31, 2007</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742.6</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350.4</w:t>
            </w: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(64.5)</w:t>
            </w:r>
          </w:p>
        </w:tc>
        <w:tc>
          <w:tcPr>
            <w:tcW w:w="1000" w:type="dxa"/>
            <w:vAlign w:val="bottom"/>
          </w:tcPr>
          <w:p>
            <w:pPr>
              <w:jc w:val="right"/>
              <w:spacing w:after="0"/>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Comprehensive Income</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82.5</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82.5</w:t>
            </w: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 Comprehensive Income – Net of Tax</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Loss on Securities – Net</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(6.0)</w:t>
            </w:r>
          </w:p>
        </w:tc>
        <w:tc>
          <w:tcPr>
            <w:tcW w:w="1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(6.0)</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240"/>
              <w:spacing w:after="0"/>
              <w:rPr>
                <w:sz w:val="20"/>
                <w:szCs w:val="20"/>
                <w:color w:val="auto"/>
              </w:rPr>
            </w:pPr>
            <w:r>
              <w:rPr>
                <w:rFonts w:ascii="Arial" w:cs="Arial" w:eastAsia="Arial" w:hAnsi="Arial"/>
                <w:sz w:val="14"/>
                <w:szCs w:val="14"/>
                <w:color w:val="auto"/>
              </w:rPr>
              <w:t>Reclassification Adjustment for Gains Included in Income</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(3.7)</w:t>
            </w:r>
          </w:p>
        </w:tc>
        <w:tc>
          <w:tcPr>
            <w:tcW w:w="12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(3.7)</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Defined Benefit Pension and Other Postretirement Plans</w:t>
            </w:r>
          </w:p>
        </w:tc>
        <w:tc>
          <w:tcPr>
            <w:tcW w:w="1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(18.8)</w:t>
            </w:r>
          </w:p>
        </w:tc>
        <w:tc>
          <w:tcPr>
            <w:tcW w:w="12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(18.8)</w:t>
            </w:r>
          </w:p>
        </w:tc>
        <w:tc>
          <w:tcPr>
            <w:tcW w:w="1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380"/>
              <w:spacing w:after="0"/>
              <w:rPr>
                <w:sz w:val="20"/>
                <w:szCs w:val="20"/>
                <w:color w:val="auto"/>
              </w:rPr>
            </w:pPr>
            <w:r>
              <w:rPr>
                <w:rFonts w:ascii="Arial" w:cs="Arial" w:eastAsia="Arial" w:hAnsi="Arial"/>
                <w:sz w:val="14"/>
                <w:szCs w:val="14"/>
                <w:color w:val="auto"/>
              </w:rPr>
              <w:t>Total Comprehensive Income</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54.0</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Adjustment to initially apply FAS 158 measurement date</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w:t>
            </w: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Common Stock Issued – Net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72.9</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Dividends Declared</w:t>
            </w:r>
          </w:p>
        </w:tc>
        <w:tc>
          <w:tcPr>
            <w:tcW w:w="1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(50.4)</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(50.4)</w:t>
            </w: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ESOP Shares Earned</w:t>
            </w: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9.6</w:t>
            </w:r>
          </w:p>
        </w:tc>
        <w:tc>
          <w:tcPr>
            <w:tcW w:w="1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9.6</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at December 31, 2008</w:t>
            </w:r>
          </w:p>
        </w:tc>
        <w:tc>
          <w:tcPr>
            <w:tcW w:w="1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$827.1</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$380.9</w:t>
            </w:r>
          </w:p>
        </w:tc>
        <w:tc>
          <w:tcPr>
            <w:tcW w:w="16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$(33.0)</w:t>
            </w:r>
          </w:p>
        </w:tc>
        <w:tc>
          <w:tcPr>
            <w:tcW w:w="1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$(54.9)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Operations and Significant Accounting Policies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Financial Statement Preparation. </w:t>
      </w:r>
      <w:r>
        <w:rPr>
          <w:rFonts w:ascii="Arial" w:cs="Arial" w:eastAsia="Arial" w:hAnsi="Arial"/>
          <w:sz w:val="14"/>
          <w:szCs w:val="14"/>
          <w:color w:val="auto"/>
        </w:rPr>
        <w:t>References in this report to “we,” “us” and “our” are to ALLETE and its subsidiaries, collectively. We prepare our financial statements in conformity with</w:t>
      </w:r>
      <w:r>
        <w:rPr>
          <w:rFonts w:ascii="Arial" w:cs="Arial" w:eastAsia="Arial" w:hAnsi="Arial"/>
          <w:sz w:val="14"/>
          <w:szCs w:val="14"/>
          <w:b w:val="1"/>
          <w:bCs w:val="1"/>
          <w:color w:val="auto"/>
        </w:rPr>
        <w:t xml:space="preserve"> </w:t>
      </w:r>
      <w:r>
        <w:rPr>
          <w:rFonts w:ascii="Arial" w:cs="Arial" w:eastAsia="Arial" w:hAnsi="Arial"/>
          <w:sz w:val="14"/>
          <w:szCs w:val="14"/>
          <w:color w:val="auto"/>
        </w:rPr>
        <w:t>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Principles of Consolidation. </w:t>
      </w:r>
      <w:r>
        <w:rPr>
          <w:rFonts w:ascii="Arial" w:cs="Arial" w:eastAsia="Arial" w:hAnsi="Arial"/>
          <w:sz w:val="14"/>
          <w:szCs w:val="14"/>
          <w:color w:val="auto"/>
        </w:rPr>
        <w:t>Our consolidated financial statements include the accounts of ALLETE and all of our majority-owned subsidiary companies. All material intercompany balances and</w:t>
      </w:r>
      <w:r>
        <w:rPr>
          <w:rFonts w:ascii="Arial" w:cs="Arial" w:eastAsia="Arial" w:hAnsi="Arial"/>
          <w:sz w:val="14"/>
          <w:szCs w:val="14"/>
          <w:b w:val="1"/>
          <w:bCs w:val="1"/>
          <w:color w:val="auto"/>
        </w:rPr>
        <w:t xml:space="preserve"> </w:t>
      </w:r>
      <w:r>
        <w:rPr>
          <w:rFonts w:ascii="Arial" w:cs="Arial" w:eastAsia="Arial" w:hAnsi="Arial"/>
          <w:sz w:val="14"/>
          <w:szCs w:val="14"/>
          <w:color w:val="auto"/>
        </w:rPr>
        <w:t>transactions have been eliminated in consolidation.</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Business Segments. </w:t>
      </w:r>
      <w:r>
        <w:rPr>
          <w:rFonts w:ascii="Arial" w:cs="Arial" w:eastAsia="Arial" w:hAnsi="Arial"/>
          <w:sz w:val="14"/>
          <w:szCs w:val="14"/>
          <w:color w:val="auto"/>
        </w:rPr>
        <w:t>In 2008, we changed our reportable segments (see Note 2. Business Segments.) Our Regulated Operations and Investments and Other segments were determined in accordance</w:t>
      </w:r>
      <w:r>
        <w:rPr>
          <w:rFonts w:ascii="Arial" w:cs="Arial" w:eastAsia="Arial" w:hAnsi="Arial"/>
          <w:sz w:val="14"/>
          <w:szCs w:val="14"/>
          <w:b w:val="1"/>
          <w:bCs w:val="1"/>
          <w:color w:val="auto"/>
        </w:rPr>
        <w:t xml:space="preserve"> </w:t>
      </w:r>
      <w:r>
        <w:rPr>
          <w:rFonts w:ascii="Arial" w:cs="Arial" w:eastAsia="Arial" w:hAnsi="Arial"/>
          <w:sz w:val="14"/>
          <w:szCs w:val="14"/>
          <w:color w:val="auto"/>
        </w:rPr>
        <w:t>with SFAS 131, “Disclosures about Segments of an Enterprise and Related Information.” Segmentation is based on the manner in which we operate, assess, and allocate resources to the business. We measure performance of our operations through budgeting and monitoring of contributions to consolidated net income by each business segment. Discontinued Operations includes our Water Services businesses, the majority of which were sold in 2003. (See Note 12. Discontinued Operations.)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color w:val="auto"/>
        </w:rPr>
        <w:t xml:space="preserve">Regulated Operations </w:t>
      </w:r>
      <w:r>
        <w:rPr>
          <w:rFonts w:ascii="Arial" w:cs="Arial" w:eastAsia="Arial" w:hAnsi="Arial"/>
          <w:sz w:val="13"/>
          <w:szCs w:val="13"/>
          <w:color w:val="auto"/>
        </w:rPr>
        <w:t>includes retail and wholesale rate-regulated electric, natural gas, and water services in northeastern Minnesota and northwestern Wisconsin along with our Investment in ATC.</w:t>
      </w:r>
      <w:r>
        <w:rPr>
          <w:rFonts w:ascii="Arial" w:cs="Arial" w:eastAsia="Arial" w:hAnsi="Arial"/>
          <w:sz w:val="13"/>
          <w:szCs w:val="13"/>
          <w:b w:val="1"/>
          <w:bCs w:val="1"/>
          <w:color w:val="auto"/>
        </w:rPr>
        <w:t xml:space="preserve"> </w:t>
      </w:r>
      <w:r>
        <w:rPr>
          <w:rFonts w:ascii="Arial" w:cs="Arial" w:eastAsia="Arial" w:hAnsi="Arial"/>
          <w:sz w:val="13"/>
          <w:szCs w:val="13"/>
          <w:color w:val="auto"/>
        </w:rPr>
        <w:t>Minnesota Power provides regulated utility electric service to 142,000 retail customers in northeastern Minnesota. SWL&amp;P, a wholly-owned subsidiary, provides regulated utility electric, natural gas and water service in northwestern Wisconsin to 15,000 electric customers, 12,000 natural gas customers and 10,000 water customers. Approximately 40 percent of revenue from regulated operations is from Large Power Customers (36 percent of consolidated revenue). Large Power Customers consist of five taconite producers, four paper and pulp mills, two pipeline companies and one manufacturer under all-requirements contracts with expiration dates extending from April 2009 through December 2015. Revenue of $100.2 million (12.5 percent of consolidated revenue) was received from one taconite producer in 2008 (12.0 percent in 2007; 11.6 percent in 2006). Regulated utility rates are under the jurisdiction of Minnesota, Wisconsin and federal regulatory authorities. Billings are rendered on a cycle basis. Revenue is accrued for service provided but not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w:t>
      </w:r>
    </w:p>
    <w:p>
      <w:pPr>
        <w:spacing w:after="0" w:line="3" w:lineRule="exact"/>
        <w:rPr>
          <w:sz w:val="20"/>
          <w:szCs w:val="20"/>
          <w:color w:val="auto"/>
        </w:rPr>
      </w:pPr>
    </w:p>
    <w:p>
      <w:pPr>
        <w:jc w:val="both"/>
        <w:ind w:firstLine="6"/>
        <w:spacing w:after="0" w:line="289" w:lineRule="auto"/>
        <w:tabs>
          <w:tab w:leader="none" w:pos="218" w:val="left"/>
        </w:tabs>
        <w:numPr>
          <w:ilvl w:val="0"/>
          <w:numId w:val="24"/>
        </w:numPr>
        <w:rPr>
          <w:rFonts w:ascii="Arial" w:cs="Arial" w:eastAsia="Arial" w:hAnsi="Arial"/>
          <w:sz w:val="13"/>
          <w:szCs w:val="13"/>
          <w:color w:val="auto"/>
        </w:rPr>
      </w:pPr>
      <w:r>
        <w:rPr>
          <w:rFonts w:ascii="Arial" w:cs="Arial" w:eastAsia="Arial" w:hAnsi="Arial"/>
          <w:sz w:val="13"/>
          <w:szCs w:val="13"/>
          <w:color w:val="auto"/>
        </w:rPr>
        <w:t>bill customers for the recovery of certain environmental expenditures. Fuel and purchased power expense is deferred to match the period in which the revenue for fuel and purchased power expense is collected from customers pursuant to the fuel adjustment clause. Our Investment in ATC includes our approximate 8 percent equity ownership interest in ATC, a Wisconsin-based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(See Note 6. Investments.)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Investments and Other </w:t>
      </w:r>
      <w:r>
        <w:rPr>
          <w:rFonts w:ascii="Arial" w:cs="Arial" w:eastAsia="Arial" w:hAnsi="Arial"/>
          <w:sz w:val="14"/>
          <w:szCs w:val="14"/>
          <w:color w:val="auto"/>
        </w:rPr>
        <w:t>is comprised primarily of BNI Coal, our coal mining operations in North Dakota, and ALLETE Properties, our Florida real estate business. This segment also includes</w:t>
      </w:r>
      <w:r>
        <w:rPr>
          <w:rFonts w:ascii="Arial" w:cs="Arial" w:eastAsia="Arial" w:hAnsi="Arial"/>
          <w:sz w:val="14"/>
          <w:szCs w:val="14"/>
          <w:b w:val="1"/>
          <w:bCs w:val="1"/>
          <w:color w:val="auto"/>
        </w:rPr>
        <w:t xml:space="preserve"> </w:t>
      </w:r>
      <w:r>
        <w:rPr>
          <w:rFonts w:ascii="Arial" w:cs="Arial" w:eastAsia="Arial" w:hAnsi="Arial"/>
          <w:sz w:val="14"/>
          <w:szCs w:val="14"/>
          <w:color w:val="auto"/>
        </w:rPr>
        <w:t>emerging technology investments ($7.4 million at December 31, 2008), a small amount of non-rate base generation, approximately 7,000 acres of land for sale in Minnesota, and earnings on cash and short-term investments.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BNI Coal, a wholly-owned subsidiary, mines and sells lignite coal to two North Dakota mine-mouth generating units, one of which is Square Butte. In 2008, Square Butte supplied approximately 55 percent (250 MWs) of its output to Minnesota Power under a long-term contract. (See Note 8. Commitments, Guarantees and Contingencies.) Coal sales are recognized when delivered at the cost of production plus a specified profit per ton of coal delivered.</w:t>
      </w:r>
    </w:p>
    <w:p>
      <w:pPr>
        <w:spacing w:after="0" w:line="164"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ALLETE Properties is our real estate business that has operated in Florida since 1991. Our current strategy is to complete and maintain key entitlements and infrastructure improvements which enhance values without requiring significant additional investment, and position the current property portfolio for a maximization of value and cash flow when market conditions improve.</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Full profit recognition is recorded on sales upon closing, provided cash collections are at least 20 percent of the contract price and the other requirements of SFAS 66, “Accounting for Sales of Real Estate,” are met. In certain cases, where there are obligations to perform significant development activities after the date of sale, we recognize profit on a percentage-of-completion basis in accordance with SFAS 66. Pursuant to this method of accounting, gross profit is recognized based upon the relationship of development costs incurred as of that date to the total estimated development costs of the parcels, including related amenities or common costs of the entire project. Revenue and cost of real estate sold in excess of the amount recognized based on the percentage-of-completion method is deferred and recognized as revenue and cost of real estate sold during the period in which the related development costs are incurred. Deferred revenue and cost of real estate sold are recorded net as Deferred Profit on Sales of Real Estate on our consolidated balance sheet. On December 31, 2008, we had no deferred profit recorded on our consolidated balance sheet. Certain contracts allow us to receive participation revenue from land sales to third parties if various formula-based criteria are achieved.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4" w:name="page55"/>
    <w:bookmarkEnd w:id="54"/>
    <w:p>
      <w:pPr>
        <w:spacing w:after="0"/>
        <w:tabs>
          <w:tab w:leader="none" w:pos="60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Operations and Significant Accounting Policies (Continued)</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Land held for sale is recorded at the lower of cost or fair value determined by the evaluation of individual land parcels and is included in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SFAS 67, “Accounting for Costs and Initial Rental Operations of Real Estate Projects.” The cost of real estate includes the actual costs incurred and the estimate of future completion costs allocated to the real estate sold based upon the relative sales value method.</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Whenever events or circumstances indicate that the carrying value of the real estate may not be recoverable, impairments would be recorded and the related assets would be adjusted to their estimated fair value, less costs to sell.</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investments in privately-held companies under the cost method because of our ownership percentage. Long-term investments include auction rate securities and variable rate demand notes, and are classified as available-for-sale securities. All income generated from these short-term investments is recorded as interest income. (See Note 6. Investments.)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Property, Plant and Equipment. </w:t>
      </w:r>
      <w:r>
        <w:rPr>
          <w:rFonts w:ascii="Arial" w:cs="Arial" w:eastAsia="Arial" w:hAnsi="Arial"/>
          <w:sz w:val="14"/>
          <w:szCs w:val="14"/>
          <w:color w:val="auto"/>
        </w:rPr>
        <w:t>Property, plant and equipment are recorded at original cost and are reported on the balance sheet net of accumulated depreciation. Expenditures for additions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replacements and improvements are capitalized; maintenance and repair costs are expensed as incurred. Expenditures for major plant overhauls are also accounted for using this same policy. Gains or losses on non-rate base property, plant and equipment are recognized when they are retired or otherwise disposed. When regulated utility property, plant and equipment are retired or otherwise disposed, no gain or loss is recognized, pursuant to SFAS 71, “Accounting for the Effects of Certain Types of Regulations.” Our Regulated Utility operations capitalize AFUDC, which includes both an interest and equity component. (See Note 3. Property Plant and Equipment.)</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 xml:space="preserve">Long-Lived Asset Impairments. </w:t>
      </w:r>
      <w:r>
        <w:rPr>
          <w:rFonts w:ascii="Arial" w:cs="Arial" w:eastAsia="Arial" w:hAnsi="Arial"/>
          <w:sz w:val="13"/>
          <w:szCs w:val="13"/>
          <w:color w:val="auto"/>
        </w:rPr>
        <w:t>We account for our long-lived assets at depreciated historical cost. A long-lived asset is tested for recoverability whenever events or changes in circumstances</w:t>
      </w:r>
      <w:r>
        <w:rPr>
          <w:rFonts w:ascii="Arial" w:cs="Arial" w:eastAsia="Arial" w:hAnsi="Arial"/>
          <w:sz w:val="13"/>
          <w:szCs w:val="13"/>
          <w:b w:val="1"/>
          <w:bCs w:val="1"/>
          <w:color w:val="auto"/>
        </w:rPr>
        <w:t xml:space="preserve"> </w:t>
      </w:r>
      <w:r>
        <w:rPr>
          <w:rFonts w:ascii="Arial" w:cs="Arial" w:eastAsia="Arial" w:hAnsi="Arial"/>
          <w:sz w:val="13"/>
          <w:szCs w:val="13"/>
          <w:color w:val="auto"/>
        </w:rPr>
        <w:t>indicate that its carrying amount may not be recoverable. We conduct this assessment using SFAS 144, “Accounting for the Impairment and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loss only if the carrying amount of a long-lived asset is not recoverable from its undiscounted future cash flows. Management judgment is involved in both deciding if testing for recoverability is necessary and in estimating undiscounted future cash flows.</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Accounts Receivable. </w:t>
      </w:r>
      <w:r>
        <w:rPr>
          <w:rFonts w:ascii="Arial" w:cs="Arial" w:eastAsia="Arial" w:hAnsi="Arial"/>
          <w:sz w:val="14"/>
          <w:szCs w:val="14"/>
          <w:color w:val="auto"/>
        </w:rPr>
        <w:t>Accounts receivable are reported on the balance sheet net of an allowance for doubtful accounts. The allowance is based on our evaluation of the receivable portfolio under</w:t>
      </w:r>
      <w:r>
        <w:rPr>
          <w:rFonts w:ascii="Arial" w:cs="Arial" w:eastAsia="Arial" w:hAnsi="Arial"/>
          <w:sz w:val="14"/>
          <w:szCs w:val="14"/>
          <w:b w:val="1"/>
          <w:bCs w:val="1"/>
          <w:color w:val="auto"/>
        </w:rPr>
        <w:t xml:space="preserve"> </w:t>
      </w:r>
      <w:r>
        <w:rPr>
          <w:rFonts w:ascii="Arial" w:cs="Arial" w:eastAsia="Arial" w:hAnsi="Arial"/>
          <w:sz w:val="14"/>
          <w:szCs w:val="14"/>
          <w:color w:val="auto"/>
        </w:rPr>
        <w:t>current conditions, overall portfolio quality, review of specific problems and such other factors that, in our judgment, deserve recognition in estimating losses.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Accounts Receivable</w:t>
            </w:r>
          </w:p>
        </w:tc>
        <w:tc>
          <w:tcPr>
            <w:tcW w:w="4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4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2008</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Receivable</w:t>
            </w:r>
          </w:p>
        </w:tc>
        <w:tc>
          <w:tcPr>
            <w:tcW w:w="4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Billed</w:t>
            </w:r>
          </w:p>
        </w:tc>
        <w:tc>
          <w:tcPr>
            <w:tcW w:w="4460" w:type="dxa"/>
            <w:vAlign w:val="bottom"/>
          </w:tcPr>
          <w:p>
            <w:pPr>
              <w:jc w:val="right"/>
              <w:ind w:right="748"/>
              <w:spacing w:after="0"/>
              <w:rPr>
                <w:sz w:val="20"/>
                <w:szCs w:val="20"/>
                <w:color w:val="auto"/>
              </w:rPr>
            </w:pPr>
            <w:r>
              <w:rPr>
                <w:rFonts w:ascii="Arial" w:cs="Arial" w:eastAsia="Arial" w:hAnsi="Arial"/>
                <w:sz w:val="14"/>
                <w:szCs w:val="14"/>
                <w:color w:val="auto"/>
              </w:rPr>
              <w:t>$61.1</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Unbilled</w:t>
            </w:r>
          </w:p>
        </w:tc>
        <w:tc>
          <w:tcPr>
            <w:tcW w:w="446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15.9</w:t>
            </w:r>
          </w:p>
        </w:tc>
        <w:tc>
          <w:tcPr>
            <w:tcW w:w="12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Less: Allowance for Doubtful Accounts</w:t>
            </w:r>
          </w:p>
        </w:tc>
        <w:tc>
          <w:tcPr>
            <w:tcW w:w="4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0.7</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Accounts Receivable – Net</w:t>
            </w:r>
          </w:p>
        </w:tc>
        <w:tc>
          <w:tcPr>
            <w:tcW w:w="446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$76.3</w:t>
            </w:r>
          </w:p>
        </w:tc>
        <w:tc>
          <w:tcPr>
            <w:tcW w:w="12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6"/>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Note 1.   Operations and Significant Accounting Policies (Continued)</w:t>
            </w:r>
          </w:p>
        </w:tc>
        <w:tc>
          <w:tcPr>
            <w:tcW w:w="1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w w:val="96"/>
              </w:rPr>
              <w:t xml:space="preserve">Inventories. </w:t>
            </w:r>
            <w:r>
              <w:rPr>
                <w:rFonts w:ascii="Arial" w:cs="Arial" w:eastAsia="Arial" w:hAnsi="Arial"/>
                <w:sz w:val="14"/>
                <w:szCs w:val="14"/>
                <w:color w:val="auto"/>
                <w:w w:val="96"/>
              </w:rPr>
              <w:t>Inventories are stated at the lower of cost or market. Amounts removed from inventory are recorded on an average cost basis.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Inventories</w:t>
            </w:r>
          </w:p>
        </w:tc>
        <w:tc>
          <w:tcPr>
            <w:tcW w:w="1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2008</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1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4"/>
                <w:szCs w:val="14"/>
                <w:color w:val="auto"/>
              </w:rPr>
              <w:t>Fuel</w:t>
            </w:r>
          </w:p>
        </w:tc>
        <w:tc>
          <w:tcPr>
            <w:tcW w:w="17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$16.6</w:t>
            </w:r>
          </w:p>
        </w:tc>
        <w:tc>
          <w:tcPr>
            <w:tcW w:w="1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Materials and Supplies</w:t>
            </w:r>
          </w:p>
        </w:tc>
        <w:tc>
          <w:tcPr>
            <w:tcW w:w="17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33.1</w:t>
            </w:r>
          </w:p>
        </w:tc>
        <w:tc>
          <w:tcPr>
            <w:tcW w:w="1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Inventories</w:t>
            </w:r>
          </w:p>
        </w:tc>
        <w:tc>
          <w:tcPr>
            <w:tcW w:w="174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$49.7</w:t>
            </w:r>
          </w:p>
        </w:tc>
        <w:tc>
          <w:tcPr>
            <w:tcW w:w="1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Unamortized Discount and Premium on Debt. </w:t>
      </w:r>
      <w:r>
        <w:rPr>
          <w:rFonts w:ascii="Arial" w:cs="Arial" w:eastAsia="Arial" w:hAnsi="Arial"/>
          <w:sz w:val="13"/>
          <w:szCs w:val="13"/>
          <w:color w:val="auto"/>
        </w:rPr>
        <w:t>Discount and premium on debt are deferred and amortized over the terms of the related debt instruments using the effective interest method.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Cash and Cash Equivalents. </w:t>
      </w:r>
      <w:r>
        <w:rPr>
          <w:rFonts w:ascii="Arial" w:cs="Arial" w:eastAsia="Arial" w:hAnsi="Arial"/>
          <w:sz w:val="14"/>
          <w:szCs w:val="14"/>
          <w:color w:val="auto"/>
        </w:rPr>
        <w:t>We consider all investments purchased with original maturities of three months or less to be cash equivalents.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Supplemental Statement of Cash Flow Information</w:t>
            </w:r>
          </w:p>
        </w:tc>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 of Cash Flows</w:t>
            </w:r>
          </w:p>
        </w:tc>
        <w:tc>
          <w:tcPr>
            <w:tcW w:w="27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4"/>
                <w:szCs w:val="14"/>
                <w:b w:val="1"/>
                <w:bCs w:val="1"/>
                <w:color w:val="auto"/>
              </w:rPr>
              <w:t>Supplemental Disclosure</w:t>
            </w:r>
          </w:p>
        </w:tc>
        <w:tc>
          <w:tcPr>
            <w:tcW w:w="2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27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2008</w:t>
            </w:r>
          </w:p>
        </w:tc>
        <w:tc>
          <w:tcPr>
            <w:tcW w:w="15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2007</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2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4"/>
                <w:szCs w:val="14"/>
                <w:color w:val="auto"/>
              </w:rPr>
              <w:t>Cash Paid During the Period for</w:t>
            </w:r>
          </w:p>
        </w:tc>
        <w:tc>
          <w:tcPr>
            <w:tcW w:w="2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 Net of Amounts Capitalized</w:t>
            </w:r>
          </w:p>
        </w:tc>
        <w:tc>
          <w:tcPr>
            <w:tcW w:w="2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$25.2</w:t>
            </w:r>
          </w:p>
        </w:tc>
        <w:tc>
          <w:tcPr>
            <w:tcW w:w="15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$26.3</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2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2740" w:type="dxa"/>
            <w:vAlign w:val="bottom"/>
          </w:tcPr>
          <w:p>
            <w:pPr>
              <w:jc w:val="right"/>
              <w:ind w:right="588"/>
              <w:spacing w:after="0"/>
              <w:rPr>
                <w:sz w:val="20"/>
                <w:szCs w:val="20"/>
                <w:color w:val="auto"/>
              </w:rPr>
            </w:pPr>
            <w:r>
              <w:rPr>
                <w:rFonts w:ascii="Arial" w:cs="Arial" w:eastAsia="Arial" w:hAnsi="Arial"/>
                <w:sz w:val="14"/>
                <w:szCs w:val="14"/>
                <w:color w:val="auto"/>
              </w:rPr>
              <w:t>$6.5</w:t>
            </w:r>
          </w:p>
        </w:tc>
        <w:tc>
          <w:tcPr>
            <w:tcW w:w="1500" w:type="dxa"/>
            <w:vAlign w:val="bottom"/>
          </w:tcPr>
          <w:p>
            <w:pPr>
              <w:jc w:val="right"/>
              <w:ind w:right="568"/>
              <w:spacing w:after="0"/>
              <w:rPr>
                <w:sz w:val="20"/>
                <w:szCs w:val="20"/>
                <w:color w:val="auto"/>
              </w:rPr>
            </w:pPr>
            <w:r>
              <w:rPr>
                <w:rFonts w:ascii="Arial" w:cs="Arial" w:eastAsia="Arial" w:hAnsi="Arial"/>
                <w:sz w:val="14"/>
                <w:szCs w:val="14"/>
                <w:color w:val="auto"/>
              </w:rPr>
              <w:t>$34.2</w:t>
            </w:r>
          </w:p>
        </w:tc>
        <w:tc>
          <w:tcPr>
            <w:tcW w:w="1080" w:type="dxa"/>
            <w:vAlign w:val="bottom"/>
          </w:tcPr>
          <w:p>
            <w:pPr>
              <w:jc w:val="right"/>
              <w:spacing w:after="0"/>
              <w:rPr>
                <w:sz w:val="20"/>
                <w:szCs w:val="20"/>
                <w:color w:val="auto"/>
              </w:rPr>
            </w:pPr>
            <w:r>
              <w:rPr>
                <w:rFonts w:ascii="Arial" w:cs="Arial" w:eastAsia="Arial" w:hAnsi="Arial"/>
                <w:sz w:val="14"/>
                <w:szCs w:val="14"/>
                <w:color w:val="auto"/>
              </w:rPr>
              <w:t xml:space="preserve">$32.4 </w:t>
            </w:r>
            <w:r>
              <w:rPr>
                <w:rFonts w:ascii="Arial" w:cs="Arial" w:eastAsia="Arial" w:hAnsi="Arial"/>
                <w:sz w:val="14"/>
                <w:szCs w:val="14"/>
                <w:i w:val="1"/>
                <w:iCs w:val="1"/>
                <w:color w:val="auto"/>
              </w:rPr>
              <w:t>(a)</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4"/>
                <w:szCs w:val="14"/>
                <w:color w:val="auto"/>
              </w:rPr>
              <w:t>Noncash Investing Activities</w:t>
            </w:r>
          </w:p>
        </w:tc>
        <w:tc>
          <w:tcPr>
            <w:tcW w:w="2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 for Capital Additions to Property, Plant and Equipment</w:t>
            </w:r>
          </w:p>
        </w:tc>
        <w:tc>
          <w:tcPr>
            <w:tcW w:w="2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$17.1</w:t>
            </w:r>
          </w:p>
        </w:tc>
        <w:tc>
          <w:tcPr>
            <w:tcW w:w="15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$9.8</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AFUDC – Equity</w:t>
            </w:r>
          </w:p>
        </w:tc>
        <w:tc>
          <w:tcPr>
            <w:tcW w:w="2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$3.3</w:t>
            </w:r>
          </w:p>
        </w:tc>
        <w:tc>
          <w:tcPr>
            <w:tcW w:w="15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$3.8</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Net of a $24.3 million cash refund.</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b w:val="1"/>
          <w:bCs w:val="1"/>
          <w:color w:val="auto"/>
        </w:rPr>
        <w:t xml:space="preserve">Available-for-Sale Securities. </w:t>
      </w:r>
      <w:r>
        <w:rPr>
          <w:rFonts w:ascii="Arial" w:cs="Arial" w:eastAsia="Arial" w:hAnsi="Arial"/>
          <w:sz w:val="13"/>
          <w:szCs w:val="13"/>
          <w:color w:val="auto"/>
        </w:rPr>
        <w:t>Available-for-sale securities are recorded at fair value with unrealized gains and losses included in accumulated other comprehensive income (loss), net of tax.</w:t>
      </w:r>
      <w:r>
        <w:rPr>
          <w:rFonts w:ascii="Arial" w:cs="Arial" w:eastAsia="Arial" w:hAnsi="Arial"/>
          <w:sz w:val="13"/>
          <w:szCs w:val="13"/>
          <w:b w:val="1"/>
          <w:bCs w:val="1"/>
          <w:color w:val="auto"/>
        </w:rPr>
        <w:t xml:space="preserve"> </w:t>
      </w:r>
      <w:r>
        <w:rPr>
          <w:rFonts w:ascii="Arial" w:cs="Arial" w:eastAsia="Arial" w:hAnsi="Arial"/>
          <w:sz w:val="13"/>
          <w:szCs w:val="13"/>
          <w:color w:val="auto"/>
        </w:rPr>
        <w:t>Unrealized losses that are other than temporary are recognized in earnings. Our auction rate securities (ARS) and variable rate demand notes, classified as available-for-sale securities, are recorded at cost because their cost approximates fair market value. These ARS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all of our ARS. As a result, we have classified the ARS as long-term investments and have the ability to hold these securities to maturity, until called by the issuer, or until liquidity returns to this market.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6. Investments.)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6" w:name="page57"/>
    <w:bookmarkEnd w:id="56"/>
    <w:p>
      <w:pPr>
        <w:spacing w:after="0"/>
        <w:tabs>
          <w:tab w:leader="none" w:pos="56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Operations and Significant Accounting Policies (Continued)</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Accounting for Stock-Based Compensation. </w:t>
      </w:r>
      <w:r>
        <w:rPr>
          <w:rFonts w:ascii="Arial" w:cs="Arial" w:eastAsia="Arial" w:hAnsi="Arial"/>
          <w:sz w:val="14"/>
          <w:szCs w:val="14"/>
          <w:color w:val="auto"/>
        </w:rPr>
        <w:t>Effective January 1, 2006, we adopted the fair value recognition provisions of SFAS 123R, “Share-Based Payment,” using the modified prospective</w:t>
      </w:r>
      <w:r>
        <w:rPr>
          <w:rFonts w:ascii="Arial" w:cs="Arial" w:eastAsia="Arial" w:hAnsi="Arial"/>
          <w:sz w:val="14"/>
          <w:szCs w:val="14"/>
          <w:b w:val="1"/>
          <w:bCs w:val="1"/>
          <w:color w:val="auto"/>
        </w:rPr>
        <w:t xml:space="preserve"> </w:t>
      </w:r>
      <w:r>
        <w:rPr>
          <w:rFonts w:ascii="Arial" w:cs="Arial" w:eastAsia="Arial" w:hAnsi="Arial"/>
          <w:sz w:val="14"/>
          <w:szCs w:val="14"/>
          <w:color w:val="auto"/>
        </w:rPr>
        <w:t>transition method. Under this method, we recognize compensation expense for all share-based payments granted after January 1, 2006, and those granted prior to but not yet vested as of January 1, 2006. Under the fair value recognition provisions of SFAS 123R, we recognize stock-based compensation net of an estimated forfeiture rate and only recognize compensation expense for those shares expected to vest over the required service period of the award. (See Note 15. Employee Stock and Incentive Plans.)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Prepayments and Other Current Assets</w:t>
            </w:r>
          </w:p>
        </w:tc>
        <w:tc>
          <w:tcPr>
            <w:tcW w:w="3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3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2008</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Deferred Fuel Adjustment Clause</w:t>
            </w:r>
          </w:p>
        </w:tc>
        <w:tc>
          <w:tcPr>
            <w:tcW w:w="3120" w:type="dxa"/>
            <w:vAlign w:val="bottom"/>
          </w:tcPr>
          <w:p>
            <w:pPr>
              <w:jc w:val="right"/>
              <w:ind w:right="548"/>
              <w:spacing w:after="0"/>
              <w:rPr>
                <w:sz w:val="20"/>
                <w:szCs w:val="20"/>
                <w:color w:val="auto"/>
              </w:rPr>
            </w:pPr>
            <w:r>
              <w:rPr>
                <w:rFonts w:ascii="Arial" w:cs="Arial" w:eastAsia="Arial" w:hAnsi="Arial"/>
                <w:sz w:val="14"/>
                <w:szCs w:val="14"/>
                <w:color w:val="auto"/>
              </w:rPr>
              <w:t>$13.1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1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11.2</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Prepayments and Other Current Assets</w:t>
            </w:r>
          </w:p>
        </w:tc>
        <w:tc>
          <w:tcPr>
            <w:tcW w:w="3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$24.3</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Assets</w:t>
            </w:r>
          </w:p>
        </w:tc>
        <w:tc>
          <w:tcPr>
            <w:tcW w:w="3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3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Deferred Regulatory Assets (See Note 5. Regulatory Matters)</w:t>
            </w:r>
          </w:p>
        </w:tc>
        <w:tc>
          <w:tcPr>
            <w:tcW w:w="3120" w:type="dxa"/>
            <w:vAlign w:val="bottom"/>
          </w:tcPr>
          <w:p>
            <w:pPr>
              <w:jc w:val="right"/>
              <w:ind w:right="488"/>
              <w:spacing w:after="0"/>
              <w:rPr>
                <w:sz w:val="20"/>
                <w:szCs w:val="20"/>
                <w:color w:val="auto"/>
              </w:rPr>
            </w:pPr>
            <w:r>
              <w:rPr>
                <w:rFonts w:ascii="Arial" w:cs="Arial" w:eastAsia="Arial" w:hAnsi="Arial"/>
                <w:sz w:val="14"/>
                <w:szCs w:val="14"/>
                <w:color w:val="auto"/>
              </w:rPr>
              <w:t>$249.3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12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32.1</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Other Assets</w:t>
            </w:r>
          </w:p>
        </w:tc>
        <w:tc>
          <w:tcPr>
            <w:tcW w:w="3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$281.4</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2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3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w:t>
            </w:r>
          </w:p>
        </w:tc>
        <w:tc>
          <w:tcPr>
            <w:tcW w:w="312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2008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Future Benefit Obligation Under Defined Benefit Pension and Other Postretirement Plans</w:t>
            </w:r>
          </w:p>
        </w:tc>
        <w:tc>
          <w:tcPr>
            <w:tcW w:w="31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$251.8</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Deferred Regulatory Liabilities (See Note 5. Regulatory Matters)</w:t>
            </w:r>
          </w:p>
        </w:tc>
        <w:tc>
          <w:tcPr>
            <w:tcW w:w="3120" w:type="dxa"/>
            <w:vAlign w:val="bottom"/>
          </w:tcPr>
          <w:p>
            <w:pPr>
              <w:jc w:val="right"/>
              <w:ind w:right="488"/>
              <w:spacing w:after="0"/>
              <w:rPr>
                <w:sz w:val="20"/>
                <w:szCs w:val="20"/>
                <w:color w:val="auto"/>
              </w:rPr>
            </w:pPr>
            <w:r>
              <w:rPr>
                <w:rFonts w:ascii="Arial" w:cs="Arial" w:eastAsia="Arial" w:hAnsi="Arial"/>
                <w:sz w:val="14"/>
                <w:szCs w:val="14"/>
                <w:color w:val="auto"/>
              </w:rPr>
              <w:t>50.0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Asset Retirement Obligation (See Note 3. Property, Plant and Equipment)</w:t>
            </w:r>
          </w:p>
        </w:tc>
        <w:tc>
          <w:tcPr>
            <w:tcW w:w="31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39.5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3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48.0</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Other Liabilities</w:t>
            </w:r>
          </w:p>
        </w:tc>
        <w:tc>
          <w:tcPr>
            <w:tcW w:w="312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$389.3</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Environmental Liabilities. </w:t>
      </w:r>
      <w:r>
        <w:rPr>
          <w:rFonts w:ascii="Arial" w:cs="Arial" w:eastAsia="Arial" w:hAnsi="Arial"/>
          <w:sz w:val="14"/>
          <w:szCs w:val="14"/>
          <w:color w:val="auto"/>
        </w:rPr>
        <w:t>We review environmental matters for disclosure on a quarterly basis. Accruals for environmental matters are recorded when it is probable that a liability has been incurred</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 (See Note 8. Commitments, Guarantees and Contingencies.)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We file a consolidated federal income tax return. We account for income taxes using the liability method as prescribed by SFAS 109, “Accounting for Income Taxes.” Under the</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liability method, deferred income tax assets and liabilities are established for all temporary differences in the book and tax basis of assets and liabilities, based upon enacted tax laws and rates applicable to the periods in which the taxes become payable. Due to the effects of regulation on Minnesota Power, certain adjustments made to deferred income taxes are, in turn, recorded as regulatory assets or liabilities. Investment tax credits have been recorded as deferred credits and are being amortized to income tax expense over the service lives of the related property. Effective January 1, 2007, we adopted the provisions of FIN 48, “Accounting for Uncertainty in Income Taxes – an Interpretation of FASB Statement No. 109.” Under this provision we are required to recognize in our financial statements the largest tax benefit of a tax position that is “more-likely-than-not” to be sustained, on audit, based solely on the technical merits of the position as of the reporting date. Only tax positions that meet the “more-likely-than-not” threshold may be recognized, and the term “more-likely-than-not” means more than 50 percent. (See Note 11. Income Tax Expense.)</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Excise Taxes. </w:t>
      </w:r>
      <w:r>
        <w:rPr>
          <w:rFonts w:ascii="Arial" w:cs="Arial" w:eastAsia="Arial" w:hAnsi="Arial"/>
          <w:sz w:val="14"/>
          <w:szCs w:val="14"/>
          <w:color w:val="auto"/>
        </w:rPr>
        <w:t>We collect excise taxes from our customers levied by government entities. These taxes are stated separately on the billing to the customer and recorded as a liability to be remitted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government entity. We account for the collection and payment of these taxes on the net basis.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7" w:name="page58"/>
    <w:bookmarkEnd w:id="57"/>
    <w:p>
      <w:pPr>
        <w:spacing w:after="0"/>
        <w:tabs>
          <w:tab w:leader="none" w:pos="60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Operations and Significant Accounting Policies (Continued)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 xml:space="preserve">New Accounting Standards. </w:t>
      </w:r>
      <w:r>
        <w:rPr>
          <w:rFonts w:ascii="Arial" w:cs="Arial" w:eastAsia="Arial" w:hAnsi="Arial"/>
          <w:sz w:val="14"/>
          <w:szCs w:val="14"/>
          <w:i w:val="1"/>
          <w:iCs w:val="1"/>
          <w:color w:val="auto"/>
        </w:rPr>
        <w:t>SFAS 157</w:t>
      </w:r>
      <w:r>
        <w:rPr>
          <w:rFonts w:ascii="Arial" w:cs="Arial" w:eastAsia="Arial" w:hAnsi="Arial"/>
          <w:sz w:val="14"/>
          <w:szCs w:val="14"/>
          <w:color w:val="auto"/>
        </w:rPr>
        <w:t>. In September 2006, the FASB issued SFAS 157, “Fair Value Measurements,” to increase consistency and comparability in fair value measurements by</w:t>
      </w:r>
      <w:r>
        <w:rPr>
          <w:rFonts w:ascii="Arial" w:cs="Arial" w:eastAsia="Arial" w:hAnsi="Arial"/>
          <w:sz w:val="14"/>
          <w:szCs w:val="14"/>
          <w:b w:val="1"/>
          <w:bCs w:val="1"/>
          <w:color w:val="auto"/>
        </w:rPr>
        <w:t xml:space="preserve"> </w:t>
      </w:r>
      <w:r>
        <w:rPr>
          <w:rFonts w:ascii="Arial" w:cs="Arial" w:eastAsia="Arial" w:hAnsi="Arial"/>
          <w:sz w:val="14"/>
          <w:szCs w:val="14"/>
          <w:color w:val="auto"/>
        </w:rPr>
        <w:t>defining fair value, establishing a framework for measuring fair value in GAAP,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In February 2008, the FASB issued FSP FAS 157-1, "Application of FAS 157 to FAS 13 and Other Accounting Pronouncements That Address Fair Value Measurements for Purposes of Lease Classification or Measurement under FAS 13", which excludes FAS 13, "Accounting for Leases," and its related interpretive accounting pronouncements that address leasing transactions, from the scope of FAS 157.</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Also in February 2008, the FASB issued FSP FAS 157-2, "Effective Date of FASB Statement 157," which delayed the effective date of SFAS 157 for all nonrecurring fair value measurements of nonfinancial assets and liabilities until fiscal years beginning after November 15, 2008. The Company elected to defer the adoption of the nonrecurring fair value measurement disclosures of nonfinancial assets and liabilities. The adoption of FSP FAS 157-2 is not expected to have a material impact on our consolidated financial position, results of operations, or cash flows.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implementation of SFAS 157 for financial assets and financial liabilities and FSP FAS 157-1, effective January 1, 2008, did not have a material impact on our consolidated financial position and results of operations. (See Note 6. Investments.) We are currently assessing the impact of SFAS 157 for nonfinancial assets and nonfinancial liabilities, but it is not expected to have a material impact on our consolidated financial position, results of operations, or cash flows.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October 2008, the FASB issued FSP FAS 157-3, “Determining the Fair Value of a Financial Asset When the Market for That Asset Is Not Active.” This FSP amends SFAS 157, to clarify various application issues with regard to the measurement principles of SFAS 157 when the market for financial assets is not active. This FSP became effective on October 10, 2008, and is applicable to prior periods for which financial statements have not yet been issued. The adoption of FSP FAS 157-3 did not have a material impact on our consolidated financial position, results of operations, or cash flows.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SFAS 159</w:t>
      </w:r>
      <w:r>
        <w:rPr>
          <w:rFonts w:ascii="Arial" w:cs="Arial" w:eastAsia="Arial" w:hAnsi="Arial"/>
          <w:sz w:val="14"/>
          <w:szCs w:val="14"/>
          <w:color w:val="auto"/>
        </w:rPr>
        <w:t>. In February 2007, the FASB issued SFAS 159, “The Fair Value Option for Financial Assets and Financial Liabilities,” which is an elective, irrevocable election to measure eligible</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instruments and certain other assets and liabilities at fair value on an instrument-by-instrument basis. The election may only be applied at specified election dates and to instruments in their entirety rather than to portions of instruments. Upon initial election, the entity reports the difference between the instruments’ carrying value and their fair value as a cumulative-effect adjustment to the opening balance of retained earnings. At each subsequent reporting date, an entity reports in earnings, unrealized gains and losses on items for which the fair value option has been elected. SFAS 159 is effective for financial statements issued for fiscal years beginning after November 15, 2007, and is applied on a prospective basis. We have elected not to adopt the provisions of SFAS 159 at this time.</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3"/>
          <w:szCs w:val="13"/>
          <w:i w:val="1"/>
          <w:iCs w:val="1"/>
          <w:color w:val="auto"/>
        </w:rPr>
        <w:t xml:space="preserve">SFAS 160. </w:t>
      </w:r>
      <w:r>
        <w:rPr>
          <w:rFonts w:ascii="Arial" w:cs="Arial" w:eastAsia="Arial" w:hAnsi="Arial"/>
          <w:sz w:val="13"/>
          <w:szCs w:val="13"/>
          <w:color w:val="auto"/>
        </w:rPr>
        <w:t>In December 2007, the FASB issued SFAS 160, “Noncontrolling Interests in Consolidated Financial Statements – an amendment of Accounting Research Bulletin (ARB) 51,” to improve</w:t>
      </w:r>
      <w:r>
        <w:rPr>
          <w:rFonts w:ascii="Arial" w:cs="Arial" w:eastAsia="Arial" w:hAnsi="Arial"/>
          <w:sz w:val="13"/>
          <w:szCs w:val="13"/>
          <w:i w:val="1"/>
          <w:iCs w:val="1"/>
          <w:color w:val="auto"/>
        </w:rPr>
        <w:t xml:space="preserve"> </w:t>
      </w:r>
      <w:r>
        <w:rPr>
          <w:rFonts w:ascii="Arial" w:cs="Arial" w:eastAsia="Arial" w:hAnsi="Arial"/>
          <w:sz w:val="13"/>
          <w:szCs w:val="13"/>
          <w:color w:val="auto"/>
        </w:rPr>
        <w:t>the relevance, comparability, and transparency of the financial information a reporting entity provides in its consolidated financial statements. SFAS 160 amends ARB 51 to establish accounting and reporting standards for noncontrolling interests in subsidiaries and to make certain consolidation procedures consistent with the requirements of SFAS 141R. It defines a noncontrolling interest in a subsidiary as an ownership interest in the consolidated entity that should be reported as equity in the consolidated financial statements. SFAS 160 changes the way the consolidated income statement is presented by requiring consolidated net income to include amounts attributable to the parent and the noncontrolling interest. SFAS 160 establishes a single method of accounting for changes in a parent’s ownership interest in a subsidiary which do not result in deconsolidation. SFAS 160 also requires expanded disclosures that clearly identify and distinguish between the interests of the parent and the interests of the noncontrolling owners of a subsidiary. SFAS 160 is effective for financial statements issued for fiscal years beginning on or after December 15, 2008, and interim periods within those fiscal years. Early adoption is prohibited. SFAS 160 shall be applied prospectively, with the exception of the presentation and disclosure requirements which shall be applied retrospectively for all periods presented. ALLETE Properties does have certain noncontrolling interests in consolidated subsidiaries. If SFAS 160 had been applied as of December 31, 2008, the $9.8 million reported as Minority Interest in the Liabilities section on our consolidated balance sheet would have been reported as $9.8 million of Noncontrolling Interest in Subsidiaries in the Equity section of our consolidated balance sheet. Effective January 1, 2009, SFAS 160 will impact the presentation of our consolidated balance sheet, but it is not expected to have a material impact on our consolidated financial position, results of operations, or cash flows.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FSP FAS 132(R)-1. </w:t>
      </w:r>
      <w:r>
        <w:rPr>
          <w:rFonts w:ascii="Arial" w:cs="Arial" w:eastAsia="Arial" w:hAnsi="Arial"/>
          <w:sz w:val="14"/>
          <w:szCs w:val="14"/>
          <w:color w:val="auto"/>
        </w:rPr>
        <w:t>In December 2008, the FASB issued FSP FAS 132(R)-1. This FSP amends SFAS 132(R), “Employers’ Disclosures about Pensions and Other Postretirement Benefits,” to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guidance on an employer’s disclosures about plan assets, including employers’ investment strategies, major categories of plan assets, concentrations of risk within plan assets, and valuation techniques used to measure the fair value of plan assets. This FSP is effective for fiscal years ending after December 15, 2009. Upon initial application, the provisions of this FSP are not required for earlier periods that are presented for comparative purposes. Early application of the provisions of this FSP is permitted.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8" w:name="page59"/>
    <w:bookmarkEnd w:id="58"/>
    <w:p>
      <w:pPr>
        <w:spacing w:after="0"/>
        <w:tabs>
          <w:tab w:leader="none" w:pos="56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Operations and Significant Accounting Policies (Continued)</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 xml:space="preserve">FSP FAS 140-4 and FIN 46(R)-8. </w:t>
      </w:r>
      <w:r>
        <w:rPr>
          <w:rFonts w:ascii="Arial" w:cs="Arial" w:eastAsia="Arial" w:hAnsi="Arial"/>
          <w:sz w:val="14"/>
          <w:szCs w:val="14"/>
          <w:color w:val="auto"/>
        </w:rPr>
        <w:t>In December 2008, the FASB issued FSP FAS 140-4 and FIN 46(R)-8. This pronouncement amends SFAS 140, “Accounting for Transfers and Servicing of</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Assets and Extinguishments of Liabilities” to require public entities to provide additional disclosures about the transfers of financial assets. The pronouncement also amends FIN 46, “Consolidation of Variable Interest Entities,” requiring additional disclosures about a company’s involvement with variable interest entities and qualifying special purpose entities. This FSP is effective for the first reporting period ending after December 15, 2008. We have adopted FSP FAS 140-R and FIN 46(R)-8 and have determined that ALLETE is not the primary beneficiary of any variable interest entities it is associated with. FSP FAS 140-4 and FIN 46(R)-8 did not have a material impact on our consolidated financial position, results of operations, or cash flows. (See Note 8. Commitments, Guarantees and Contingencies.)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2.</w:t>
      </w:r>
      <w:r>
        <w:rPr>
          <w:sz w:val="20"/>
          <w:szCs w:val="20"/>
          <w:color w:val="auto"/>
        </w:rPr>
        <w:tab/>
      </w:r>
      <w:r>
        <w:rPr>
          <w:rFonts w:ascii="Arial" w:cs="Arial" w:eastAsia="Arial" w:hAnsi="Arial"/>
          <w:sz w:val="11"/>
          <w:szCs w:val="11"/>
          <w:b w:val="1"/>
          <w:bCs w:val="1"/>
          <w:color w:val="auto"/>
        </w:rPr>
        <w:t>Business Segments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the fourth quarter of 2008, we made changes to our reportable business segments in our continuing effort to manage and measure performance of our operations based on the nature of products and services provided and customers served. Previously, we reported a Regulated Utility segment which included our regulated utilities Minnesota Power and SWL&amp;P. This prior segment is now combined with our previously disclosed segment, Investment in ATC, and renamed Regulated Operations. In addition, we combined the three previously reportable business segments Non-regulated Energy Operations, Real Estate, and Other into one reportable business segment called Investments and Other. The Real Estate segment was not a key component of ALLETE’s business in 2008 and is not expected to be significant in the future. The Investments and Other segment also includes emerging technologies, and earnings on cash and short term investments. In 2008, none of the components of the Investments and Other segment contribute revenue, profit, or assets that are greater than 10 percent of consolidated revenue, profit, or assets. We have recast our segment information for fiscal years ended 2007 and 2006 to reflect the new reportable business segments. Presented below are the operating results and other financial information related to our reportable business segments. For a description of our reportable business segments, see Item 1.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202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Regulated</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Consolidated</w:t>
            </w:r>
          </w:p>
        </w:tc>
        <w:tc>
          <w:tcPr>
            <w:tcW w:w="2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5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w:t>
            </w:r>
          </w:p>
        </w:tc>
        <w:tc>
          <w:tcPr>
            <w:tcW w:w="25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$801.0</w:t>
            </w:r>
          </w:p>
        </w:tc>
        <w:tc>
          <w:tcPr>
            <w:tcW w:w="20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$712.2</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Fuel and Purchased Power</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305.6</w:t>
            </w:r>
          </w:p>
        </w:tc>
        <w:tc>
          <w:tcPr>
            <w:tcW w:w="2020" w:type="dxa"/>
            <w:vAlign w:val="bottom"/>
          </w:tcPr>
          <w:p>
            <w:pPr>
              <w:jc w:val="right"/>
              <w:ind w:right="448"/>
              <w:spacing w:after="0"/>
              <w:rPr>
                <w:sz w:val="20"/>
                <w:szCs w:val="20"/>
                <w:color w:val="auto"/>
              </w:rPr>
            </w:pPr>
            <w:r>
              <w:rPr>
                <w:rFonts w:ascii="Arial" w:cs="Arial" w:eastAsia="Arial" w:hAnsi="Arial"/>
                <w:sz w:val="14"/>
                <w:szCs w:val="14"/>
                <w:color w:val="auto"/>
              </w:rPr>
              <w:t>305.6</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Operating and Maintenance</w:t>
            </w:r>
          </w:p>
        </w:tc>
        <w:tc>
          <w:tcPr>
            <w:tcW w:w="25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318.1</w:t>
            </w:r>
          </w:p>
        </w:tc>
        <w:tc>
          <w:tcPr>
            <w:tcW w:w="20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239.3</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Expense</w:t>
            </w:r>
          </w:p>
        </w:tc>
        <w:tc>
          <w:tcPr>
            <w:tcW w:w="25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55.5</w:t>
            </w:r>
          </w:p>
        </w:tc>
        <w:tc>
          <w:tcPr>
            <w:tcW w:w="2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50.7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from Continuing Operations</w:t>
            </w:r>
          </w:p>
        </w:tc>
        <w:tc>
          <w:tcPr>
            <w:tcW w:w="25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121.8</w:t>
            </w:r>
          </w:p>
        </w:tc>
        <w:tc>
          <w:tcPr>
            <w:tcW w:w="20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116.6</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Interest Expense</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(26.3)</w:t>
            </w:r>
          </w:p>
        </w:tc>
        <w:tc>
          <w:tcPr>
            <w:tcW w:w="2020" w:type="dxa"/>
            <w:vAlign w:val="bottom"/>
          </w:tcPr>
          <w:p>
            <w:pPr>
              <w:jc w:val="right"/>
              <w:ind w:right="448"/>
              <w:spacing w:after="0"/>
              <w:rPr>
                <w:sz w:val="20"/>
                <w:szCs w:val="20"/>
                <w:color w:val="auto"/>
              </w:rPr>
            </w:pPr>
            <w:r>
              <w:rPr>
                <w:rFonts w:ascii="Arial" w:cs="Arial" w:eastAsia="Arial" w:hAnsi="Arial"/>
                <w:sz w:val="14"/>
                <w:szCs w:val="14"/>
                <w:color w:val="auto"/>
              </w:rPr>
              <w:t>(24.0)</w:t>
            </w:r>
          </w:p>
        </w:tc>
        <w:tc>
          <w:tcPr>
            <w:tcW w:w="128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Equity Earnings in ATC</w:t>
            </w:r>
          </w:p>
        </w:tc>
        <w:tc>
          <w:tcPr>
            <w:tcW w:w="25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15.3</w:t>
            </w:r>
          </w:p>
        </w:tc>
        <w:tc>
          <w:tcPr>
            <w:tcW w:w="20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15.3</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w:t>
            </w:r>
          </w:p>
        </w:tc>
        <w:tc>
          <w:tcPr>
            <w:tcW w:w="25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15.6</w:t>
            </w:r>
          </w:p>
        </w:tc>
        <w:tc>
          <w:tcPr>
            <w:tcW w:w="2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3.6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 Before Minority Interest and Income Taxes</w:t>
            </w:r>
          </w:p>
        </w:tc>
        <w:tc>
          <w:tcPr>
            <w:tcW w:w="25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126.4</w:t>
            </w:r>
          </w:p>
        </w:tc>
        <w:tc>
          <w:tcPr>
            <w:tcW w:w="20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111.5</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43.4</w:t>
            </w:r>
          </w:p>
        </w:tc>
        <w:tc>
          <w:tcPr>
            <w:tcW w:w="2020" w:type="dxa"/>
            <w:vAlign w:val="bottom"/>
          </w:tcPr>
          <w:p>
            <w:pPr>
              <w:jc w:val="right"/>
              <w:ind w:right="448"/>
              <w:spacing w:after="0"/>
              <w:rPr>
                <w:sz w:val="20"/>
                <w:szCs w:val="20"/>
                <w:color w:val="auto"/>
              </w:rPr>
            </w:pPr>
            <w:r>
              <w:rPr>
                <w:rFonts w:ascii="Arial" w:cs="Arial" w:eastAsia="Arial" w:hAnsi="Arial"/>
                <w:sz w:val="14"/>
                <w:szCs w:val="14"/>
                <w:color w:val="auto"/>
              </w:rPr>
              <w:t>43.6</w:t>
            </w: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Minority Interest</w:t>
            </w:r>
          </w:p>
        </w:tc>
        <w:tc>
          <w:tcPr>
            <w:tcW w:w="25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0.5</w:t>
            </w:r>
          </w:p>
        </w:tc>
        <w:tc>
          <w:tcPr>
            <w:tcW w:w="20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c>
          <w:tcPr>
            <w:tcW w:w="25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$82.5</w:t>
            </w:r>
          </w:p>
        </w:tc>
        <w:tc>
          <w:tcPr>
            <w:tcW w:w="2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$67.9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Total Assets</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$2,134.8</w:t>
            </w:r>
          </w:p>
        </w:tc>
        <w:tc>
          <w:tcPr>
            <w:tcW w:w="2020" w:type="dxa"/>
            <w:vAlign w:val="bottom"/>
          </w:tcPr>
          <w:p>
            <w:pPr>
              <w:jc w:val="right"/>
              <w:ind w:right="448"/>
              <w:spacing w:after="0"/>
              <w:rPr>
                <w:sz w:val="20"/>
                <w:szCs w:val="20"/>
                <w:color w:val="auto"/>
              </w:rPr>
            </w:pPr>
            <w:r>
              <w:rPr>
                <w:rFonts w:ascii="Arial" w:cs="Arial" w:eastAsia="Arial" w:hAnsi="Arial"/>
                <w:sz w:val="14"/>
                <w:szCs w:val="14"/>
                <w:color w:val="auto"/>
              </w:rPr>
              <w:t>$1,832.1</w:t>
            </w:r>
          </w:p>
        </w:tc>
        <w:tc>
          <w:tcPr>
            <w:tcW w:w="1280" w:type="dxa"/>
            <w:vAlign w:val="bottom"/>
          </w:tcPr>
          <w:p>
            <w:pPr>
              <w:jc w:val="right"/>
              <w:spacing w:after="0"/>
              <w:rPr>
                <w:sz w:val="20"/>
                <w:szCs w:val="20"/>
                <w:color w:val="auto"/>
              </w:rPr>
            </w:pPr>
            <w:r>
              <w:rPr>
                <w:rFonts w:ascii="Arial" w:cs="Arial" w:eastAsia="Arial" w:hAnsi="Arial"/>
                <w:sz w:val="14"/>
                <w:szCs w:val="14"/>
                <w:color w:val="auto"/>
              </w:rPr>
              <w:t>$302.7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Capital Additions</w:t>
            </w:r>
          </w:p>
        </w:tc>
        <w:tc>
          <w:tcPr>
            <w:tcW w:w="25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$322.9</w:t>
            </w:r>
          </w:p>
        </w:tc>
        <w:tc>
          <w:tcPr>
            <w:tcW w:w="20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$317.0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6"/>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Note 2.  Business Segments (Continued)</w:t>
            </w:r>
          </w:p>
        </w:tc>
        <w:tc>
          <w:tcPr>
            <w:tcW w:w="2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Regulated</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Consolidated</w:t>
            </w:r>
          </w:p>
        </w:tc>
        <w:tc>
          <w:tcPr>
            <w:tcW w:w="22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4"/>
                <w:szCs w:val="14"/>
                <w:b w:val="1"/>
                <w:bCs w:val="1"/>
                <w:color w:val="auto"/>
              </w:rPr>
              <w:t>2007</w:t>
            </w:r>
          </w:p>
        </w:tc>
        <w:tc>
          <w:tcPr>
            <w:tcW w:w="2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w:t>
            </w:r>
          </w:p>
        </w:tc>
        <w:tc>
          <w:tcPr>
            <w:tcW w:w="25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$841.7</w:t>
            </w:r>
          </w:p>
        </w:tc>
        <w:tc>
          <w:tcPr>
            <w:tcW w:w="22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$723.8</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4"/>
                <w:szCs w:val="14"/>
                <w:color w:val="auto"/>
              </w:rPr>
              <w:t>Fuel and Purchased Power</w:t>
            </w:r>
          </w:p>
        </w:tc>
        <w:tc>
          <w:tcPr>
            <w:tcW w:w="2500" w:type="dxa"/>
            <w:vAlign w:val="bottom"/>
          </w:tcPr>
          <w:p>
            <w:pPr>
              <w:jc w:val="right"/>
              <w:ind w:right="728"/>
              <w:spacing w:after="0"/>
              <w:rPr>
                <w:sz w:val="20"/>
                <w:szCs w:val="20"/>
                <w:color w:val="auto"/>
              </w:rPr>
            </w:pPr>
            <w:r>
              <w:rPr>
                <w:rFonts w:ascii="Arial" w:cs="Arial" w:eastAsia="Arial" w:hAnsi="Arial"/>
                <w:sz w:val="14"/>
                <w:szCs w:val="14"/>
                <w:color w:val="auto"/>
              </w:rPr>
              <w:t>347.6</w:t>
            </w:r>
          </w:p>
        </w:tc>
        <w:tc>
          <w:tcPr>
            <w:tcW w:w="2280" w:type="dxa"/>
            <w:vAlign w:val="bottom"/>
          </w:tcPr>
          <w:p>
            <w:pPr>
              <w:jc w:val="right"/>
              <w:ind w:right="728"/>
              <w:spacing w:after="0"/>
              <w:rPr>
                <w:sz w:val="20"/>
                <w:szCs w:val="20"/>
                <w:color w:val="auto"/>
              </w:rPr>
            </w:pPr>
            <w:r>
              <w:rPr>
                <w:rFonts w:ascii="Arial" w:cs="Arial" w:eastAsia="Arial" w:hAnsi="Arial"/>
                <w:sz w:val="14"/>
                <w:szCs w:val="14"/>
                <w:color w:val="auto"/>
              </w:rPr>
              <w:t>347.6</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Operating and Maintenance</w:t>
            </w:r>
          </w:p>
        </w:tc>
        <w:tc>
          <w:tcPr>
            <w:tcW w:w="25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313.9</w:t>
            </w:r>
          </w:p>
        </w:tc>
        <w:tc>
          <w:tcPr>
            <w:tcW w:w="22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229.3</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Expense</w:t>
            </w:r>
          </w:p>
        </w:tc>
        <w:tc>
          <w:tcPr>
            <w:tcW w:w="25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48.5</w:t>
            </w:r>
          </w:p>
        </w:tc>
        <w:tc>
          <w:tcPr>
            <w:tcW w:w="22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43.8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from Continuing Operations</w:t>
            </w:r>
          </w:p>
        </w:tc>
        <w:tc>
          <w:tcPr>
            <w:tcW w:w="25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131.7</w:t>
            </w:r>
          </w:p>
        </w:tc>
        <w:tc>
          <w:tcPr>
            <w:tcW w:w="22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103.1</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2500" w:type="dxa"/>
            <w:vAlign w:val="bottom"/>
          </w:tcPr>
          <w:p>
            <w:pPr>
              <w:jc w:val="right"/>
              <w:ind w:right="728"/>
              <w:spacing w:after="0"/>
              <w:rPr>
                <w:sz w:val="20"/>
                <w:szCs w:val="20"/>
                <w:color w:val="auto"/>
              </w:rPr>
            </w:pPr>
            <w:r>
              <w:rPr>
                <w:rFonts w:ascii="Arial" w:cs="Arial" w:eastAsia="Arial" w:hAnsi="Arial"/>
                <w:sz w:val="14"/>
                <w:szCs w:val="14"/>
                <w:color w:val="auto"/>
              </w:rPr>
              <w:t>(22.6)</w:t>
            </w:r>
          </w:p>
        </w:tc>
        <w:tc>
          <w:tcPr>
            <w:tcW w:w="2280" w:type="dxa"/>
            <w:vAlign w:val="bottom"/>
          </w:tcPr>
          <w:p>
            <w:pPr>
              <w:jc w:val="right"/>
              <w:ind w:right="728"/>
              <w:spacing w:after="0"/>
              <w:rPr>
                <w:sz w:val="20"/>
                <w:szCs w:val="20"/>
                <w:color w:val="auto"/>
              </w:rPr>
            </w:pPr>
            <w:r>
              <w:rPr>
                <w:rFonts w:ascii="Arial" w:cs="Arial" w:eastAsia="Arial" w:hAnsi="Arial"/>
                <w:sz w:val="14"/>
                <w:szCs w:val="14"/>
                <w:color w:val="auto"/>
              </w:rPr>
              <w:t>(21.0)</w:t>
            </w:r>
          </w:p>
        </w:tc>
        <w:tc>
          <w:tcPr>
            <w:tcW w:w="15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Equity Earnings in ATC</w:t>
            </w:r>
          </w:p>
        </w:tc>
        <w:tc>
          <w:tcPr>
            <w:tcW w:w="25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12.6</w:t>
            </w:r>
          </w:p>
        </w:tc>
        <w:tc>
          <w:tcPr>
            <w:tcW w:w="22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12.6</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w:t>
            </w:r>
          </w:p>
        </w:tc>
        <w:tc>
          <w:tcPr>
            <w:tcW w:w="25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15.5</w:t>
            </w:r>
          </w:p>
        </w:tc>
        <w:tc>
          <w:tcPr>
            <w:tcW w:w="22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4.1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 Before Minority Interest and Income</w:t>
            </w:r>
          </w:p>
        </w:tc>
        <w:tc>
          <w:tcPr>
            <w:tcW w:w="2500" w:type="dxa"/>
            <w:vAlign w:val="bottom"/>
            <w:vMerge w:val="restart"/>
            <w:shd w:val="clear" w:color="auto" w:fill="CCEEFF"/>
          </w:tcPr>
          <w:p>
            <w:pPr>
              <w:jc w:val="right"/>
              <w:ind w:right="728"/>
              <w:spacing w:after="0"/>
              <w:rPr>
                <w:sz w:val="20"/>
                <w:szCs w:val="20"/>
                <w:color w:val="auto"/>
              </w:rPr>
            </w:pPr>
            <w:r>
              <w:rPr>
                <w:rFonts w:ascii="Arial" w:cs="Arial" w:eastAsia="Arial" w:hAnsi="Arial"/>
                <w:sz w:val="14"/>
                <w:szCs w:val="14"/>
                <w:color w:val="auto"/>
              </w:rPr>
              <w:t>137.2</w:t>
            </w:r>
          </w:p>
        </w:tc>
        <w:tc>
          <w:tcPr>
            <w:tcW w:w="2280" w:type="dxa"/>
            <w:vAlign w:val="bottom"/>
            <w:vMerge w:val="restart"/>
            <w:shd w:val="clear" w:color="auto" w:fill="CCEEFF"/>
          </w:tcPr>
          <w:p>
            <w:pPr>
              <w:jc w:val="right"/>
              <w:ind w:right="728"/>
              <w:spacing w:after="0"/>
              <w:rPr>
                <w:sz w:val="20"/>
                <w:szCs w:val="20"/>
                <w:color w:val="auto"/>
              </w:rPr>
            </w:pPr>
            <w:r>
              <w:rPr>
                <w:rFonts w:ascii="Arial" w:cs="Arial" w:eastAsia="Arial" w:hAnsi="Arial"/>
                <w:sz w:val="14"/>
                <w:szCs w:val="14"/>
                <w:color w:val="auto"/>
              </w:rPr>
              <w:t>98.8</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Taxes</w:t>
            </w:r>
          </w:p>
        </w:tc>
        <w:tc>
          <w:tcPr>
            <w:tcW w:w="2500" w:type="dxa"/>
            <w:vAlign w:val="bottom"/>
            <w:vMerge w:val="continue"/>
            <w:shd w:val="clear" w:color="auto" w:fill="CCEEFF"/>
          </w:tcPr>
          <w:p>
            <w:pPr>
              <w:spacing w:after="0"/>
              <w:rPr>
                <w:sz w:val="8"/>
                <w:szCs w:val="8"/>
                <w:color w:val="auto"/>
              </w:rPr>
            </w:pPr>
          </w:p>
        </w:tc>
        <w:tc>
          <w:tcPr>
            <w:tcW w:w="2280" w:type="dxa"/>
            <w:vAlign w:val="bottom"/>
            <w:vMerge w:val="continue"/>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120" w:type="dxa"/>
            <w:vAlign w:val="bottom"/>
            <w:vMerge w:val="continue"/>
            <w:shd w:val="clear" w:color="auto" w:fill="CCEEFF"/>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4"/>
                <w:szCs w:val="14"/>
                <w:color w:val="auto"/>
              </w:rPr>
              <w:t>Income Tax Expense</w:t>
            </w:r>
          </w:p>
        </w:tc>
        <w:tc>
          <w:tcPr>
            <w:tcW w:w="2500" w:type="dxa"/>
            <w:vAlign w:val="bottom"/>
          </w:tcPr>
          <w:p>
            <w:pPr>
              <w:jc w:val="right"/>
              <w:ind w:right="728"/>
              <w:spacing w:after="0"/>
              <w:rPr>
                <w:sz w:val="20"/>
                <w:szCs w:val="20"/>
                <w:color w:val="auto"/>
              </w:rPr>
            </w:pPr>
            <w:r>
              <w:rPr>
                <w:rFonts w:ascii="Arial" w:cs="Arial" w:eastAsia="Arial" w:hAnsi="Arial"/>
                <w:sz w:val="14"/>
                <w:szCs w:val="14"/>
                <w:color w:val="auto"/>
              </w:rPr>
              <w:t>47.7</w:t>
            </w:r>
          </w:p>
        </w:tc>
        <w:tc>
          <w:tcPr>
            <w:tcW w:w="2280" w:type="dxa"/>
            <w:vAlign w:val="bottom"/>
          </w:tcPr>
          <w:p>
            <w:pPr>
              <w:jc w:val="right"/>
              <w:ind w:right="728"/>
              <w:spacing w:after="0"/>
              <w:rPr>
                <w:sz w:val="20"/>
                <w:szCs w:val="20"/>
                <w:color w:val="auto"/>
              </w:rPr>
            </w:pPr>
            <w:r>
              <w:rPr>
                <w:rFonts w:ascii="Arial" w:cs="Arial" w:eastAsia="Arial" w:hAnsi="Arial"/>
                <w:sz w:val="14"/>
                <w:szCs w:val="14"/>
                <w:color w:val="auto"/>
              </w:rPr>
              <w:t>36.4</w:t>
            </w:r>
          </w:p>
        </w:tc>
        <w:tc>
          <w:tcPr>
            <w:tcW w:w="154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Minority Interest</w:t>
            </w:r>
          </w:p>
        </w:tc>
        <w:tc>
          <w:tcPr>
            <w:tcW w:w="25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1.9</w:t>
            </w:r>
          </w:p>
        </w:tc>
        <w:tc>
          <w:tcPr>
            <w:tcW w:w="22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c>
          <w:tcPr>
            <w:tcW w:w="25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$87.6</w:t>
            </w:r>
          </w:p>
        </w:tc>
        <w:tc>
          <w:tcPr>
            <w:tcW w:w="22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$62.4</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4"/>
                <w:szCs w:val="14"/>
                <w:color w:val="auto"/>
              </w:rPr>
              <w:t>Total Assets</w:t>
            </w:r>
          </w:p>
        </w:tc>
        <w:tc>
          <w:tcPr>
            <w:tcW w:w="2500" w:type="dxa"/>
            <w:vAlign w:val="bottom"/>
          </w:tcPr>
          <w:p>
            <w:pPr>
              <w:jc w:val="right"/>
              <w:ind w:right="728"/>
              <w:spacing w:after="0"/>
              <w:rPr>
                <w:sz w:val="20"/>
                <w:szCs w:val="20"/>
                <w:color w:val="auto"/>
              </w:rPr>
            </w:pPr>
            <w:r>
              <w:rPr>
                <w:rFonts w:ascii="Arial" w:cs="Arial" w:eastAsia="Arial" w:hAnsi="Arial"/>
                <w:sz w:val="14"/>
                <w:szCs w:val="14"/>
                <w:color w:val="auto"/>
              </w:rPr>
              <w:t>$1,644.2</w:t>
            </w:r>
          </w:p>
        </w:tc>
        <w:tc>
          <w:tcPr>
            <w:tcW w:w="2280" w:type="dxa"/>
            <w:vAlign w:val="bottom"/>
          </w:tcPr>
          <w:p>
            <w:pPr>
              <w:jc w:val="right"/>
              <w:ind w:right="728"/>
              <w:spacing w:after="0"/>
              <w:rPr>
                <w:sz w:val="20"/>
                <w:szCs w:val="20"/>
                <w:color w:val="auto"/>
              </w:rPr>
            </w:pPr>
            <w:r>
              <w:rPr>
                <w:rFonts w:ascii="Arial" w:cs="Arial" w:eastAsia="Arial" w:hAnsi="Arial"/>
                <w:sz w:val="14"/>
                <w:szCs w:val="14"/>
                <w:color w:val="auto"/>
              </w:rPr>
              <w:t>$1,396.6</w:t>
            </w:r>
          </w:p>
        </w:tc>
        <w:tc>
          <w:tcPr>
            <w:tcW w:w="1540" w:type="dxa"/>
            <w:vAlign w:val="bottom"/>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Capital Additions</w:t>
            </w:r>
          </w:p>
        </w:tc>
        <w:tc>
          <w:tcPr>
            <w:tcW w:w="25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$223.9</w:t>
            </w:r>
          </w:p>
        </w:tc>
        <w:tc>
          <w:tcPr>
            <w:tcW w:w="22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$220.6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5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Regulated</w:t>
            </w:r>
          </w:p>
        </w:tc>
        <w:tc>
          <w:tcPr>
            <w:tcW w:w="140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Borders>
              <w:bottom w:val="single" w:sz="8" w:color="auto"/>
            </w:tcBorders>
          </w:tcPr>
          <w:p>
            <w:pPr>
              <w:ind w:left="6720"/>
              <w:spacing w:after="0"/>
              <w:rPr>
                <w:sz w:val="20"/>
                <w:szCs w:val="20"/>
                <w:color w:val="auto"/>
              </w:rPr>
            </w:pPr>
            <w:r>
              <w:rPr>
                <w:rFonts w:ascii="Arial" w:cs="Arial" w:eastAsia="Arial" w:hAnsi="Arial"/>
                <w:sz w:val="14"/>
                <w:szCs w:val="14"/>
                <w:b w:val="1"/>
                <w:bCs w:val="1"/>
                <w:color w:val="auto"/>
                <w:w w:val="90"/>
              </w:rPr>
              <w:t>Consolidated</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Operations</w:t>
            </w:r>
          </w:p>
        </w:tc>
        <w:tc>
          <w:tcPr>
            <w:tcW w:w="14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$767.1</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$639.2</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Fuel and Purchased Power</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281.7</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281.7</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Operating and Maintenance</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298.4</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217.9</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Expense</w:t>
            </w: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48.7</w:t>
            </w:r>
          </w:p>
        </w:tc>
        <w:tc>
          <w:tcPr>
            <w:tcW w:w="1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44.2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from Continuing Operations</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138.3</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95.4</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Interest Expense</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(25.0)</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(20.2)</w:t>
            </w:r>
          </w:p>
        </w:tc>
        <w:tc>
          <w:tcPr>
            <w:tcW w:w="14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Equity Earnings in ATC</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3.0</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w:t>
            </w: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11.9</w:t>
            </w:r>
          </w:p>
        </w:tc>
        <w:tc>
          <w:tcPr>
            <w:tcW w:w="1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 Before Minority Interest and Income Taxes</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128.2</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79.1</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Income Tax Expense</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46.3</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30.4</w:t>
            </w:r>
          </w:p>
        </w:tc>
        <w:tc>
          <w:tcPr>
            <w:tcW w:w="140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Minority Interest</w:t>
            </w:r>
          </w:p>
        </w:tc>
        <w:tc>
          <w:tcPr>
            <w:tcW w:w="7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4"/>
        </w:trPr>
        <w:tc>
          <w:tcPr>
            <w:tcW w:w="756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520" w:type="dxa"/>
            <w:vAlign w:val="bottom"/>
          </w:tcPr>
          <w:p>
            <w:pPr>
              <w:jc w:val="right"/>
              <w:spacing w:after="0"/>
              <w:rPr>
                <w:sz w:val="20"/>
                <w:szCs w:val="20"/>
                <w:color w:val="auto"/>
              </w:rPr>
            </w:pPr>
            <w:r>
              <w:rPr>
                <w:rFonts w:ascii="Arial" w:cs="Arial" w:eastAsia="Arial" w:hAnsi="Arial"/>
                <w:sz w:val="14"/>
                <w:szCs w:val="14"/>
                <w:color w:val="auto"/>
              </w:rPr>
              <w:t>77.3</w:t>
            </w: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$48.7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Loss from Discontinued Operations – Net of Tax</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$76.4</w:t>
            </w:r>
          </w:p>
        </w:tc>
        <w:tc>
          <w:tcPr>
            <w:tcW w:w="1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5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Total Assets</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$1,533.4</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$1,197.0</w:t>
            </w:r>
          </w:p>
        </w:tc>
        <w:tc>
          <w:tcPr>
            <w:tcW w:w="1400" w:type="dxa"/>
            <w:vAlign w:val="bottom"/>
          </w:tcPr>
          <w:p>
            <w:pPr>
              <w:jc w:val="right"/>
              <w:spacing w:after="0"/>
              <w:rPr>
                <w:sz w:val="20"/>
                <w:szCs w:val="20"/>
                <w:color w:val="auto"/>
              </w:rPr>
            </w:pPr>
            <w:r>
              <w:rPr>
                <w:rFonts w:ascii="Arial" w:cs="Arial" w:eastAsia="Arial" w:hAnsi="Arial"/>
                <w:sz w:val="14"/>
                <w:szCs w:val="14"/>
                <w:color w:val="auto"/>
              </w:rPr>
              <w:t>$336.4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Capital Additions</w:t>
            </w:r>
          </w:p>
        </w:tc>
        <w:tc>
          <w:tcPr>
            <w:tcW w:w="7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$109.4</w:t>
            </w:r>
          </w:p>
        </w:tc>
        <w:tc>
          <w:tcPr>
            <w:tcW w:w="17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$107.5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6"/>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Note 3.   Property, Plant and Equipment</w:t>
            </w:r>
          </w:p>
        </w:tc>
        <w:tc>
          <w:tcPr>
            <w:tcW w:w="4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8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Property, Plant and Equipment</w:t>
            </w:r>
          </w:p>
        </w:tc>
        <w:tc>
          <w:tcPr>
            <w:tcW w:w="4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41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2008</w:t>
            </w:r>
          </w:p>
        </w:tc>
        <w:tc>
          <w:tcPr>
            <w:tcW w:w="14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Regulated Utility</w:t>
            </w:r>
          </w:p>
        </w:tc>
        <w:tc>
          <w:tcPr>
            <w:tcW w:w="4160" w:type="dxa"/>
            <w:vAlign w:val="bottom"/>
          </w:tcPr>
          <w:p>
            <w:pPr>
              <w:jc w:val="right"/>
              <w:ind w:right="388"/>
              <w:spacing w:after="0"/>
              <w:rPr>
                <w:sz w:val="20"/>
                <w:szCs w:val="20"/>
                <w:color w:val="auto"/>
              </w:rPr>
            </w:pPr>
            <w:r>
              <w:rPr>
                <w:rFonts w:ascii="Arial" w:cs="Arial" w:eastAsia="Arial" w:hAnsi="Arial"/>
                <w:sz w:val="14"/>
                <w:szCs w:val="14"/>
                <w:color w:val="auto"/>
              </w:rPr>
              <w:t>$1,837.2</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$1,683.0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Construction Work in Progress</w:t>
            </w:r>
          </w:p>
        </w:tc>
        <w:tc>
          <w:tcPr>
            <w:tcW w:w="41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303.0</w:t>
            </w: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Accumulated Depreciation</w:t>
            </w:r>
          </w:p>
        </w:tc>
        <w:tc>
          <w:tcPr>
            <w:tcW w:w="4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(806.8)</w:t>
            </w: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(796.8)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Regulated Utility Plant – Net</w:t>
            </w:r>
          </w:p>
        </w:tc>
        <w:tc>
          <w:tcPr>
            <w:tcW w:w="41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1,333.4</w:t>
            </w: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1,052.0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Non-Rate Base Energy Operations</w:t>
            </w:r>
          </w:p>
        </w:tc>
        <w:tc>
          <w:tcPr>
            <w:tcW w:w="4160" w:type="dxa"/>
            <w:vAlign w:val="bottom"/>
          </w:tcPr>
          <w:p>
            <w:pPr>
              <w:jc w:val="right"/>
              <w:ind w:right="388"/>
              <w:spacing w:after="0"/>
              <w:rPr>
                <w:sz w:val="20"/>
                <w:szCs w:val="20"/>
                <w:color w:val="auto"/>
              </w:rPr>
            </w:pPr>
            <w:r>
              <w:rPr>
                <w:rFonts w:ascii="Arial" w:cs="Arial" w:eastAsia="Arial" w:hAnsi="Arial"/>
                <w:sz w:val="14"/>
                <w:szCs w:val="14"/>
                <w:color w:val="auto"/>
              </w:rPr>
              <w:t>94.0</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Construction Work in Progress</w:t>
            </w:r>
          </w:p>
        </w:tc>
        <w:tc>
          <w:tcPr>
            <w:tcW w:w="41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3.9</w:t>
            </w: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Accumulated Depreciation</w:t>
            </w:r>
          </w:p>
        </w:tc>
        <w:tc>
          <w:tcPr>
            <w:tcW w:w="4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(47.2)</w:t>
            </w: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Non-Rate Base Energy Operations Plant – Net</w:t>
            </w:r>
          </w:p>
        </w:tc>
        <w:tc>
          <w:tcPr>
            <w:tcW w:w="41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50.7</w:t>
            </w: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Plant – Net</w:t>
            </w:r>
          </w:p>
        </w:tc>
        <w:tc>
          <w:tcPr>
            <w:tcW w:w="4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3.2</w:t>
            </w: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Property, Plant and Equipment – Net</w:t>
            </w:r>
          </w:p>
        </w:tc>
        <w:tc>
          <w:tcPr>
            <w:tcW w:w="41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$1,387.3</w:t>
            </w: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$1,104.5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Depreciation is computed using the straight-line method over the estimated useful lives of the various classes of assets. The MPUC and the PSCW have approved depreciation rates for our Regulated Utility plant.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74560" cy="123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Regulated Utility –</w:t>
            </w:r>
          </w:p>
        </w:tc>
        <w:tc>
          <w:tcPr>
            <w:tcW w:w="20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Generation</w:t>
            </w:r>
          </w:p>
        </w:tc>
        <w:tc>
          <w:tcPr>
            <w:tcW w:w="21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 to 35 years</w:t>
            </w:r>
          </w:p>
        </w:tc>
        <w:tc>
          <w:tcPr>
            <w:tcW w:w="31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Non-Rate Base Operations</w:t>
            </w:r>
          </w:p>
        </w:tc>
        <w:tc>
          <w:tcPr>
            <w:tcW w:w="238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3 to 61 years</w:t>
            </w:r>
          </w:p>
        </w:tc>
      </w:tr>
      <w:tr>
        <w:trPr>
          <w:trHeight w:val="172"/>
        </w:trPr>
        <w:tc>
          <w:tcPr>
            <w:tcW w:w="1700" w:type="dxa"/>
            <w:vAlign w:val="bottom"/>
          </w:tcPr>
          <w:p>
            <w:pPr>
              <w:spacing w:after="0"/>
              <w:rPr>
                <w:sz w:val="14"/>
                <w:szCs w:val="14"/>
                <w:color w:val="auto"/>
              </w:rPr>
            </w:pPr>
          </w:p>
        </w:tc>
        <w:tc>
          <w:tcPr>
            <w:tcW w:w="2080" w:type="dxa"/>
            <w:vAlign w:val="bottom"/>
          </w:tcPr>
          <w:p>
            <w:pPr>
              <w:ind w:left="620"/>
              <w:spacing w:after="0"/>
              <w:rPr>
                <w:sz w:val="20"/>
                <w:szCs w:val="20"/>
                <w:color w:val="auto"/>
              </w:rPr>
            </w:pPr>
            <w:r>
              <w:rPr>
                <w:rFonts w:ascii="Arial" w:cs="Arial" w:eastAsia="Arial" w:hAnsi="Arial"/>
                <w:sz w:val="14"/>
                <w:szCs w:val="14"/>
                <w:color w:val="auto"/>
              </w:rPr>
              <w:t>Transmission</w:t>
            </w:r>
          </w:p>
        </w:tc>
        <w:tc>
          <w:tcPr>
            <w:tcW w:w="2140" w:type="dxa"/>
            <w:vAlign w:val="bottom"/>
          </w:tcPr>
          <w:p>
            <w:pPr>
              <w:ind w:left="700"/>
              <w:spacing w:after="0"/>
              <w:rPr>
                <w:sz w:val="20"/>
                <w:szCs w:val="20"/>
                <w:color w:val="auto"/>
              </w:rPr>
            </w:pPr>
            <w:r>
              <w:rPr>
                <w:rFonts w:ascii="Arial" w:cs="Arial" w:eastAsia="Arial" w:hAnsi="Arial"/>
                <w:sz w:val="14"/>
                <w:szCs w:val="14"/>
                <w:color w:val="auto"/>
              </w:rPr>
              <w:t>42 to 61 years</w:t>
            </w:r>
          </w:p>
        </w:tc>
        <w:tc>
          <w:tcPr>
            <w:tcW w:w="3160" w:type="dxa"/>
            <w:vAlign w:val="bottom"/>
          </w:tcPr>
          <w:p>
            <w:pPr>
              <w:ind w:left="620"/>
              <w:spacing w:after="0"/>
              <w:rPr>
                <w:sz w:val="20"/>
                <w:szCs w:val="20"/>
                <w:color w:val="auto"/>
              </w:rPr>
            </w:pPr>
            <w:r>
              <w:rPr>
                <w:rFonts w:ascii="Arial" w:cs="Arial" w:eastAsia="Arial" w:hAnsi="Arial"/>
                <w:sz w:val="14"/>
                <w:szCs w:val="14"/>
                <w:color w:val="auto"/>
              </w:rPr>
              <w:t>Other Plant</w:t>
            </w:r>
          </w:p>
        </w:tc>
        <w:tc>
          <w:tcPr>
            <w:tcW w:w="2380" w:type="dxa"/>
            <w:vAlign w:val="bottom"/>
          </w:tcPr>
          <w:p>
            <w:pPr>
              <w:ind w:left="1020"/>
              <w:spacing w:after="0"/>
              <w:rPr>
                <w:sz w:val="20"/>
                <w:szCs w:val="20"/>
                <w:color w:val="auto"/>
              </w:rPr>
            </w:pPr>
            <w:r>
              <w:rPr>
                <w:rFonts w:ascii="Arial" w:cs="Arial" w:eastAsia="Arial" w:hAnsi="Arial"/>
                <w:sz w:val="14"/>
                <w:szCs w:val="14"/>
                <w:color w:val="auto"/>
              </w:rPr>
              <w:t>5 to 25 years</w:t>
            </w:r>
          </w:p>
        </w:tc>
      </w:tr>
      <w:tr>
        <w:trPr>
          <w:trHeight w:val="174"/>
        </w:trPr>
        <w:tc>
          <w:tcPr>
            <w:tcW w:w="170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Distribution</w:t>
            </w:r>
          </w:p>
        </w:tc>
        <w:tc>
          <w:tcPr>
            <w:tcW w:w="21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14 to 65 years</w:t>
            </w:r>
          </w:p>
        </w:tc>
        <w:tc>
          <w:tcPr>
            <w:tcW w:w="316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shd w:val="clear" w:color="auto" w:fill="CCEEFF"/>
          </w:tcPr>
          <w:p>
            <w:pPr>
              <w:spacing w:after="0"/>
              <w:rPr>
                <w:sz w:val="15"/>
                <w:szCs w:val="15"/>
                <w:color w:val="auto"/>
              </w:rPr>
            </w:pPr>
          </w:p>
        </w:tc>
      </w:tr>
    </w:tbl>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b w:val="1"/>
          <w:bCs w:val="1"/>
          <w:color w:val="auto"/>
        </w:rPr>
        <w:t xml:space="preserve">Asset Retirement Obligations. </w:t>
      </w:r>
      <w:r>
        <w:rPr>
          <w:rFonts w:ascii="Arial" w:cs="Arial" w:eastAsia="Arial" w:hAnsi="Arial"/>
          <w:sz w:val="13"/>
          <w:szCs w:val="13"/>
          <w:color w:val="auto"/>
        </w:rPr>
        <w:t>Pursuant to SFAS 143, “Accounting for Asset Retirement Obligations,” we recognize, at fair value, obligations associated with the retirement of certain tangible,</w:t>
      </w:r>
      <w:r>
        <w:rPr>
          <w:rFonts w:ascii="Arial" w:cs="Arial" w:eastAsia="Arial" w:hAnsi="Arial"/>
          <w:sz w:val="13"/>
          <w:szCs w:val="13"/>
          <w:b w:val="1"/>
          <w:bCs w:val="1"/>
          <w:color w:val="auto"/>
        </w:rPr>
        <w:t xml:space="preserve"> </w:t>
      </w:r>
      <w:r>
        <w:rPr>
          <w:rFonts w:ascii="Arial" w:cs="Arial" w:eastAsia="Arial" w:hAnsi="Arial"/>
          <w:sz w:val="13"/>
          <w:szCs w:val="13"/>
          <w:color w:val="auto"/>
        </w:rPr>
        <w:t>long-lived assets that result from the acquisition, construction or development and/or normal operation of the asset. Asset retirement obligations (ARO) relate primarily to the decommissioning of our utility steam generating facilities and land reclamation at BNI Coal, and are included in Other Liabilities on our consolidated balance sheet. Removal costs associated with certain distribution and transmission assets have not been recognized under SFAS 143 as these facilities have indeterminate useful lives. The associated retirement costs are capitalized as part of the related long-lived asset and depreciated over the useful life of the asset. 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Long-standing ratemaking practices approved by applicable state and federal regulatory commissions have allowed provisions for future plant removal costs in depreciation rates. These plant removal cost recoveries were included in accumulated depreciation. With the adoption of SFAS 143, accumulated plant removal costs were reclassified either as AROs or as a regulatory liability for non-ARO obligations. To the extent annual accruals for plant removal costs determined under SFAS 143 differ from accruals under approved depreciation rates, a regulatory asset has been established under SFAS 71. (See Note 5. Regulatory Matters.)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74560" cy="123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Millions</w:t>
            </w:r>
          </w:p>
        </w:tc>
        <w:tc>
          <w:tcPr>
            <w:tcW w:w="4900" w:type="dxa"/>
            <w:vAlign w:val="bottom"/>
            <w:tcBorders>
              <w:top w:val="single" w:sz="8" w:color="auto"/>
            </w:tcBorders>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Obligation at December 31, 2006</w:t>
            </w:r>
          </w:p>
        </w:tc>
        <w:tc>
          <w:tcPr>
            <w:tcW w:w="4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$27.2</w:t>
            </w:r>
          </w:p>
        </w:tc>
      </w:tr>
      <w:tr>
        <w:trPr>
          <w:trHeight w:val="172"/>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Accretion Expense</w:t>
            </w:r>
          </w:p>
        </w:tc>
        <w:tc>
          <w:tcPr>
            <w:tcW w:w="4900" w:type="dxa"/>
            <w:vAlign w:val="bottom"/>
          </w:tcPr>
          <w:p>
            <w:pPr>
              <w:jc w:val="right"/>
              <w:ind w:right="168"/>
              <w:spacing w:after="0"/>
              <w:rPr>
                <w:sz w:val="20"/>
                <w:szCs w:val="20"/>
                <w:color w:val="auto"/>
              </w:rPr>
            </w:pPr>
            <w:r>
              <w:rPr>
                <w:rFonts w:ascii="Arial" w:cs="Arial" w:eastAsia="Arial" w:hAnsi="Arial"/>
                <w:sz w:val="14"/>
                <w:szCs w:val="14"/>
                <w:color w:val="auto"/>
              </w:rPr>
              <w:t>2.1</w:t>
            </w:r>
          </w:p>
        </w:tc>
      </w:tr>
      <w:tr>
        <w:trPr>
          <w:trHeight w:val="174"/>
        </w:trPr>
        <w:tc>
          <w:tcPr>
            <w:tcW w:w="20" w:type="dxa"/>
            <w:vAlign w:val="bottom"/>
          </w:tcPr>
          <w:p>
            <w:pPr>
              <w:spacing w:after="0"/>
              <w:rPr>
                <w:sz w:val="15"/>
                <w:szCs w:val="15"/>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Additional Liabilities Incurred in 2007</w:t>
            </w:r>
          </w:p>
        </w:tc>
        <w:tc>
          <w:tcPr>
            <w:tcW w:w="49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7.2</w:t>
            </w:r>
          </w:p>
        </w:tc>
      </w:tr>
      <w:tr>
        <w:trPr>
          <w:trHeight w:val="172"/>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Obligation at December 31, 2007</w:t>
            </w:r>
          </w:p>
        </w:tc>
        <w:tc>
          <w:tcPr>
            <w:tcW w:w="4900" w:type="dxa"/>
            <w:vAlign w:val="bottom"/>
          </w:tcPr>
          <w:p>
            <w:pPr>
              <w:jc w:val="right"/>
              <w:ind w:right="168"/>
              <w:spacing w:after="0"/>
              <w:rPr>
                <w:sz w:val="20"/>
                <w:szCs w:val="20"/>
                <w:color w:val="auto"/>
              </w:rPr>
            </w:pPr>
            <w:r>
              <w:rPr>
                <w:rFonts w:ascii="Arial" w:cs="Arial" w:eastAsia="Arial" w:hAnsi="Arial"/>
                <w:sz w:val="14"/>
                <w:szCs w:val="14"/>
                <w:color w:val="auto"/>
              </w:rPr>
              <w:t>36.5</w:t>
            </w:r>
          </w:p>
        </w:tc>
      </w:tr>
      <w:tr>
        <w:trPr>
          <w:trHeight w:val="172"/>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Accretion Expense</w:t>
            </w:r>
          </w:p>
        </w:tc>
        <w:tc>
          <w:tcPr>
            <w:tcW w:w="4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w:t>
            </w:r>
          </w:p>
        </w:tc>
      </w:tr>
      <w:tr>
        <w:trPr>
          <w:trHeight w:val="174"/>
        </w:trPr>
        <w:tc>
          <w:tcPr>
            <w:tcW w:w="20" w:type="dxa"/>
            <w:vAlign w:val="bottom"/>
          </w:tcPr>
          <w:p>
            <w:pPr>
              <w:spacing w:after="0"/>
              <w:rPr>
                <w:sz w:val="15"/>
                <w:szCs w:val="15"/>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Additional Liabilities Incurred in 2008</w:t>
            </w:r>
          </w:p>
        </w:tc>
        <w:tc>
          <w:tcPr>
            <w:tcW w:w="4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w:t>
            </w:r>
          </w:p>
        </w:tc>
      </w:tr>
      <w:tr>
        <w:trPr>
          <w:trHeight w:val="174"/>
        </w:trPr>
        <w:tc>
          <w:tcPr>
            <w:tcW w:w="20" w:type="dxa"/>
            <w:vAlign w:val="bottom"/>
          </w:tcPr>
          <w:p>
            <w:pPr>
              <w:spacing w:after="0"/>
              <w:rPr>
                <w:sz w:val="15"/>
                <w:szCs w:val="15"/>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Obligation at December 31, 2008</w:t>
            </w:r>
          </w:p>
        </w:tc>
        <w:tc>
          <w:tcPr>
            <w:tcW w:w="49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$39.5</w:t>
            </w:r>
          </w:p>
        </w:tc>
      </w:tr>
    </w:tbl>
    <w:p>
      <w:pPr>
        <w:spacing w:after="0" w:line="373"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4.</w:t>
      </w:r>
      <w:r>
        <w:rPr>
          <w:sz w:val="20"/>
          <w:szCs w:val="20"/>
          <w:color w:val="auto"/>
        </w:rPr>
        <w:tab/>
      </w:r>
      <w:r>
        <w:rPr>
          <w:rFonts w:ascii="Arial" w:cs="Arial" w:eastAsia="Arial" w:hAnsi="Arial"/>
          <w:sz w:val="13"/>
          <w:szCs w:val="13"/>
          <w:b w:val="1"/>
          <w:bCs w:val="1"/>
          <w:color w:val="auto"/>
        </w:rPr>
        <w:t>Jointly-Owned Electric Facility</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own 80 percent of the 536-MW Boswell Energy Center Unit 4 (Boswell Unit 4). While we operate the plant, certain decisions about the operations of Boswell Unit 4 are subject to the oversight of a committee on which we and Wisconsin Public Power, Inc., the owner of the other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Our 80 percent share of the original cost of Boswell Unit 4, which is included in property, plant and equipment at December 31, 2008, was $328 million ($316 million at December 31, 2007). The corresponding accumulated depreciation balance was $173 million at December 31, 2008 ($170 million at December 31, 2007).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1" w:name="page62"/>
    <w:bookmarkEnd w:id="61"/>
    <w:p>
      <w:pPr>
        <w:spacing w:after="0"/>
        <w:tabs>
          <w:tab w:leader="none" w:pos="560" w:val="left"/>
        </w:tabs>
        <w:rPr>
          <w:sz w:val="20"/>
          <w:szCs w:val="20"/>
          <w:color w:val="auto"/>
        </w:rPr>
      </w:pPr>
      <w:r>
        <w:rPr>
          <w:rFonts w:ascii="Arial" w:cs="Arial" w:eastAsia="Arial" w:hAnsi="Arial"/>
          <w:sz w:val="14"/>
          <w:szCs w:val="14"/>
          <w:b w:val="1"/>
          <w:bCs w:val="1"/>
          <w:color w:val="auto"/>
        </w:rPr>
        <w:t>Note 5.</w:t>
      </w:r>
      <w:r>
        <w:rPr>
          <w:sz w:val="20"/>
          <w:szCs w:val="20"/>
          <w:color w:val="auto"/>
        </w:rPr>
        <w:tab/>
      </w:r>
      <w:r>
        <w:rPr>
          <w:rFonts w:ascii="Arial" w:cs="Arial" w:eastAsia="Arial" w:hAnsi="Arial"/>
          <w:sz w:val="13"/>
          <w:szCs w:val="13"/>
          <w:b w:val="1"/>
          <w:bCs w:val="1"/>
          <w:color w:val="auto"/>
        </w:rPr>
        <w:t>Regulatory Matters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Electric Rates. </w:t>
      </w:r>
      <w:r>
        <w:rPr>
          <w:rFonts w:ascii="Arial" w:cs="Arial" w:eastAsia="Arial" w:hAnsi="Arial"/>
          <w:sz w:val="14"/>
          <w:szCs w:val="14"/>
          <w:color w:val="auto"/>
        </w:rPr>
        <w:t>Entities within our Regulated Operations segment file for periodic rate revisions with the MPUC, the FERC or the PSCW.</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8, 2008, the FERC approved Minnesota Power’s wholesale rate increase effective March 1, 2008. Minnesota Power’s wholesale customers consist of 16 municipalities in Minnesota and 1 private utility in Wisconsin. The FERC authorized an average 10.0 percent increase for wholesale municipal customers, and an overall return on equity of 11.25 percent. Incremental revenue in 2008 from the FERC authorized wholesale rate increase was approximately $6 million.</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2008 Minnesota Power entered into new contracts with all of our wholesale customers with the exception of one small customer whose contract is now in the cancellation period. The new contracts transition each customer to formula based rates, which means rates can be adjusted annually based on changes in costs. The new agreement with the private utility in Wisconsin is subject to PSCW approval. In November 2008, we filed a request with the FERC to implement the formula based rate provision in the new contracts. We anticipate final resolution and implementation of new rates in the first quarter of 2009.</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May 2, 2008, Minnesota Power filed a rate increase request with the MPUC seeking an average rate increase of 8.5 percent for retail customers. The rate filing seeks a return on equity of 11.15 percent, and a capital structure consisting of 54.8 percent equity and 45.2 percent debt. On an annualized basis, the requested rate increase would generate approximately $40 million in additional revenue. Interim rates were effective on August 1, 2008, and resulted in an increase for retail customers of approximately $36 million, or 7.5 percent, on an annualized basis, subject to refund pending the final rate order. Incremental revenue in 2008 from the interim retail rate increase was approximately $13 million. The transition to a new base cost of fuel coincident with interim rates resulted in the non-recovery through the fuel adjustment clause of approximately $19 million of fuel and purchased power costs incurred in 2008. We have entered into a stipulation and settlement agreement that would allow recovery of the $19 million in 2009 and which addresses specific concerns identified by interveners in the rate case; the stipulation and settlement agreement is subject to MPUC approval. The final rate order is expected in the second quarter of 2009. We cannot predict the final level of rates that may be approved by the MPUC. Prior to the May 2008 retail rate request Minnesota Power’s rates were based on a 1994 MPUC retail rate order that allowed for an 11.6 percent return on equity.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SWL&amp;P’s current retail rates are based on a December 2008 PSCW retail rate order that became effective January 1, 2009, and allows for an 11.1 percent return on common equity. The new rates reflected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2008, 81 percent of our consolidated operating revenue was under regulatory authority (76 percent in 2007; 72 percent in 2006). The MPUC had regulatory authority over approximately 62 percent of our consolidated operating revenue in 2008 (58 percent in 2007; 56 percent in 2006).</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Deferred Regulatory Assets and Liabilities. </w:t>
      </w:r>
      <w:r>
        <w:rPr>
          <w:rFonts w:ascii="Arial" w:cs="Arial" w:eastAsia="Arial" w:hAnsi="Arial"/>
          <w:sz w:val="14"/>
          <w:szCs w:val="14"/>
          <w:color w:val="auto"/>
        </w:rPr>
        <w:t>Our regulated utility operations are subject to the provisions of SFAS 71, “Accounting for the Effects of Certain Types of Regulation.” We capitalize as</w:t>
      </w:r>
      <w:r>
        <w:rPr>
          <w:rFonts w:ascii="Arial" w:cs="Arial" w:eastAsia="Arial" w:hAnsi="Arial"/>
          <w:sz w:val="14"/>
          <w:szCs w:val="14"/>
          <w:b w:val="1"/>
          <w:bCs w:val="1"/>
          <w:color w:val="auto"/>
        </w:rPr>
        <w:t xml:space="preserve"> </w:t>
      </w:r>
      <w:r>
        <w:rPr>
          <w:rFonts w:ascii="Arial" w:cs="Arial" w:eastAsia="Arial" w:hAnsi="Arial"/>
          <w:sz w:val="14"/>
          <w:szCs w:val="14"/>
          <w:color w:val="auto"/>
        </w:rPr>
        <w:t>regulatory assets incurred costs which are probable of recovery in future utility rates. Regulatory liabilities represent amounts expected to be credited to customers in rates. Regulatory assets and liabilities are included in Other Assets and Other Liabilities on our consolidated balance sheet except for deferred fuel adjustment clause charges which are included in Prepayments and Other Current Assets (See Note 1. Operations and Significant Accounting Policies). No regulatory assets or liabilities are currently earning a return.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Regulatory Assets and Liabilities</w:t>
            </w:r>
          </w:p>
        </w:tc>
        <w:tc>
          <w:tcPr>
            <w:tcW w:w="20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2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2008</w:t>
            </w: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0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4"/>
                <w:szCs w:val="14"/>
                <w:color w:val="auto"/>
              </w:rPr>
              <w:t>Regulatory Assets</w:t>
            </w:r>
          </w:p>
        </w:tc>
        <w:tc>
          <w:tcPr>
            <w:tcW w:w="20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2020" w:type="dxa"/>
            <w:vAlign w:val="bottom"/>
          </w:tcPr>
          <w:p>
            <w:pPr>
              <w:jc w:val="right"/>
              <w:ind w:right="408"/>
              <w:spacing w:after="0"/>
              <w:rPr>
                <w:sz w:val="20"/>
                <w:szCs w:val="20"/>
                <w:color w:val="auto"/>
              </w:rPr>
            </w:pPr>
            <w:r>
              <w:rPr>
                <w:rFonts w:ascii="Arial" w:cs="Arial" w:eastAsia="Arial" w:hAnsi="Arial"/>
                <w:sz w:val="14"/>
                <w:szCs w:val="14"/>
                <w:color w:val="auto"/>
              </w:rPr>
              <w:t>$12.2</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Premium on Reacquired Debt</w:t>
            </w:r>
          </w:p>
        </w:tc>
        <w:tc>
          <w:tcPr>
            <w:tcW w:w="20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2.2</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Future Benefit Obligations Under</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Defined Benefit Pension and Other Postretirement Plans (See Note 14. Pension and Other Postretirement Benefit Plans)</w:t>
            </w:r>
          </w:p>
        </w:tc>
        <w:tc>
          <w:tcPr>
            <w:tcW w:w="20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216.5</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Deferred MISO Costs</w:t>
            </w:r>
          </w:p>
        </w:tc>
        <w:tc>
          <w:tcPr>
            <w:tcW w:w="2020" w:type="dxa"/>
            <w:vAlign w:val="bottom"/>
          </w:tcPr>
          <w:p>
            <w:pPr>
              <w:jc w:val="right"/>
              <w:ind w:right="408"/>
              <w:spacing w:after="0"/>
              <w:rPr>
                <w:sz w:val="20"/>
                <w:szCs w:val="20"/>
                <w:color w:val="auto"/>
              </w:rPr>
            </w:pPr>
            <w:r>
              <w:rPr>
                <w:rFonts w:ascii="Arial" w:cs="Arial" w:eastAsia="Arial" w:hAnsi="Arial"/>
                <w:sz w:val="14"/>
                <w:szCs w:val="14"/>
                <w:color w:val="auto"/>
              </w:rPr>
              <w:t>3.9</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 Retirement Obligation</w:t>
            </w:r>
          </w:p>
        </w:tc>
        <w:tc>
          <w:tcPr>
            <w:tcW w:w="20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5.1</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Boswell Unit 3 Environmental Rider</w:t>
            </w:r>
          </w:p>
        </w:tc>
        <w:tc>
          <w:tcPr>
            <w:tcW w:w="2020" w:type="dxa"/>
            <w:vAlign w:val="bottom"/>
          </w:tcPr>
          <w:p>
            <w:pPr>
              <w:jc w:val="right"/>
              <w:ind w:right="408"/>
              <w:spacing w:after="0"/>
              <w:rPr>
                <w:sz w:val="20"/>
                <w:szCs w:val="20"/>
                <w:color w:val="auto"/>
              </w:rPr>
            </w:pPr>
            <w:r>
              <w:rPr>
                <w:rFonts w:ascii="Arial" w:cs="Arial" w:eastAsia="Arial" w:hAnsi="Arial"/>
                <w:sz w:val="14"/>
                <w:szCs w:val="14"/>
                <w:color w:val="auto"/>
              </w:rPr>
              <w:t>3.8</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2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5.6</w:t>
            </w:r>
          </w:p>
        </w:tc>
        <w:tc>
          <w:tcPr>
            <w:tcW w:w="14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20" w:type="dxa"/>
            <w:vAlign w:val="bottom"/>
          </w:tcPr>
          <w:p>
            <w:pPr>
              <w:jc w:val="right"/>
              <w:ind w:right="408"/>
              <w:spacing w:after="0"/>
              <w:rPr>
                <w:sz w:val="20"/>
                <w:szCs w:val="20"/>
                <w:color w:val="auto"/>
              </w:rPr>
            </w:pPr>
            <w:r>
              <w:rPr>
                <w:rFonts w:ascii="Arial" w:cs="Arial" w:eastAsia="Arial" w:hAnsi="Arial"/>
                <w:sz w:val="14"/>
                <w:szCs w:val="14"/>
                <w:color w:val="auto"/>
              </w:rPr>
              <w:t>249.3</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4"/>
                <w:szCs w:val="14"/>
                <w:color w:val="auto"/>
              </w:rPr>
              <w:t>Regulatory Liabilities</w:t>
            </w:r>
          </w:p>
        </w:tc>
        <w:tc>
          <w:tcPr>
            <w:tcW w:w="20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2020" w:type="dxa"/>
            <w:vAlign w:val="bottom"/>
          </w:tcPr>
          <w:p>
            <w:pPr>
              <w:jc w:val="right"/>
              <w:ind w:right="408"/>
              <w:spacing w:after="0"/>
              <w:rPr>
                <w:sz w:val="20"/>
                <w:szCs w:val="20"/>
                <w:color w:val="auto"/>
              </w:rPr>
            </w:pPr>
            <w:r>
              <w:rPr>
                <w:rFonts w:ascii="Arial" w:cs="Arial" w:eastAsia="Arial" w:hAnsi="Arial"/>
                <w:sz w:val="14"/>
                <w:szCs w:val="14"/>
                <w:color w:val="auto"/>
              </w:rPr>
              <w:t>28.7</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Plant Removal Obligations</w:t>
            </w:r>
          </w:p>
        </w:tc>
        <w:tc>
          <w:tcPr>
            <w:tcW w:w="20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15.9</w:t>
            </w:r>
          </w:p>
        </w:tc>
        <w:tc>
          <w:tcPr>
            <w:tcW w:w="1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Accrued MISO Refund</w:t>
            </w:r>
          </w:p>
        </w:tc>
        <w:tc>
          <w:tcPr>
            <w:tcW w:w="2020" w:type="dxa"/>
            <w:vAlign w:val="bottom"/>
          </w:tcPr>
          <w:p>
            <w:pPr>
              <w:jc w:val="right"/>
              <w:ind w:right="408"/>
              <w:spacing w:after="0"/>
              <w:rPr>
                <w:sz w:val="20"/>
                <w:szCs w:val="20"/>
                <w:color w:val="auto"/>
              </w:rPr>
            </w:pPr>
            <w:r>
              <w:rPr>
                <w:rFonts w:ascii="Arial" w:cs="Arial" w:eastAsia="Arial" w:hAnsi="Arial"/>
                <w:sz w:val="14"/>
                <w:szCs w:val="14"/>
                <w:color w:val="auto"/>
              </w:rPr>
              <w:t>4.7</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2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0.7</w:t>
            </w:r>
          </w:p>
        </w:tc>
        <w:tc>
          <w:tcPr>
            <w:tcW w:w="14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50.0</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Deferred Regulatory Assets</w:t>
            </w:r>
          </w:p>
        </w:tc>
        <w:tc>
          <w:tcPr>
            <w:tcW w:w="202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$199.3</w:t>
            </w:r>
          </w:p>
        </w:tc>
        <w:tc>
          <w:tcPr>
            <w:tcW w:w="14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2" w:name="page63"/>
    <w:bookmarkEnd w:id="62"/>
    <w:p>
      <w:pPr>
        <w:spacing w:after="0"/>
        <w:tabs>
          <w:tab w:leader="none" w:pos="600" w:val="left"/>
        </w:tabs>
        <w:rPr>
          <w:sz w:val="20"/>
          <w:szCs w:val="20"/>
          <w:color w:val="auto"/>
        </w:rPr>
      </w:pPr>
      <w:r>
        <w:rPr>
          <w:rFonts w:ascii="Arial" w:cs="Arial" w:eastAsia="Arial" w:hAnsi="Arial"/>
          <w:sz w:val="14"/>
          <w:szCs w:val="14"/>
          <w:b w:val="1"/>
          <w:bCs w:val="1"/>
          <w:color w:val="auto"/>
        </w:rPr>
        <w:t>Note 5.</w:t>
      </w:r>
      <w:r>
        <w:rPr>
          <w:sz w:val="20"/>
          <w:szCs w:val="20"/>
          <w:color w:val="auto"/>
        </w:rPr>
        <w:tab/>
      </w:r>
      <w:r>
        <w:rPr>
          <w:rFonts w:ascii="Arial" w:cs="Arial" w:eastAsia="Arial" w:hAnsi="Arial"/>
          <w:sz w:val="13"/>
          <w:szCs w:val="13"/>
          <w:b w:val="1"/>
          <w:bCs w:val="1"/>
          <w:color w:val="auto"/>
        </w:rPr>
        <w:t>Regulatory Matters (Continued)</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Investment in ATC. </w:t>
      </w:r>
      <w:r>
        <w:rPr>
          <w:rFonts w:ascii="Arial" w:cs="Arial" w:eastAsia="Arial" w:hAnsi="Arial"/>
          <w:sz w:val="14"/>
          <w:szCs w:val="14"/>
          <w:color w:val="auto"/>
        </w:rPr>
        <w:t>Our wholly owned subsidiary Rainy River Energy, owns approximately 8 percent of ATC, a Wisconsin-based utility that owns and maintains electric transmission assets in parts</w:t>
      </w:r>
      <w:r>
        <w:rPr>
          <w:rFonts w:ascii="Arial" w:cs="Arial" w:eastAsia="Arial" w:hAnsi="Arial"/>
          <w:sz w:val="14"/>
          <w:szCs w:val="14"/>
          <w:b w:val="1"/>
          <w:bCs w:val="1"/>
          <w:color w:val="auto"/>
        </w:rPr>
        <w:t xml:space="preserve"> </w:t>
      </w:r>
      <w:r>
        <w:rPr>
          <w:rFonts w:ascii="Arial" w:cs="Arial" w:eastAsia="Arial" w:hAnsi="Arial"/>
          <w:sz w:val="14"/>
          <w:szCs w:val="14"/>
          <w:color w:val="auto"/>
        </w:rPr>
        <w:t>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pursuant to EITF 03-16, “Accounting for Investments in Limited Liability Companies.” As of December 31, 2008, our equity investment balance in ATC was $76.9 million ($65.7 million at December 31, 2007). On January 30, 2009, we invested an additional $1.9 million in ATC. In total, we expect to invest an additional $5 to $7 million throughout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ALLETE’s Interest in ATC</w:t>
            </w:r>
          </w:p>
        </w:tc>
        <w:tc>
          <w:tcPr>
            <w:tcW w:w="4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45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2008</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Equity Investment Beginning Balance</w:t>
            </w:r>
          </w:p>
        </w:tc>
        <w:tc>
          <w:tcPr>
            <w:tcW w:w="4540" w:type="dxa"/>
            <w:vAlign w:val="bottom"/>
          </w:tcPr>
          <w:p>
            <w:pPr>
              <w:jc w:val="right"/>
              <w:ind w:right="228"/>
              <w:spacing w:after="0"/>
              <w:rPr>
                <w:sz w:val="20"/>
                <w:szCs w:val="20"/>
                <w:color w:val="auto"/>
              </w:rPr>
            </w:pPr>
            <w:r>
              <w:rPr>
                <w:rFonts w:ascii="Arial" w:cs="Arial" w:eastAsia="Arial" w:hAnsi="Arial"/>
                <w:sz w:val="14"/>
                <w:szCs w:val="14"/>
                <w:color w:val="auto"/>
              </w:rPr>
              <w:t>$65.7</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$53.7</w:t>
            </w:r>
          </w:p>
        </w:tc>
      </w:tr>
      <w:tr>
        <w:trPr>
          <w:trHeight w:val="172"/>
        </w:trPr>
        <w:tc>
          <w:tcPr>
            <w:tcW w:w="20" w:type="dxa"/>
            <w:vAlign w:val="bottom"/>
          </w:tcPr>
          <w:p>
            <w:pPr>
              <w:spacing w:after="0"/>
              <w:rPr>
                <w:sz w:val="14"/>
                <w:szCs w:val="1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Cash Investments</w:t>
            </w:r>
          </w:p>
        </w:tc>
        <w:tc>
          <w:tcPr>
            <w:tcW w:w="45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7.4</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r>
      <w:tr>
        <w:trPr>
          <w:trHeight w:val="172"/>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Equity in ATC Earnings</w:t>
            </w:r>
          </w:p>
        </w:tc>
        <w:tc>
          <w:tcPr>
            <w:tcW w:w="4540" w:type="dxa"/>
            <w:vAlign w:val="bottom"/>
          </w:tcPr>
          <w:p>
            <w:pPr>
              <w:jc w:val="right"/>
              <w:ind w:right="228"/>
              <w:spacing w:after="0"/>
              <w:rPr>
                <w:sz w:val="20"/>
                <w:szCs w:val="20"/>
                <w:color w:val="auto"/>
              </w:rPr>
            </w:pPr>
            <w:r>
              <w:rPr>
                <w:rFonts w:ascii="Arial" w:cs="Arial" w:eastAsia="Arial" w:hAnsi="Arial"/>
                <w:sz w:val="14"/>
                <w:szCs w:val="14"/>
                <w:color w:val="auto"/>
              </w:rPr>
              <w:t>15.3</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12.6</w:t>
            </w:r>
          </w:p>
        </w:tc>
      </w:tr>
      <w:tr>
        <w:trPr>
          <w:trHeight w:val="174"/>
        </w:trPr>
        <w:tc>
          <w:tcPr>
            <w:tcW w:w="20" w:type="dxa"/>
            <w:vAlign w:val="bottom"/>
          </w:tcPr>
          <w:p>
            <w:pPr>
              <w:spacing w:after="0"/>
              <w:rPr>
                <w:sz w:val="15"/>
                <w:szCs w:val="15"/>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Distributed ATC Earnings</w:t>
            </w:r>
          </w:p>
        </w:tc>
        <w:tc>
          <w:tcPr>
            <w:tcW w:w="45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(11.5)</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w:t>
            </w:r>
          </w:p>
        </w:tc>
      </w:tr>
      <w:tr>
        <w:trPr>
          <w:trHeight w:val="174"/>
        </w:trPr>
        <w:tc>
          <w:tcPr>
            <w:tcW w:w="2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Equity Investment Ending Balance</w:t>
            </w:r>
          </w:p>
        </w:tc>
        <w:tc>
          <w:tcPr>
            <w:tcW w:w="4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$76.9</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$65.7</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Investments</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14"/>
          <w:szCs w:val="14"/>
          <w:color w:val="auto"/>
        </w:rPr>
        <w:t>At December 31, 2008, our long-term investment portfolio included the real estate assets of ALLETE Properties, debt and equity securities consisting primarily of securities held to fund</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benefits, our emerging technology portfolio, auction rate securities, and land held for sale in Minnesota.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4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46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2008</w:t>
            </w:r>
          </w:p>
        </w:tc>
        <w:tc>
          <w:tcPr>
            <w:tcW w:w="15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ALLETE Properties</w:t>
            </w:r>
          </w:p>
        </w:tc>
        <w:tc>
          <w:tcPr>
            <w:tcW w:w="4660" w:type="dxa"/>
            <w:vAlign w:val="bottom"/>
          </w:tcPr>
          <w:p>
            <w:pPr>
              <w:jc w:val="right"/>
              <w:ind w:right="448"/>
              <w:spacing w:after="0"/>
              <w:rPr>
                <w:sz w:val="20"/>
                <w:szCs w:val="20"/>
                <w:color w:val="auto"/>
              </w:rPr>
            </w:pPr>
            <w:r>
              <w:rPr>
                <w:rFonts w:ascii="Arial" w:cs="Arial" w:eastAsia="Arial" w:hAnsi="Arial"/>
                <w:sz w:val="14"/>
                <w:szCs w:val="14"/>
                <w:color w:val="auto"/>
              </w:rPr>
              <w:t>$84.9</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$91.3</w:t>
            </w: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Available-for-sale Securities</w:t>
            </w:r>
          </w:p>
        </w:tc>
        <w:tc>
          <w:tcPr>
            <w:tcW w:w="46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32.6</w:t>
            </w:r>
          </w:p>
        </w:tc>
        <w:tc>
          <w:tcPr>
            <w:tcW w:w="15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30.5</w:t>
            </w: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Emerging Technology Portfolio</w:t>
            </w:r>
          </w:p>
        </w:tc>
        <w:tc>
          <w:tcPr>
            <w:tcW w:w="4660" w:type="dxa"/>
            <w:vAlign w:val="bottom"/>
          </w:tcPr>
          <w:p>
            <w:pPr>
              <w:jc w:val="right"/>
              <w:ind w:right="448"/>
              <w:spacing w:after="0"/>
              <w:rPr>
                <w:sz w:val="20"/>
                <w:szCs w:val="20"/>
                <w:color w:val="auto"/>
              </w:rPr>
            </w:pPr>
            <w:r>
              <w:rPr>
                <w:rFonts w:ascii="Arial" w:cs="Arial" w:eastAsia="Arial" w:hAnsi="Arial"/>
                <w:sz w:val="14"/>
                <w:szCs w:val="14"/>
                <w:color w:val="auto"/>
              </w:rPr>
              <w:t>7.4</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7.9</w:t>
            </w:r>
          </w:p>
        </w:tc>
      </w:tr>
      <w:tr>
        <w:trPr>
          <w:trHeight w:val="174"/>
        </w:trPr>
        <w:tc>
          <w:tcPr>
            <w:tcW w:w="20" w:type="dxa"/>
            <w:vAlign w:val="bottom"/>
          </w:tcPr>
          <w:p>
            <w:pPr>
              <w:spacing w:after="0"/>
              <w:rPr>
                <w:sz w:val="15"/>
                <w:szCs w:val="15"/>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46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12.0</w:t>
            </w:r>
          </w:p>
        </w:tc>
        <w:tc>
          <w:tcPr>
            <w:tcW w:w="15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18.4</w:t>
            </w:r>
          </w:p>
        </w:tc>
      </w:tr>
      <w:tr>
        <w:trPr>
          <w:trHeight w:val="174"/>
        </w:trPr>
        <w:tc>
          <w:tcPr>
            <w:tcW w:w="2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Investments</w:t>
            </w:r>
          </w:p>
        </w:tc>
        <w:tc>
          <w:tcPr>
            <w:tcW w:w="46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$136.9</w:t>
            </w:r>
          </w:p>
        </w:tc>
        <w:tc>
          <w:tcPr>
            <w:tcW w:w="15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$148.1</w:t>
            </w:r>
          </w:p>
        </w:tc>
      </w:tr>
      <w:tr>
        <w:trPr>
          <w:trHeight w:val="194"/>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4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ALLETE Properties</w:t>
            </w:r>
          </w:p>
        </w:tc>
        <w:tc>
          <w:tcPr>
            <w:tcW w:w="4020" w:type="dxa"/>
            <w:vAlign w:val="bottom"/>
          </w:tcPr>
          <w:p>
            <w:pPr>
              <w:jc w:val="right"/>
              <w:ind w:right="908"/>
              <w:spacing w:after="0"/>
              <w:rPr>
                <w:sz w:val="20"/>
                <w:szCs w:val="20"/>
                <w:color w:val="auto"/>
              </w:rPr>
            </w:pPr>
            <w:r>
              <w:rPr>
                <w:rFonts w:ascii="Arial" w:cs="Arial" w:eastAsia="Arial" w:hAnsi="Arial"/>
                <w:sz w:val="14"/>
                <w:szCs w:val="14"/>
                <w:b w:val="1"/>
                <w:bCs w:val="1"/>
                <w:color w:val="auto"/>
              </w:rPr>
              <w:t>2008</w:t>
            </w:r>
          </w:p>
        </w:tc>
        <w:tc>
          <w:tcPr>
            <w:tcW w:w="1580" w:type="dxa"/>
            <w:vAlign w:val="bottom"/>
          </w:tcPr>
          <w:p>
            <w:pPr>
              <w:jc w:val="right"/>
              <w:ind w:right="68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0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4"/>
                <w:szCs w:val="14"/>
                <w:color w:val="auto"/>
              </w:rPr>
              <w:t>Land Held for Sale Beginning Balance</w:t>
            </w:r>
          </w:p>
        </w:tc>
        <w:tc>
          <w:tcPr>
            <w:tcW w:w="4020" w:type="dxa"/>
            <w:vAlign w:val="bottom"/>
          </w:tcPr>
          <w:p>
            <w:pPr>
              <w:jc w:val="right"/>
              <w:ind w:right="448"/>
              <w:spacing w:after="0"/>
              <w:rPr>
                <w:sz w:val="20"/>
                <w:szCs w:val="20"/>
                <w:color w:val="auto"/>
              </w:rPr>
            </w:pPr>
            <w:r>
              <w:rPr>
                <w:rFonts w:ascii="Arial" w:cs="Arial" w:eastAsia="Arial" w:hAnsi="Arial"/>
                <w:sz w:val="14"/>
                <w:szCs w:val="14"/>
                <w:color w:val="auto"/>
              </w:rPr>
              <w:t>$62.6</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$58.0</w:t>
            </w:r>
          </w:p>
        </w:tc>
      </w:tr>
      <w:tr>
        <w:trPr>
          <w:trHeight w:val="172"/>
        </w:trPr>
        <w:tc>
          <w:tcPr>
            <w:tcW w:w="20" w:type="dxa"/>
            <w:vAlign w:val="bottom"/>
          </w:tcPr>
          <w:p>
            <w:pPr>
              <w:spacing w:after="0"/>
              <w:rPr>
                <w:sz w:val="14"/>
                <w:szCs w:val="14"/>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during period: Capitalized Improvements</w:t>
            </w:r>
          </w:p>
        </w:tc>
        <w:tc>
          <w:tcPr>
            <w:tcW w:w="40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10.5</w:t>
            </w:r>
          </w:p>
        </w:tc>
        <w:tc>
          <w:tcPr>
            <w:tcW w:w="15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12.8</w:t>
            </w:r>
          </w:p>
        </w:tc>
      </w:tr>
      <w:tr>
        <w:trPr>
          <w:trHeight w:val="174"/>
        </w:trPr>
        <w:tc>
          <w:tcPr>
            <w:tcW w:w="20" w:type="dxa"/>
            <w:vAlign w:val="bottom"/>
          </w:tcPr>
          <w:p>
            <w:pPr>
              <w:spacing w:after="0"/>
              <w:rPr>
                <w:sz w:val="15"/>
                <w:szCs w:val="15"/>
                <w:color w:val="auto"/>
              </w:rPr>
            </w:pPr>
          </w:p>
        </w:tc>
        <w:tc>
          <w:tcPr>
            <w:tcW w:w="5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Deductions during period: Cost of Real Estate Sold</w:t>
            </w:r>
          </w:p>
        </w:tc>
        <w:tc>
          <w:tcPr>
            <w:tcW w:w="4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(1.9)</w:t>
            </w:r>
          </w:p>
        </w:tc>
        <w:tc>
          <w:tcPr>
            <w:tcW w:w="15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(8.2)</w:t>
            </w:r>
          </w:p>
        </w:tc>
      </w:tr>
      <w:tr>
        <w:trPr>
          <w:trHeight w:val="17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Land Held for Sale Ending Balance</w:t>
            </w:r>
          </w:p>
        </w:tc>
        <w:tc>
          <w:tcPr>
            <w:tcW w:w="40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71.2</w:t>
            </w:r>
          </w:p>
        </w:tc>
        <w:tc>
          <w:tcPr>
            <w:tcW w:w="15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62.6</w:t>
            </w:r>
          </w:p>
        </w:tc>
      </w:tr>
      <w:tr>
        <w:trPr>
          <w:trHeight w:val="172"/>
        </w:trPr>
        <w:tc>
          <w:tcPr>
            <w:tcW w:w="2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4"/>
                <w:szCs w:val="14"/>
                <w:color w:val="auto"/>
              </w:rPr>
              <w:t>Long-Term Finance Receivables</w:t>
            </w:r>
          </w:p>
        </w:tc>
        <w:tc>
          <w:tcPr>
            <w:tcW w:w="4020" w:type="dxa"/>
            <w:vAlign w:val="bottom"/>
          </w:tcPr>
          <w:p>
            <w:pPr>
              <w:jc w:val="right"/>
              <w:ind w:right="448"/>
              <w:spacing w:after="0"/>
              <w:rPr>
                <w:sz w:val="20"/>
                <w:szCs w:val="20"/>
                <w:color w:val="auto"/>
              </w:rPr>
            </w:pPr>
            <w:r>
              <w:rPr>
                <w:rFonts w:ascii="Arial" w:cs="Arial" w:eastAsia="Arial" w:hAnsi="Arial"/>
                <w:sz w:val="14"/>
                <w:szCs w:val="14"/>
                <w:color w:val="auto"/>
              </w:rPr>
              <w:t>13.6</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15.3</w:t>
            </w:r>
          </w:p>
        </w:tc>
      </w:tr>
      <w:tr>
        <w:trPr>
          <w:trHeight w:val="174"/>
        </w:trPr>
        <w:tc>
          <w:tcPr>
            <w:tcW w:w="20" w:type="dxa"/>
            <w:vAlign w:val="bottom"/>
          </w:tcPr>
          <w:p>
            <w:pPr>
              <w:spacing w:after="0"/>
              <w:rPr>
                <w:sz w:val="15"/>
                <w:szCs w:val="15"/>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4"/>
                <w:szCs w:val="14"/>
                <w:i w:val="1"/>
                <w:iCs w:val="1"/>
                <w:color w:val="auto"/>
              </w:rPr>
              <w:t>(a)</w:t>
            </w:r>
          </w:p>
        </w:tc>
        <w:tc>
          <w:tcPr>
            <w:tcW w:w="40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0.1</w:t>
            </w:r>
          </w:p>
        </w:tc>
        <w:tc>
          <w:tcPr>
            <w:tcW w:w="15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13.4</w:t>
            </w:r>
          </w:p>
        </w:tc>
      </w:tr>
      <w:tr>
        <w:trPr>
          <w:trHeight w:val="174"/>
        </w:trPr>
        <w:tc>
          <w:tcPr>
            <w:tcW w:w="20" w:type="dxa"/>
            <w:vAlign w:val="bottom"/>
            <w:tcBorders>
              <w:bottom w:val="single" w:sz="8" w:color="auto"/>
            </w:tcBorders>
          </w:tcPr>
          <w:p>
            <w:pPr>
              <w:spacing w:after="0"/>
              <w:rPr>
                <w:sz w:val="15"/>
                <w:szCs w:val="15"/>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Real Estate Assets</w:t>
            </w:r>
          </w:p>
        </w:tc>
        <w:tc>
          <w:tcPr>
            <w:tcW w:w="4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$84.9</w:t>
            </w:r>
          </w:p>
        </w:tc>
        <w:tc>
          <w:tcPr>
            <w:tcW w:w="15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$91.3</w:t>
            </w:r>
          </w:p>
        </w:tc>
      </w:tr>
    </w:tbl>
    <w:p>
      <w:pPr>
        <w:spacing w:after="0" w:line="183" w:lineRule="exact"/>
        <w:rPr>
          <w:sz w:val="20"/>
          <w:szCs w:val="20"/>
          <w:color w:val="auto"/>
        </w:rPr>
      </w:pPr>
    </w:p>
    <w:p>
      <w:pPr>
        <w:ind w:left="260" w:right="20" w:hanging="254"/>
        <w:spacing w:after="0" w:line="288" w:lineRule="auto"/>
        <w:tabs>
          <w:tab w:leader="none" w:pos="26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Consisted primarily of a shopping center that was sold on May 1, 2008. The pre-tax gain of $4.5 million resulting from this sale is included in operating revenue on the Consolidated Statement of Income.</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Land Held for Sale. </w:t>
      </w:r>
      <w:r>
        <w:rPr>
          <w:rFonts w:ascii="Arial" w:cs="Arial" w:eastAsia="Arial" w:hAnsi="Arial"/>
          <w:sz w:val="14"/>
          <w:szCs w:val="14"/>
          <w:color w:val="auto"/>
        </w:rPr>
        <w:t>Land held for sale is recorded at the lower of cost or fair value determined by the evaluation of individual land parcels. Land values are reviewed for impairment and no</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impairments were recorded in 2008 (none in 2007).</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Finance Receivables. </w:t>
      </w:r>
      <w:r>
        <w:rPr>
          <w:rFonts w:ascii="Arial" w:cs="Arial" w:eastAsia="Arial" w:hAnsi="Arial"/>
          <w:sz w:val="14"/>
          <w:szCs w:val="14"/>
          <w:color w:val="auto"/>
        </w:rPr>
        <w:t>Finance receivables, which are collateralized by property sold, accrue interest at market-based rates and are net of an allowance for doubtful accounts of $0.1 million at</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2008 ($0.2 million at December 31, 2007). The majority are receivables having maturities up to four years. Minority interest associated with real estate operations was $9.8 million at December 31, 2008 ($9.3 million at December 31, 2007).</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3" w:name="page64"/>
    <w:bookmarkEnd w:id="63"/>
    <w:p>
      <w:pPr>
        <w:spacing w:after="0"/>
        <w:tabs>
          <w:tab w:leader="none" w:pos="56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Investments (Continued)</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Available-for-Sale Investments. </w:t>
      </w:r>
      <w:r>
        <w:rPr>
          <w:rFonts w:ascii="Arial" w:cs="Arial" w:eastAsia="Arial" w:hAnsi="Arial"/>
          <w:sz w:val="14"/>
          <w:szCs w:val="14"/>
          <w:color w:val="auto"/>
        </w:rPr>
        <w:t>We account for our available-for-sale portfolio in accordance with SFAS 115, “Accounting for Certain Investments in Debt and Equity Securities.” Our available-for-sale securities portfolio consisted of securities in a grantor trust established to fund certain employee benefits and auction rate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74560" cy="123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Millions</w:t>
            </w:r>
          </w:p>
        </w:tc>
        <w:tc>
          <w:tcPr>
            <w:tcW w:w="324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2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Gross Unrealized</w:t>
            </w:r>
          </w:p>
        </w:tc>
        <w:tc>
          <w:tcPr>
            <w:tcW w:w="13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 December 31</w:t>
            </w:r>
          </w:p>
        </w:tc>
        <w:tc>
          <w:tcPr>
            <w:tcW w:w="32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Cost</w:t>
            </w:r>
          </w:p>
        </w:tc>
        <w:tc>
          <w:tcPr>
            <w:tcW w:w="224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b w:val="1"/>
                <w:bCs w:val="1"/>
                <w:color w:val="auto"/>
              </w:rPr>
              <w:t>Gain</w:t>
            </w:r>
          </w:p>
        </w:tc>
        <w:tc>
          <w:tcPr>
            <w:tcW w:w="13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(Loss)</w:t>
            </w: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2008</w:t>
            </w:r>
          </w:p>
        </w:tc>
        <w:tc>
          <w:tcPr>
            <w:tcW w:w="3240" w:type="dxa"/>
            <w:vAlign w:val="bottom"/>
          </w:tcPr>
          <w:p>
            <w:pPr>
              <w:jc w:val="right"/>
              <w:ind w:right="488"/>
              <w:spacing w:after="0"/>
              <w:rPr>
                <w:sz w:val="20"/>
                <w:szCs w:val="20"/>
                <w:color w:val="auto"/>
              </w:rPr>
            </w:pPr>
            <w:r>
              <w:rPr>
                <w:rFonts w:ascii="Arial" w:cs="Arial" w:eastAsia="Arial" w:hAnsi="Arial"/>
                <w:sz w:val="14"/>
                <w:szCs w:val="14"/>
                <w:color w:val="auto"/>
              </w:rPr>
              <w:t>$40.5</w:t>
            </w:r>
          </w:p>
        </w:tc>
        <w:tc>
          <w:tcPr>
            <w:tcW w:w="224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08"/>
              <w:spacing w:after="0"/>
              <w:rPr>
                <w:sz w:val="20"/>
                <w:szCs w:val="20"/>
                <w:color w:val="auto"/>
              </w:rPr>
            </w:pPr>
            <w:r>
              <w:rPr>
                <w:rFonts w:ascii="Arial" w:cs="Arial" w:eastAsia="Arial" w:hAnsi="Arial"/>
                <w:sz w:val="14"/>
                <w:szCs w:val="14"/>
                <w:color w:val="auto"/>
              </w:rPr>
              <w:t>$(7.9)</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2007(a)</w:t>
            </w:r>
          </w:p>
        </w:tc>
        <w:tc>
          <w:tcPr>
            <w:tcW w:w="32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$45.3</w:t>
            </w:r>
          </w:p>
        </w:tc>
        <w:tc>
          <w:tcPr>
            <w:tcW w:w="224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$8.4</w:t>
            </w:r>
          </w:p>
        </w:tc>
        <w:tc>
          <w:tcPr>
            <w:tcW w:w="13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$(0.1)</w:t>
            </w:r>
          </w:p>
        </w:tc>
        <w:tc>
          <w:tcPr>
            <w:tcW w:w="1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2006</w:t>
            </w:r>
          </w:p>
        </w:tc>
        <w:tc>
          <w:tcPr>
            <w:tcW w:w="3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$123.2</w:t>
            </w:r>
          </w:p>
        </w:tc>
        <w:tc>
          <w:tcPr>
            <w:tcW w:w="22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$7.0</w:t>
            </w:r>
          </w:p>
        </w:tc>
        <w:tc>
          <w:tcPr>
            <w:tcW w:w="13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$(0.1)</w:t>
            </w:r>
          </w:p>
        </w:tc>
        <w:tc>
          <w:tcPr>
            <w:tcW w:w="1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Included $23.1 million of auction rate securities that were classified as Short-Term Investments and were subsequently reclassified in 2008 as Investments.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580" w:type="dxa"/>
            <w:vAlign w:val="bottom"/>
            <w:shd w:val="clear" w:color="auto" w:fill="CCEEFF"/>
          </w:tcPr>
          <w:p>
            <w:pPr>
              <w:jc w:val="center"/>
              <w:ind w:left="188"/>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580" w:type="dxa"/>
            <w:vAlign w:val="bottom"/>
            <w:shd w:val="clear" w:color="auto" w:fill="CCEEFF"/>
          </w:tcPr>
          <w:p>
            <w:pPr>
              <w:jc w:val="center"/>
              <w:ind w:left="188"/>
              <w:spacing w:after="0"/>
              <w:rPr>
                <w:sz w:val="20"/>
                <w:szCs w:val="20"/>
                <w:color w:val="auto"/>
              </w:rPr>
            </w:pPr>
            <w:r>
              <w:rPr>
                <w:rFonts w:ascii="Arial" w:cs="Arial" w:eastAsia="Arial" w:hAnsi="Arial"/>
                <w:sz w:val="14"/>
                <w:szCs w:val="14"/>
                <w:b w:val="1"/>
                <w:bCs w:val="1"/>
                <w:color w:val="auto"/>
                <w:w w:val="96"/>
              </w:rPr>
              <w:t>in Other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3500" w:type="dxa"/>
            <w:vAlign w:val="bottom"/>
          </w:tcPr>
          <w:p>
            <w:pPr>
              <w:jc w:val="right"/>
              <w:ind w:right="888"/>
              <w:spacing w:after="0"/>
              <w:rPr>
                <w:sz w:val="20"/>
                <w:szCs w:val="20"/>
                <w:color w:val="auto"/>
              </w:rPr>
            </w:pPr>
            <w:r>
              <w:rPr>
                <w:rFonts w:ascii="Arial" w:cs="Arial" w:eastAsia="Arial" w:hAnsi="Arial"/>
                <w:sz w:val="14"/>
                <w:szCs w:val="14"/>
                <w:b w:val="1"/>
                <w:bCs w:val="1"/>
                <w:color w:val="auto"/>
              </w:rPr>
              <w:t>Net</w:t>
            </w:r>
          </w:p>
        </w:tc>
        <w:tc>
          <w:tcPr>
            <w:tcW w:w="2100" w:type="dxa"/>
            <w:vAlign w:val="bottom"/>
          </w:tcPr>
          <w:p>
            <w:pPr>
              <w:jc w:val="right"/>
              <w:ind w:right="288"/>
              <w:spacing w:after="0"/>
              <w:rPr>
                <w:sz w:val="20"/>
                <w:szCs w:val="20"/>
                <w:color w:val="auto"/>
              </w:rPr>
            </w:pPr>
            <w:r>
              <w:rPr>
                <w:rFonts w:ascii="Arial" w:cs="Arial" w:eastAsia="Arial" w:hAnsi="Arial"/>
                <w:sz w:val="14"/>
                <w:szCs w:val="14"/>
                <w:b w:val="1"/>
                <w:bCs w:val="1"/>
                <w:color w:val="auto"/>
              </w:rPr>
              <w:t>Gross Realized</w:t>
            </w:r>
          </w:p>
        </w:tc>
        <w:tc>
          <w:tcPr>
            <w:tcW w:w="1400" w:type="dxa"/>
            <w:vAlign w:val="bottom"/>
          </w:tcPr>
          <w:p>
            <w:pPr>
              <w:spacing w:after="0"/>
              <w:rPr>
                <w:sz w:val="14"/>
                <w:szCs w:val="14"/>
                <w:color w:val="auto"/>
              </w:rPr>
            </w:pPr>
          </w:p>
        </w:tc>
        <w:tc>
          <w:tcPr>
            <w:tcW w:w="15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w:t>
            </w:r>
          </w:p>
        </w:tc>
        <w:tc>
          <w:tcPr>
            <w:tcW w:w="35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Proceeds</w:t>
            </w:r>
          </w:p>
        </w:tc>
        <w:tc>
          <w:tcPr>
            <w:tcW w:w="210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Gain</w:t>
            </w:r>
          </w:p>
        </w:tc>
        <w:tc>
          <w:tcPr>
            <w:tcW w:w="14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580" w:type="dxa"/>
            <w:vAlign w:val="bottom"/>
            <w:tcBorders>
              <w:bottom w:val="single" w:sz="8" w:color="auto"/>
            </w:tcBorders>
            <w:shd w:val="clear" w:color="auto" w:fill="CCEEFF"/>
          </w:tcPr>
          <w:p>
            <w:pPr>
              <w:jc w:val="center"/>
              <w:ind w:left="16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2008</w:t>
            </w:r>
          </w:p>
        </w:tc>
        <w:tc>
          <w:tcPr>
            <w:tcW w:w="35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$17.5</w:t>
            </w:r>
          </w:p>
        </w:tc>
        <w:tc>
          <w:tcPr>
            <w:tcW w:w="2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$6.5</w:t>
            </w:r>
          </w:p>
        </w:tc>
        <w:tc>
          <w:tcPr>
            <w:tcW w:w="14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$(0.1)</w:t>
            </w:r>
          </w:p>
        </w:tc>
        <w:tc>
          <w:tcPr>
            <w:tcW w:w="15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2007</w:t>
            </w:r>
          </w:p>
        </w:tc>
        <w:tc>
          <w:tcPr>
            <w:tcW w:w="3500" w:type="dxa"/>
            <w:vAlign w:val="bottom"/>
          </w:tcPr>
          <w:p>
            <w:pPr>
              <w:jc w:val="right"/>
              <w:ind w:right="1028"/>
              <w:spacing w:after="0"/>
              <w:rPr>
                <w:sz w:val="20"/>
                <w:szCs w:val="20"/>
                <w:color w:val="auto"/>
              </w:rPr>
            </w:pPr>
            <w:r>
              <w:rPr>
                <w:rFonts w:ascii="Arial" w:cs="Arial" w:eastAsia="Arial" w:hAnsi="Arial"/>
                <w:sz w:val="14"/>
                <w:szCs w:val="14"/>
                <w:color w:val="auto"/>
              </w:rPr>
              <w:t>$81.4</w:t>
            </w:r>
          </w:p>
        </w:tc>
        <w:tc>
          <w:tcPr>
            <w:tcW w:w="210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2006</w:t>
            </w:r>
          </w:p>
        </w:tc>
        <w:tc>
          <w:tcPr>
            <w:tcW w:w="35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$12.4</w:t>
            </w:r>
          </w:p>
        </w:tc>
        <w:tc>
          <w:tcPr>
            <w:tcW w:w="210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i w:val="1"/>
          <w:iCs w:val="1"/>
          <w:color w:val="auto"/>
        </w:rPr>
        <w:t xml:space="preserve">Auction Rate Securities. </w:t>
      </w:r>
      <w:r>
        <w:rPr>
          <w:rFonts w:ascii="Arial" w:cs="Arial" w:eastAsia="Arial" w:hAnsi="Arial"/>
          <w:sz w:val="13"/>
          <w:szCs w:val="13"/>
          <w:color w:val="auto"/>
        </w:rPr>
        <w:t>As of December 31, 2008, we held $15.2 million of investments ($23.1 million at December 31, 2007) consisting of three auction rate municipal bonds (auction rate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with stated maturity dates ranging between 15 and 28 years. These ARS consist of guaranteed student loans insured or reinsured by the federal government. These ARS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typically above market interest rates.</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Company has used a discounted cash flow model to determine the estimated fair value of its investment in ARS as of December 31, 2008.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Based upon the results of the discounted cash flow model and the fact that these ARS consist of guaranteed student loans insured or reinsured by the federal government no other than temporary impairment loss has been reported.</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Emerging Technology Investments. </w:t>
      </w:r>
      <w:r>
        <w:rPr>
          <w:rFonts w:ascii="Arial" w:cs="Arial" w:eastAsia="Arial" w:hAnsi="Arial"/>
          <w:sz w:val="14"/>
          <w:szCs w:val="14"/>
          <w:color w:val="auto"/>
        </w:rPr>
        <w:t>The majority of our emerging technology investments are minority investments in venture capital funds. We account for our investment in venture capital funds</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the equity method of accounting. The total carrying value of our emerging technology portfolio was $7.4 million at December 31, 2008. Our remaining commitment of $0.7 million at December 31, 2008 may be invested in 2009. We do not have plans to make any additional investments beyond this commitment. Based on our impairment analysis, we did not record any impairment in 2008 ($0.5 million in 2007, none in 2006).</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Concentration of Credit Risk. </w:t>
      </w:r>
      <w:r>
        <w:rPr>
          <w:rFonts w:ascii="Arial" w:cs="Arial" w:eastAsia="Arial" w:hAnsi="Arial"/>
          <w:sz w:val="14"/>
          <w:szCs w:val="14"/>
          <w:color w:val="auto"/>
        </w:rPr>
        <w:t>Financial instruments that subject us to concentrations of credit risk consist primarily of accounts receivable. Minnesota Power sells electricity to 12 Large Power</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Customers. Receivables from these customers totaled approximately $11 million at December 31, 2008 ($14 million at December 31, 2007). Minnesota Power does not obtain collateral to support utility receivables, but monitors the credit standing of major customers. In addition, our taconite-producing Large Power Customers are on a weekly billing cycle, which allows us to closely manage collection of amounts due.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4" w:name="page65"/>
    <w:bookmarkEnd w:id="64"/>
    <w:p>
      <w:pPr>
        <w:spacing w:after="0"/>
        <w:tabs>
          <w:tab w:leader="none" w:pos="56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Investments (Continued)</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Fair Value of Financial Instruments. </w:t>
      </w:r>
      <w:r>
        <w:rPr>
          <w:rFonts w:ascii="Arial" w:cs="Arial" w:eastAsia="Arial" w:hAnsi="Arial"/>
          <w:sz w:val="14"/>
          <w:szCs w:val="14"/>
          <w:color w:val="auto"/>
        </w:rPr>
        <w:t>With the exception of the items listed below, the estimated fair value of all financial instruments approximates the carrying amount. The fair value for the items</w:t>
      </w:r>
      <w:r>
        <w:rPr>
          <w:rFonts w:ascii="Arial" w:cs="Arial" w:eastAsia="Arial" w:hAnsi="Arial"/>
          <w:sz w:val="14"/>
          <w:szCs w:val="14"/>
          <w:b w:val="1"/>
          <w:bCs w:val="1"/>
          <w:color w:val="auto"/>
        </w:rPr>
        <w:t xml:space="preserve"> </w:t>
      </w:r>
      <w:r>
        <w:rPr>
          <w:rFonts w:ascii="Arial" w:cs="Arial" w:eastAsia="Arial" w:hAnsi="Arial"/>
          <w:sz w:val="14"/>
          <w:szCs w:val="14"/>
          <w:color w:val="auto"/>
        </w:rPr>
        <w:t>below were based on quoted market prices for the same or similar instruments.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Instruments</w:t>
            </w:r>
          </w:p>
        </w:tc>
        <w:tc>
          <w:tcPr>
            <w:tcW w:w="46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46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Carrying 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7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6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Long-Term Debt, Including Current Portion</w:t>
            </w:r>
          </w:p>
        </w:tc>
        <w:tc>
          <w:tcPr>
            <w:tcW w:w="46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60" w:type="dxa"/>
            <w:vAlign w:val="bottom"/>
            <w:shd w:val="clear" w:color="auto" w:fill="CCEEFF"/>
          </w:tcPr>
          <w:p>
            <w:pPr>
              <w:jc w:val="right"/>
              <w:ind w:right="4988"/>
              <w:spacing w:after="0"/>
              <w:rPr>
                <w:sz w:val="20"/>
                <w:szCs w:val="20"/>
                <w:color w:val="auto"/>
              </w:rPr>
            </w:pPr>
            <w:r>
              <w:rPr>
                <w:rFonts w:ascii="Arial" w:cs="Arial" w:eastAsia="Arial" w:hAnsi="Arial"/>
                <w:sz w:val="14"/>
                <w:szCs w:val="14"/>
                <w:color w:val="auto"/>
              </w:rPr>
              <w:t>2008</w:t>
            </w:r>
          </w:p>
        </w:tc>
        <w:tc>
          <w:tcPr>
            <w:tcW w:w="46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$598.7</w:t>
            </w: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$561.6</w:t>
            </w:r>
          </w:p>
        </w:tc>
      </w:tr>
      <w:tr>
        <w:trPr>
          <w:trHeight w:val="182"/>
        </w:trPr>
        <w:tc>
          <w:tcPr>
            <w:tcW w:w="20" w:type="dxa"/>
            <w:vAlign w:val="bottom"/>
          </w:tcPr>
          <w:p>
            <w:pPr>
              <w:spacing w:after="0"/>
              <w:rPr>
                <w:sz w:val="15"/>
                <w:szCs w:val="15"/>
                <w:color w:val="auto"/>
              </w:rPr>
            </w:pPr>
          </w:p>
        </w:tc>
        <w:tc>
          <w:tcPr>
            <w:tcW w:w="5460" w:type="dxa"/>
            <w:vAlign w:val="bottom"/>
          </w:tcPr>
          <w:p>
            <w:pPr>
              <w:jc w:val="right"/>
              <w:ind w:right="4988"/>
              <w:spacing w:after="0"/>
              <w:rPr>
                <w:sz w:val="20"/>
                <w:szCs w:val="20"/>
                <w:color w:val="auto"/>
              </w:rPr>
            </w:pPr>
            <w:r>
              <w:rPr>
                <w:rFonts w:ascii="Arial" w:cs="Arial" w:eastAsia="Arial" w:hAnsi="Arial"/>
                <w:sz w:val="14"/>
                <w:szCs w:val="14"/>
                <w:color w:val="auto"/>
              </w:rPr>
              <w:t>2007</w:t>
            </w:r>
          </w:p>
        </w:tc>
        <w:tc>
          <w:tcPr>
            <w:tcW w:w="4680" w:type="dxa"/>
            <w:vAlign w:val="bottom"/>
          </w:tcPr>
          <w:p>
            <w:pPr>
              <w:jc w:val="right"/>
              <w:ind w:right="688"/>
              <w:spacing w:after="0"/>
              <w:rPr>
                <w:sz w:val="20"/>
                <w:szCs w:val="20"/>
                <w:color w:val="auto"/>
              </w:rPr>
            </w:pPr>
            <w:r>
              <w:rPr>
                <w:rFonts w:ascii="Arial" w:cs="Arial" w:eastAsia="Arial" w:hAnsi="Arial"/>
                <w:sz w:val="14"/>
                <w:szCs w:val="14"/>
                <w:color w:val="auto"/>
              </w:rPr>
              <w:t>$422.7</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$410.9</w:t>
            </w:r>
          </w:p>
        </w:tc>
      </w:tr>
    </w:tbl>
    <w:p>
      <w:pPr>
        <w:spacing w:after="0" w:line="36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color w:val="auto"/>
        </w:rPr>
        <w:t>Effective January 1, 2008, the Company adopted SFAS 157 as discussed in Note 1, which, among other things, requires enhanced disclosures about assets and liabilities carried at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As defined in SFAS 157,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158"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Instruments in this category include primarily mutual fund investments held to fund employee benefits.</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represent the Company’s deferred compensation obligation and fixed income securities.</w:t>
      </w:r>
    </w:p>
    <w:p>
      <w:pPr>
        <w:spacing w:after="0" w:line="156"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management performs an analysis of all instruments subject to SFAS 157 and includes in Level 3 all of those whose fair value is based on significant unobservable inputs. Instruments in this category include auction rate securities consisting of guaranteed student loans classified as Level 3 investments as of December 31, 2008. The Company also holds certain financial transmission rights (FTRs) related to our participation in MISO. These FTRs are accounted for as derivatives. While our valuation of these FTRs is based on Level 3 inputs, the fair value of our FTRs at December 31, 2008, is immaterial, and as a result we have not presented them in the tables below.</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5" w:name="page66"/>
    <w:bookmarkEnd w:id="65"/>
    <w:p>
      <w:pPr>
        <w:spacing w:after="0"/>
        <w:tabs>
          <w:tab w:leader="none" w:pos="60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Investments (Continued)</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following table sets forth by level within the fair value hierarchy the Company's financial assets and liabilities that were accounted for at fair value on a recurring basis as of December 31, 2008.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spacing w:after="0"/>
              <w:rPr>
                <w:sz w:val="15"/>
                <w:szCs w:val="15"/>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At Fair Value as of December 31, 2008</w:t>
            </w:r>
          </w:p>
        </w:tc>
        <w:tc>
          <w:tcPr>
            <w:tcW w:w="10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Recurring Fair Value Measures</w:t>
            </w:r>
          </w:p>
        </w:tc>
        <w:tc>
          <w:tcPr>
            <w:tcW w:w="1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256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Level 3</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192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Mutual Funds</w:t>
            </w:r>
          </w:p>
        </w:tc>
        <w:tc>
          <w:tcPr>
            <w:tcW w:w="1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256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Bonds</w:t>
            </w:r>
          </w:p>
        </w:tc>
        <w:tc>
          <w:tcPr>
            <w:tcW w:w="1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560" w:type="dxa"/>
            <w:vAlign w:val="bottom"/>
          </w:tcPr>
          <w:p>
            <w:pPr>
              <w:jc w:val="right"/>
              <w:ind w:right="1008"/>
              <w:spacing w:after="0"/>
              <w:rPr>
                <w:sz w:val="20"/>
                <w:szCs w:val="20"/>
                <w:color w:val="auto"/>
              </w:rPr>
            </w:pPr>
            <w:r>
              <w:rPr>
                <w:rFonts w:ascii="Arial" w:cs="Arial" w:eastAsia="Arial" w:hAnsi="Arial"/>
                <w:sz w:val="14"/>
                <w:szCs w:val="14"/>
                <w:color w:val="auto"/>
              </w:rPr>
              <w:t>$3.3</w:t>
            </w: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Auction Rate Securities</w:t>
            </w:r>
          </w:p>
        </w:tc>
        <w:tc>
          <w:tcPr>
            <w:tcW w:w="1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56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$15.2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Money Market Funds</w:t>
            </w:r>
          </w:p>
        </w:tc>
        <w:tc>
          <w:tcPr>
            <w:tcW w:w="1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w:t>
            </w:r>
          </w:p>
        </w:tc>
        <w:tc>
          <w:tcPr>
            <w:tcW w:w="256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1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$24.1</w:t>
            </w:r>
          </w:p>
        </w:tc>
        <w:tc>
          <w:tcPr>
            <w:tcW w:w="256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$3.3</w:t>
            </w:r>
          </w:p>
        </w:tc>
        <w:tc>
          <w:tcPr>
            <w:tcW w:w="10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$15.2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92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Deferred compensation obligation</w:t>
            </w:r>
          </w:p>
        </w:tc>
        <w:tc>
          <w:tcPr>
            <w:tcW w:w="1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$13.5</w:t>
            </w: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1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$13.5</w:t>
            </w:r>
          </w:p>
        </w:tc>
        <w:tc>
          <w:tcPr>
            <w:tcW w:w="10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Net Assets (Liabilities)</w:t>
            </w:r>
          </w:p>
        </w:tc>
        <w:tc>
          <w:tcPr>
            <w:tcW w:w="1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$24.1</w:t>
            </w:r>
          </w:p>
        </w:tc>
        <w:tc>
          <w:tcPr>
            <w:tcW w:w="256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$(10.2)</w:t>
            </w:r>
          </w:p>
        </w:tc>
        <w:tc>
          <w:tcPr>
            <w:tcW w:w="10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$15.2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Recurring Fair Value Measures as of December 31, 2008</w:t>
            </w:r>
          </w:p>
        </w:tc>
        <w:tc>
          <w:tcPr>
            <w:tcW w:w="4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Auction Rate</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Activity in Level 3</w:t>
            </w:r>
          </w:p>
        </w:tc>
        <w:tc>
          <w:tcPr>
            <w:tcW w:w="4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Balance as of January 1, 2008</w:t>
            </w:r>
          </w:p>
        </w:tc>
        <w:tc>
          <w:tcPr>
            <w:tcW w:w="44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Purchases, sales, issuances and settlements, net </w:t>
            </w:r>
            <w:r>
              <w:rPr>
                <w:rFonts w:ascii="Arial" w:cs="Arial" w:eastAsia="Arial" w:hAnsi="Arial"/>
                <w:sz w:val="14"/>
                <w:szCs w:val="14"/>
                <w:i w:val="1"/>
                <w:iCs w:val="1"/>
                <w:color w:val="auto"/>
              </w:rPr>
              <w:t>(a)</w:t>
            </w:r>
          </w:p>
        </w:tc>
        <w:tc>
          <w:tcPr>
            <w:tcW w:w="4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Level 3 transfers in</w:t>
            </w:r>
          </w:p>
        </w:tc>
        <w:tc>
          <w:tcPr>
            <w:tcW w:w="4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December 31, 2008</w:t>
            </w:r>
          </w:p>
        </w:tc>
        <w:tc>
          <w:tcPr>
            <w:tcW w:w="4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Includes a $5.2 million transfer of auction rate securities to our Voluntary Employee Benefit Association trust used to fund postretirement health and life benefits.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Short-Term and Long-Term Debt</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Short-Term Debt. </w:t>
      </w:r>
      <w:r>
        <w:rPr>
          <w:rFonts w:ascii="Arial" w:cs="Arial" w:eastAsia="Arial" w:hAnsi="Arial"/>
          <w:sz w:val="13"/>
          <w:szCs w:val="13"/>
          <w:color w:val="auto"/>
        </w:rPr>
        <w:t>Total short-term debt outstanding at December 31, 2008, was $10.4 million ($11.8 million at December 31, 2007) and consisted of Long-Term Debt Due Within One Year.</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As of December 31, 2008, we had bank lines of credit aggregating $160.5 million ($160.0 million at December 31, 2007), the majority of which expire in January 2012. These bank lines of credit make financing available through short-term bank loans and provide credit support for commercial paper. At December 31, 2008, $7.3 million ($4.3 million at December 31, 2007) was drawn on our lines of credit leaving a $153.2 million balance available for use ($155.7 million at December 31, 2007). There was no commercial paper issued as of December 31, 2008 and 2007.</w:t>
      </w:r>
    </w:p>
    <w:p>
      <w:pPr>
        <w:spacing w:after="0" w:line="147"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In January 2006, we renewed, increased and extended a committed, syndicated, unsecured revolving credit facility (Line) with Bank of America as Agent, and four other banks, for $150 million. No individual bank has more than 25 percent participation in the Line. The line was subsequently extended for an additional year in December 2006 and currently matures in January 2012. At our request and subject to certain conditions, the Line may be increased to $200 million and extended for two additional 12-month periods. The Line may be used for general corporate purposes and working capital, and to provide liquidity in support of our commercial paper program. We may prepay amounts outstanding under the Line in whole or in part at our discretion without premium or penalty. Additionally, we may irrevocably terminate or reduce the size of the Line prior to maturity without premium or penalty. No funds were drawn under this Line at December 31, 2008 and 2007.</w:t>
      </w:r>
    </w:p>
    <w:p>
      <w:pPr>
        <w:spacing w:after="0" w:line="15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On May 16, 2008, Florida Landmark Communities, Inc., a wholly owned subsidiary of Lehigh Acquisition Corporation, renewed and extended a revolving development loan with RBC Bank (successor by merger to CypressCoquina Bank) for $8.5 million. In October 2008, the revolving development loan was amended and restated as a $10.0 million term loan. ALLETE Properties through its subsidiaries also entered into a $3.0 million revolving development loan with Intracoastal Bank. At December 31, 2008, $1.3 million was drawn on this line of credit.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May 21, 2008, BNI Coal, a wholly owned subsidiary of ALLETE, entered into a $6.0 million Promissory Note and Supplement (Line of Credit) with CoBANK, ACB. The Line of Credit has a variable interest rate with the option to fix the rate based on LIBOR plus a certain spread. The term of the Line of Credit is 12 months, with the option to renew annually. The Line of Credit is being used for general corporate purposes. As of December 31, 2008, the full amount of $6.0 million was drawn on the Line of Credit.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6" w:name="page67"/>
    <w:bookmarkEnd w:id="66"/>
    <w:p>
      <w:pPr>
        <w:spacing w:after="0"/>
        <w:tabs>
          <w:tab w:leader="none" w:pos="600" w:val="left"/>
        </w:tabs>
        <w:rPr>
          <w:sz w:val="20"/>
          <w:szCs w:val="20"/>
          <w:color w:val="auto"/>
        </w:rPr>
      </w:pPr>
      <w:r>
        <w:rPr>
          <w:rFonts w:ascii="Arial" w:cs="Arial" w:eastAsia="Arial" w:hAnsi="Arial"/>
          <w:sz w:val="14"/>
          <w:szCs w:val="14"/>
          <w:b w:val="1"/>
          <w:bCs w:val="1"/>
          <w:color w:val="auto"/>
        </w:rPr>
        <w:t>Note 7.</w:t>
      </w:r>
      <w:r>
        <w:rPr>
          <w:sz w:val="20"/>
          <w:szCs w:val="20"/>
          <w:color w:val="auto"/>
        </w:rPr>
        <w:tab/>
      </w:r>
      <w:r>
        <w:rPr>
          <w:rFonts w:ascii="Arial" w:cs="Arial" w:eastAsia="Arial" w:hAnsi="Arial"/>
          <w:sz w:val="13"/>
          <w:szCs w:val="13"/>
          <w:b w:val="1"/>
          <w:bCs w:val="1"/>
          <w:color w:val="auto"/>
        </w:rPr>
        <w:t>Short-Term and Long-Term Debt (Continued)</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Long-Term Debt. </w:t>
      </w:r>
      <w:r>
        <w:rPr>
          <w:rFonts w:ascii="Arial" w:cs="Arial" w:eastAsia="Arial" w:hAnsi="Arial"/>
          <w:sz w:val="14"/>
          <w:szCs w:val="14"/>
          <w:color w:val="auto"/>
        </w:rPr>
        <w:t>The aggregate amount of long-term debt maturing during 2009 is $10.4 million ($4.7 million in 2010; $11.7 million in 2011; $2.9 million in 2012; $73.4 million in 2013; and</w:t>
      </w:r>
      <w:r>
        <w:rPr>
          <w:rFonts w:ascii="Arial" w:cs="Arial" w:eastAsia="Arial" w:hAnsi="Arial"/>
          <w:sz w:val="14"/>
          <w:szCs w:val="14"/>
          <w:b w:val="1"/>
          <w:bCs w:val="1"/>
          <w:color w:val="auto"/>
        </w:rPr>
        <w:t xml:space="preserve"> </w:t>
      </w:r>
      <w:r>
        <w:rPr>
          <w:rFonts w:ascii="Arial" w:cs="Arial" w:eastAsia="Arial" w:hAnsi="Arial"/>
          <w:sz w:val="14"/>
          <w:szCs w:val="14"/>
          <w:color w:val="auto"/>
        </w:rPr>
        <w:t>$495.5 million thereafter). Substantially all of our electric plant is subject to the lien of the mortgages collateralizing various first mortgage bonds.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1, 2008, we issued $60 million in principal amount of First Mortgage Bonds, 4.86% Series due April 1, 2013, in the private placement market. We have the option to prepay all or a portion of the bonds at our discretion, subject to a make-whole provision. The bonds are subject to additional terms and conditions which are customary for this type of transaction. We used the proceeds from the sale of the bonds to fund utility capital expenditures and for general corporate purposes.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May 14, 2008, we issued $75 million in principal amount of First Mortgage Bonds, 6.02% Series due May 1, 2023, in the private placement market. We have the option to prepay all or a portion of the bonds at our discretion, subject to a make-whole provision. The bonds are subject to additional terms and conditions which are customary for this type of transaction. We intend used the proceeds from the sale of the bonds to fund utility capital expenditures and for general corporate purposes.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issued $80 million in principal amount of First Mortgage Bonds in the private placement market in three series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Issue Date</w:t>
            </w:r>
          </w:p>
        </w:tc>
        <w:tc>
          <w:tcPr>
            <w:tcW w:w="322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b w:val="1"/>
                <w:bCs w:val="1"/>
                <w:color w:val="auto"/>
              </w:rPr>
              <w:t>Maturity</w:t>
            </w:r>
          </w:p>
        </w:tc>
        <w:tc>
          <w:tcPr>
            <w:tcW w:w="30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b w:val="1"/>
                <w:bCs w:val="1"/>
                <w:color w:val="auto"/>
                <w:w w:val="94"/>
              </w:rPr>
              <w:t>Principal Amount</w:t>
            </w:r>
          </w:p>
        </w:tc>
        <w:tc>
          <w:tcPr>
            <w:tcW w:w="27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b w:val="1"/>
                <w:bCs w:val="1"/>
                <w:color w:val="auto"/>
                <w:w w:val="90"/>
              </w:rPr>
              <w:t>Coupon</w:t>
            </w:r>
          </w:p>
        </w:tc>
      </w:tr>
      <w:tr>
        <w:trPr>
          <w:trHeight w:val="172"/>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December 15, 2008</w:t>
            </w:r>
          </w:p>
        </w:tc>
        <w:tc>
          <w:tcPr>
            <w:tcW w:w="3220" w:type="dxa"/>
            <w:vAlign w:val="bottom"/>
          </w:tcPr>
          <w:p>
            <w:pPr>
              <w:jc w:val="center"/>
              <w:ind w:left="428"/>
              <w:spacing w:after="0"/>
              <w:rPr>
                <w:sz w:val="20"/>
                <w:szCs w:val="20"/>
                <w:color w:val="auto"/>
              </w:rPr>
            </w:pPr>
            <w:r>
              <w:rPr>
                <w:rFonts w:ascii="Arial" w:cs="Arial" w:eastAsia="Arial" w:hAnsi="Arial"/>
                <w:sz w:val="14"/>
                <w:szCs w:val="14"/>
                <w:color w:val="auto"/>
                <w:w w:val="92"/>
              </w:rPr>
              <w:t>January 15, 2014</w:t>
            </w:r>
          </w:p>
        </w:tc>
        <w:tc>
          <w:tcPr>
            <w:tcW w:w="3020" w:type="dxa"/>
            <w:vAlign w:val="bottom"/>
          </w:tcPr>
          <w:p>
            <w:pPr>
              <w:jc w:val="center"/>
              <w:ind w:right="68"/>
              <w:spacing w:after="0"/>
              <w:rPr>
                <w:sz w:val="20"/>
                <w:szCs w:val="20"/>
                <w:color w:val="auto"/>
              </w:rPr>
            </w:pPr>
            <w:r>
              <w:rPr>
                <w:rFonts w:ascii="Arial" w:cs="Arial" w:eastAsia="Arial" w:hAnsi="Arial"/>
                <w:sz w:val="14"/>
                <w:szCs w:val="14"/>
                <w:color w:val="auto"/>
              </w:rPr>
              <w:t>$18 Million</w:t>
            </w:r>
          </w:p>
        </w:tc>
        <w:tc>
          <w:tcPr>
            <w:tcW w:w="2720" w:type="dxa"/>
            <w:vAlign w:val="bottom"/>
          </w:tcPr>
          <w:p>
            <w:pPr>
              <w:jc w:val="center"/>
              <w:ind w:right="88"/>
              <w:spacing w:after="0"/>
              <w:rPr>
                <w:sz w:val="20"/>
                <w:szCs w:val="20"/>
                <w:color w:val="auto"/>
              </w:rPr>
            </w:pPr>
            <w:r>
              <w:rPr>
                <w:rFonts w:ascii="Arial" w:cs="Arial" w:eastAsia="Arial" w:hAnsi="Arial"/>
                <w:sz w:val="14"/>
                <w:szCs w:val="14"/>
                <w:color w:val="auto"/>
                <w:w w:val="90"/>
              </w:rPr>
              <w:t>6.94%</w:t>
            </w:r>
          </w:p>
        </w:tc>
      </w:tr>
      <w:tr>
        <w:trPr>
          <w:trHeight w:val="172"/>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December 15, 2008</w:t>
            </w:r>
          </w:p>
        </w:tc>
        <w:tc>
          <w:tcPr>
            <w:tcW w:w="322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92"/>
              </w:rPr>
              <w:t>January 15, 2016</w:t>
            </w:r>
          </w:p>
        </w:tc>
        <w:tc>
          <w:tcPr>
            <w:tcW w:w="3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$20 Million</w:t>
            </w:r>
          </w:p>
        </w:tc>
        <w:tc>
          <w:tcPr>
            <w:tcW w:w="27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7.70%</w:t>
            </w:r>
          </w:p>
        </w:tc>
      </w:tr>
      <w:tr>
        <w:trPr>
          <w:trHeight w:val="174"/>
        </w:trPr>
        <w:tc>
          <w:tcPr>
            <w:tcW w:w="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January 15, 2009</w:t>
            </w:r>
          </w:p>
        </w:tc>
        <w:tc>
          <w:tcPr>
            <w:tcW w:w="32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2"/>
              </w:rPr>
              <w:t>January 15, 2019</w:t>
            </w:r>
          </w:p>
        </w:tc>
        <w:tc>
          <w:tcPr>
            <w:tcW w:w="3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$42 Million</w:t>
            </w:r>
          </w:p>
        </w:tc>
        <w:tc>
          <w:tcPr>
            <w:tcW w:w="2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0"/>
              </w:rPr>
              <w:t>8.17%</w:t>
            </w:r>
          </w:p>
        </w:tc>
      </w:tr>
    </w:tbl>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40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40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2008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1"/>
              </w:rPr>
              <w:t>Millions</w:t>
            </w:r>
          </w:p>
        </w:tc>
        <w:tc>
          <w:tcPr>
            <w:tcW w:w="568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180" w:type="dxa"/>
            <w:vAlign w:val="bottom"/>
            <w:gridSpan w:val="2"/>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Mortgage Bonds</w:t>
            </w:r>
          </w:p>
        </w:tc>
        <w:tc>
          <w:tcPr>
            <w:tcW w:w="40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4"/>
                <w:szCs w:val="14"/>
                <w:color w:val="auto"/>
                <w:w w:val="90"/>
              </w:rPr>
              <w:t>4.86%</w:t>
            </w:r>
          </w:p>
        </w:tc>
        <w:tc>
          <w:tcPr>
            <w:tcW w:w="5680" w:type="dxa"/>
            <w:vAlign w:val="bottom"/>
          </w:tcPr>
          <w:p>
            <w:pPr>
              <w:ind w:left="20"/>
              <w:spacing w:after="0"/>
              <w:rPr>
                <w:sz w:val="20"/>
                <w:szCs w:val="20"/>
                <w:color w:val="auto"/>
              </w:rPr>
            </w:pPr>
            <w:r>
              <w:rPr>
                <w:rFonts w:ascii="Arial" w:cs="Arial" w:eastAsia="Arial" w:hAnsi="Arial"/>
                <w:sz w:val="14"/>
                <w:szCs w:val="14"/>
                <w:color w:val="auto"/>
              </w:rPr>
              <w:t>Series Due 2013</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$60.0</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6.94%</w:t>
            </w:r>
          </w:p>
        </w:tc>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2014</w:t>
            </w:r>
          </w:p>
        </w:tc>
        <w:tc>
          <w:tcPr>
            <w:tcW w:w="406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18.0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4"/>
                <w:szCs w:val="14"/>
                <w:color w:val="auto"/>
                <w:w w:val="90"/>
              </w:rPr>
              <w:t>7.70%</w:t>
            </w:r>
          </w:p>
        </w:tc>
        <w:tc>
          <w:tcPr>
            <w:tcW w:w="5680" w:type="dxa"/>
            <w:vAlign w:val="bottom"/>
          </w:tcPr>
          <w:p>
            <w:pPr>
              <w:ind w:left="20"/>
              <w:spacing w:after="0"/>
              <w:rPr>
                <w:sz w:val="20"/>
                <w:szCs w:val="20"/>
                <w:color w:val="auto"/>
              </w:rPr>
            </w:pPr>
            <w:r>
              <w:rPr>
                <w:rFonts w:ascii="Arial" w:cs="Arial" w:eastAsia="Arial" w:hAnsi="Arial"/>
                <w:sz w:val="14"/>
                <w:szCs w:val="14"/>
                <w:color w:val="auto"/>
              </w:rPr>
              <w:t>Series Due 2016</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20.0</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5.28%</w:t>
            </w:r>
          </w:p>
        </w:tc>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2020</w:t>
            </w:r>
          </w:p>
        </w:tc>
        <w:tc>
          <w:tcPr>
            <w:tcW w:w="406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35.0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4"/>
                <w:szCs w:val="14"/>
                <w:color w:val="auto"/>
                <w:w w:val="90"/>
              </w:rPr>
              <w:t>4.95%</w:t>
            </w:r>
          </w:p>
        </w:tc>
        <w:tc>
          <w:tcPr>
            <w:tcW w:w="5680" w:type="dxa"/>
            <w:vAlign w:val="bottom"/>
          </w:tcPr>
          <w:p>
            <w:pPr>
              <w:ind w:left="20"/>
              <w:spacing w:after="0"/>
              <w:rPr>
                <w:sz w:val="20"/>
                <w:szCs w:val="20"/>
                <w:color w:val="auto"/>
              </w:rPr>
            </w:pPr>
            <w:r>
              <w:rPr>
                <w:rFonts w:ascii="Arial" w:cs="Arial" w:eastAsia="Arial" w:hAnsi="Arial"/>
                <w:sz w:val="14"/>
                <w:szCs w:val="14"/>
                <w:color w:val="auto"/>
              </w:rPr>
              <w:t>Pollution Control Series F Due 2022</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111.0</w:t>
            </w:r>
          </w:p>
        </w:tc>
        <w:tc>
          <w:tcPr>
            <w:tcW w:w="1200" w:type="dxa"/>
            <w:vAlign w:val="bottom"/>
          </w:tcPr>
          <w:p>
            <w:pPr>
              <w:jc w:val="right"/>
              <w:spacing w:after="0"/>
              <w:rPr>
                <w:sz w:val="20"/>
                <w:szCs w:val="20"/>
                <w:color w:val="auto"/>
              </w:rPr>
            </w:pPr>
            <w:r>
              <w:rPr>
                <w:rFonts w:ascii="Arial" w:cs="Arial" w:eastAsia="Arial" w:hAnsi="Arial"/>
                <w:sz w:val="14"/>
                <w:szCs w:val="14"/>
                <w:color w:val="auto"/>
              </w:rPr>
              <w:t>111.0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6.02%</w:t>
            </w:r>
          </w:p>
        </w:tc>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2023</w:t>
            </w:r>
          </w:p>
        </w:tc>
        <w:tc>
          <w:tcPr>
            <w:tcW w:w="406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75.0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4"/>
                <w:szCs w:val="14"/>
                <w:color w:val="auto"/>
                <w:w w:val="90"/>
              </w:rPr>
              <w:t>5.99%</w:t>
            </w:r>
          </w:p>
        </w:tc>
        <w:tc>
          <w:tcPr>
            <w:tcW w:w="5680" w:type="dxa"/>
            <w:vAlign w:val="bottom"/>
          </w:tcPr>
          <w:p>
            <w:pPr>
              <w:ind w:left="20"/>
              <w:spacing w:after="0"/>
              <w:rPr>
                <w:sz w:val="20"/>
                <w:szCs w:val="20"/>
                <w:color w:val="auto"/>
              </w:rPr>
            </w:pPr>
            <w:r>
              <w:rPr>
                <w:rFonts w:ascii="Arial" w:cs="Arial" w:eastAsia="Arial" w:hAnsi="Arial"/>
                <w:sz w:val="14"/>
                <w:szCs w:val="14"/>
                <w:color w:val="auto"/>
              </w:rPr>
              <w:t>Series Due 2027</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60.0</w:t>
            </w:r>
          </w:p>
        </w:tc>
        <w:tc>
          <w:tcPr>
            <w:tcW w:w="1200" w:type="dxa"/>
            <w:vAlign w:val="bottom"/>
          </w:tcPr>
          <w:p>
            <w:pPr>
              <w:jc w:val="right"/>
              <w:spacing w:after="0"/>
              <w:rPr>
                <w:sz w:val="20"/>
                <w:szCs w:val="20"/>
                <w:color w:val="auto"/>
              </w:rPr>
            </w:pPr>
            <w:r>
              <w:rPr>
                <w:rFonts w:ascii="Arial" w:cs="Arial" w:eastAsia="Arial" w:hAnsi="Arial"/>
                <w:sz w:val="14"/>
                <w:szCs w:val="14"/>
                <w:color w:val="auto"/>
              </w:rPr>
              <w:t>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5.69%</w:t>
            </w:r>
          </w:p>
        </w:tc>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2036</w:t>
            </w:r>
          </w:p>
        </w:tc>
        <w:tc>
          <w:tcPr>
            <w:tcW w:w="406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50.0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SWL&amp;P First Mortgage Bonds</w:t>
            </w: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7.25%</w:t>
            </w:r>
          </w:p>
        </w:tc>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2013</w:t>
            </w:r>
          </w:p>
        </w:tc>
        <w:tc>
          <w:tcPr>
            <w:tcW w:w="406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Senior Unsecured Notes 5.99% Due 2017</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50.0</w:t>
            </w:r>
          </w:p>
        </w:tc>
        <w:tc>
          <w:tcPr>
            <w:tcW w:w="1200" w:type="dxa"/>
            <w:vAlign w:val="bottom"/>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Variable Demand Revenue Refunding Bonds</w:t>
            </w:r>
          </w:p>
        </w:tc>
        <w:tc>
          <w:tcPr>
            <w:tcW w:w="40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Series 1997 A, B, and C Due 2009 – 2020</w:t>
            </w:r>
          </w:p>
        </w:tc>
        <w:tc>
          <w:tcPr>
            <w:tcW w:w="406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28.3</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Industrial Development Revenue Bonds 6.5% Due 2025</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6.0</w:t>
            </w: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Development Variable Rate Demand Refunding</w:t>
            </w:r>
          </w:p>
        </w:tc>
        <w:tc>
          <w:tcPr>
            <w:tcW w:w="40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gridSpan w:val="2"/>
          </w:tcPr>
          <w:p>
            <w:pPr>
              <w:ind w:left="120"/>
              <w:spacing w:after="0"/>
              <w:rPr>
                <w:sz w:val="20"/>
                <w:szCs w:val="20"/>
                <w:color w:val="auto"/>
              </w:rPr>
            </w:pPr>
            <w:r>
              <w:rPr>
                <w:rFonts w:ascii="Arial" w:cs="Arial" w:eastAsia="Arial" w:hAnsi="Arial"/>
                <w:sz w:val="14"/>
                <w:szCs w:val="14"/>
                <w:color w:val="auto"/>
              </w:rPr>
              <w:t>Revenue Bonds Series 2006 Due 2025</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27.8</w:t>
            </w:r>
          </w:p>
        </w:tc>
        <w:tc>
          <w:tcPr>
            <w:tcW w:w="1200" w:type="dxa"/>
            <w:vAlign w:val="bottom"/>
          </w:tcPr>
          <w:p>
            <w:pPr>
              <w:jc w:val="right"/>
              <w:spacing w:after="0"/>
              <w:rPr>
                <w:sz w:val="20"/>
                <w:szCs w:val="20"/>
                <w:color w:val="auto"/>
              </w:rPr>
            </w:pPr>
            <w:r>
              <w:rPr>
                <w:rFonts w:ascii="Arial" w:cs="Arial" w:eastAsia="Arial" w:hAnsi="Arial"/>
                <w:sz w:val="14"/>
                <w:szCs w:val="14"/>
                <w:color w:val="auto"/>
              </w:rPr>
              <w:t>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Other Long-Term Debt, 2.0% – 8.0% Due 2009 – 2037</w:t>
            </w:r>
          </w:p>
        </w:tc>
        <w:tc>
          <w:tcPr>
            <w:tcW w:w="406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47.6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Total Long-Term Debt</w:t>
            </w:r>
          </w:p>
        </w:tc>
        <w:tc>
          <w:tcPr>
            <w:tcW w:w="4060" w:type="dxa"/>
            <w:vAlign w:val="bottom"/>
          </w:tcPr>
          <w:p>
            <w:pPr>
              <w:jc w:val="right"/>
              <w:ind w:right="748"/>
              <w:spacing w:after="0"/>
              <w:rPr>
                <w:sz w:val="20"/>
                <w:szCs w:val="20"/>
                <w:color w:val="auto"/>
              </w:rPr>
            </w:pPr>
            <w:r>
              <w:rPr>
                <w:rFonts w:ascii="Arial" w:cs="Arial" w:eastAsia="Arial" w:hAnsi="Arial"/>
                <w:sz w:val="14"/>
                <w:szCs w:val="14"/>
                <w:color w:val="auto"/>
              </w:rPr>
              <w:t>598.7</w:t>
            </w:r>
          </w:p>
        </w:tc>
        <w:tc>
          <w:tcPr>
            <w:tcW w:w="1200" w:type="dxa"/>
            <w:vAlign w:val="bottom"/>
          </w:tcPr>
          <w:p>
            <w:pPr>
              <w:jc w:val="right"/>
              <w:spacing w:after="0"/>
              <w:rPr>
                <w:sz w:val="20"/>
                <w:szCs w:val="20"/>
                <w:color w:val="auto"/>
              </w:rPr>
            </w:pPr>
            <w:r>
              <w:rPr>
                <w:rFonts w:ascii="Arial" w:cs="Arial" w:eastAsia="Arial" w:hAnsi="Arial"/>
                <w:sz w:val="14"/>
                <w:szCs w:val="14"/>
                <w:color w:val="auto"/>
              </w:rPr>
              <w:t>422.7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Less: Due Within One Year</w:t>
            </w:r>
          </w:p>
        </w:tc>
        <w:tc>
          <w:tcPr>
            <w:tcW w:w="406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10.4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Long-Term Debt</w:t>
            </w:r>
          </w:p>
        </w:tc>
        <w:tc>
          <w:tcPr>
            <w:tcW w:w="40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$588.3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Financial Covenants. </w:t>
      </w:r>
      <w:r>
        <w:rPr>
          <w:rFonts w:ascii="Arial" w:cs="Arial" w:eastAsia="Arial" w:hAnsi="Arial"/>
          <w:sz w:val="14"/>
          <w:szCs w:val="14"/>
          <w:color w:val="auto"/>
        </w:rPr>
        <w:t>Our long-term debt arrangements contain customary covenants. In addition, our lines of credit and letters of credit supporting certain long-term debt arrangements contain</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covenants. The most restrictive covenant requires ALLETE to maintain a ratio of its Funded Debt to Total Capital of less than or equal to 0.65 to 1.00 measured quarterly. As of December 31, 2008 our ratio was approximately 0.40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7" w:name="page68"/>
    <w:bookmarkEnd w:id="67"/>
    <w:p>
      <w:pPr>
        <w:spacing w:after="0"/>
        <w:tabs>
          <w:tab w:leader="none" w:pos="560" w:val="left"/>
        </w:tabs>
        <w:rPr>
          <w:sz w:val="20"/>
          <w:szCs w:val="20"/>
          <w:color w:val="auto"/>
        </w:rPr>
      </w:pPr>
      <w:r>
        <w:rPr>
          <w:rFonts w:ascii="Arial" w:cs="Arial" w:eastAsia="Arial" w:hAnsi="Arial"/>
          <w:sz w:val="14"/>
          <w:szCs w:val="14"/>
          <w:b w:val="1"/>
          <w:bCs w:val="1"/>
          <w:color w:val="auto"/>
        </w:rPr>
        <w:t>Note 8.</w:t>
      </w:r>
      <w:r>
        <w:rPr>
          <w:sz w:val="20"/>
          <w:szCs w:val="20"/>
          <w:color w:val="auto"/>
        </w:rPr>
        <w:tab/>
      </w:r>
      <w:r>
        <w:rPr>
          <w:rFonts w:ascii="Arial" w:cs="Arial" w:eastAsia="Arial" w:hAnsi="Arial"/>
          <w:sz w:val="12"/>
          <w:szCs w:val="12"/>
          <w:b w:val="1"/>
          <w:bCs w:val="1"/>
          <w:color w:val="auto"/>
        </w:rPr>
        <w:t>Commitments, Guarantees and Contingencies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color w:val="auto"/>
        </w:rPr>
        <w:t xml:space="preserve">Off-Balance Sheet Arrangements. </w:t>
      </w:r>
      <w:r>
        <w:rPr>
          <w:rFonts w:ascii="Arial" w:cs="Arial" w:eastAsia="Arial" w:hAnsi="Arial"/>
          <w:sz w:val="13"/>
          <w:szCs w:val="13"/>
          <w:i w:val="1"/>
          <w:iCs w:val="1"/>
          <w:color w:val="auto"/>
        </w:rPr>
        <w:t>Square Butte Power Purchase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Minnesota Power has a power purchase agreement with Square Butte that extends through 2026 (Agreement). It</w:t>
      </w:r>
      <w:r>
        <w:rPr>
          <w:rFonts w:ascii="Arial" w:cs="Arial" w:eastAsia="Arial" w:hAnsi="Arial"/>
          <w:sz w:val="13"/>
          <w:szCs w:val="13"/>
          <w:b w:val="1"/>
          <w:bCs w:val="1"/>
          <w:color w:val="auto"/>
        </w:rPr>
        <w:t xml:space="preserve"> </w:t>
      </w:r>
      <w:r>
        <w:rPr>
          <w:rFonts w:ascii="Arial" w:cs="Arial" w:eastAsia="Arial" w:hAnsi="Arial"/>
          <w:sz w:val="13"/>
          <w:szCs w:val="13"/>
          <w:color w:val="auto"/>
        </w:rPr>
        <w:t>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Minnesota Power was entitled to approximately 55 percent of the Unit’s output under the Agreement in 2008. Beginning January 1, 2009, our output entitlement will remain 50 percent for the remainder of the contract.</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December 31, 2008, Square Butte had total debt outstanding of $315.1 million. Total annual debt service for Square Butte is expected to be approximately $29 million in each of the years 2009 through 2013. Variable operating costs include the price of coal purchased from BNI Coal, our subsidiary, under a long-term contract.</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On May 13, 2008, we announced plans to develop several hundred megawatts of wind energy in North Dakota and purchase an existing 250 kV DC transmission line to transport this wind energy to customers while gradually reducing the supply of energy currently delivered to our system on this same transmission line from Square Butte’s coal-fired Milton R. Young Unit 2. The North Dakota wind project is expected to complete the 2025 renewable energy supply requirements for our retail load. In September 2008, we signed an agreement to purchase the transmission line from Square Butte Electric Cooperative for approximately $80 million. The transaction is subject to regulatory approvals and is anticipated to close in 2009.</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Minnesota Power’s cost of power purchased from Square Butte during 2008 was $56.7 million ($57.3 million in 2007; $57.9 million in 2006). This reflects Minnesota Power’s pro rata share of total Square Butte costs, based on the 55 percent output entitlement in 2008, the 60 percent output entitlement in 2007 and the 66 percent output entitlement in 2006. Included in this amount was Minnesota Power’s pro rata share of interest expense of $11.6 million in 2008 ($11.0 million in 2007; $12.6 million in 2006). Minnesota Power’s payments to Square Butte are approved as a purchased power expense for ratemaking purposes by both the MPUC and the FERC.</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Wind Power Purchase Agreements. </w:t>
      </w:r>
      <w:r>
        <w:rPr>
          <w:rFonts w:ascii="Arial" w:cs="Arial" w:eastAsia="Arial" w:hAnsi="Arial"/>
          <w:sz w:val="14"/>
          <w:szCs w:val="14"/>
          <w:color w:val="auto"/>
        </w:rPr>
        <w:t>We have two wind power purchase agreements with an affiliate of NextEra Energy to purchase the output from two wind facilities, Oliver Wind I and II located</w:t>
      </w:r>
      <w:r>
        <w:rPr>
          <w:rFonts w:ascii="Arial" w:cs="Arial" w:eastAsia="Arial" w:hAnsi="Arial"/>
          <w:sz w:val="14"/>
          <w:szCs w:val="14"/>
          <w:i w:val="1"/>
          <w:iCs w:val="1"/>
          <w:color w:val="auto"/>
        </w:rPr>
        <w:t xml:space="preserve"> </w:t>
      </w:r>
      <w:r>
        <w:rPr>
          <w:rFonts w:ascii="Arial" w:cs="Arial" w:eastAsia="Arial" w:hAnsi="Arial"/>
          <w:sz w:val="14"/>
          <w:szCs w:val="14"/>
          <w:color w:val="auto"/>
        </w:rPr>
        <w:t>near Center, North Dakota. We began purchasing the output from Oliver Wind I, a 50-MW facility, in December 2006 and the output from Oliver Wind II, a 48-MW facility in November 2007. Each agreement is for 25 years and provides for the purchase of all output from the facilities.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power purchase agreements (PPA) described above have been evaluated under the provisions of FIN 46-R. We have determined that either we have no variable interest in the PPA, or where we do have variable interests, we are not the primary beneficiary; therefore, consolidation is not required. These conclusions are based on the following factors: we have no equity investment in these facilities and do not incur actual or expected losses related to the loss of facility value, and we do not exude significant control over the operations of each of these facilities. Our financial exposure relating to these PPAs relates to our fixed capacity and energy payments, which are disclosed above.</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i w:val="1"/>
          <w:iCs w:val="1"/>
          <w:color w:val="auto"/>
        </w:rPr>
        <w:t xml:space="preserve">Leasing Agreements. </w:t>
      </w:r>
      <w:r>
        <w:rPr>
          <w:rFonts w:ascii="Arial" w:cs="Arial" w:eastAsia="Arial" w:hAnsi="Arial"/>
          <w:sz w:val="13"/>
          <w:szCs w:val="13"/>
          <w:color w:val="auto"/>
        </w:rPr>
        <w:t>BNI Coal is obligated to make lease payments for a dragline totaling $2.8 million annually for the lease term which expires in 2027. BNI Coal has the option at the end of the</w:t>
      </w:r>
      <w:r>
        <w:rPr>
          <w:rFonts w:ascii="Arial" w:cs="Arial" w:eastAsia="Arial" w:hAnsi="Arial"/>
          <w:sz w:val="13"/>
          <w:szCs w:val="13"/>
          <w:i w:val="1"/>
          <w:iCs w:val="1"/>
          <w:color w:val="auto"/>
        </w:rPr>
        <w:t xml:space="preserve"> </w:t>
      </w:r>
      <w:r>
        <w:rPr>
          <w:rFonts w:ascii="Arial" w:cs="Arial" w:eastAsia="Arial" w:hAnsi="Arial"/>
          <w:sz w:val="13"/>
          <w:szCs w:val="13"/>
          <w:color w:val="auto"/>
        </w:rPr>
        <w:t>lease term to renew the lease at a fair 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$8.3 million in 2009, $8.2 million in 2010, $8.3 million in 2011, $8.2 million in 2012, $7.8 million in 2013 and $52.9 million thereafter. Total rent and lease expense was $8.5 million in 2008 ($8.4 million in 2007; $8.3 million in 2006).</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Coal, Rail and Shipping Contracts. </w:t>
      </w:r>
      <w:r>
        <w:rPr>
          <w:rFonts w:ascii="Arial" w:cs="Arial" w:eastAsia="Arial" w:hAnsi="Arial"/>
          <w:sz w:val="14"/>
          <w:szCs w:val="14"/>
          <w:color w:val="auto"/>
        </w:rPr>
        <w:t>We have three coal supply agreements with various expiration dates ranging from December 2009 to December 2011. We also have rail and shipping agreements</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transportation of all of our coal, with various expiration dates ranging from December 2009 to December 2011. Our minimum annual payment obligations under these coal, rail and shipping agreements are currently $43.9 million in 2009, $9.5 million in 2010, $5.4 million in 2011, and no specific commitments beyond 2011. Our minimum annual payment obligations will increase when annual nominations are made for coal deliveries in future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8" w:name="page69"/>
    <w:bookmarkEnd w:id="68"/>
    <w:p>
      <w:pPr>
        <w:spacing w:after="0"/>
        <w:tabs>
          <w:tab w:leader="none" w:pos="600" w:val="left"/>
        </w:tabs>
        <w:rPr>
          <w:sz w:val="20"/>
          <w:szCs w:val="20"/>
          <w:color w:val="auto"/>
        </w:rPr>
      </w:pPr>
      <w:r>
        <w:rPr>
          <w:rFonts w:ascii="Arial" w:cs="Arial" w:eastAsia="Arial" w:hAnsi="Arial"/>
          <w:sz w:val="14"/>
          <w:szCs w:val="14"/>
          <w:b w:val="1"/>
          <w:bCs w:val="1"/>
          <w:color w:val="auto"/>
        </w:rPr>
        <w:t>Note 8.</w:t>
      </w:r>
      <w:r>
        <w:rPr>
          <w:sz w:val="20"/>
          <w:szCs w:val="20"/>
          <w:color w:val="auto"/>
        </w:rPr>
        <w:tab/>
      </w:r>
      <w:r>
        <w:rPr>
          <w:rFonts w:ascii="Arial" w:cs="Arial" w:eastAsia="Arial" w:hAnsi="Arial"/>
          <w:sz w:val="12"/>
          <w:szCs w:val="12"/>
          <w:b w:val="1"/>
          <w:bCs w:val="1"/>
          <w:color w:val="auto"/>
        </w:rPr>
        <w:t>Commitments, Guarantees and Contingencies (Continued)</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January 24, 2008, we received a letter from BNSF alleging that the Company defaulted on a material obligation under the Company’s Coal Transportation Agreement (CTA). In the notice, BNSF claimed the Company underpaid approximately $1.6 million for coal transportation services in 2006 and that failure to pay such amount plus interest may result in BNSF’s termination of the CTA. We believe we do not owe the amount claimed. On April 1, 2008, to ensure that BNSF did not attempt to terminate the CTA, we paid under protest the full amount claimed by BNSF and filed a demand for arbitration of the issue. On April 22, 2008, BNSF filed a counterclaim in the arbitration disputing our position that we are entitled to a refund from BNSF of $1.5 million plus interest for amounts that we overpaid for 2007 deliveries. The arbitration is proceeding in connection with the claim regarding 2006 payments and the counterclaim regarding 2007 payments, and we are unable to predict the outcome at this time. The delivered costs of fuel for the Company’s generation are recoverable from Minnesota Power’s utility customers through the fuel adjustment clause.</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Fuel Clause Recovery of MISO Day 2 Costs. </w:t>
      </w:r>
      <w:r>
        <w:rPr>
          <w:rFonts w:ascii="Arial" w:cs="Arial" w:eastAsia="Arial" w:hAnsi="Arial"/>
          <w:sz w:val="14"/>
          <w:szCs w:val="14"/>
          <w:color w:val="auto"/>
        </w:rPr>
        <w:t>Under a December 2006 MPUC order, we are allowed to accumulate MISO Day 2 administrative charges as a regulatory asset until we file our next</w:t>
      </w:r>
      <w:r>
        <w:rPr>
          <w:rFonts w:ascii="Arial" w:cs="Arial" w:eastAsia="Arial" w:hAnsi="Arial"/>
          <w:sz w:val="14"/>
          <w:szCs w:val="14"/>
          <w:b w:val="1"/>
          <w:bCs w:val="1"/>
          <w:color w:val="auto"/>
        </w:rPr>
        <w:t xml:space="preserve"> </w:t>
      </w:r>
      <w:r>
        <w:rPr>
          <w:rFonts w:ascii="Arial" w:cs="Arial" w:eastAsia="Arial" w:hAnsi="Arial"/>
          <w:sz w:val="14"/>
          <w:szCs w:val="14"/>
          <w:color w:val="auto"/>
        </w:rPr>
        <w:t>rate case, at which time recovery for such charges will be determined. The balance of this regulatory asset is $3.9 million on December 31, 2008, and we are currently recovering these charges in interim rates. The final rate order is expected in the second quarter of 2009. We cannot predict the final level of rates that may be approved by the MPUC.</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Emerging Technology Portfolio. </w:t>
      </w:r>
      <w:r>
        <w:rPr>
          <w:rFonts w:ascii="Arial" w:cs="Arial" w:eastAsia="Arial" w:hAnsi="Arial"/>
          <w:sz w:val="14"/>
          <w:szCs w:val="14"/>
          <w:color w:val="auto"/>
        </w:rPr>
        <w:t>We have investments in emerging technologies through minority investments in venture capital funds structured as limited liability companies, and direct</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in privately-held, start-up companies. We have committed to make additional investments in certain emerging technology venture capital funds. The remaining commitment of $0.7 million at December 31, 2008 may be invested in 2009. We do not have plans to make any additional investments beyond this commitment.</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b w:val="1"/>
          <w:bCs w:val="1"/>
          <w:color w:val="auto"/>
        </w:rPr>
        <w:t xml:space="preserve">Environmental Matters. </w:t>
      </w:r>
      <w:r>
        <w:rPr>
          <w:rFonts w:ascii="Arial" w:cs="Arial" w:eastAsia="Arial" w:hAnsi="Arial"/>
          <w:sz w:val="13"/>
          <w:szCs w:val="13"/>
          <w:color w:val="auto"/>
        </w:rPr>
        <w:t>Our businesses are subject to regulation of environmental matters by various federal, state and local authorities. Due to future restrictive environmental requirements</w:t>
      </w:r>
      <w:r>
        <w:rPr>
          <w:rFonts w:ascii="Arial" w:cs="Arial" w:eastAsia="Arial" w:hAnsi="Arial"/>
          <w:sz w:val="13"/>
          <w:szCs w:val="13"/>
          <w:b w:val="1"/>
          <w:bCs w:val="1"/>
          <w:color w:val="auto"/>
        </w:rPr>
        <w:t xml:space="preserve"> </w:t>
      </w:r>
      <w:r>
        <w:rPr>
          <w:rFonts w:ascii="Arial" w:cs="Arial" w:eastAsia="Arial" w:hAnsi="Arial"/>
          <w:sz w:val="13"/>
          <w:szCs w:val="13"/>
          <w:color w:val="auto"/>
        </w:rPr>
        <w:t>through legislation and/or rulemaking,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EPA Clean Air Interstate Rule. </w:t>
      </w:r>
      <w:r>
        <w:rPr>
          <w:rFonts w:ascii="Arial" w:cs="Arial" w:eastAsia="Arial" w:hAnsi="Arial"/>
          <w:sz w:val="14"/>
          <w:szCs w:val="14"/>
          <w:color w:val="auto"/>
        </w:rPr>
        <w:t>In March 2005, the EPA announced the Clean Air Interstate Rule (CAIR) that sought to reduce and permanently cap emissions of SO</w:t>
      </w:r>
      <w:r>
        <w:rPr>
          <w:rFonts w:ascii="Arial" w:cs="Arial" w:eastAsia="Arial" w:hAnsi="Arial"/>
          <w:sz w:val="20"/>
          <w:szCs w:val="20"/>
          <w:color w:val="auto"/>
          <w:vertAlign w:val="subscript"/>
        </w:rPr>
        <w:t>2</w:t>
      </w:r>
      <w:r>
        <w:rPr>
          <w:rFonts w:ascii="Arial" w:cs="Arial" w:eastAsia="Arial" w:hAnsi="Arial"/>
          <w:sz w:val="14"/>
          <w:szCs w:val="14"/>
          <w:color w:val="auto"/>
        </w:rPr>
        <w:t>, NO</w:t>
      </w:r>
      <w:r>
        <w:rPr>
          <w:rFonts w:ascii="Arial" w:cs="Arial" w:eastAsia="Arial" w:hAnsi="Arial"/>
          <w:sz w:val="20"/>
          <w:szCs w:val="20"/>
          <w:color w:val="auto"/>
          <w:vertAlign w:val="subscript"/>
        </w:rPr>
        <w:t>X</w:t>
      </w:r>
      <w:r>
        <w:rPr>
          <w:rFonts w:ascii="Arial" w:cs="Arial" w:eastAsia="Arial" w:hAnsi="Arial"/>
          <w:sz w:val="14"/>
          <w:szCs w:val="14"/>
          <w:i w:val="1"/>
          <w:iCs w:val="1"/>
          <w:color w:val="auto"/>
        </w:rPr>
        <w:t xml:space="preserve"> </w:t>
      </w:r>
      <w:r>
        <w:rPr>
          <w:rFonts w:ascii="Arial" w:cs="Arial" w:eastAsia="Arial" w:hAnsi="Arial"/>
          <w:sz w:val="14"/>
          <w:szCs w:val="14"/>
          <w:color w:val="auto"/>
        </w:rPr>
        <w:t>and particulates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eastern United States. Minnesota in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2008, the EPA and others petitioned the Court for a rehearing or alternatively requested that the CAIR be remanded without a court order. In December 2008, the Court granted the request that the CAIR be remanded without a court order, effectively reinstating a January 1, 2009, compliance date for the CAIR, including Minnesota. However, Minnesota Power has been assured by the EPA that it intends to publish a rule amending the CAIR to stay its effectiveness with respect to Minnesota until completion of the EPA’s determination of whether Minnesota should be included as a CAIR state. Minnesota Power anticipates the EPA will act regarding this Minnesota administrative stay of the CAIR before CAIR compliance reporting would be required in 2010.</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remand, the EPA has been instructed by the Court to remedy the CAIR’s “more than several fatal flaws” and to reevaluate the inclusion of Minnesota as a CAIR state. If the EPA revises the CAIR, the EPA would need to specifically justify including Minnesota with those states subject to such revised rules. If the CAIR ultimately goes into effect in Minnesota, we expect we will have to supplement ongoing emission control retrofits by providing for CAIR related emission allowance purchases, supplemental emission reductions or a combination of both. Though we anticipate that emission reduction measures taken with AREA and Boswell Unit 3 emission control retrofits will suffice to satisfy environmental requirements for the next several years, it is uncertain when or how the CAIR will change as a result of EPA’s rulemaking on remand.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9" w:name="page70"/>
    <w:bookmarkEnd w:id="69"/>
    <w:p>
      <w:pPr>
        <w:spacing w:after="0"/>
        <w:tabs>
          <w:tab w:leader="none" w:pos="600" w:val="left"/>
        </w:tabs>
        <w:rPr>
          <w:sz w:val="20"/>
          <w:szCs w:val="20"/>
          <w:color w:val="auto"/>
        </w:rPr>
      </w:pPr>
      <w:r>
        <w:rPr>
          <w:rFonts w:ascii="Arial" w:cs="Arial" w:eastAsia="Arial" w:hAnsi="Arial"/>
          <w:sz w:val="14"/>
          <w:szCs w:val="14"/>
          <w:b w:val="1"/>
          <w:bCs w:val="1"/>
          <w:color w:val="auto"/>
        </w:rPr>
        <w:t>Note 8.</w:t>
      </w:r>
      <w:r>
        <w:rPr>
          <w:sz w:val="20"/>
          <w:szCs w:val="20"/>
          <w:color w:val="auto"/>
        </w:rPr>
        <w:tab/>
      </w:r>
      <w:r>
        <w:rPr>
          <w:rFonts w:ascii="Arial" w:cs="Arial" w:eastAsia="Arial" w:hAnsi="Arial"/>
          <w:sz w:val="12"/>
          <w:szCs w:val="12"/>
          <w:b w:val="1"/>
          <w:bCs w:val="1"/>
          <w:color w:val="auto"/>
        </w:rPr>
        <w:t>Commitments, Guarantees and Contingencies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 (Continued)</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i w:val="1"/>
          <w:iCs w:val="1"/>
          <w:color w:val="auto"/>
        </w:rPr>
        <w:t xml:space="preserve">Minnesota Regional Haze. </w:t>
      </w:r>
      <w:r>
        <w:rPr>
          <w:rFonts w:ascii="Arial" w:cs="Arial" w:eastAsia="Arial" w:hAnsi="Arial"/>
          <w:sz w:val="13"/>
          <w:szCs w:val="13"/>
          <w:color w:val="auto"/>
        </w:rPr>
        <w:t>The regional haze rule requires States to submit state implementation plans (SIPs) to the EPA to address regional haze visibility impairment in 156 federally-protected</w:t>
      </w:r>
      <w:r>
        <w:rPr>
          <w:rFonts w:ascii="Arial" w:cs="Arial" w:eastAsia="Arial" w:hAnsi="Arial"/>
          <w:sz w:val="13"/>
          <w:szCs w:val="13"/>
          <w:i w:val="1"/>
          <w:iCs w:val="1"/>
          <w:color w:val="auto"/>
        </w:rPr>
        <w:t xml:space="preserve"> </w:t>
      </w:r>
      <w:r>
        <w:rPr>
          <w:rFonts w:ascii="Arial" w:cs="Arial" w:eastAsia="Arial" w:hAnsi="Arial"/>
          <w:sz w:val="13"/>
          <w:szCs w:val="13"/>
          <w:color w:val="auto"/>
        </w:rPr>
        <w:t>parks and wilderness areas. Under the regional haze rule, certain large stationary sources of visibility-impairing emissions that were put in place between 1962 and 1977 are required to install emission controls, known as best available retrofit technology (BART). We have certain steam units (Boswell Unit 3 and Taconite Harbor Unit 3) that are subject to BART requirements.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never filed due to the Court’s review of CAIR as more fully described above under “EPA Clean Air Interstate Rule.” Subsequently, the MPCA has requested that companies with BART eligible units complete and submit a BART emissions control retrofit study, which we did as to Taconite Harbor Unit 3 in November 2008. The retrofit work currently underway on Boswell Unit 3 meets the BART requirement for that unit. It is uncertain what controls will ultimately be required by the MPCA at Taconite Harbor Unit 3 in connection with the regional haze rule.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EPA Clean Air Mercury Rule. </w:t>
      </w:r>
      <w:r>
        <w:rPr>
          <w:rFonts w:ascii="Arial" w:cs="Arial" w:eastAsia="Arial" w:hAnsi="Arial"/>
          <w:sz w:val="14"/>
          <w:szCs w:val="14"/>
          <w:color w:val="auto"/>
        </w:rPr>
        <w:t>In March 2005, the EPA also announced the Clean Air Mercury Rule (CAMR) that would have reduced and permanently capped emissions of electric utility mercury</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emissions in the continental United States. In February 2008, the Court overturned the CAMR and remanded the rulemaking to the EPA for reconsideration. In October 2008, the Department of Justice (DOJ), on behalf of the EPA, petitioned the Supreme Court to review the Court’s decision in the CAMR case. It is uncertain how the Supreme Court will respond. Cost estimates for complying with future mercury regulations under the Clean Air Act are therefore premature at this time.</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New Source Review. </w:t>
      </w:r>
      <w:r>
        <w:rPr>
          <w:rFonts w:ascii="Arial" w:cs="Arial" w:eastAsia="Arial" w:hAnsi="Arial"/>
          <w:sz w:val="14"/>
          <w:szCs w:val="14"/>
          <w:color w:val="auto"/>
        </w:rPr>
        <w:t>On August 8, 2008, Minnesota Power received a Notice of Violation (NOV) from the United States EPA asserting violations of the New Source Review (NSR) requirements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Clean Air Act at Boswell Units 1-4 and Laskin Unit 2. The NOV also asserts that the Boswell Unit 4 Title V permit was violated. The NOV asserts that seven projects undertaken at these coal-fired plants between the years 1981 and 2000 should have been reviewed under the NSR requirements. Minnesota Power believes the projects were in full compliance with the Clean Air Act, NSR requirements and applicable permits.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EPA has been conducting a nationwide enforcement initiative since 1999 relating to NSR requirements. In 2000, 2001, and 2002 Minnesota Power received requests from the EPA pursuant to Section 114(a) of the Clean Air Act seeking information regarding capital expenditures with respect to Boswell and Laskin. Minnesota Power responded to these requests; however, we had no further communications from the EPA regarding the information provided until receipt of the NOV.</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Manufactured Gas Plant Site. </w:t>
      </w:r>
      <w:r>
        <w:rPr>
          <w:rFonts w:ascii="Arial" w:cs="Arial" w:eastAsia="Arial" w:hAnsi="Arial"/>
          <w:sz w:val="14"/>
          <w:szCs w:val="14"/>
          <w:color w:val="auto"/>
        </w:rPr>
        <w:t>We are reviewing and addressing environmental conditions at a former manufactured gas plant site within the City of Superior, Wisconsin and formerly operated by</w:t>
      </w:r>
      <w:r>
        <w:rPr>
          <w:rFonts w:ascii="Arial" w:cs="Arial" w:eastAsia="Arial" w:hAnsi="Arial"/>
          <w:sz w:val="14"/>
          <w:szCs w:val="14"/>
          <w:i w:val="1"/>
          <w:iCs w:val="1"/>
          <w:color w:val="auto"/>
        </w:rPr>
        <w:t xml:space="preserve"> </w:t>
      </w:r>
      <w:r>
        <w:rPr>
          <w:rFonts w:ascii="Arial" w:cs="Arial" w:eastAsia="Arial" w:hAnsi="Arial"/>
          <w:sz w:val="14"/>
          <w:szCs w:val="14"/>
          <w:color w:val="auto"/>
        </w:rPr>
        <w:t>SWL&amp;P. We have been working with the WDNR to determine the extent of contamination and the remediation of contaminated locations. We have accrued a $0.5 million liability for this site at December 31, 2008, and have recorded a corresponding regulatory asset as we expect recovery of remediation costs to be allowed by the PSCW.</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Real Estate. </w:t>
      </w:r>
      <w:r>
        <w:rPr>
          <w:rFonts w:ascii="Arial" w:cs="Arial" w:eastAsia="Arial" w:hAnsi="Arial"/>
          <w:sz w:val="14"/>
          <w:szCs w:val="14"/>
          <w:color w:val="auto"/>
        </w:rPr>
        <w:t>As of December 31, 2008, ALLETE Properties, through its subsidiaries, had surety bonds outstanding of $21.4 million primarily related to performance and maintenance obligations to</w:t>
      </w:r>
      <w:r>
        <w:rPr>
          <w:rFonts w:ascii="Arial" w:cs="Arial" w:eastAsia="Arial" w:hAnsi="Arial"/>
          <w:sz w:val="14"/>
          <w:szCs w:val="14"/>
          <w:b w:val="1"/>
          <w:bCs w:val="1"/>
          <w:color w:val="auto"/>
        </w:rPr>
        <w:t xml:space="preserve"> </w:t>
      </w:r>
      <w:r>
        <w:rPr>
          <w:rFonts w:ascii="Arial" w:cs="Arial" w:eastAsia="Arial" w:hAnsi="Arial"/>
          <w:sz w:val="14"/>
          <w:szCs w:val="14"/>
          <w:color w:val="auto"/>
        </w:rPr>
        <w:t>governmental entities to construct improvements in the company’s various projects. The remaining work to be completed on these improvements is estimated to be approximately $10.2 million, and ALLETE Properties does not believe it is likely that any of these outstanding bonds will be drawn upon.</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b w:val="1"/>
          <w:bCs w:val="1"/>
          <w:color w:val="auto"/>
        </w:rPr>
        <w:t xml:space="preserve">Community Development District Obligations. </w:t>
      </w:r>
      <w:r>
        <w:rPr>
          <w:rFonts w:ascii="Arial" w:cs="Arial" w:eastAsia="Arial" w:hAnsi="Arial"/>
          <w:sz w:val="13"/>
          <w:szCs w:val="13"/>
          <w:i w:val="1"/>
          <w:iCs w:val="1"/>
          <w:color w:val="auto"/>
        </w:rPr>
        <w:t>Town Center.</w:t>
      </w:r>
      <w:r>
        <w:rPr>
          <w:rFonts w:ascii="Arial" w:cs="Arial" w:eastAsia="Arial" w:hAnsi="Arial"/>
          <w:sz w:val="13"/>
          <w:szCs w:val="13"/>
          <w:b w:val="1"/>
          <w:bCs w:val="1"/>
          <w:color w:val="auto"/>
        </w:rPr>
        <w:t xml:space="preserve"> </w:t>
      </w:r>
      <w:r>
        <w:rPr>
          <w:rFonts w:ascii="Arial" w:cs="Arial" w:eastAsia="Arial" w:hAnsi="Arial"/>
          <w:sz w:val="13"/>
          <w:szCs w:val="13"/>
          <w:color w:val="auto"/>
        </w:rPr>
        <w:t>In March 2005, the Town Center District issued $26.4 million of tax-exempt, 6% Capital Improvement Revenue Bonds, Series 2005,</w:t>
      </w:r>
      <w:r>
        <w:rPr>
          <w:rFonts w:ascii="Arial" w:cs="Arial" w:eastAsia="Arial" w:hAnsi="Arial"/>
          <w:sz w:val="13"/>
          <w:szCs w:val="13"/>
          <w:b w:val="1"/>
          <w:bCs w:val="1"/>
          <w:color w:val="auto"/>
        </w:rPr>
        <w:t xml:space="preserve"> </w:t>
      </w:r>
      <w:r>
        <w:rPr>
          <w:rFonts w:ascii="Arial" w:cs="Arial" w:eastAsia="Arial" w:hAnsi="Arial"/>
          <w:sz w:val="13"/>
          <w:szCs w:val="13"/>
          <w:color w:val="auto"/>
        </w:rPr>
        <w:t>which are payable through property tax assessments on the land owners over 31 years (by May 1, 2036). The bond proceeds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effective November 2006. To the extent that we still own land at the time of the assessment, in accordance with EITF 91-10, “Accounting for Special Assessments and Tax Increment Financing Entities,” we will incur the cost of our portion of these assessments, based upon our ownership of benefited property. At December 31, 2008, we owned approximately 69 percent of the assessable land in the Town Center District (approximately 69 percent at December 31, 2007). As we sell property, the obligation to pay special assessments will pass to the new landowners. Under current accounting rules, these bonds are not reflected as debt on our consolidated balance sheet.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auto"/>
        </w:rPr>
        <w:t>Note 8.  Commitments, Guarantees and Contingencies (Continued)</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 xml:space="preserve">Palm Coast Park. </w:t>
      </w:r>
      <w:r>
        <w:rPr>
          <w:rFonts w:ascii="Arial" w:cs="Arial" w:eastAsia="Arial" w:hAnsi="Arial"/>
          <w:sz w:val="13"/>
          <w:szCs w:val="13"/>
          <w:color w:val="auto"/>
        </w:rPr>
        <w:t>In May 2006, the Palm Coast Park District issued $31.8 million of tax-exempt, 5.7% Special Assessment Bonds, Series 2006, which are payable through property tax assessments</w:t>
      </w:r>
      <w:r>
        <w:rPr>
          <w:rFonts w:ascii="Arial" w:cs="Arial" w:eastAsia="Arial" w:hAnsi="Arial"/>
          <w:sz w:val="13"/>
          <w:szCs w:val="13"/>
          <w:i w:val="1"/>
          <w:iCs w:val="1"/>
          <w:color w:val="auto"/>
        </w:rPr>
        <w:t xml:space="preserve"> </w:t>
      </w:r>
      <w:r>
        <w:rPr>
          <w:rFonts w:ascii="Arial" w:cs="Arial" w:eastAsia="Arial" w:hAnsi="Arial"/>
          <w:sz w:val="13"/>
          <w:szCs w:val="13"/>
          <w:color w:val="auto"/>
        </w:rPr>
        <w:t>on the land owners over 31 years (by May 1, 2037). The bond proceeds were used to pay for the construction of a portion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were billed to Palm Coast Park landowners effective November 2007. To the extent that we still own land at the time of the assessment, in accordance with EITF 91-10, “Accounting for Special Assessments and Tax Increment Financing Entities,” we will incur the cost of our portion of these assessments, based upon our ownership of benefited property. At December 31, 2008, we owned 86 percent of the assessable land in the Palm Coast Park District (86 percent at December 31, 2007). As we sell property, the obligation to pay special assessments will pass to the new landowners. Under current accounting rules, these bonds are not reflected as debt on our consolidated balance sheet.</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color w:val="auto"/>
        </w:rPr>
        <w:t>We are involved in litigation arising in the normal course of business. Also in the normal course of business, we are involved in tax, regulatory and other governmental audits, inspections,</w:t>
      </w:r>
      <w:r>
        <w:rPr>
          <w:rFonts w:ascii="Arial" w:cs="Arial" w:eastAsia="Arial" w:hAnsi="Arial"/>
          <w:sz w:val="14"/>
          <w:szCs w:val="14"/>
          <w:b w:val="1"/>
          <w:bCs w:val="1"/>
          <w:color w:val="auto"/>
        </w:rPr>
        <w:t xml:space="preserve"> </w:t>
      </w:r>
      <w:r>
        <w:rPr>
          <w:rFonts w:ascii="Arial" w:cs="Arial" w:eastAsia="Arial" w:hAnsi="Arial"/>
          <w:sz w:val="14"/>
          <w:szCs w:val="14"/>
          <w:color w:val="auto"/>
        </w:rPr>
        <w:t>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Common Stock and Earnings Per Share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Articles of Incorporation contain provisions that, under certain circumstances, would restrict the payment of common stock dividends. As of December 31, 2008, no retained earnings were restricted as a result of these provisions.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Summary of Common Stock</w:t>
            </w:r>
          </w:p>
        </w:tc>
        <w:tc>
          <w:tcPr>
            <w:tcW w:w="46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Shares</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660" w:type="dxa"/>
            <w:vAlign w:val="bottom"/>
          </w:tcPr>
          <w:p>
            <w:pPr>
              <w:jc w:val="right"/>
              <w:ind w:right="568"/>
              <w:spacing w:after="0"/>
              <w:rPr>
                <w:sz w:val="20"/>
                <w:szCs w:val="20"/>
                <w:color w:val="auto"/>
              </w:rPr>
            </w:pPr>
            <w:r>
              <w:rPr>
                <w:rFonts w:ascii="Arial" w:cs="Arial" w:eastAsia="Arial" w:hAnsi="Arial"/>
                <w:sz w:val="14"/>
                <w:szCs w:val="14"/>
                <w:b w:val="1"/>
                <w:bCs w:val="1"/>
                <w:color w:val="auto"/>
              </w:rPr>
              <w:t>Thousands</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00" w:type="dxa"/>
            <w:vAlign w:val="bottom"/>
            <w:shd w:val="clear" w:color="auto" w:fill="CCEEFF"/>
          </w:tcPr>
          <w:p>
            <w:pPr>
              <w:spacing w:after="0"/>
              <w:rPr>
                <w:sz w:val="14"/>
                <w:szCs w:val="14"/>
                <w:color w:val="auto"/>
              </w:rPr>
            </w:pPr>
          </w:p>
        </w:tc>
        <w:tc>
          <w:tcPr>
            <w:tcW w:w="46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Balance at December 31, 2005</w:t>
            </w:r>
          </w:p>
        </w:tc>
        <w:tc>
          <w:tcPr>
            <w:tcW w:w="4660" w:type="dxa"/>
            <w:vAlign w:val="bottom"/>
          </w:tcPr>
          <w:p>
            <w:pPr>
              <w:jc w:val="right"/>
              <w:ind w:right="768"/>
              <w:spacing w:after="0"/>
              <w:rPr>
                <w:sz w:val="20"/>
                <w:szCs w:val="20"/>
                <w:color w:val="auto"/>
              </w:rPr>
            </w:pPr>
            <w:r>
              <w:rPr>
                <w:rFonts w:ascii="Arial" w:cs="Arial" w:eastAsia="Arial" w:hAnsi="Arial"/>
                <w:sz w:val="14"/>
                <w:szCs w:val="14"/>
                <w:color w:val="auto"/>
              </w:rPr>
              <w:t>30,143</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$421.1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2006  Employee Stock Purchase Plan</w:t>
            </w:r>
          </w:p>
        </w:tc>
        <w:tc>
          <w:tcPr>
            <w:tcW w:w="466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12</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ind w:left="500"/>
              <w:spacing w:after="0"/>
              <w:rPr>
                <w:sz w:val="20"/>
                <w:szCs w:val="20"/>
                <w:color w:val="auto"/>
              </w:rPr>
            </w:pPr>
            <w:r>
              <w:rPr>
                <w:rFonts w:ascii="Arial" w:cs="Arial" w:eastAsia="Arial" w:hAnsi="Arial"/>
                <w:sz w:val="14"/>
                <w:szCs w:val="14"/>
                <w:color w:val="auto"/>
              </w:rPr>
              <w:t xml:space="preserve">Invest Direct </w:t>
            </w:r>
            <w:r>
              <w:rPr>
                <w:rFonts w:ascii="Arial" w:cs="Arial" w:eastAsia="Arial" w:hAnsi="Arial"/>
                <w:sz w:val="14"/>
                <w:szCs w:val="14"/>
                <w:i w:val="1"/>
                <w:iCs w:val="1"/>
                <w:color w:val="auto"/>
              </w:rPr>
              <w:t>(a)</w:t>
            </w:r>
          </w:p>
        </w:tc>
        <w:tc>
          <w:tcPr>
            <w:tcW w:w="4660" w:type="dxa"/>
            <w:vAlign w:val="bottom"/>
          </w:tcPr>
          <w:p>
            <w:pPr>
              <w:jc w:val="right"/>
              <w:ind w:right="768"/>
              <w:spacing w:after="0"/>
              <w:rPr>
                <w:sz w:val="20"/>
                <w:szCs w:val="20"/>
                <w:color w:val="auto"/>
              </w:rPr>
            </w:pPr>
            <w:r>
              <w:rPr>
                <w:rFonts w:ascii="Arial" w:cs="Arial" w:eastAsia="Arial" w:hAnsi="Arial"/>
                <w:sz w:val="14"/>
                <w:szCs w:val="14"/>
                <w:color w:val="auto"/>
              </w:rPr>
              <w:t>218</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Options and Stock Awards</w:t>
            </w:r>
          </w:p>
        </w:tc>
        <w:tc>
          <w:tcPr>
            <w:tcW w:w="466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63</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Balance at December 31, 2006</w:t>
            </w:r>
          </w:p>
        </w:tc>
        <w:tc>
          <w:tcPr>
            <w:tcW w:w="4660" w:type="dxa"/>
            <w:vAlign w:val="bottom"/>
          </w:tcPr>
          <w:p>
            <w:pPr>
              <w:jc w:val="right"/>
              <w:ind w:right="768"/>
              <w:spacing w:after="0"/>
              <w:rPr>
                <w:sz w:val="20"/>
                <w:szCs w:val="20"/>
                <w:color w:val="auto"/>
              </w:rPr>
            </w:pPr>
            <w:r>
              <w:rPr>
                <w:rFonts w:ascii="Arial" w:cs="Arial" w:eastAsia="Arial" w:hAnsi="Arial"/>
                <w:sz w:val="14"/>
                <w:szCs w:val="14"/>
                <w:color w:val="auto"/>
              </w:rPr>
              <w:t>30,436</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2007  Employee Stock Purchase Plan</w:t>
            </w:r>
          </w:p>
        </w:tc>
        <w:tc>
          <w:tcPr>
            <w:tcW w:w="466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17</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ind w:left="500"/>
              <w:spacing w:after="0"/>
              <w:rPr>
                <w:sz w:val="20"/>
                <w:szCs w:val="20"/>
                <w:color w:val="auto"/>
              </w:rPr>
            </w:pPr>
            <w:r>
              <w:rPr>
                <w:rFonts w:ascii="Arial" w:cs="Arial" w:eastAsia="Arial" w:hAnsi="Arial"/>
                <w:sz w:val="14"/>
                <w:szCs w:val="14"/>
                <w:color w:val="auto"/>
              </w:rPr>
              <w:t xml:space="preserve">Invest Direct </w:t>
            </w:r>
            <w:r>
              <w:rPr>
                <w:rFonts w:ascii="Arial" w:cs="Arial" w:eastAsia="Arial" w:hAnsi="Arial"/>
                <w:sz w:val="14"/>
                <w:szCs w:val="14"/>
                <w:i w:val="1"/>
                <w:iCs w:val="1"/>
                <w:color w:val="auto"/>
              </w:rPr>
              <w:t>(a)</w:t>
            </w:r>
          </w:p>
        </w:tc>
        <w:tc>
          <w:tcPr>
            <w:tcW w:w="4660" w:type="dxa"/>
            <w:vAlign w:val="bottom"/>
          </w:tcPr>
          <w:p>
            <w:pPr>
              <w:jc w:val="right"/>
              <w:ind w:right="768"/>
              <w:spacing w:after="0"/>
              <w:rPr>
                <w:sz w:val="20"/>
                <w:szCs w:val="20"/>
                <w:color w:val="auto"/>
              </w:rPr>
            </w:pPr>
            <w:r>
              <w:rPr>
                <w:rFonts w:ascii="Arial" w:cs="Arial" w:eastAsia="Arial" w:hAnsi="Arial"/>
                <w:sz w:val="14"/>
                <w:szCs w:val="14"/>
                <w:color w:val="auto"/>
              </w:rPr>
              <w:t>331</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Options and Stock Awards</w:t>
            </w:r>
          </w:p>
        </w:tc>
        <w:tc>
          <w:tcPr>
            <w:tcW w:w="466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43</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Balance at December 31, 2007</w:t>
            </w:r>
          </w:p>
        </w:tc>
        <w:tc>
          <w:tcPr>
            <w:tcW w:w="4660" w:type="dxa"/>
            <w:vAlign w:val="bottom"/>
          </w:tcPr>
          <w:p>
            <w:pPr>
              <w:jc w:val="right"/>
              <w:ind w:right="768"/>
              <w:spacing w:after="0"/>
              <w:rPr>
                <w:sz w:val="20"/>
                <w:szCs w:val="20"/>
                <w:color w:val="auto"/>
              </w:rPr>
            </w:pPr>
            <w:r>
              <w:rPr>
                <w:rFonts w:ascii="Arial" w:cs="Arial" w:eastAsia="Arial" w:hAnsi="Arial"/>
                <w:sz w:val="14"/>
                <w:szCs w:val="14"/>
                <w:color w:val="auto"/>
              </w:rPr>
              <w:t>30,827</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2008  Employee Stock Purchase Plan</w:t>
            </w:r>
          </w:p>
        </w:tc>
        <w:tc>
          <w:tcPr>
            <w:tcW w:w="466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17</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ind w:left="500"/>
              <w:spacing w:after="0"/>
              <w:rPr>
                <w:sz w:val="20"/>
                <w:szCs w:val="20"/>
                <w:color w:val="auto"/>
              </w:rPr>
            </w:pPr>
            <w:r>
              <w:rPr>
                <w:rFonts w:ascii="Arial" w:cs="Arial" w:eastAsia="Arial" w:hAnsi="Arial"/>
                <w:sz w:val="14"/>
                <w:szCs w:val="14"/>
                <w:color w:val="auto"/>
              </w:rPr>
              <w:t xml:space="preserve">Invest Direct </w:t>
            </w:r>
            <w:r>
              <w:rPr>
                <w:rFonts w:ascii="Arial" w:cs="Arial" w:eastAsia="Arial" w:hAnsi="Arial"/>
                <w:sz w:val="14"/>
                <w:szCs w:val="14"/>
                <w:i w:val="1"/>
                <w:iCs w:val="1"/>
                <w:color w:val="auto"/>
              </w:rPr>
              <w:t>(a)</w:t>
            </w:r>
          </w:p>
        </w:tc>
        <w:tc>
          <w:tcPr>
            <w:tcW w:w="4660" w:type="dxa"/>
            <w:vAlign w:val="bottom"/>
          </w:tcPr>
          <w:p>
            <w:pPr>
              <w:jc w:val="right"/>
              <w:ind w:right="768"/>
              <w:spacing w:after="0"/>
              <w:rPr>
                <w:sz w:val="20"/>
                <w:szCs w:val="20"/>
                <w:color w:val="auto"/>
              </w:rPr>
            </w:pPr>
            <w:r>
              <w:rPr>
                <w:rFonts w:ascii="Arial" w:cs="Arial" w:eastAsia="Arial" w:hAnsi="Arial"/>
                <w:sz w:val="14"/>
                <w:szCs w:val="14"/>
                <w:color w:val="auto"/>
              </w:rPr>
              <w:t>161</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Options and Stock Awards</w:t>
            </w:r>
          </w:p>
        </w:tc>
        <w:tc>
          <w:tcPr>
            <w:tcW w:w="466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24</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Equity Issuance Program</w:t>
            </w:r>
          </w:p>
        </w:tc>
        <w:tc>
          <w:tcPr>
            <w:tcW w:w="46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1,556</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at December 31, 2008</w:t>
            </w:r>
          </w:p>
        </w:tc>
        <w:tc>
          <w:tcPr>
            <w:tcW w:w="466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32,585</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$534.1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Invest Direct is ALLETE’s direct stock purchase and dividend reinvestment plan.</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Equity Issuance Program. </w:t>
      </w:r>
      <w:r>
        <w:rPr>
          <w:rFonts w:ascii="Arial" w:cs="Arial" w:eastAsia="Arial" w:hAnsi="Arial"/>
          <w:sz w:val="14"/>
          <w:szCs w:val="14"/>
          <w:color w:val="auto"/>
        </w:rPr>
        <w:t>On February 19, 2008, we entered into a Distribution Agreement with KCCI, Inc. with respect to the issuance and sale of up to 2.5 million shares of our common stock,</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par value. The shares may be offered for sale, from time to time, in accordance with the terms of the Distribution Agreement, which terminates on June 30, 2009. For the year ended December 31, 2008, 1,556,200 shares of common stock have been issued under this agreement resulting in net proceeds of $60.8 million.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 xml:space="preserve">Shareholder Rights Plan. </w:t>
      </w:r>
      <w:r>
        <w:rPr>
          <w:rFonts w:ascii="Arial" w:cs="Arial" w:eastAsia="Arial" w:hAnsi="Arial"/>
          <w:sz w:val="13"/>
          <w:szCs w:val="13"/>
          <w:color w:val="auto"/>
        </w:rPr>
        <w:t>In 1996, we adopted a rights plan that provides for a dividend distribution of one preferred share purchase right (Right) to be attached to each share of common stock. In</w:t>
      </w:r>
      <w:r>
        <w:rPr>
          <w:rFonts w:ascii="Arial" w:cs="Arial" w:eastAsia="Arial" w:hAnsi="Arial"/>
          <w:sz w:val="13"/>
          <w:szCs w:val="13"/>
          <w:b w:val="1"/>
          <w:bCs w:val="1"/>
          <w:color w:val="auto"/>
        </w:rPr>
        <w:t xml:space="preserve"> </w:t>
      </w:r>
      <w:r>
        <w:rPr>
          <w:rFonts w:ascii="Arial" w:cs="Arial" w:eastAsia="Arial" w:hAnsi="Arial"/>
          <w:sz w:val="13"/>
          <w:szCs w:val="13"/>
          <w:color w:val="auto"/>
        </w:rPr>
        <w:t>July 2006, we amended the rights plan to extend the expiration of the Rights to July 11, 2009. The amendment also provides that the Company may not consolidate, merge, or sell a majority of its assets or earning power if doing so would be counter to the intended benefits of the Rights or would result in the distribution of Rights to the shareholders of the other parties to the transaction. Finally, the amendment provides for the creation of a committee of independent directors to annually review the terms and conditions of the amended rights plan (Rights Plan), as well as to consider whether termination or modification of the Rights Plan would be in the best interests of the shareholders and to make a recommendation based on such review to the Board of Directors.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1" w:name="page72"/>
    <w:bookmarkEnd w:id="71"/>
    <w:p>
      <w:pPr>
        <w:spacing w:after="0"/>
        <w:tabs>
          <w:tab w:leader="none" w:pos="540" w:val="left"/>
        </w:tabs>
        <w:rPr>
          <w:sz w:val="20"/>
          <w:szCs w:val="20"/>
          <w:color w:val="auto"/>
        </w:rPr>
      </w:pPr>
      <w:r>
        <w:rPr>
          <w:rFonts w:ascii="Arial" w:cs="Arial" w:eastAsia="Arial" w:hAnsi="Arial"/>
          <w:sz w:val="14"/>
          <w:szCs w:val="14"/>
          <w:b w:val="1"/>
          <w:bCs w:val="1"/>
          <w:color w:val="auto"/>
        </w:rPr>
        <w:t>Note 9.</w:t>
      </w:r>
      <w:r>
        <w:rPr>
          <w:sz w:val="20"/>
          <w:szCs w:val="20"/>
          <w:color w:val="auto"/>
        </w:rPr>
        <w:tab/>
      </w:r>
      <w:r>
        <w:rPr>
          <w:rFonts w:ascii="Arial" w:cs="Arial" w:eastAsia="Arial" w:hAnsi="Arial"/>
          <w:sz w:val="13"/>
          <w:szCs w:val="13"/>
          <w:b w:val="1"/>
          <w:bCs w:val="1"/>
          <w:color w:val="auto"/>
        </w:rPr>
        <w:t>Common Stock and Earnings Per Share (Continued)</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Rights, which are currently not exercisable or transferable apart from our common stock, entitle the holder to purchase one-and-a-half one-hundredths (three two-hundredths) of a share of ALLETE’s Junior Serial Preferred Stock A, without par value. The purchase price, as defined in the Rights Plan, remains at $90. These Rights would become exercisable if a person or group acquires beneficial ownership of 15 percent or more of our common stock or announces a tender offer which would increase the person’s or group’s beneficial ownership interest to 15 percent or more of our common stock, subject to certain exceptions. If the 15 percent threshold is met, each Right entitles the holder (other than the acquiring person or group) to receive, upon payment of the purchase price, the number of shares of common stock (or, in certain circumstances, cash, property or other securities of ours) having a market value equal to twice the exercise price of the Right. If we are acquired in a merger or business combination, or more than 50 percent of our assets or earning power are sold, each exercisable Right entitles the holder to receive, upon payment of the purchase price, the number of shares of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Rights are nonvoting and may be redeemed by us at a price of $0.005 per Right at any time they are not exercisable. One million shares of Junior Serial Preferred Stock A have been authorized and are reserved for issuance under the Rights Plan.</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 xml:space="preserve">Earnings Per Share. </w:t>
      </w:r>
      <w:r>
        <w:rPr>
          <w:rFonts w:ascii="Arial" w:cs="Arial" w:eastAsia="Arial" w:hAnsi="Arial"/>
          <w:sz w:val="14"/>
          <w:szCs w:val="14"/>
          <w:color w:val="auto"/>
        </w:rPr>
        <w:t>The difference between basic and diluted earnings per share arises from outstanding stock options and performance share awards granted under our Executive and Director</w:t>
      </w:r>
      <w:r>
        <w:rPr>
          <w:rFonts w:ascii="Arial" w:cs="Arial" w:eastAsia="Arial" w:hAnsi="Arial"/>
          <w:sz w:val="14"/>
          <w:szCs w:val="14"/>
          <w:b w:val="1"/>
          <w:bCs w:val="1"/>
          <w:color w:val="auto"/>
        </w:rPr>
        <w:t xml:space="preserve"> </w:t>
      </w:r>
      <w:r>
        <w:rPr>
          <w:rFonts w:ascii="Arial" w:cs="Arial" w:eastAsia="Arial" w:hAnsi="Arial"/>
          <w:sz w:val="14"/>
          <w:szCs w:val="14"/>
          <w:color w:val="auto"/>
        </w:rPr>
        <w:t>Long-Term Incentive Compensation Plans. In accordance with SFAS 128, “Earnings Per Share,” for 2008, 0.6 million options to purchase shares of common stock were excluded from the computation of diluted earnings per share because the option exercise prices were greater than the average market prices, and therefore, their effect would be anti-dilutive (0.2 million shares were excluded for 2007 and none in 2006).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Reconciliation of Basic and Diluted</w:t>
            </w:r>
          </w:p>
        </w:tc>
        <w:tc>
          <w:tcPr>
            <w:tcW w:w="29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b w:val="1"/>
                <w:bCs w:val="1"/>
                <w:color w:val="auto"/>
              </w:rPr>
              <w:t>Earnings Per Share</w:t>
            </w:r>
          </w:p>
        </w:tc>
        <w:tc>
          <w:tcPr>
            <w:tcW w:w="2940" w:type="dxa"/>
            <w:vAlign w:val="bottom"/>
          </w:tcPr>
          <w:p>
            <w:pPr>
              <w:spacing w:after="0"/>
              <w:rPr>
                <w:sz w:val="14"/>
                <w:szCs w:val="14"/>
                <w:color w:val="auto"/>
              </w:rPr>
            </w:pPr>
          </w:p>
        </w:tc>
        <w:tc>
          <w:tcPr>
            <w:tcW w:w="1560" w:type="dxa"/>
            <w:vAlign w:val="bottom"/>
          </w:tcPr>
          <w:p>
            <w:pPr>
              <w:jc w:val="right"/>
              <w:ind w:right="468"/>
              <w:spacing w:after="0"/>
              <w:rPr>
                <w:sz w:val="20"/>
                <w:szCs w:val="20"/>
                <w:color w:val="auto"/>
              </w:rPr>
            </w:pPr>
            <w:r>
              <w:rPr>
                <w:rFonts w:ascii="Arial" w:cs="Arial" w:eastAsia="Arial" w:hAnsi="Arial"/>
                <w:sz w:val="14"/>
                <w:szCs w:val="14"/>
                <w:b w:val="1"/>
                <w:bCs w:val="1"/>
                <w:color w:val="auto"/>
              </w:rPr>
              <w:t>Dilutive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29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Basic</w:t>
            </w:r>
          </w:p>
        </w:tc>
        <w:tc>
          <w:tcPr>
            <w:tcW w:w="1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Securities</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2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80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2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2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$82.5</w:t>
            </w:r>
          </w:p>
        </w:tc>
        <w:tc>
          <w:tcPr>
            <w:tcW w:w="15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Common Shares</w:t>
            </w: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29.2</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0.1</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Per Share from Continuing Operations</w:t>
            </w:r>
          </w:p>
        </w:tc>
        <w:tc>
          <w:tcPr>
            <w:tcW w:w="2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$2.82</w:t>
            </w:r>
          </w:p>
        </w:tc>
        <w:tc>
          <w:tcPr>
            <w:tcW w:w="15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2007</w:t>
            </w:r>
          </w:p>
        </w:tc>
        <w:tc>
          <w:tcPr>
            <w:tcW w:w="29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$87.6</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Common Shares</w:t>
            </w:r>
          </w:p>
        </w:tc>
        <w:tc>
          <w:tcPr>
            <w:tcW w:w="2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28.3</w:t>
            </w:r>
          </w:p>
        </w:tc>
        <w:tc>
          <w:tcPr>
            <w:tcW w:w="15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0.1</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Per Share from Continuing Operations</w:t>
            </w: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$3.09</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80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b w:val="1"/>
                <w:bCs w:val="1"/>
                <w:color w:val="auto"/>
              </w:rPr>
              <w:t>2006</w:t>
            </w:r>
          </w:p>
        </w:tc>
        <w:tc>
          <w:tcPr>
            <w:tcW w:w="2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2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$77.3</w:t>
            </w:r>
          </w:p>
        </w:tc>
        <w:tc>
          <w:tcPr>
            <w:tcW w:w="15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Common Shares</w:t>
            </w: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27.8</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0.1</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Per Share from Continuing Operations</w:t>
            </w:r>
          </w:p>
        </w:tc>
        <w:tc>
          <w:tcPr>
            <w:tcW w:w="29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$2.78</w:t>
            </w:r>
          </w:p>
        </w:tc>
        <w:tc>
          <w:tcPr>
            <w:tcW w:w="15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365"/>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Note 10.  Other Income (Expense)</w:t>
            </w:r>
          </w:p>
        </w:tc>
        <w:tc>
          <w:tcPr>
            <w:tcW w:w="2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29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2008</w:t>
            </w:r>
          </w:p>
        </w:tc>
        <w:tc>
          <w:tcPr>
            <w:tcW w:w="156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2007</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2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Loss on Emerging Technology Investments</w:t>
            </w:r>
          </w:p>
        </w:tc>
        <w:tc>
          <w:tcPr>
            <w:tcW w:w="29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$(0.7)</w:t>
            </w:r>
          </w:p>
        </w:tc>
        <w:tc>
          <w:tcPr>
            <w:tcW w:w="15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$(1.3)</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AFUDC - Equity</w:t>
            </w:r>
          </w:p>
        </w:tc>
        <w:tc>
          <w:tcPr>
            <w:tcW w:w="2940" w:type="dxa"/>
            <w:vAlign w:val="bottom"/>
          </w:tcPr>
          <w:p>
            <w:pPr>
              <w:jc w:val="right"/>
              <w:ind w:right="488"/>
              <w:spacing w:after="0"/>
              <w:rPr>
                <w:sz w:val="20"/>
                <w:szCs w:val="20"/>
                <w:color w:val="auto"/>
              </w:rPr>
            </w:pPr>
            <w:r>
              <w:rPr>
                <w:rFonts w:ascii="Arial" w:cs="Arial" w:eastAsia="Arial" w:hAnsi="Arial"/>
                <w:sz w:val="14"/>
                <w:szCs w:val="14"/>
                <w:color w:val="auto"/>
              </w:rPr>
              <w:t>3.3</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3.8</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Debt Prepayment Premium and Unamortized Debt Issuance Costs</w:t>
            </w:r>
          </w:p>
        </w:tc>
        <w:tc>
          <w:tcPr>
            <w:tcW w:w="29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Investments and Other Income</w:t>
            </w:r>
          </w:p>
        </w:tc>
        <w:tc>
          <w:tcPr>
            <w:tcW w:w="2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13.0</w:t>
            </w: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13.0</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Other Income</w:t>
            </w:r>
          </w:p>
        </w:tc>
        <w:tc>
          <w:tcPr>
            <w:tcW w:w="29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$15.6</w:t>
            </w:r>
          </w:p>
        </w:tc>
        <w:tc>
          <w:tcPr>
            <w:tcW w:w="156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$15.5</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6"/>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Note 11.  Income Tax Expense</w:t>
            </w:r>
          </w:p>
        </w:tc>
        <w:tc>
          <w:tcPr>
            <w:tcW w:w="2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Tax Expense</w:t>
            </w:r>
          </w:p>
        </w:tc>
        <w:tc>
          <w:tcPr>
            <w:tcW w:w="29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9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2008</w:t>
            </w:r>
          </w:p>
        </w:tc>
        <w:tc>
          <w:tcPr>
            <w:tcW w:w="16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2007</w:t>
            </w: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9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Current Tax Expense</w:t>
            </w:r>
          </w:p>
        </w:tc>
        <w:tc>
          <w:tcPr>
            <w:tcW w:w="29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Arial" w:cs="Arial" w:eastAsia="Arial" w:hAnsi="Arial"/>
                <w:sz w:val="14"/>
                <w:szCs w:val="14"/>
                <w:color w:val="auto"/>
              </w:rPr>
              <w:t>Federal</w:t>
            </w:r>
          </w:p>
        </w:tc>
        <w:tc>
          <w:tcPr>
            <w:tcW w:w="2960" w:type="dxa"/>
            <w:vAlign w:val="bottom"/>
          </w:tcPr>
          <w:p>
            <w:pPr>
              <w:jc w:val="right"/>
              <w:ind w:right="608"/>
              <w:spacing w:after="0"/>
              <w:rPr>
                <w:sz w:val="20"/>
                <w:szCs w:val="20"/>
                <w:color w:val="auto"/>
              </w:rPr>
            </w:pPr>
            <w:r>
              <w:rPr>
                <w:rFonts w:ascii="Arial" w:cs="Arial" w:eastAsia="Arial" w:hAnsi="Arial"/>
                <w:sz w:val="14"/>
                <w:szCs w:val="14"/>
                <w:color w:val="auto"/>
              </w:rPr>
              <w:t>$6.2</w:t>
            </w: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$26.5</w:t>
            </w:r>
          </w:p>
        </w:tc>
        <w:tc>
          <w:tcPr>
            <w:tcW w:w="1500" w:type="dxa"/>
            <w:vAlign w:val="bottom"/>
          </w:tcPr>
          <w:p>
            <w:pPr>
              <w:jc w:val="right"/>
              <w:ind w:right="288"/>
              <w:spacing w:after="0"/>
              <w:rPr>
                <w:sz w:val="20"/>
                <w:szCs w:val="20"/>
                <w:color w:val="auto"/>
              </w:rPr>
            </w:pPr>
            <w:r>
              <w:rPr>
                <w:rFonts w:ascii="Arial" w:cs="Arial" w:eastAsia="Arial" w:hAnsi="Arial"/>
                <w:sz w:val="14"/>
                <w:szCs w:val="14"/>
                <w:color w:val="auto"/>
              </w:rPr>
              <w:t>$8.9</w:t>
            </w:r>
            <w:r>
              <w:rPr>
                <w:rFonts w:ascii="Arial" w:cs="Arial" w:eastAsia="Arial" w:hAnsi="Arial"/>
                <w:sz w:val="14"/>
                <w:szCs w:val="14"/>
                <w:i w:val="1"/>
                <w:iCs w:val="1"/>
                <w:color w:val="auto"/>
              </w:rPr>
              <w:t>(a)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State</w:t>
            </w:r>
          </w:p>
        </w:tc>
        <w:tc>
          <w:tcPr>
            <w:tcW w:w="29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(1.6)</w:t>
            </w:r>
          </w:p>
        </w:tc>
        <w:tc>
          <w:tcPr>
            <w:tcW w:w="16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7.2</w:t>
            </w:r>
          </w:p>
        </w:tc>
        <w:tc>
          <w:tcPr>
            <w:tcW w:w="15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Current Tax Expense</w:t>
            </w:r>
          </w:p>
        </w:tc>
        <w:tc>
          <w:tcPr>
            <w:tcW w:w="29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4.6</w:t>
            </w:r>
          </w:p>
        </w:tc>
        <w:tc>
          <w:tcPr>
            <w:tcW w:w="16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33.7</w:t>
            </w:r>
          </w:p>
        </w:tc>
        <w:tc>
          <w:tcPr>
            <w:tcW w:w="15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Deferred Tax Expense</w:t>
            </w:r>
          </w:p>
        </w:tc>
        <w:tc>
          <w:tcPr>
            <w:tcW w:w="29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Arial" w:cs="Arial" w:eastAsia="Arial" w:hAnsi="Arial"/>
                <w:sz w:val="14"/>
                <w:szCs w:val="14"/>
                <w:color w:val="auto"/>
              </w:rPr>
              <w:t>Federal</w:t>
            </w:r>
          </w:p>
        </w:tc>
        <w:tc>
          <w:tcPr>
            <w:tcW w:w="2960" w:type="dxa"/>
            <w:vAlign w:val="bottom"/>
          </w:tcPr>
          <w:p>
            <w:pPr>
              <w:jc w:val="right"/>
              <w:ind w:right="608"/>
              <w:spacing w:after="0"/>
              <w:rPr>
                <w:sz w:val="20"/>
                <w:szCs w:val="20"/>
                <w:color w:val="auto"/>
              </w:rPr>
            </w:pPr>
            <w:r>
              <w:rPr>
                <w:rFonts w:ascii="Arial" w:cs="Arial" w:eastAsia="Arial" w:hAnsi="Arial"/>
                <w:sz w:val="14"/>
                <w:szCs w:val="14"/>
                <w:color w:val="auto"/>
              </w:rPr>
              <w:t>29.3</w:t>
            </w: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10.7</w:t>
            </w:r>
          </w:p>
        </w:tc>
        <w:tc>
          <w:tcPr>
            <w:tcW w:w="1500" w:type="dxa"/>
            <w:vAlign w:val="bottom"/>
          </w:tcPr>
          <w:p>
            <w:pPr>
              <w:jc w:val="right"/>
              <w:ind w:right="288"/>
              <w:spacing w:after="0"/>
              <w:rPr>
                <w:sz w:val="20"/>
                <w:szCs w:val="20"/>
                <w:color w:val="auto"/>
              </w:rPr>
            </w:pPr>
            <w:r>
              <w:rPr>
                <w:rFonts w:ascii="Arial" w:cs="Arial" w:eastAsia="Arial" w:hAnsi="Arial"/>
                <w:sz w:val="14"/>
                <w:szCs w:val="14"/>
                <w:color w:val="auto"/>
              </w:rPr>
              <w:t>28.0</w:t>
            </w:r>
            <w:r>
              <w:rPr>
                <w:rFonts w:ascii="Arial" w:cs="Arial" w:eastAsia="Arial" w:hAnsi="Arial"/>
                <w:sz w:val="14"/>
                <w:szCs w:val="14"/>
                <w:i w:val="1"/>
                <w:iCs w:val="1"/>
                <w:color w:val="auto"/>
              </w:rPr>
              <w:t>(a)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w:t>
            </w:r>
          </w:p>
        </w:tc>
        <w:tc>
          <w:tcPr>
            <w:tcW w:w="29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13.4</w:t>
            </w:r>
          </w:p>
        </w:tc>
        <w:tc>
          <w:tcPr>
            <w:tcW w:w="16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4.7</w:t>
            </w:r>
          </w:p>
        </w:tc>
        <w:tc>
          <w:tcPr>
            <w:tcW w:w="15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Arial" w:cs="Arial" w:eastAsia="Arial" w:hAnsi="Arial"/>
                <w:sz w:val="14"/>
                <w:szCs w:val="14"/>
                <w:color w:val="auto"/>
              </w:rPr>
              <w:t>Change in Valuation Allowance</w:t>
            </w:r>
          </w:p>
        </w:tc>
        <w:tc>
          <w:tcPr>
            <w:tcW w:w="2960" w:type="dxa"/>
            <w:vAlign w:val="bottom"/>
          </w:tcPr>
          <w:p>
            <w:pPr>
              <w:jc w:val="right"/>
              <w:ind w:right="608"/>
              <w:spacing w:after="0"/>
              <w:rPr>
                <w:sz w:val="20"/>
                <w:szCs w:val="20"/>
                <w:color w:val="auto"/>
              </w:rPr>
            </w:pPr>
            <w:r>
              <w:rPr>
                <w:rFonts w:ascii="Arial" w:cs="Arial" w:eastAsia="Arial" w:hAnsi="Arial"/>
                <w:sz w:val="14"/>
                <w:szCs w:val="14"/>
                <w:color w:val="auto"/>
              </w:rPr>
              <w:t>(2.9)</w:t>
            </w: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(0.3)</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Investment Tax Credit Amortization</w:t>
            </w:r>
          </w:p>
        </w:tc>
        <w:tc>
          <w:tcPr>
            <w:tcW w:w="29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(1.0)</w:t>
            </w:r>
          </w:p>
        </w:tc>
        <w:tc>
          <w:tcPr>
            <w:tcW w:w="16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(1.1)</w:t>
            </w:r>
          </w:p>
        </w:tc>
        <w:tc>
          <w:tcPr>
            <w:tcW w:w="15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Deferred Tax Expense</w:t>
            </w:r>
          </w:p>
        </w:tc>
        <w:tc>
          <w:tcPr>
            <w:tcW w:w="29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38.8</w:t>
            </w:r>
          </w:p>
        </w:tc>
        <w:tc>
          <w:tcPr>
            <w:tcW w:w="16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14.0</w:t>
            </w:r>
          </w:p>
        </w:tc>
        <w:tc>
          <w:tcPr>
            <w:tcW w:w="15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for Continuing Operations</w:t>
            </w:r>
          </w:p>
        </w:tc>
        <w:tc>
          <w:tcPr>
            <w:tcW w:w="29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43.4</w:t>
            </w:r>
          </w:p>
        </w:tc>
        <w:tc>
          <w:tcPr>
            <w:tcW w:w="16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47.7</w:t>
            </w:r>
          </w:p>
        </w:tc>
        <w:tc>
          <w:tcPr>
            <w:tcW w:w="15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 Expense (Benefit) for Discontinued Operations</w:t>
            </w:r>
          </w:p>
        </w:tc>
        <w:tc>
          <w:tcPr>
            <w:tcW w:w="29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Income Tax Expense</w:t>
            </w:r>
          </w:p>
        </w:tc>
        <w:tc>
          <w:tcPr>
            <w:tcW w:w="29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$43.4</w:t>
            </w:r>
          </w:p>
        </w:tc>
        <w:tc>
          <w:tcPr>
            <w:tcW w:w="16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$47.7</w:t>
            </w:r>
          </w:p>
        </w:tc>
        <w:tc>
          <w:tcPr>
            <w:tcW w:w="15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Included a current federal tax benefit of $24.3 million and a deferred federal tax expense of $24.3 million related to the refund from the Kendall County capital loss carryback.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Reconciliation of Taxes from Federal Statutory</w:t>
            </w:r>
          </w:p>
        </w:tc>
        <w:tc>
          <w:tcPr>
            <w:tcW w:w="3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b w:val="1"/>
                <w:bCs w:val="1"/>
                <w:color w:val="auto"/>
              </w:rPr>
              <w:t>Rate to Total Income Tax Expense for Continuing Operations</w:t>
            </w:r>
          </w:p>
        </w:tc>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w:t>
            </w:r>
          </w:p>
        </w:tc>
        <w:tc>
          <w:tcPr>
            <w:tcW w:w="310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2008</w:t>
            </w:r>
          </w:p>
        </w:tc>
        <w:tc>
          <w:tcPr>
            <w:tcW w:w="16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2007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3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Before Minority Interest and Income Taxes</w:t>
            </w:r>
          </w:p>
        </w:tc>
        <w:tc>
          <w:tcPr>
            <w:tcW w:w="31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$126.4</w:t>
            </w:r>
          </w:p>
        </w:tc>
        <w:tc>
          <w:tcPr>
            <w:tcW w:w="16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$137.2</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$128.2</w:t>
            </w:r>
          </w:p>
        </w:tc>
      </w:tr>
      <w:tr>
        <w:trPr>
          <w:trHeight w:val="174"/>
        </w:trPr>
        <w:tc>
          <w:tcPr>
            <w:tcW w:w="20" w:type="dxa"/>
            <w:vAlign w:val="bottom"/>
          </w:tcPr>
          <w:p>
            <w:pPr>
              <w:spacing w:after="0"/>
              <w:rPr>
                <w:sz w:val="15"/>
                <w:szCs w:val="15"/>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Statutory Federal Income Tax Rate</w:t>
            </w:r>
          </w:p>
        </w:tc>
        <w:tc>
          <w:tcPr>
            <w:tcW w:w="31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35%</w:t>
            </w:r>
          </w:p>
        </w:tc>
        <w:tc>
          <w:tcPr>
            <w:tcW w:w="16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35%</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Income Taxes Computed at 35% Statutory Federal Rate</w:t>
            </w:r>
          </w:p>
        </w:tc>
        <w:tc>
          <w:tcPr>
            <w:tcW w:w="31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$44.2</w:t>
            </w:r>
          </w:p>
        </w:tc>
        <w:tc>
          <w:tcPr>
            <w:tcW w:w="16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$48.0</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$44.9</w:t>
            </w:r>
          </w:p>
        </w:tc>
      </w:tr>
      <w:tr>
        <w:trPr>
          <w:trHeight w:val="17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Increase (Decrease) in Tax Due to:</w:t>
            </w:r>
          </w:p>
        </w:tc>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Deferred Investment Tax Credits</w:t>
            </w:r>
          </w:p>
        </w:tc>
        <w:tc>
          <w:tcPr>
            <w:tcW w:w="31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(1.0)</w:t>
            </w:r>
          </w:p>
        </w:tc>
        <w:tc>
          <w:tcPr>
            <w:tcW w:w="16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r>
      <w:tr>
        <w:trPr>
          <w:trHeight w:val="172"/>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State Income Taxes – Net of Federal Income Tax Benefit</w:t>
            </w:r>
          </w:p>
        </w:tc>
        <w:tc>
          <w:tcPr>
            <w:tcW w:w="3100" w:type="dxa"/>
            <w:vAlign w:val="bottom"/>
          </w:tcPr>
          <w:p>
            <w:pPr>
              <w:jc w:val="right"/>
              <w:ind w:right="708"/>
              <w:spacing w:after="0"/>
              <w:rPr>
                <w:sz w:val="20"/>
                <w:szCs w:val="20"/>
                <w:color w:val="auto"/>
              </w:rPr>
            </w:pPr>
            <w:r>
              <w:rPr>
                <w:rFonts w:ascii="Arial" w:cs="Arial" w:eastAsia="Arial" w:hAnsi="Arial"/>
                <w:sz w:val="14"/>
                <w:szCs w:val="14"/>
                <w:color w:val="auto"/>
              </w:rPr>
              <w:t>4.8</w:t>
            </w:r>
          </w:p>
        </w:tc>
        <w:tc>
          <w:tcPr>
            <w:tcW w:w="1640" w:type="dxa"/>
            <w:vAlign w:val="bottom"/>
          </w:tcPr>
          <w:p>
            <w:pPr>
              <w:jc w:val="right"/>
              <w:ind w:right="408"/>
              <w:spacing w:after="0"/>
              <w:rPr>
                <w:sz w:val="20"/>
                <w:szCs w:val="20"/>
                <w:color w:val="auto"/>
              </w:rPr>
            </w:pPr>
            <w:r>
              <w:rPr>
                <w:rFonts w:ascii="Arial" w:cs="Arial" w:eastAsia="Arial" w:hAnsi="Arial"/>
                <w:sz w:val="14"/>
                <w:szCs w:val="14"/>
                <w:color w:val="auto"/>
              </w:rPr>
              <w:t>7.4</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6.5</w:t>
            </w: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Depletion</w:t>
            </w:r>
          </w:p>
        </w:tc>
        <w:tc>
          <w:tcPr>
            <w:tcW w:w="31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(0.8)</w:t>
            </w:r>
          </w:p>
        </w:tc>
        <w:tc>
          <w:tcPr>
            <w:tcW w:w="16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(0.9)</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r>
      <w:tr>
        <w:trPr>
          <w:trHeight w:val="172"/>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Employee Benefits</w:t>
            </w:r>
          </w:p>
        </w:tc>
        <w:tc>
          <w:tcPr>
            <w:tcW w:w="3100" w:type="dxa"/>
            <w:vAlign w:val="bottom"/>
          </w:tcPr>
          <w:p>
            <w:pPr>
              <w:jc w:val="right"/>
              <w:ind w:right="708"/>
              <w:spacing w:after="0"/>
              <w:rPr>
                <w:sz w:val="20"/>
                <w:szCs w:val="20"/>
                <w:color w:val="auto"/>
              </w:rPr>
            </w:pPr>
            <w:r>
              <w:rPr>
                <w:rFonts w:ascii="Arial" w:cs="Arial" w:eastAsia="Arial" w:hAnsi="Arial"/>
                <w:sz w:val="14"/>
                <w:szCs w:val="14"/>
                <w:color w:val="auto"/>
              </w:rPr>
              <w:t>0.2</w:t>
            </w:r>
          </w:p>
        </w:tc>
        <w:tc>
          <w:tcPr>
            <w:tcW w:w="1640" w:type="dxa"/>
            <w:vAlign w:val="bottom"/>
          </w:tcPr>
          <w:p>
            <w:pPr>
              <w:jc w:val="right"/>
              <w:ind w:right="408"/>
              <w:spacing w:after="0"/>
              <w:rPr>
                <w:sz w:val="20"/>
                <w:szCs w:val="20"/>
                <w:color w:val="auto"/>
              </w:rPr>
            </w:pPr>
            <w:r>
              <w:rPr>
                <w:rFonts w:ascii="Arial" w:cs="Arial" w:eastAsia="Arial" w:hAnsi="Arial"/>
                <w:sz w:val="14"/>
                <w:szCs w:val="14"/>
                <w:color w:val="auto"/>
              </w:rPr>
              <w:t>0.4</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0.1</w:t>
            </w: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Domestic Manufacturing Deduction</w:t>
            </w:r>
          </w:p>
        </w:tc>
        <w:tc>
          <w:tcPr>
            <w:tcW w:w="31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(0.1)</w:t>
            </w:r>
          </w:p>
        </w:tc>
        <w:tc>
          <w:tcPr>
            <w:tcW w:w="16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r>
      <w:tr>
        <w:trPr>
          <w:trHeight w:val="172"/>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Regulatory Differences for Utility Plant</w:t>
            </w:r>
          </w:p>
        </w:tc>
        <w:tc>
          <w:tcPr>
            <w:tcW w:w="3100" w:type="dxa"/>
            <w:vAlign w:val="bottom"/>
          </w:tcPr>
          <w:p>
            <w:pPr>
              <w:jc w:val="right"/>
              <w:ind w:right="708"/>
              <w:spacing w:after="0"/>
              <w:rPr>
                <w:sz w:val="20"/>
                <w:szCs w:val="20"/>
                <w:color w:val="auto"/>
              </w:rPr>
            </w:pPr>
            <w:r>
              <w:rPr>
                <w:rFonts w:ascii="Arial" w:cs="Arial" w:eastAsia="Arial" w:hAnsi="Arial"/>
                <w:sz w:val="14"/>
                <w:szCs w:val="14"/>
                <w:color w:val="auto"/>
              </w:rPr>
              <w:t>(1.6)</w:t>
            </w:r>
          </w:p>
        </w:tc>
        <w:tc>
          <w:tcPr>
            <w:tcW w:w="1640" w:type="dxa"/>
            <w:vAlign w:val="bottom"/>
          </w:tcPr>
          <w:p>
            <w:pPr>
              <w:jc w:val="right"/>
              <w:ind w:right="408"/>
              <w:spacing w:after="0"/>
              <w:rPr>
                <w:sz w:val="20"/>
                <w:szCs w:val="20"/>
                <w:color w:val="auto"/>
              </w:rPr>
            </w:pPr>
            <w:r>
              <w:rPr>
                <w:rFonts w:ascii="Arial" w:cs="Arial" w:eastAsia="Arial" w:hAnsi="Arial"/>
                <w:sz w:val="14"/>
                <w:szCs w:val="14"/>
                <w:color w:val="auto"/>
              </w:rPr>
              <w:t>(2.2)</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(0.9)</w:t>
            </w: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Positive Resolution of Audit Issues</w:t>
            </w:r>
          </w:p>
        </w:tc>
        <w:tc>
          <w:tcPr>
            <w:tcW w:w="31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(1.6)</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56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w:t>
            </w:r>
          </w:p>
        </w:tc>
        <w:tc>
          <w:tcPr>
            <w:tcW w:w="31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(2.3)</w:t>
            </w:r>
          </w:p>
        </w:tc>
        <w:tc>
          <w:tcPr>
            <w:tcW w:w="16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r>
      <w:tr>
        <w:trPr>
          <w:trHeight w:val="174"/>
        </w:trPr>
        <w:tc>
          <w:tcPr>
            <w:tcW w:w="20" w:type="dxa"/>
            <w:vAlign w:val="bottom"/>
          </w:tcPr>
          <w:p>
            <w:pPr>
              <w:spacing w:after="0"/>
              <w:rPr>
                <w:sz w:val="15"/>
                <w:szCs w:val="15"/>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Income Tax Expense for Continuing Operations</w:t>
            </w:r>
          </w:p>
        </w:tc>
        <w:tc>
          <w:tcPr>
            <w:tcW w:w="310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$43.4</w:t>
            </w:r>
          </w:p>
        </w:tc>
        <w:tc>
          <w:tcPr>
            <w:tcW w:w="164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$47.7</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$46.3</w:t>
            </w:r>
          </w:p>
        </w:tc>
      </w:tr>
    </w:tbl>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effective tax rate on income from continuing operations before minority interest was a 34.3 percent for 2008; (34.8 percent for 2007; 36.1 percent for 2006). The 2008 effective tax rate was impacted by deductions for Medicare health subsidies (included in Employee Benefits, above), domestic manufacturing deduction, AFUDC-Equity (included in Regulatory Differences for Utility Plant, above), investment tax credits, wind production tax credits, depletion, recognition of a benefit on the reversal of a previously uncertain tax position ($1.7 million included in Other, above) and a benefit for the reversal of a state income tax valuation allowance ($2.9 million included in State Income Taxes, above). The 2007 effective tax rate was impacted by state income tax audit settlements ($1.6 million), deductions for Medicare health subsidies (included in Employee Benefits, above), domestic manufacturing deduction, AFUDC-Equity (included in Regulatory Differences for Utility Plant, above), investment tax credits and depletion.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Note 11.  Income Tax Expense (Continued)</w:t>
            </w:r>
          </w:p>
        </w:tc>
        <w:tc>
          <w:tcPr>
            <w:tcW w:w="4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 and Liabilities</w:t>
            </w:r>
          </w:p>
        </w:tc>
        <w:tc>
          <w:tcPr>
            <w:tcW w:w="4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4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2008</w:t>
            </w: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0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4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 xml:space="preserve">Employee Benefits and Compensation </w:t>
            </w:r>
            <w:r>
              <w:rPr>
                <w:rFonts w:ascii="Arial" w:cs="Arial" w:eastAsia="Arial" w:hAnsi="Arial"/>
                <w:sz w:val="14"/>
                <w:szCs w:val="14"/>
                <w:i w:val="1"/>
                <w:iCs w:val="1"/>
                <w:color w:val="auto"/>
              </w:rPr>
              <w:t>(a)</w:t>
            </w:r>
          </w:p>
        </w:tc>
        <w:tc>
          <w:tcPr>
            <w:tcW w:w="4440" w:type="dxa"/>
            <w:vAlign w:val="bottom"/>
          </w:tcPr>
          <w:p>
            <w:pPr>
              <w:jc w:val="right"/>
              <w:ind w:right="148"/>
              <w:spacing w:after="0"/>
              <w:rPr>
                <w:sz w:val="20"/>
                <w:szCs w:val="20"/>
                <w:color w:val="auto"/>
              </w:rPr>
            </w:pPr>
            <w:r>
              <w:rPr>
                <w:rFonts w:ascii="Arial" w:cs="Arial" w:eastAsia="Arial" w:hAnsi="Arial"/>
                <w:sz w:val="14"/>
                <w:szCs w:val="14"/>
                <w:color w:val="auto"/>
              </w:rPr>
              <w:t>$125.2</w:t>
            </w:r>
          </w:p>
        </w:tc>
        <w:tc>
          <w:tcPr>
            <w:tcW w:w="920" w:type="dxa"/>
            <w:vAlign w:val="bottom"/>
          </w:tcPr>
          <w:p>
            <w:pPr>
              <w:jc w:val="right"/>
              <w:spacing w:after="0"/>
              <w:rPr>
                <w:sz w:val="20"/>
                <w:szCs w:val="20"/>
                <w:color w:val="auto"/>
              </w:rPr>
            </w:pPr>
            <w:r>
              <w:rPr>
                <w:rFonts w:ascii="Arial" w:cs="Arial" w:eastAsia="Arial" w:hAnsi="Arial"/>
                <w:sz w:val="14"/>
                <w:szCs w:val="14"/>
                <w:color w:val="auto"/>
              </w:rPr>
              <w:t>$80.5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Property Related</w:t>
            </w:r>
          </w:p>
        </w:tc>
        <w:tc>
          <w:tcPr>
            <w:tcW w:w="4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Investment Tax Credits</w:t>
            </w:r>
          </w:p>
        </w:tc>
        <w:tc>
          <w:tcPr>
            <w:tcW w:w="4440" w:type="dxa"/>
            <w:vAlign w:val="bottom"/>
          </w:tcPr>
          <w:p>
            <w:pPr>
              <w:jc w:val="right"/>
              <w:ind w:right="148"/>
              <w:spacing w:after="0"/>
              <w:rPr>
                <w:sz w:val="20"/>
                <w:szCs w:val="20"/>
                <w:color w:val="auto"/>
              </w:rPr>
            </w:pPr>
            <w:r>
              <w:rPr>
                <w:rFonts w:ascii="Arial" w:cs="Arial" w:eastAsia="Arial" w:hAnsi="Arial"/>
                <w:sz w:val="14"/>
                <w:szCs w:val="14"/>
                <w:color w:val="auto"/>
              </w:rPr>
              <w:t>10.7</w:t>
            </w:r>
          </w:p>
        </w:tc>
        <w:tc>
          <w:tcPr>
            <w:tcW w:w="920" w:type="dxa"/>
            <w:vAlign w:val="bottom"/>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44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16.3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40"/>
              <w:spacing w:after="0"/>
              <w:rPr>
                <w:sz w:val="20"/>
                <w:szCs w:val="20"/>
                <w:color w:val="auto"/>
              </w:rPr>
            </w:pPr>
            <w:r>
              <w:rPr>
                <w:rFonts w:ascii="Arial" w:cs="Arial" w:eastAsia="Arial" w:hAnsi="Arial"/>
                <w:sz w:val="14"/>
                <w:szCs w:val="14"/>
                <w:color w:val="auto"/>
              </w:rPr>
              <w:t>Gross Deferred Tax Assets</w:t>
            </w:r>
          </w:p>
        </w:tc>
        <w:tc>
          <w:tcPr>
            <w:tcW w:w="4440" w:type="dxa"/>
            <w:vAlign w:val="bottom"/>
          </w:tcPr>
          <w:p>
            <w:pPr>
              <w:jc w:val="right"/>
              <w:ind w:right="148"/>
              <w:spacing w:after="0"/>
              <w:rPr>
                <w:sz w:val="20"/>
                <w:szCs w:val="20"/>
                <w:color w:val="auto"/>
              </w:rPr>
            </w:pPr>
            <w:r>
              <w:rPr>
                <w:rFonts w:ascii="Arial" w:cs="Arial" w:eastAsia="Arial" w:hAnsi="Arial"/>
                <w:sz w:val="14"/>
                <w:szCs w:val="14"/>
                <w:color w:val="auto"/>
              </w:rPr>
              <w:t>188.6</w:t>
            </w:r>
          </w:p>
        </w:tc>
        <w:tc>
          <w:tcPr>
            <w:tcW w:w="920" w:type="dxa"/>
            <w:vAlign w:val="bottom"/>
          </w:tcPr>
          <w:p>
            <w:pPr>
              <w:jc w:val="right"/>
              <w:spacing w:after="0"/>
              <w:rPr>
                <w:sz w:val="20"/>
                <w:szCs w:val="20"/>
                <w:color w:val="auto"/>
              </w:rPr>
            </w:pPr>
            <w:r>
              <w:rPr>
                <w:rFonts w:ascii="Arial" w:cs="Arial" w:eastAsia="Arial" w:hAnsi="Arial"/>
                <w:sz w:val="14"/>
                <w:szCs w:val="14"/>
                <w:color w:val="auto"/>
              </w:rPr>
              <w:t>131.8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Deferred Tax Asset Valuation Allowance</w:t>
            </w:r>
          </w:p>
        </w:tc>
        <w:tc>
          <w:tcPr>
            <w:tcW w:w="44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Deferred Tax Assets</w:t>
            </w:r>
          </w:p>
        </w:tc>
        <w:tc>
          <w:tcPr>
            <w:tcW w:w="4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$188.2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4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Property Related</w:t>
            </w:r>
          </w:p>
        </w:tc>
        <w:tc>
          <w:tcPr>
            <w:tcW w:w="4440" w:type="dxa"/>
            <w:vAlign w:val="bottom"/>
          </w:tcPr>
          <w:p>
            <w:pPr>
              <w:jc w:val="right"/>
              <w:ind w:right="148"/>
              <w:spacing w:after="0"/>
              <w:rPr>
                <w:sz w:val="20"/>
                <w:szCs w:val="20"/>
                <w:color w:val="auto"/>
              </w:rPr>
            </w:pPr>
            <w:r>
              <w:rPr>
                <w:rFonts w:ascii="Arial" w:cs="Arial" w:eastAsia="Arial" w:hAnsi="Arial"/>
                <w:sz w:val="14"/>
                <w:szCs w:val="14"/>
                <w:color w:val="auto"/>
              </w:rPr>
              <w:t>$235.6</w:t>
            </w:r>
          </w:p>
        </w:tc>
        <w:tc>
          <w:tcPr>
            <w:tcW w:w="920" w:type="dxa"/>
            <w:vAlign w:val="bottom"/>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Regulatory Asset for Benefit Obligations</w:t>
            </w:r>
          </w:p>
        </w:tc>
        <w:tc>
          <w:tcPr>
            <w:tcW w:w="4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87.7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Unamortized Investment Tax Credits</w:t>
            </w:r>
          </w:p>
        </w:tc>
        <w:tc>
          <w:tcPr>
            <w:tcW w:w="4440" w:type="dxa"/>
            <w:vAlign w:val="bottom"/>
          </w:tcPr>
          <w:p>
            <w:pPr>
              <w:jc w:val="right"/>
              <w:ind w:right="148"/>
              <w:spacing w:after="0"/>
              <w:rPr>
                <w:sz w:val="20"/>
                <w:szCs w:val="20"/>
                <w:color w:val="auto"/>
              </w:rPr>
            </w:pPr>
            <w:r>
              <w:rPr>
                <w:rFonts w:ascii="Arial" w:cs="Arial" w:eastAsia="Arial" w:hAnsi="Arial"/>
                <w:sz w:val="14"/>
                <w:szCs w:val="14"/>
                <w:color w:val="auto"/>
              </w:rPr>
              <w:t>15.1</w:t>
            </w:r>
          </w:p>
        </w:tc>
        <w:tc>
          <w:tcPr>
            <w:tcW w:w="920" w:type="dxa"/>
            <w:vAlign w:val="bottom"/>
          </w:tcPr>
          <w:p>
            <w:pPr>
              <w:jc w:val="right"/>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Benefits and Compensation</w:t>
            </w:r>
          </w:p>
        </w:tc>
        <w:tc>
          <w:tcPr>
            <w:tcW w:w="4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Fuel Clause Adjustment</w:t>
            </w:r>
          </w:p>
        </w:tc>
        <w:tc>
          <w:tcPr>
            <w:tcW w:w="4440" w:type="dxa"/>
            <w:vAlign w:val="bottom"/>
          </w:tcPr>
          <w:p>
            <w:pPr>
              <w:jc w:val="right"/>
              <w:ind w:right="148"/>
              <w:spacing w:after="0"/>
              <w:rPr>
                <w:sz w:val="20"/>
                <w:szCs w:val="20"/>
                <w:color w:val="auto"/>
              </w:rPr>
            </w:pPr>
            <w:r>
              <w:rPr>
                <w:rFonts w:ascii="Arial" w:cs="Arial" w:eastAsia="Arial" w:hAnsi="Arial"/>
                <w:sz w:val="14"/>
                <w:szCs w:val="14"/>
                <w:color w:val="auto"/>
              </w:rPr>
              <w:t>5.3</w:t>
            </w:r>
          </w:p>
        </w:tc>
        <w:tc>
          <w:tcPr>
            <w:tcW w:w="920" w:type="dxa"/>
            <w:vAlign w:val="bottom"/>
          </w:tcPr>
          <w:p>
            <w:pPr>
              <w:jc w:val="right"/>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44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14.0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Deferred Tax Liabilities</w:t>
            </w:r>
          </w:p>
        </w:tc>
        <w:tc>
          <w:tcPr>
            <w:tcW w:w="4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Accumulated Deferred Income Taxes</w:t>
            </w:r>
          </w:p>
        </w:tc>
        <w:tc>
          <w:tcPr>
            <w:tcW w:w="44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$170.7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0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Recorded as:</w:t>
            </w:r>
          </w:p>
        </w:tc>
        <w:tc>
          <w:tcPr>
            <w:tcW w:w="4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 xml:space="preserve">Net Current Deferred Tax Liabilities </w:t>
            </w:r>
            <w:r>
              <w:rPr>
                <w:rFonts w:ascii="Arial" w:cs="Arial" w:eastAsia="Arial" w:hAnsi="Arial"/>
                <w:sz w:val="14"/>
                <w:szCs w:val="14"/>
                <w:i w:val="1"/>
                <w:iCs w:val="1"/>
                <w:color w:val="auto"/>
              </w:rPr>
              <w:t>(b)</w:t>
            </w:r>
          </w:p>
        </w:tc>
        <w:tc>
          <w:tcPr>
            <w:tcW w:w="444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Long-Term Deferred Tax Liabilities</w:t>
            </w:r>
          </w:p>
        </w:tc>
        <w:tc>
          <w:tcPr>
            <w:tcW w:w="44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169.6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Deferred Tax Liabilities</w:t>
            </w:r>
          </w:p>
        </w:tc>
        <w:tc>
          <w:tcPr>
            <w:tcW w:w="4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$170.7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Includes Unfunded Employee Benefits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Included in Other Current Liabilities.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 xml:space="preserve">Uncertain Tax Positions. </w:t>
      </w:r>
      <w:r>
        <w:rPr>
          <w:rFonts w:ascii="Arial" w:cs="Arial" w:eastAsia="Arial" w:hAnsi="Arial"/>
          <w:sz w:val="14"/>
          <w:szCs w:val="14"/>
          <w:color w:val="auto"/>
        </w:rPr>
        <w:t>Effective January 1, 2007, we adopted the provisions of FIN 48, “Accounting for Uncertainty in Income Taxes – an Interpretation of FASB Statement No. 109.” As a result</w:t>
      </w:r>
      <w:r>
        <w:rPr>
          <w:rFonts w:ascii="Arial" w:cs="Arial" w:eastAsia="Arial" w:hAnsi="Arial"/>
          <w:sz w:val="14"/>
          <w:szCs w:val="14"/>
          <w:b w:val="1"/>
          <w:bCs w:val="1"/>
          <w:color w:val="auto"/>
        </w:rPr>
        <w:t xml:space="preserve"> </w:t>
      </w:r>
      <w:r>
        <w:rPr>
          <w:rFonts w:ascii="Arial" w:cs="Arial" w:eastAsia="Arial" w:hAnsi="Arial"/>
          <w:sz w:val="14"/>
          <w:szCs w:val="14"/>
          <w:color w:val="auto"/>
        </w:rPr>
        <w:t>of the implementation of FIN 48, we recognized a $1.0 million increase in the liability for unrecognized tax benefits. The adoption of FIN 48 also resulted in a reduction in retained earnings of $0.7 million, a reduction of deferred tax liabilities of $0.8 million and an increase in accrued interest of $0.5 million. Subsequent to the implementation of FIN 48, ALLETE’s gross unrecognized tax benefits were $10.4 million. Of this total, $6.8 million (net of federal tax benefit on state issues) represents the amount of unrecognized tax benefits that, if recognized, would favorably impact the 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74560" cy="1092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4560" cy="10922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Uncertain Tax Positions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2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Gross Unrecognized Income Tax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2007</w:t>
            </w:r>
          </w:p>
        </w:tc>
        <w:tc>
          <w:tcPr>
            <w:tcW w:w="322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spacing w:after="0"/>
              <w:rPr>
                <w:sz w:val="20"/>
                <w:szCs w:val="20"/>
                <w:color w:val="auto"/>
              </w:rPr>
            </w:pPr>
            <w:r>
              <w:rPr>
                <w:rFonts w:ascii="Arial" w:cs="Arial" w:eastAsia="Arial" w:hAnsi="Arial"/>
                <w:sz w:val="14"/>
                <w:szCs w:val="14"/>
                <w:color w:val="auto"/>
              </w:rPr>
              <w:t>Balance at January 1, 2007</w:t>
            </w:r>
          </w:p>
        </w:tc>
        <w:tc>
          <w:tcPr>
            <w:tcW w:w="3220" w:type="dxa"/>
            <w:vAlign w:val="bottom"/>
          </w:tcPr>
          <w:p>
            <w:pPr>
              <w:jc w:val="right"/>
              <w:ind w:right="36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4"/>
                <w:szCs w:val="14"/>
                <w:color w:val="auto"/>
              </w:rPr>
              <w:t>Additions for Tax Positions Related to the Current Year</w:t>
            </w:r>
          </w:p>
        </w:tc>
        <w:tc>
          <w:tcPr>
            <w:tcW w:w="3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spacing w:after="0"/>
              <w:rPr>
                <w:sz w:val="20"/>
                <w:szCs w:val="20"/>
                <w:color w:val="auto"/>
              </w:rPr>
            </w:pPr>
            <w:r>
              <w:rPr>
                <w:rFonts w:ascii="Arial" w:cs="Arial" w:eastAsia="Arial" w:hAnsi="Arial"/>
                <w:sz w:val="14"/>
                <w:szCs w:val="14"/>
                <w:color w:val="auto"/>
              </w:rPr>
              <w:t>Reductions for Tax Positions Related to the Current Year</w:t>
            </w:r>
          </w:p>
        </w:tc>
        <w:tc>
          <w:tcPr>
            <w:tcW w:w="3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4"/>
                <w:szCs w:val="14"/>
                <w:color w:val="auto"/>
              </w:rPr>
              <w:t>Additions for Tax Positions Related to Prior Years</w:t>
            </w:r>
          </w:p>
        </w:tc>
        <w:tc>
          <w:tcPr>
            <w:tcW w:w="3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spacing w:after="0"/>
              <w:rPr>
                <w:sz w:val="20"/>
                <w:szCs w:val="20"/>
                <w:color w:val="auto"/>
              </w:rPr>
            </w:pPr>
            <w:r>
              <w:rPr>
                <w:rFonts w:ascii="Arial" w:cs="Arial" w:eastAsia="Arial" w:hAnsi="Arial"/>
                <w:sz w:val="14"/>
                <w:szCs w:val="14"/>
                <w:color w:val="auto"/>
              </w:rPr>
              <w:t>Reduction for Tax Positions Related to Prior Years</w:t>
            </w:r>
          </w:p>
        </w:tc>
        <w:tc>
          <w:tcPr>
            <w:tcW w:w="3220" w:type="dxa"/>
            <w:vAlign w:val="bottom"/>
          </w:tcPr>
          <w:p>
            <w:pPr>
              <w:jc w:val="right"/>
              <w:ind w:right="3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Settlements</w:t>
            </w:r>
          </w:p>
        </w:tc>
        <w:tc>
          <w:tcPr>
            <w:tcW w:w="3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spacing w:after="0"/>
              <w:rPr>
                <w:sz w:val="20"/>
                <w:szCs w:val="20"/>
                <w:color w:val="auto"/>
              </w:rPr>
            </w:pPr>
            <w:r>
              <w:rPr>
                <w:rFonts w:ascii="Arial" w:cs="Arial" w:eastAsia="Arial" w:hAnsi="Arial"/>
                <w:sz w:val="14"/>
                <w:szCs w:val="14"/>
                <w:color w:val="auto"/>
              </w:rPr>
              <w:t>Balance at December 31, 2007</w:t>
            </w:r>
          </w:p>
        </w:tc>
        <w:tc>
          <w:tcPr>
            <w:tcW w:w="3220" w:type="dxa"/>
            <w:vAlign w:val="bottom"/>
          </w:tcPr>
          <w:p>
            <w:pPr>
              <w:jc w:val="right"/>
              <w:ind w:right="3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Less: Tax Attributable to Temporary Items and Federal Benefit on State Tax</w:t>
            </w:r>
          </w:p>
        </w:tc>
        <w:tc>
          <w:tcPr>
            <w:tcW w:w="3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368"/>
        </w:trPr>
        <w:tc>
          <w:tcPr>
            <w:tcW w:w="8240" w:type="dxa"/>
            <w:vAlign w:val="bottom"/>
            <w:gridSpan w:val="2"/>
          </w:tcPr>
          <w:p>
            <w:pPr>
              <w:spacing w:after="0"/>
              <w:rPr>
                <w:sz w:val="20"/>
                <w:szCs w:val="20"/>
                <w:color w:val="auto"/>
              </w:rPr>
            </w:pPr>
            <w:r>
              <w:rPr>
                <w:rFonts w:ascii="Arial" w:cs="Arial" w:eastAsia="Arial" w:hAnsi="Arial"/>
                <w:sz w:val="14"/>
                <w:szCs w:val="14"/>
                <w:color w:val="auto"/>
              </w:rPr>
              <w:t>Total Unrecognized Tax Benefits that, if Recognized, Would Impact the Effective Income Tax Rate as of December 31, 2007</w:t>
            </w:r>
          </w:p>
        </w:tc>
        <w:tc>
          <w:tcPr>
            <w:tcW w:w="3220" w:type="dxa"/>
            <w:vAlign w:val="bottom"/>
          </w:tcPr>
          <w:p>
            <w:pPr>
              <w:jc w:val="right"/>
              <w:ind w:right="36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220" w:type="dxa"/>
            <w:vAlign w:val="bottom"/>
            <w:tcBorders>
              <w:top w:val="single" w:sz="8" w:color="auto"/>
            </w:tcBorders>
            <w:shd w:val="clear" w:color="auto" w:fill="CCEEFF"/>
          </w:tcPr>
          <w:p>
            <w:pPr>
              <w:spacing w:after="0"/>
              <w:rPr>
                <w:sz w:val="14"/>
                <w:szCs w:val="14"/>
                <w:color w:val="auto"/>
              </w:rPr>
            </w:pPr>
          </w:p>
        </w:tc>
        <w:tc>
          <w:tcPr>
            <w:tcW w:w="3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2008</w:t>
            </w:r>
          </w:p>
        </w:tc>
        <w:tc>
          <w:tcPr>
            <w:tcW w:w="3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4"/>
                <w:szCs w:val="14"/>
                <w:color w:val="auto"/>
              </w:rPr>
              <w:t>Balance at January 1, 2008</w:t>
            </w:r>
          </w:p>
        </w:tc>
        <w:tc>
          <w:tcPr>
            <w:tcW w:w="3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ind w:left="120"/>
              <w:spacing w:after="0"/>
              <w:rPr>
                <w:sz w:val="20"/>
                <w:szCs w:val="20"/>
                <w:color w:val="auto"/>
              </w:rPr>
            </w:pPr>
            <w:r>
              <w:rPr>
                <w:rFonts w:ascii="Arial" w:cs="Arial" w:eastAsia="Arial" w:hAnsi="Arial"/>
                <w:sz w:val="14"/>
                <w:szCs w:val="14"/>
                <w:color w:val="auto"/>
              </w:rPr>
              <w:t>Additions for Tax Positions Related to the Current Year</w:t>
            </w:r>
          </w:p>
        </w:tc>
        <w:tc>
          <w:tcPr>
            <w:tcW w:w="3220" w:type="dxa"/>
            <w:vAlign w:val="bottom"/>
          </w:tcPr>
          <w:p>
            <w:pPr>
              <w:jc w:val="right"/>
              <w:ind w:right="3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Reductions for Tax Positions Related to the Current Year</w:t>
            </w:r>
          </w:p>
        </w:tc>
        <w:tc>
          <w:tcPr>
            <w:tcW w:w="3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ind w:left="120"/>
              <w:spacing w:after="0"/>
              <w:rPr>
                <w:sz w:val="20"/>
                <w:szCs w:val="20"/>
                <w:color w:val="auto"/>
              </w:rPr>
            </w:pPr>
            <w:r>
              <w:rPr>
                <w:rFonts w:ascii="Arial" w:cs="Arial" w:eastAsia="Arial" w:hAnsi="Arial"/>
                <w:sz w:val="14"/>
                <w:szCs w:val="14"/>
                <w:color w:val="auto"/>
              </w:rPr>
              <w:t>Additions for Tax Positions Related to Prior Years</w:t>
            </w:r>
          </w:p>
        </w:tc>
        <w:tc>
          <w:tcPr>
            <w:tcW w:w="3220" w:type="dxa"/>
            <w:vAlign w:val="bottom"/>
          </w:tcPr>
          <w:p>
            <w:pPr>
              <w:jc w:val="right"/>
              <w:ind w:right="36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Reduction for Tax Positions Related to Prior Years</w:t>
            </w:r>
          </w:p>
        </w:tc>
        <w:tc>
          <w:tcPr>
            <w:tcW w:w="3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Settlements</w:t>
            </w:r>
          </w:p>
        </w:tc>
        <w:tc>
          <w:tcPr>
            <w:tcW w:w="3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2008</w:t>
            </w:r>
          </w:p>
        </w:tc>
        <w:tc>
          <w:tcPr>
            <w:tcW w:w="32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Less: Tax Attributable to Temporary Items and Federal Benefit on State Tax</w:t>
            </w:r>
          </w:p>
        </w:tc>
        <w:tc>
          <w:tcPr>
            <w:tcW w:w="3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8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Unrecognized Tax Benefits that, if Recognized, Would Impact the Effective Tax Rate as of December 31, 2008</w:t>
            </w:r>
          </w:p>
        </w:tc>
        <w:tc>
          <w:tcPr>
            <w:tcW w:w="32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728027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4" w:name="page75"/>
    <w:bookmarkEnd w:id="74"/>
    <w:p>
      <w:pPr>
        <w:spacing w:after="0"/>
        <w:tabs>
          <w:tab w:leader="none" w:pos="620" w:val="left"/>
        </w:tabs>
        <w:rPr>
          <w:sz w:val="20"/>
          <w:szCs w:val="20"/>
          <w:color w:val="auto"/>
        </w:rPr>
      </w:pPr>
      <w:r>
        <w:rPr>
          <w:rFonts w:ascii="Arial" w:cs="Arial" w:eastAsia="Arial" w:hAnsi="Arial"/>
          <w:sz w:val="14"/>
          <w:szCs w:val="14"/>
          <w:b w:val="1"/>
          <w:bCs w:val="1"/>
          <w:color w:val="auto"/>
        </w:rPr>
        <w:t>Note 11.</w:t>
      </w:r>
      <w:r>
        <w:rPr>
          <w:sz w:val="20"/>
          <w:szCs w:val="20"/>
          <w:color w:val="auto"/>
        </w:rPr>
        <w:tab/>
      </w:r>
      <w:r>
        <w:rPr>
          <w:rFonts w:ascii="Arial" w:cs="Arial" w:eastAsia="Arial" w:hAnsi="Arial"/>
          <w:sz w:val="12"/>
          <w:szCs w:val="12"/>
          <w:b w:val="1"/>
          <w:bCs w:val="1"/>
          <w:color w:val="auto"/>
        </w:rPr>
        <w:t>Income Tax Expense (Continued)</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recognize interest related to unrecognized tax benefits in interest expense and penalties in operating expenses in the Consolidated Statement of Income. As of December 31, 2007, the Company had $0.9 million of accrued interest and no accrued penalties related to unrecognized tax benefits included in the Consolidated Balance Sheet. As of December 31, 2008, the liability for the payment of interest is $0.6 million with no penalties.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We file income tax returns in the U.S. federal and various state jurisdictions. ALLETE is no longer subject to federal examination for years before 2005 or state examinations for years before 2004.</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We expect that the total amount of unrecognized tax benefits as of December 31, 2008, will change by less than $1.0 million in the next 12 months due to statute expirations.</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12.</w:t>
      </w:r>
      <w:r>
        <w:rPr>
          <w:sz w:val="20"/>
          <w:szCs w:val="20"/>
          <w:color w:val="auto"/>
        </w:rPr>
        <w:tab/>
      </w:r>
      <w:r>
        <w:rPr>
          <w:rFonts w:ascii="Arial" w:cs="Arial" w:eastAsia="Arial" w:hAnsi="Arial"/>
          <w:sz w:val="12"/>
          <w:szCs w:val="12"/>
          <w:b w:val="1"/>
          <w:bCs w:val="1"/>
          <w:color w:val="auto"/>
        </w:rPr>
        <w:t>Discontinued Operations</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Water Services. </w:t>
      </w:r>
      <w:r>
        <w:rPr>
          <w:rFonts w:ascii="Arial" w:cs="Arial" w:eastAsia="Arial" w:hAnsi="Arial"/>
          <w:sz w:val="14"/>
          <w:szCs w:val="14"/>
          <w:color w:val="auto"/>
        </w:rPr>
        <w:t>Financial results for 2006 reflected additional legal and administrative expenses incurred by the Company to exit the Water Services businesses. There were no discontinued</w:t>
      </w:r>
      <w:r>
        <w:rPr>
          <w:rFonts w:ascii="Arial" w:cs="Arial" w:eastAsia="Arial" w:hAnsi="Arial"/>
          <w:sz w:val="14"/>
          <w:szCs w:val="14"/>
          <w:b w:val="1"/>
          <w:bCs w:val="1"/>
          <w:color w:val="auto"/>
        </w:rPr>
        <w:t xml:space="preserve"> </w:t>
      </w:r>
      <w:r>
        <w:rPr>
          <w:rFonts w:ascii="Arial" w:cs="Arial" w:eastAsia="Arial" w:hAnsi="Arial"/>
          <w:sz w:val="14"/>
          <w:szCs w:val="14"/>
          <w:color w:val="auto"/>
        </w:rPr>
        <w:t>operations in 2008 or 2007.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Discontinued Operations</w:t>
            </w:r>
          </w:p>
        </w:tc>
        <w:tc>
          <w:tcPr>
            <w:tcW w:w="49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b w:val="1"/>
                <w:bCs w:val="1"/>
                <w:color w:val="auto"/>
              </w:rPr>
              <w:t>Summary Income Statement</w:t>
            </w:r>
          </w:p>
        </w:tc>
        <w:tc>
          <w:tcPr>
            <w:tcW w:w="496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4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49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Loss on Disposal</w:t>
            </w:r>
          </w:p>
        </w:tc>
        <w:tc>
          <w:tcPr>
            <w:tcW w:w="496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Water Services</w:t>
            </w:r>
          </w:p>
        </w:tc>
        <w:tc>
          <w:tcPr>
            <w:tcW w:w="4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spacing w:after="0"/>
              <w:rPr>
                <w:sz w:val="15"/>
                <w:szCs w:val="15"/>
                <w:color w:val="auto"/>
              </w:rPr>
            </w:pPr>
          </w:p>
        </w:tc>
        <w:tc>
          <w:tcPr>
            <w:tcW w:w="4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496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Water Services</w:t>
            </w:r>
          </w:p>
        </w:tc>
        <w:tc>
          <w:tcPr>
            <w:tcW w:w="4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w:t>
            </w: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Net Loss on Disposal</w:t>
            </w:r>
          </w:p>
        </w:tc>
        <w:tc>
          <w:tcPr>
            <w:tcW w:w="4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(0.9)</w:t>
            </w:r>
          </w:p>
        </w:tc>
      </w:tr>
      <w:tr>
        <w:trPr>
          <w:trHeight w:val="174"/>
        </w:trPr>
        <w:tc>
          <w:tcPr>
            <w:tcW w:w="20" w:type="dxa"/>
            <w:vAlign w:val="bottom"/>
            <w:tcBorders>
              <w:bottom w:val="single" w:sz="8" w:color="auto"/>
            </w:tcBorders>
          </w:tcPr>
          <w:p>
            <w:pPr>
              <w:spacing w:after="0"/>
              <w:rPr>
                <w:sz w:val="15"/>
                <w:szCs w:val="15"/>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Loss from Discontinued Operations</w:t>
            </w:r>
          </w:p>
        </w:tc>
        <w:tc>
          <w:tcPr>
            <w:tcW w:w="4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r>
    </w:tbl>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13.</w:t>
      </w:r>
      <w:r>
        <w:rPr>
          <w:sz w:val="20"/>
          <w:szCs w:val="20"/>
          <w:color w:val="auto"/>
        </w:rPr>
        <w:tab/>
      </w:r>
      <w:r>
        <w:rPr>
          <w:rFonts w:ascii="Arial" w:cs="Arial" w:eastAsia="Arial" w:hAnsi="Arial"/>
          <w:sz w:val="12"/>
          <w:szCs w:val="12"/>
          <w:b w:val="1"/>
          <w:bCs w:val="1"/>
          <w:color w:val="auto"/>
        </w:rPr>
        <w:t>Other Comprehensive Income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w:t>
            </w:r>
          </w:p>
        </w:tc>
        <w:tc>
          <w:tcPr>
            <w:tcW w:w="290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Pre-Tax</w:t>
            </w:r>
          </w:p>
        </w:tc>
        <w:tc>
          <w:tcPr>
            <w:tcW w:w="2000" w:type="dxa"/>
            <w:vAlign w:val="bottom"/>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Tax</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Net-of-Tax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1048"/>
              <w:spacing w:after="0"/>
              <w:rPr>
                <w:sz w:val="20"/>
                <w:szCs w:val="20"/>
                <w:color w:val="auto"/>
              </w:rPr>
            </w:pPr>
            <w:r>
              <w:rPr>
                <w:rFonts w:ascii="Arial" w:cs="Arial" w:eastAsia="Arial" w:hAnsi="Arial"/>
                <w:sz w:val="14"/>
                <w:szCs w:val="14"/>
                <w:b w:val="1"/>
                <w:bCs w:val="1"/>
                <w:color w:val="auto"/>
              </w:rPr>
              <w:t>Expense</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2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(Benefit)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2008</w:t>
            </w: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Unrealized Loss on Securities During the Year</w:t>
            </w:r>
          </w:p>
        </w:tc>
        <w:tc>
          <w:tcPr>
            <w:tcW w:w="2900" w:type="dxa"/>
            <w:vAlign w:val="bottom"/>
          </w:tcPr>
          <w:p>
            <w:pPr>
              <w:jc w:val="right"/>
              <w:ind w:right="528"/>
              <w:spacing w:after="0"/>
              <w:rPr>
                <w:sz w:val="20"/>
                <w:szCs w:val="20"/>
                <w:color w:val="auto"/>
              </w:rPr>
            </w:pPr>
            <w:r>
              <w:rPr>
                <w:rFonts w:ascii="Arial" w:cs="Arial" w:eastAsia="Arial" w:hAnsi="Arial"/>
                <w:sz w:val="14"/>
                <w:szCs w:val="14"/>
                <w:color w:val="auto"/>
              </w:rPr>
              <w:t>$(9.7)</w:t>
            </w:r>
          </w:p>
        </w:tc>
        <w:tc>
          <w:tcPr>
            <w:tcW w:w="2000" w:type="dxa"/>
            <w:vAlign w:val="bottom"/>
          </w:tcPr>
          <w:p>
            <w:pPr>
              <w:jc w:val="right"/>
              <w:ind w:right="768"/>
              <w:spacing w:after="0"/>
              <w:rPr>
                <w:sz w:val="20"/>
                <w:szCs w:val="20"/>
                <w:color w:val="auto"/>
              </w:rPr>
            </w:pPr>
            <w:r>
              <w:rPr>
                <w:rFonts w:ascii="Arial" w:cs="Arial" w:eastAsia="Arial" w:hAnsi="Arial"/>
                <w:sz w:val="14"/>
                <w:szCs w:val="14"/>
                <w:color w:val="auto"/>
              </w:rPr>
              <w:t>$(3.7)</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Reclassification Adjustment for Gains Included in Income</w:t>
            </w:r>
          </w:p>
        </w:tc>
        <w:tc>
          <w:tcPr>
            <w:tcW w:w="29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(6.4)</w:t>
            </w:r>
          </w:p>
        </w:tc>
        <w:tc>
          <w:tcPr>
            <w:tcW w:w="200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(2.7)</w:t>
            </w: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Defined Benefit Pension and Other Postretirement Plans</w:t>
            </w:r>
          </w:p>
        </w:tc>
        <w:tc>
          <w:tcPr>
            <w:tcW w:w="29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(32.1)</w:t>
            </w:r>
          </w:p>
        </w:tc>
        <w:tc>
          <w:tcPr>
            <w:tcW w:w="20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(13.3)</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29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$(48.2)</w:t>
            </w:r>
          </w:p>
        </w:tc>
        <w:tc>
          <w:tcPr>
            <w:tcW w:w="200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$(19.7)</w:t>
            </w:r>
          </w:p>
        </w:tc>
        <w:tc>
          <w:tcPr>
            <w:tcW w:w="13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2007</w:t>
            </w: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Unrealized Gain on Securities During the Year</w:t>
            </w:r>
          </w:p>
        </w:tc>
        <w:tc>
          <w:tcPr>
            <w:tcW w:w="2900" w:type="dxa"/>
            <w:vAlign w:val="bottom"/>
          </w:tcPr>
          <w:p>
            <w:pPr>
              <w:jc w:val="right"/>
              <w:ind w:right="528"/>
              <w:spacing w:after="0"/>
              <w:rPr>
                <w:sz w:val="20"/>
                <w:szCs w:val="20"/>
                <w:color w:val="auto"/>
              </w:rPr>
            </w:pPr>
            <w:r>
              <w:rPr>
                <w:rFonts w:ascii="Arial" w:cs="Arial" w:eastAsia="Arial" w:hAnsi="Arial"/>
                <w:sz w:val="14"/>
                <w:szCs w:val="14"/>
                <w:color w:val="auto"/>
              </w:rPr>
              <w:t>$1.4</w:t>
            </w:r>
          </w:p>
        </w:tc>
        <w:tc>
          <w:tcPr>
            <w:tcW w:w="2000" w:type="dxa"/>
            <w:vAlign w:val="bottom"/>
          </w:tcPr>
          <w:p>
            <w:pPr>
              <w:jc w:val="right"/>
              <w:ind w:right="768"/>
              <w:spacing w:after="0"/>
              <w:rPr>
                <w:sz w:val="20"/>
                <w:szCs w:val="20"/>
                <w:color w:val="auto"/>
              </w:rPr>
            </w:pPr>
            <w:r>
              <w:rPr>
                <w:rFonts w:ascii="Arial" w:cs="Arial" w:eastAsia="Arial" w:hAnsi="Arial"/>
                <w:sz w:val="14"/>
                <w:szCs w:val="14"/>
                <w:color w:val="auto"/>
              </w:rPr>
              <w:t>$0.3</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Defined Benefit Pension and Other Postretirement Plans</w:t>
            </w:r>
          </w:p>
        </w:tc>
        <w:tc>
          <w:tcPr>
            <w:tcW w:w="29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5.5</w:t>
            </w:r>
          </w:p>
        </w:tc>
        <w:tc>
          <w:tcPr>
            <w:tcW w:w="200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2.3</w:t>
            </w:r>
          </w:p>
        </w:tc>
        <w:tc>
          <w:tcPr>
            <w:tcW w:w="13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Comprehensive Income</w:t>
            </w:r>
          </w:p>
        </w:tc>
        <w:tc>
          <w:tcPr>
            <w:tcW w:w="29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$6.9</w:t>
            </w:r>
          </w:p>
        </w:tc>
        <w:tc>
          <w:tcPr>
            <w:tcW w:w="20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$2.6</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2006</w:t>
            </w:r>
          </w:p>
        </w:tc>
        <w:tc>
          <w:tcPr>
            <w:tcW w:w="2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on Securities During the Year</w:t>
            </w:r>
          </w:p>
        </w:tc>
        <w:tc>
          <w:tcPr>
            <w:tcW w:w="29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$2.5</w:t>
            </w:r>
          </w:p>
        </w:tc>
        <w:tc>
          <w:tcPr>
            <w:tcW w:w="200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$0.6</w:t>
            </w: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Defined Benefit Pension and Other Postretirement Plans</w:t>
            </w:r>
          </w:p>
        </w:tc>
        <w:tc>
          <w:tcPr>
            <w:tcW w:w="29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11.0</w:t>
            </w:r>
          </w:p>
        </w:tc>
        <w:tc>
          <w:tcPr>
            <w:tcW w:w="20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4.6</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29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$13.5</w:t>
            </w:r>
          </w:p>
        </w:tc>
        <w:tc>
          <w:tcPr>
            <w:tcW w:w="200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$5.2</w:t>
            </w:r>
          </w:p>
        </w:tc>
        <w:tc>
          <w:tcPr>
            <w:tcW w:w="13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365"/>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Income (Loss)</w:t>
            </w:r>
          </w:p>
        </w:tc>
        <w:tc>
          <w:tcPr>
            <w:tcW w:w="2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w:t>
            </w:r>
          </w:p>
        </w:tc>
        <w:tc>
          <w:tcPr>
            <w:tcW w:w="290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2008</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2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2900" w:type="dxa"/>
            <w:vAlign w:val="bottom"/>
          </w:tcPr>
          <w:p>
            <w:pPr>
              <w:spacing w:after="0"/>
              <w:rPr>
                <w:sz w:val="14"/>
                <w:szCs w:val="14"/>
                <w:color w:val="auto"/>
              </w:rPr>
            </w:pPr>
          </w:p>
        </w:tc>
        <w:tc>
          <w:tcPr>
            <w:tcW w:w="2000" w:type="dxa"/>
            <w:vAlign w:val="bottom"/>
          </w:tcPr>
          <w:p>
            <w:pPr>
              <w:jc w:val="right"/>
              <w:ind w:right="1028"/>
              <w:spacing w:after="0"/>
              <w:rPr>
                <w:sz w:val="20"/>
                <w:szCs w:val="20"/>
                <w:color w:val="auto"/>
              </w:rPr>
            </w:pPr>
            <w:r>
              <w:rPr>
                <w:rFonts w:ascii="Arial" w:cs="Arial" w:eastAsia="Arial" w:hAnsi="Arial"/>
                <w:sz w:val="14"/>
                <w:szCs w:val="14"/>
                <w:color w:val="auto"/>
              </w:rPr>
              <w:t>$(4.6)</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Defined Benefit Pension and Other Postretirement Plans</w:t>
            </w:r>
          </w:p>
        </w:tc>
        <w:tc>
          <w:tcPr>
            <w:tcW w:w="290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(28.4)</w:t>
            </w:r>
          </w:p>
        </w:tc>
        <w:tc>
          <w:tcPr>
            <w:tcW w:w="13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Accumulated Other Comprehensive Loss</w:t>
            </w:r>
          </w:p>
        </w:tc>
        <w:tc>
          <w:tcPr>
            <w:tcW w:w="29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$(33.0)</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75" w:name="page76"/>
    <w:bookmarkEnd w:id="75"/>
    <w:p>
      <w:pPr>
        <w:spacing w:after="0"/>
        <w:tabs>
          <w:tab w:leader="none" w:pos="640" w:val="left"/>
        </w:tabs>
        <w:rPr>
          <w:sz w:val="20"/>
          <w:szCs w:val="20"/>
          <w:color w:val="auto"/>
        </w:rPr>
      </w:pPr>
      <w:r>
        <w:rPr>
          <w:rFonts w:ascii="Arial" w:cs="Arial" w:eastAsia="Arial" w:hAnsi="Arial"/>
          <w:sz w:val="14"/>
          <w:szCs w:val="14"/>
          <w:b w:val="1"/>
          <w:bCs w:val="1"/>
          <w:color w:val="auto"/>
        </w:rPr>
        <w:t>Note 14.</w:t>
      </w:r>
      <w:r>
        <w:rPr>
          <w:sz w:val="20"/>
          <w:szCs w:val="20"/>
          <w:color w:val="auto"/>
        </w:rPr>
        <w:tab/>
      </w:r>
      <w:r>
        <w:rPr>
          <w:rFonts w:ascii="Arial" w:cs="Arial" w:eastAsia="Arial" w:hAnsi="Arial"/>
          <w:sz w:val="12"/>
          <w:szCs w:val="12"/>
          <w:b w:val="1"/>
          <w:bCs w:val="1"/>
          <w:color w:val="auto"/>
        </w:rPr>
        <w:t>Pension and Other Postretirement Benefit Plans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noncontributory defined benefit pension plans covering eligible employees. The plans provide defined benefits based on years of service and final average pay. We also have defined contribution pension plans covering substantially all employees; employer contributions are made through our employee stock ownership plan. (See Note 15. Employee Stock and Incentive Plans.) In 2008, we made a total of $10.9 million in contributions to ALLETE’s defined benefit pension plans (no contributions were made in 2007).</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August 9, 2006, ALLETE’s Board of Directors approved amendments to the Minnesota Power and Affiliated Companies Retirement Plan A (Retirement Plan A) and the Minnesota Power and Affiliated Companies Retirement Savings and Stock Ownership Plan (RSOP). Retirement Plan A was amended to suspend further crediting service pursuant to the plan, effective as of September 30, 2006, and to close Retirement Plan A to new participants. Participants will continue to accrue benefits under the plan for future pay increases. In conjunction with this change, the Board of Directors took action to increase benefits employees will receive under the RSOP. The modification of Retirement Plan A required us to re-measure our pension expense as of August 9, 2006. As a result of the re-measurement, Retirement Plan A pension expense for 2006 was reduced by $0.2 million.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have postretirement health care and life insurance plans covering eligible employees.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Contributions deductible for income tax purposes are made directly to the VEBAs; nondeductible contributions are made to the irrevocable grantor trust. Amounts are transferred from the irrevocable grantor trust to the VEBAs when they become deductible for income tax purposes. In 2008, $10.1 million was transferred from the grantor trust to the VEBAs ($6.2 million in 2007; $3.6 million in 2006). In 2008, including the amount transferred from the grantor trust, we made a total of $13.8 million in contributions to ALLETE’s postretirement health and life plan ($12.6 million in 2007).</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expect to contribute approximately $30 - $35 million to our defined benefit pension plans and $11 million to our postretirement health and life plans in 2009. We are unable to predict contribution levels to our defined benefit pension or postretirement health and life plans after 2009.</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September 2006, the FASB issued SFAS 158, “Employers’ Accounting for Defined Benefit Pension and Other Postretirement Plans” (SFAS 158). SFAS 158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that are not recognized as components of net periodic benefit cost. SFAS 158 also requires additional disclosures in the notes to financial statements. SFAS 158 was effective for fiscal years ending after December 15, 2006.</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defined benefit pension and postretirement health and life benefit costs recognized annually by our regulated companies are expected to be recovered through rates filed with our regulatory jurisdictions. As a result, these amounts that are required to otherwise be recognized in accumulated other comprehensive income under the provisions of SFAS 158 have been recognized as a long-term regulatory asset on our consolidated balance sheet, in accordance with the requirements of SFAS 71. The defined benefit pension and postretirement health and life benefit costs associated with our other non-rate base operations are recognized in accumulated other comprehensive income, in accordance with SFAS 158.</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Pursuant to SFAS 158, we were required to change our measurement date from September 30 to December 31 during the year ended December 31, 2008. On January 1, 2008, ALLETE recorded three months of pension expense as a reduction to retained earnings in the amount of $1.6 million, net of tax, to reflect the impact of this measurement date change. Also on January 1, 2008, we recorded $0.8 million relating to three months of amortization for transition obligations, prior service costs, and prior gains and losses within accumulated other comprehensive income.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6"/>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Note 14.   Pension and Other Postretirement Benefit Plans (Continued)</w:t>
            </w:r>
          </w:p>
        </w:tc>
        <w:tc>
          <w:tcPr>
            <w:tcW w:w="3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3460" w:type="dxa"/>
            <w:vAlign w:val="bottom"/>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December 31,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Pension Obligation and Funded Status</w:t>
            </w:r>
          </w:p>
        </w:tc>
        <w:tc>
          <w:tcPr>
            <w:tcW w:w="34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2008</w:t>
            </w: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Accumulated Benefit Obligation</w:t>
            </w:r>
          </w:p>
        </w:tc>
        <w:tc>
          <w:tcPr>
            <w:tcW w:w="34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$406.6</w:t>
            </w: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$384.9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Change in Benefit Obligation</w:t>
            </w:r>
          </w:p>
        </w:tc>
        <w:tc>
          <w:tcPr>
            <w:tcW w:w="3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Obligation, Beginning of Year</w:t>
            </w:r>
          </w:p>
        </w:tc>
        <w:tc>
          <w:tcPr>
            <w:tcW w:w="34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$421.9</w:t>
            </w:r>
          </w:p>
        </w:tc>
        <w:tc>
          <w:tcPr>
            <w:tcW w:w="1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$417.7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3460" w:type="dxa"/>
            <w:vAlign w:val="bottom"/>
          </w:tcPr>
          <w:p>
            <w:pPr>
              <w:jc w:val="right"/>
              <w:ind w:right="708"/>
              <w:spacing w:after="0"/>
              <w:rPr>
                <w:sz w:val="20"/>
                <w:szCs w:val="20"/>
                <w:color w:val="auto"/>
              </w:rPr>
            </w:pPr>
            <w:r>
              <w:rPr>
                <w:rFonts w:ascii="Arial" w:cs="Arial" w:eastAsia="Arial" w:hAnsi="Arial"/>
                <w:sz w:val="14"/>
                <w:szCs w:val="14"/>
                <w:color w:val="auto"/>
              </w:rPr>
              <w:t>7.3</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Cost</w:t>
            </w:r>
          </w:p>
        </w:tc>
        <w:tc>
          <w:tcPr>
            <w:tcW w:w="34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31.8</w:t>
            </w:r>
          </w:p>
        </w:tc>
        <w:tc>
          <w:tcPr>
            <w:tcW w:w="1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Actuarial Loss (Gain)</w:t>
            </w:r>
          </w:p>
        </w:tc>
        <w:tc>
          <w:tcPr>
            <w:tcW w:w="3460" w:type="dxa"/>
            <w:vAlign w:val="bottom"/>
          </w:tcPr>
          <w:p>
            <w:pPr>
              <w:jc w:val="right"/>
              <w:ind w:right="708"/>
              <w:spacing w:after="0"/>
              <w:rPr>
                <w:sz w:val="20"/>
                <w:szCs w:val="20"/>
                <w:color w:val="auto"/>
              </w:rPr>
            </w:pPr>
            <w:r>
              <w:rPr>
                <w:rFonts w:ascii="Arial" w:cs="Arial" w:eastAsia="Arial" w:hAnsi="Arial"/>
                <w:sz w:val="14"/>
                <w:szCs w:val="14"/>
                <w:color w:val="auto"/>
              </w:rPr>
              <w:t>3.2</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Benefits Paid</w:t>
            </w:r>
          </w:p>
        </w:tc>
        <w:tc>
          <w:tcPr>
            <w:tcW w:w="34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(29.9)</w:t>
            </w:r>
          </w:p>
        </w:tc>
        <w:tc>
          <w:tcPr>
            <w:tcW w:w="1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Participant Contributions</w:t>
            </w:r>
          </w:p>
        </w:tc>
        <w:tc>
          <w:tcPr>
            <w:tcW w:w="34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6.1</w:t>
            </w: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Obligation, End of Year</w:t>
            </w:r>
          </w:p>
        </w:tc>
        <w:tc>
          <w:tcPr>
            <w:tcW w:w="34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$440.4</w:t>
            </w:r>
          </w:p>
        </w:tc>
        <w:tc>
          <w:tcPr>
            <w:tcW w:w="1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$421.9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Change in Plan Assets</w:t>
            </w:r>
          </w:p>
        </w:tc>
        <w:tc>
          <w:tcPr>
            <w:tcW w:w="3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Fair Value, Beginning of Year</w:t>
            </w:r>
          </w:p>
        </w:tc>
        <w:tc>
          <w:tcPr>
            <w:tcW w:w="34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$405.6</w:t>
            </w:r>
          </w:p>
        </w:tc>
        <w:tc>
          <w:tcPr>
            <w:tcW w:w="1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$364.7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Actual Return on Plan Assets</w:t>
            </w:r>
          </w:p>
        </w:tc>
        <w:tc>
          <w:tcPr>
            <w:tcW w:w="3460" w:type="dxa"/>
            <w:vAlign w:val="bottom"/>
          </w:tcPr>
          <w:p>
            <w:pPr>
              <w:jc w:val="right"/>
              <w:ind w:right="708"/>
              <w:spacing w:after="0"/>
              <w:rPr>
                <w:sz w:val="20"/>
                <w:szCs w:val="20"/>
                <w:color w:val="auto"/>
              </w:rPr>
            </w:pPr>
            <w:r>
              <w:rPr>
                <w:rFonts w:ascii="Arial" w:cs="Arial" w:eastAsia="Arial" w:hAnsi="Arial"/>
                <w:sz w:val="14"/>
                <w:szCs w:val="14"/>
                <w:color w:val="auto"/>
              </w:rPr>
              <w:t>(120.2)</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Employer Contribution</w:t>
            </w:r>
          </w:p>
        </w:tc>
        <w:tc>
          <w:tcPr>
            <w:tcW w:w="34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18.2</w:t>
            </w:r>
          </w:p>
        </w:tc>
        <w:tc>
          <w:tcPr>
            <w:tcW w:w="1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Benefits Paid</w:t>
            </w:r>
          </w:p>
        </w:tc>
        <w:tc>
          <w:tcPr>
            <w:tcW w:w="34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(29.9)</w:t>
            </w: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Fair Value, End of Year</w:t>
            </w:r>
          </w:p>
        </w:tc>
        <w:tc>
          <w:tcPr>
            <w:tcW w:w="34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$273.7</w:t>
            </w:r>
          </w:p>
        </w:tc>
        <w:tc>
          <w:tcPr>
            <w:tcW w:w="1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Funded Status, End of Year</w:t>
            </w:r>
          </w:p>
        </w:tc>
        <w:tc>
          <w:tcPr>
            <w:tcW w:w="34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$(166.7)</w:t>
            </w: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Pension Amounts Recognized in Consolidated Balance Sheet Consist of:</w:t>
            </w:r>
          </w:p>
        </w:tc>
        <w:tc>
          <w:tcPr>
            <w:tcW w:w="3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Noncurrent Assets</w:t>
            </w:r>
          </w:p>
        </w:tc>
        <w:tc>
          <w:tcPr>
            <w:tcW w:w="34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3460" w:type="dxa"/>
            <w:vAlign w:val="bottom"/>
          </w:tcPr>
          <w:p>
            <w:pPr>
              <w:jc w:val="right"/>
              <w:ind w:right="708"/>
              <w:spacing w:after="0"/>
              <w:rPr>
                <w:sz w:val="20"/>
                <w:szCs w:val="20"/>
                <w:color w:val="auto"/>
              </w:rPr>
            </w:pPr>
            <w:r>
              <w:rPr>
                <w:rFonts w:ascii="Arial" w:cs="Arial" w:eastAsia="Arial" w:hAnsi="Arial"/>
                <w:sz w:val="14"/>
                <w:szCs w:val="14"/>
                <w:color w:val="auto"/>
              </w:rPr>
              <w:t>$(0.9)</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Noncurrent Liabilities</w:t>
            </w:r>
          </w:p>
        </w:tc>
        <w:tc>
          <w:tcPr>
            <w:tcW w:w="34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$(165.8)</w:t>
            </w:r>
          </w:p>
        </w:tc>
        <w:tc>
          <w:tcPr>
            <w:tcW w:w="1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pension costs that are reported as a component within our consolidated balance sheet, reflected in regulatory long-term assets and accumulated other comprehensive income,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Unrecognized Pension Costs</w:t>
            </w:r>
          </w:p>
        </w:tc>
        <w:tc>
          <w:tcPr>
            <w:tcW w:w="46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46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2008</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6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Net Loss</w:t>
            </w:r>
          </w:p>
        </w:tc>
        <w:tc>
          <w:tcPr>
            <w:tcW w:w="4680" w:type="dxa"/>
            <w:vAlign w:val="bottom"/>
          </w:tcPr>
          <w:p>
            <w:pPr>
              <w:jc w:val="right"/>
              <w:ind w:right="848"/>
              <w:spacing w:after="0"/>
              <w:rPr>
                <w:sz w:val="20"/>
                <w:szCs w:val="20"/>
                <w:color w:val="auto"/>
              </w:rPr>
            </w:pPr>
            <w:r>
              <w:rPr>
                <w:rFonts w:ascii="Arial" w:cs="Arial" w:eastAsia="Arial" w:hAnsi="Arial"/>
                <w:sz w:val="14"/>
                <w:szCs w:val="14"/>
                <w:color w:val="auto"/>
              </w:rPr>
              <w:t>$193.2</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$31.1</w:t>
            </w:r>
          </w:p>
        </w:tc>
      </w:tr>
      <w:tr>
        <w:trPr>
          <w:trHeight w:val="172"/>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Prior Service Cost</w:t>
            </w:r>
          </w:p>
        </w:tc>
        <w:tc>
          <w:tcPr>
            <w:tcW w:w="468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2.4</w:t>
            </w:r>
          </w:p>
        </w:tc>
        <w:tc>
          <w:tcPr>
            <w:tcW w:w="14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3.2</w:t>
            </w:r>
          </w:p>
        </w:tc>
      </w:tr>
      <w:tr>
        <w:trPr>
          <w:trHeight w:val="174"/>
        </w:trPr>
        <w:tc>
          <w:tcPr>
            <w:tcW w:w="20" w:type="dxa"/>
            <w:vAlign w:val="bottom"/>
          </w:tcPr>
          <w:p>
            <w:pPr>
              <w:spacing w:after="0"/>
              <w:rPr>
                <w:sz w:val="15"/>
                <w:szCs w:val="15"/>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Transition Obligation</w:t>
            </w:r>
          </w:p>
        </w:tc>
        <w:tc>
          <w:tcPr>
            <w:tcW w:w="4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Unrecognized Pension Costs</w:t>
            </w:r>
          </w:p>
        </w:tc>
        <w:tc>
          <w:tcPr>
            <w:tcW w:w="468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$195.6</w:t>
            </w:r>
          </w:p>
        </w:tc>
        <w:tc>
          <w:tcPr>
            <w:tcW w:w="14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$34.3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Components of Net Periodic Pension Expense</w:t>
            </w:r>
          </w:p>
        </w:tc>
        <w:tc>
          <w:tcPr>
            <w:tcW w:w="3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35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2007</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4"/>
                <w:szCs w:val="14"/>
                <w:color w:val="auto"/>
              </w:rPr>
              <w:t>Service Cost</w:t>
            </w:r>
          </w:p>
        </w:tc>
        <w:tc>
          <w:tcPr>
            <w:tcW w:w="3520" w:type="dxa"/>
            <w:vAlign w:val="bottom"/>
          </w:tcPr>
          <w:p>
            <w:pPr>
              <w:jc w:val="right"/>
              <w:ind w:right="608"/>
              <w:spacing w:after="0"/>
              <w:rPr>
                <w:sz w:val="20"/>
                <w:szCs w:val="20"/>
                <w:color w:val="auto"/>
              </w:rPr>
            </w:pPr>
            <w:r>
              <w:rPr>
                <w:rFonts w:ascii="Arial" w:cs="Arial" w:eastAsia="Arial" w:hAnsi="Arial"/>
                <w:sz w:val="14"/>
                <w:szCs w:val="14"/>
                <w:color w:val="auto"/>
              </w:rPr>
              <w:t>$5.8</w:t>
            </w:r>
          </w:p>
        </w:tc>
        <w:tc>
          <w:tcPr>
            <w:tcW w:w="1500" w:type="dxa"/>
            <w:vAlign w:val="bottom"/>
          </w:tcPr>
          <w:p>
            <w:pPr>
              <w:jc w:val="right"/>
              <w:ind w:right="548"/>
              <w:spacing w:after="0"/>
              <w:rPr>
                <w:sz w:val="20"/>
                <w:szCs w:val="20"/>
                <w:color w:val="auto"/>
              </w:rPr>
            </w:pPr>
            <w:r>
              <w:rPr>
                <w:rFonts w:ascii="Arial" w:cs="Arial" w:eastAsia="Arial" w:hAnsi="Arial"/>
                <w:sz w:val="14"/>
                <w:szCs w:val="14"/>
                <w:color w:val="auto"/>
              </w:rPr>
              <w:t>$5.3</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$9.1</w:t>
            </w:r>
          </w:p>
        </w:tc>
      </w:tr>
      <w:tr>
        <w:trPr>
          <w:trHeight w:val="172"/>
        </w:trPr>
        <w:tc>
          <w:tcPr>
            <w:tcW w:w="20" w:type="dxa"/>
            <w:vAlign w:val="bottom"/>
          </w:tcPr>
          <w:p>
            <w:pPr>
              <w:spacing w:after="0"/>
              <w:rPr>
                <w:sz w:val="14"/>
                <w:szCs w:val="1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Interest Cost</w:t>
            </w:r>
          </w:p>
        </w:tc>
        <w:tc>
          <w:tcPr>
            <w:tcW w:w="352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25.4</w:t>
            </w:r>
          </w:p>
        </w:tc>
        <w:tc>
          <w:tcPr>
            <w:tcW w:w="15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23.4</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22.2</w:t>
            </w:r>
          </w:p>
        </w:tc>
      </w:tr>
      <w:tr>
        <w:trPr>
          <w:trHeight w:val="172"/>
        </w:trPr>
        <w:tc>
          <w:tcPr>
            <w:tcW w:w="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4"/>
                <w:szCs w:val="14"/>
                <w:color w:val="auto"/>
              </w:rPr>
              <w:t>Expected Return on Plan Assets</w:t>
            </w:r>
          </w:p>
        </w:tc>
        <w:tc>
          <w:tcPr>
            <w:tcW w:w="3520" w:type="dxa"/>
            <w:vAlign w:val="bottom"/>
          </w:tcPr>
          <w:p>
            <w:pPr>
              <w:jc w:val="right"/>
              <w:ind w:right="608"/>
              <w:spacing w:after="0"/>
              <w:rPr>
                <w:sz w:val="20"/>
                <w:szCs w:val="20"/>
                <w:color w:val="auto"/>
              </w:rPr>
            </w:pPr>
            <w:r>
              <w:rPr>
                <w:rFonts w:ascii="Arial" w:cs="Arial" w:eastAsia="Arial" w:hAnsi="Arial"/>
                <w:sz w:val="14"/>
                <w:szCs w:val="14"/>
                <w:color w:val="auto"/>
              </w:rPr>
              <w:t>(32.5)</w:t>
            </w:r>
          </w:p>
        </w:tc>
        <w:tc>
          <w:tcPr>
            <w:tcW w:w="1500" w:type="dxa"/>
            <w:vAlign w:val="bottom"/>
          </w:tcPr>
          <w:p>
            <w:pPr>
              <w:jc w:val="right"/>
              <w:ind w:right="548"/>
              <w:spacing w:after="0"/>
              <w:rPr>
                <w:sz w:val="20"/>
                <w:szCs w:val="20"/>
                <w:color w:val="auto"/>
              </w:rPr>
            </w:pPr>
            <w:r>
              <w:rPr>
                <w:rFonts w:ascii="Arial" w:cs="Arial" w:eastAsia="Arial" w:hAnsi="Arial"/>
                <w:sz w:val="14"/>
                <w:szCs w:val="14"/>
                <w:color w:val="auto"/>
              </w:rPr>
              <w:t>(30.6)</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(28.6)</w:t>
            </w:r>
          </w:p>
        </w:tc>
      </w:tr>
      <w:tr>
        <w:trPr>
          <w:trHeight w:val="172"/>
        </w:trPr>
        <w:tc>
          <w:tcPr>
            <w:tcW w:w="20" w:type="dxa"/>
            <w:vAlign w:val="bottom"/>
          </w:tcPr>
          <w:p>
            <w:pPr>
              <w:spacing w:after="0"/>
              <w:rPr>
                <w:sz w:val="14"/>
                <w:szCs w:val="1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Loss</w:t>
            </w:r>
          </w:p>
        </w:tc>
        <w:tc>
          <w:tcPr>
            <w:tcW w:w="352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1.6</w:t>
            </w:r>
          </w:p>
        </w:tc>
        <w:tc>
          <w:tcPr>
            <w:tcW w:w="15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4.9</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r>
      <w:tr>
        <w:trPr>
          <w:trHeight w:val="174"/>
        </w:trPr>
        <w:tc>
          <w:tcPr>
            <w:tcW w:w="20" w:type="dxa"/>
            <w:vAlign w:val="bottom"/>
          </w:tcPr>
          <w:p>
            <w:pPr>
              <w:spacing w:after="0"/>
              <w:rPr>
                <w:sz w:val="15"/>
                <w:szCs w:val="15"/>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Amortization of Prior Service Costs</w:t>
            </w:r>
          </w:p>
        </w:tc>
        <w:tc>
          <w:tcPr>
            <w:tcW w:w="3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0.6</w:t>
            </w:r>
          </w:p>
        </w:tc>
        <w:tc>
          <w:tcPr>
            <w:tcW w:w="15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0.6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w:t>
            </w:r>
          </w:p>
        </w:tc>
      </w:tr>
      <w:tr>
        <w:trPr>
          <w:trHeight w:val="174"/>
        </w:trPr>
        <w:tc>
          <w:tcPr>
            <w:tcW w:w="20" w:type="dxa"/>
            <w:vAlign w:val="bottom"/>
          </w:tcPr>
          <w:p>
            <w:pPr>
              <w:spacing w:after="0"/>
              <w:rPr>
                <w:sz w:val="15"/>
                <w:szCs w:val="15"/>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Pension Expense</w:t>
            </w:r>
          </w:p>
        </w:tc>
        <w:tc>
          <w:tcPr>
            <w:tcW w:w="352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$0.9</w:t>
            </w:r>
          </w:p>
        </w:tc>
        <w:tc>
          <w:tcPr>
            <w:tcW w:w="15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$3.6</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$7.9</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Changes in Plan Assets and Benefit Obligations Recognized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74560" cy="2190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4560" cy="21907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Comprehensive Income and Regulatory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80" w:type="dxa"/>
            <w:vAlign w:val="bottom"/>
          </w:tcPr>
          <w:p>
            <w:pPr>
              <w:jc w:val="right"/>
              <w:ind w:right="668"/>
              <w:spacing w:after="0"/>
              <w:rPr>
                <w:sz w:val="20"/>
                <w:szCs w:val="20"/>
                <w:color w:val="auto"/>
              </w:rPr>
            </w:pPr>
            <w:r>
              <w:rPr>
                <w:rFonts w:ascii="Arial" w:cs="Arial" w:eastAsia="Arial" w:hAnsi="Arial"/>
                <w:sz w:val="14"/>
                <w:szCs w:val="14"/>
                <w:b w:val="1"/>
                <w:bCs w:val="1"/>
                <w:color w:val="auto"/>
              </w:rPr>
              <w:t>2008</w:t>
            </w: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4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Net Loss (Gain)</w:t>
            </w:r>
          </w:p>
        </w:tc>
        <w:tc>
          <w:tcPr>
            <w:tcW w:w="3480" w:type="dxa"/>
            <w:vAlign w:val="bottom"/>
          </w:tcPr>
          <w:p>
            <w:pPr>
              <w:jc w:val="right"/>
              <w:ind w:right="748"/>
              <w:spacing w:after="0"/>
              <w:rPr>
                <w:sz w:val="20"/>
                <w:szCs w:val="20"/>
                <w:color w:val="auto"/>
              </w:rPr>
            </w:pPr>
            <w:r>
              <w:rPr>
                <w:rFonts w:ascii="Arial" w:cs="Arial" w:eastAsia="Arial" w:hAnsi="Arial"/>
                <w:sz w:val="14"/>
                <w:szCs w:val="14"/>
                <w:color w:val="auto"/>
              </w:rPr>
              <w:t>$164.0</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$(35.4)</w:t>
            </w: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Prior Service Costs</w:t>
            </w:r>
          </w:p>
        </w:tc>
        <w:tc>
          <w:tcPr>
            <w:tcW w:w="348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(0.6)</w:t>
            </w:r>
          </w:p>
        </w:tc>
        <w:tc>
          <w:tcPr>
            <w:tcW w:w="1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(0.6)</w:t>
            </w: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Amortization of Loss (Gain)</w:t>
            </w:r>
          </w:p>
        </w:tc>
        <w:tc>
          <w:tcPr>
            <w:tcW w:w="34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(1.6)</w:t>
            </w: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w:t>
            </w:r>
          </w:p>
        </w:tc>
      </w:tr>
      <w:tr>
        <w:trPr>
          <w:trHeight w:val="174"/>
        </w:trPr>
        <w:tc>
          <w:tcPr>
            <w:tcW w:w="20" w:type="dxa"/>
            <w:vAlign w:val="bottom"/>
          </w:tcPr>
          <w:p>
            <w:pPr>
              <w:spacing w:after="0"/>
              <w:rPr>
                <w:sz w:val="15"/>
                <w:szCs w:val="15"/>
                <w:color w:val="auto"/>
              </w:rPr>
            </w:pPr>
          </w:p>
        </w:tc>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Recognized in Other Comprehensive Income and Regulatory Assets</w:t>
            </w:r>
          </w:p>
        </w:tc>
        <w:tc>
          <w:tcPr>
            <w:tcW w:w="348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$161.8</w:t>
            </w:r>
          </w:p>
        </w:tc>
        <w:tc>
          <w:tcPr>
            <w:tcW w:w="1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$(39.3)</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6"/>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Note 14.</w:t>
            </w:r>
          </w:p>
        </w:tc>
        <w:tc>
          <w:tcPr>
            <w:tcW w:w="5660" w:type="dxa"/>
            <w:vAlign w:val="bottom"/>
          </w:tcPr>
          <w:p>
            <w:pPr>
              <w:ind w:left="80"/>
              <w:spacing w:after="0"/>
              <w:rPr>
                <w:sz w:val="20"/>
                <w:szCs w:val="20"/>
                <w:color w:val="auto"/>
              </w:rPr>
            </w:pPr>
            <w:r>
              <w:rPr>
                <w:rFonts w:ascii="Arial" w:cs="Arial" w:eastAsia="Arial" w:hAnsi="Arial"/>
                <w:sz w:val="14"/>
                <w:szCs w:val="14"/>
                <w:b w:val="1"/>
                <w:bCs w:val="1"/>
                <w:color w:val="auto"/>
              </w:rPr>
              <w:t>Pension and Other Postretirement Benefit Plans (Continued)</w:t>
            </w:r>
          </w:p>
        </w:tc>
        <w:tc>
          <w:tcPr>
            <w:tcW w:w="3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220" w:type="dxa"/>
            <w:vAlign w:val="bottom"/>
            <w:gridSpan w:val="2"/>
          </w:tcPr>
          <w:p>
            <w:pPr>
              <w:spacing w:after="0"/>
              <w:rPr>
                <w:sz w:val="16"/>
                <w:szCs w:val="16"/>
                <w:color w:val="auto"/>
              </w:rPr>
            </w:pPr>
          </w:p>
        </w:tc>
        <w:tc>
          <w:tcPr>
            <w:tcW w:w="3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Information for Pension Plans with an</w:t>
            </w:r>
          </w:p>
        </w:tc>
        <w:tc>
          <w:tcPr>
            <w:tcW w:w="3520" w:type="dxa"/>
            <w:vAlign w:val="bottom"/>
            <w:shd w:val="clear" w:color="auto" w:fill="CCEEFF"/>
          </w:tcPr>
          <w:p>
            <w:pPr>
              <w:ind w:left="188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Accumulated Benefit Obligation in Excess of Plan Assets</w:t>
            </w:r>
          </w:p>
        </w:tc>
        <w:tc>
          <w:tcPr>
            <w:tcW w:w="3520" w:type="dxa"/>
            <w:vAlign w:val="bottom"/>
            <w:tcBorders>
              <w:bottom w:val="single" w:sz="8" w:color="auto"/>
            </w:tcBorders>
          </w:tcPr>
          <w:p>
            <w:pPr>
              <w:jc w:val="center"/>
              <w:ind w:left="1008"/>
              <w:spacing w:after="0"/>
              <w:rPr>
                <w:sz w:val="20"/>
                <w:szCs w:val="20"/>
                <w:color w:val="auto"/>
              </w:rPr>
            </w:pPr>
            <w:r>
              <w:rPr>
                <w:rFonts w:ascii="Arial" w:cs="Arial" w:eastAsia="Arial" w:hAnsi="Arial"/>
                <w:sz w:val="14"/>
                <w:szCs w:val="14"/>
                <w:b w:val="1"/>
                <w:bCs w:val="1"/>
                <w:color w:val="auto"/>
                <w:w w:val="89"/>
              </w:rPr>
              <w:t>2008</w:t>
            </w: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566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Projected Benefit Obligation</w:t>
            </w:r>
          </w:p>
        </w:tc>
        <w:tc>
          <w:tcPr>
            <w:tcW w:w="3520" w:type="dxa"/>
            <w:vAlign w:val="bottom"/>
          </w:tcPr>
          <w:p>
            <w:pPr>
              <w:jc w:val="center"/>
              <w:ind w:left="1008"/>
              <w:spacing w:after="0"/>
              <w:rPr>
                <w:sz w:val="20"/>
                <w:szCs w:val="20"/>
                <w:color w:val="auto"/>
              </w:rPr>
            </w:pPr>
            <w:r>
              <w:rPr>
                <w:rFonts w:ascii="Arial" w:cs="Arial" w:eastAsia="Arial" w:hAnsi="Arial"/>
                <w:sz w:val="14"/>
                <w:szCs w:val="14"/>
                <w:color w:val="auto"/>
                <w:w w:val="93"/>
              </w:rPr>
              <w:t>$440.4</w:t>
            </w:r>
          </w:p>
        </w:tc>
        <w:tc>
          <w:tcPr>
            <w:tcW w:w="1700" w:type="dxa"/>
            <w:vAlign w:val="bottom"/>
          </w:tcPr>
          <w:p>
            <w:pPr>
              <w:jc w:val="right"/>
              <w:ind w:right="268"/>
              <w:spacing w:after="0"/>
              <w:rPr>
                <w:sz w:val="20"/>
                <w:szCs w:val="20"/>
                <w:color w:val="auto"/>
              </w:rPr>
            </w:pPr>
            <w:r>
              <w:rPr>
                <w:rFonts w:ascii="Arial" w:cs="Arial" w:eastAsia="Arial" w:hAnsi="Arial"/>
                <w:sz w:val="14"/>
                <w:szCs w:val="14"/>
                <w:color w:val="auto"/>
              </w:rPr>
              <w:t>$170.6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Benefit Obligation</w:t>
            </w:r>
          </w:p>
        </w:tc>
        <w:tc>
          <w:tcPr>
            <w:tcW w:w="352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93"/>
              </w:rPr>
              <w:t>$406.6</w:t>
            </w:r>
          </w:p>
        </w:tc>
        <w:tc>
          <w:tcPr>
            <w:tcW w:w="17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$188.3</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Fair Value of Plan Assets</w:t>
            </w:r>
          </w:p>
        </w:tc>
        <w:tc>
          <w:tcPr>
            <w:tcW w:w="3520" w:type="dxa"/>
            <w:vAlign w:val="bottom"/>
            <w:tcBorders>
              <w:bottom w:val="single" w:sz="8" w:color="auto"/>
            </w:tcBorders>
          </w:tcPr>
          <w:p>
            <w:pPr>
              <w:jc w:val="center"/>
              <w:ind w:left="1008"/>
              <w:spacing w:after="0"/>
              <w:rPr>
                <w:sz w:val="20"/>
                <w:szCs w:val="20"/>
                <w:color w:val="auto"/>
              </w:rPr>
            </w:pPr>
            <w:r>
              <w:rPr>
                <w:rFonts w:ascii="Arial" w:cs="Arial" w:eastAsia="Arial" w:hAnsi="Arial"/>
                <w:sz w:val="14"/>
                <w:szCs w:val="14"/>
                <w:color w:val="auto"/>
                <w:w w:val="93"/>
              </w:rPr>
              <w:t>$273.7</w:t>
            </w:r>
          </w:p>
        </w:tc>
        <w:tc>
          <w:tcPr>
            <w:tcW w:w="1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180" w:type="dxa"/>
            <w:vAlign w:val="bottom"/>
            <w:shd w:val="clear" w:color="auto" w:fill="CCEEFF"/>
          </w:tcPr>
          <w:p>
            <w:pPr>
              <w:spacing w:after="0"/>
              <w:rPr>
                <w:sz w:val="14"/>
                <w:szCs w:val="14"/>
                <w:color w:val="auto"/>
              </w:rPr>
            </w:pPr>
          </w:p>
        </w:tc>
        <w:tc>
          <w:tcPr>
            <w:tcW w:w="282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December 31,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Postretirement Health and Life Obligation and Funded Status</w:t>
            </w:r>
          </w:p>
        </w:tc>
        <w:tc>
          <w:tcPr>
            <w:tcW w:w="28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2008</w:t>
            </w: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8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Change in Benefit Obligation</w:t>
            </w: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Obligation, Beginning of Year</w:t>
            </w:r>
          </w:p>
        </w:tc>
        <w:tc>
          <w:tcPr>
            <w:tcW w:w="282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$153.7</w:t>
            </w:r>
          </w:p>
        </w:tc>
        <w:tc>
          <w:tcPr>
            <w:tcW w:w="14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2820" w:type="dxa"/>
            <w:vAlign w:val="bottom"/>
          </w:tcPr>
          <w:p>
            <w:pPr>
              <w:jc w:val="right"/>
              <w:ind w:right="888"/>
              <w:spacing w:after="0"/>
              <w:rPr>
                <w:sz w:val="20"/>
                <w:szCs w:val="20"/>
                <w:color w:val="auto"/>
              </w:rPr>
            </w:pPr>
            <w:r>
              <w:rPr>
                <w:rFonts w:ascii="Arial" w:cs="Arial" w:eastAsia="Arial" w:hAnsi="Arial"/>
                <w:sz w:val="14"/>
                <w:szCs w:val="14"/>
                <w:color w:val="auto"/>
              </w:rPr>
              <w:t>5.0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Cost</w:t>
            </w:r>
          </w:p>
        </w:tc>
        <w:tc>
          <w:tcPr>
            <w:tcW w:w="282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11.7</w:t>
            </w:r>
          </w:p>
        </w:tc>
        <w:tc>
          <w:tcPr>
            <w:tcW w:w="14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ind w:left="120"/>
              <w:spacing w:after="0"/>
              <w:rPr>
                <w:sz w:val="20"/>
                <w:szCs w:val="20"/>
                <w:color w:val="auto"/>
              </w:rPr>
            </w:pPr>
            <w:r>
              <w:rPr>
                <w:rFonts w:ascii="Arial" w:cs="Arial" w:eastAsia="Arial" w:hAnsi="Arial"/>
                <w:sz w:val="14"/>
                <w:szCs w:val="14"/>
                <w:color w:val="auto"/>
              </w:rPr>
              <w:t>Actuarial Loss</w:t>
            </w:r>
          </w:p>
        </w:tc>
        <w:tc>
          <w:tcPr>
            <w:tcW w:w="2820" w:type="dxa"/>
            <w:vAlign w:val="bottom"/>
          </w:tcPr>
          <w:p>
            <w:pPr>
              <w:jc w:val="right"/>
              <w:ind w:right="888"/>
              <w:spacing w:after="0"/>
              <w:rPr>
                <w:sz w:val="20"/>
                <w:szCs w:val="20"/>
                <w:color w:val="auto"/>
              </w:rPr>
            </w:pPr>
            <w:r>
              <w:rPr>
                <w:rFonts w:ascii="Arial" w:cs="Arial" w:eastAsia="Arial" w:hAnsi="Arial"/>
                <w:sz w:val="14"/>
                <w:szCs w:val="14"/>
                <w:color w:val="auto"/>
              </w:rPr>
              <w:t>4.0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Participant Contributions</w:t>
            </w:r>
          </w:p>
        </w:tc>
        <w:tc>
          <w:tcPr>
            <w:tcW w:w="282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2.0</w:t>
            </w:r>
          </w:p>
        </w:tc>
        <w:tc>
          <w:tcPr>
            <w:tcW w:w="14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Benefits Paid</w:t>
            </w:r>
          </w:p>
        </w:tc>
        <w:tc>
          <w:tcPr>
            <w:tcW w:w="28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(9.5)</w:t>
            </w: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Obligation, End of Year</w:t>
            </w:r>
          </w:p>
        </w:tc>
        <w:tc>
          <w:tcPr>
            <w:tcW w:w="282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$166.9</w:t>
            </w:r>
          </w:p>
        </w:tc>
        <w:tc>
          <w:tcPr>
            <w:tcW w:w="14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Change in Plan Assets</w:t>
            </w: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Fair Value, Beginning of Year</w:t>
            </w:r>
          </w:p>
        </w:tc>
        <w:tc>
          <w:tcPr>
            <w:tcW w:w="282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$90.9</w:t>
            </w:r>
          </w:p>
        </w:tc>
        <w:tc>
          <w:tcPr>
            <w:tcW w:w="14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ind w:left="120"/>
              <w:spacing w:after="0"/>
              <w:rPr>
                <w:sz w:val="20"/>
                <w:szCs w:val="20"/>
                <w:color w:val="auto"/>
              </w:rPr>
            </w:pPr>
            <w:r>
              <w:rPr>
                <w:rFonts w:ascii="Arial" w:cs="Arial" w:eastAsia="Arial" w:hAnsi="Arial"/>
                <w:sz w:val="14"/>
                <w:szCs w:val="14"/>
                <w:color w:val="auto"/>
              </w:rPr>
              <w:t>Actual Return on Plan Assets</w:t>
            </w:r>
          </w:p>
        </w:tc>
        <w:tc>
          <w:tcPr>
            <w:tcW w:w="2820" w:type="dxa"/>
            <w:vAlign w:val="bottom"/>
          </w:tcPr>
          <w:p>
            <w:pPr>
              <w:jc w:val="right"/>
              <w:ind w:right="888"/>
              <w:spacing w:after="0"/>
              <w:rPr>
                <w:sz w:val="20"/>
                <w:szCs w:val="20"/>
                <w:color w:val="auto"/>
              </w:rPr>
            </w:pPr>
            <w:r>
              <w:rPr>
                <w:rFonts w:ascii="Arial" w:cs="Arial" w:eastAsia="Arial" w:hAnsi="Arial"/>
                <w:sz w:val="14"/>
                <w:szCs w:val="14"/>
                <w:color w:val="auto"/>
              </w:rPr>
              <w:t>(25.2)</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Employer Contribution</w:t>
            </w:r>
          </w:p>
        </w:tc>
        <w:tc>
          <w:tcPr>
            <w:tcW w:w="282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20.3</w:t>
            </w:r>
          </w:p>
        </w:tc>
        <w:tc>
          <w:tcPr>
            <w:tcW w:w="14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ind w:left="120"/>
              <w:spacing w:after="0"/>
              <w:rPr>
                <w:sz w:val="20"/>
                <w:szCs w:val="20"/>
                <w:color w:val="auto"/>
              </w:rPr>
            </w:pPr>
            <w:r>
              <w:rPr>
                <w:rFonts w:ascii="Arial" w:cs="Arial" w:eastAsia="Arial" w:hAnsi="Arial"/>
                <w:sz w:val="14"/>
                <w:szCs w:val="14"/>
                <w:color w:val="auto"/>
              </w:rPr>
              <w:t>Participant Contributions</w:t>
            </w:r>
          </w:p>
        </w:tc>
        <w:tc>
          <w:tcPr>
            <w:tcW w:w="2820" w:type="dxa"/>
            <w:vAlign w:val="bottom"/>
          </w:tcPr>
          <w:p>
            <w:pPr>
              <w:jc w:val="right"/>
              <w:ind w:right="888"/>
              <w:spacing w:after="0"/>
              <w:rPr>
                <w:sz w:val="20"/>
                <w:szCs w:val="20"/>
                <w:color w:val="auto"/>
              </w:rPr>
            </w:pPr>
            <w:r>
              <w:rPr>
                <w:rFonts w:ascii="Arial" w:cs="Arial" w:eastAsia="Arial" w:hAnsi="Arial"/>
                <w:sz w:val="14"/>
                <w:szCs w:val="14"/>
                <w:color w:val="auto"/>
              </w:rPr>
              <w:t>1.9</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Benefits Paid</w:t>
            </w:r>
          </w:p>
        </w:tc>
        <w:tc>
          <w:tcPr>
            <w:tcW w:w="282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(9.3)</w:t>
            </w:r>
          </w:p>
        </w:tc>
        <w:tc>
          <w:tcPr>
            <w:tcW w:w="14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Fair Value, End of Year</w:t>
            </w:r>
          </w:p>
        </w:tc>
        <w:tc>
          <w:tcPr>
            <w:tcW w:w="28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$78.6</w:t>
            </w: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Funded Status, End of Year</w:t>
            </w:r>
          </w:p>
        </w:tc>
        <w:tc>
          <w:tcPr>
            <w:tcW w:w="282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$(88.3)</w:t>
            </w:r>
          </w:p>
        </w:tc>
        <w:tc>
          <w:tcPr>
            <w:tcW w:w="14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Postretirement Health and Life Amounts Recognized in Consolidated Balance Sheet Consist of:</w:t>
            </w:r>
          </w:p>
        </w:tc>
        <w:tc>
          <w:tcPr>
            <w:tcW w:w="28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2820" w:type="dxa"/>
            <w:vAlign w:val="bottom"/>
          </w:tcPr>
          <w:p>
            <w:pPr>
              <w:jc w:val="right"/>
              <w:ind w:right="888"/>
              <w:spacing w:after="0"/>
              <w:rPr>
                <w:sz w:val="20"/>
                <w:szCs w:val="20"/>
                <w:color w:val="auto"/>
              </w:rPr>
            </w:pPr>
            <w:r>
              <w:rPr>
                <w:rFonts w:ascii="Arial" w:cs="Arial" w:eastAsia="Arial" w:hAnsi="Arial"/>
                <w:sz w:val="14"/>
                <w:szCs w:val="14"/>
                <w:color w:val="auto"/>
              </w:rPr>
              <w:t>$(0.7)</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Noncurrent Liabilities</w:t>
            </w:r>
          </w:p>
        </w:tc>
        <w:tc>
          <w:tcPr>
            <w:tcW w:w="282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$(87.6)</w:t>
            </w:r>
          </w:p>
        </w:tc>
        <w:tc>
          <w:tcPr>
            <w:tcW w:w="14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SFAS 106, “Employers’ Accounting for Postretirement Benefits Other Than Pensions,” only assets in the VEBAs are treated as plan assets in the above table for the purpose of determining funded status. In addition to the postretirement health and life assets reported in the previous table, we had $14.1 million in an irrevocable grantor trusts at December 31, 2008 ($30.5 million at December 31, 2007). We consolidate the irrevocable grantor trusts and it is included in Investments on our consolidated balance sheet.</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postretirement health and life costs that are reported as a component within our consolidated balance sheet, reflected in regulatory long-term assets and accumulated other comprehensive income,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Unrecognized Postretirement Health and Life Costs</w:t>
            </w:r>
          </w:p>
        </w:tc>
        <w:tc>
          <w:tcPr>
            <w:tcW w:w="4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4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2008</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140" w:type="dxa"/>
            <w:vAlign w:val="bottom"/>
          </w:tcPr>
          <w:p>
            <w:pPr>
              <w:spacing w:after="0"/>
              <w:rPr>
                <w:sz w:val="20"/>
                <w:szCs w:val="20"/>
                <w:color w:val="auto"/>
              </w:rPr>
            </w:pPr>
            <w:r>
              <w:rPr>
                <w:rFonts w:ascii="Arial" w:cs="Arial" w:eastAsia="Arial" w:hAnsi="Arial"/>
                <w:sz w:val="14"/>
                <w:szCs w:val="14"/>
                <w:color w:val="auto"/>
              </w:rPr>
              <w:t>Net Loss</w:t>
            </w:r>
          </w:p>
        </w:tc>
        <w:tc>
          <w:tcPr>
            <w:tcW w:w="4020" w:type="dxa"/>
            <w:vAlign w:val="bottom"/>
          </w:tcPr>
          <w:p>
            <w:pPr>
              <w:jc w:val="right"/>
              <w:ind w:right="748"/>
              <w:spacing w:after="0"/>
              <w:rPr>
                <w:sz w:val="20"/>
                <w:szCs w:val="20"/>
                <w:color w:val="auto"/>
              </w:rPr>
            </w:pPr>
            <w:r>
              <w:rPr>
                <w:rFonts w:ascii="Arial" w:cs="Arial" w:eastAsia="Arial" w:hAnsi="Arial"/>
                <w:sz w:val="14"/>
                <w:szCs w:val="14"/>
                <w:color w:val="auto"/>
              </w:rPr>
              <w:t>$59.2</w:t>
            </w:r>
          </w:p>
        </w:tc>
        <w:tc>
          <w:tcPr>
            <w:tcW w:w="1280" w:type="dxa"/>
            <w:vAlign w:val="bottom"/>
          </w:tcPr>
          <w:p>
            <w:pPr>
              <w:jc w:val="right"/>
              <w:ind w:right="308"/>
              <w:spacing w:after="0"/>
              <w:rPr>
                <w:sz w:val="20"/>
                <w:szCs w:val="20"/>
                <w:color w:val="auto"/>
              </w:rPr>
            </w:pPr>
            <w:r>
              <w:rPr>
                <w:rFonts w:ascii="Arial" w:cs="Arial" w:eastAsia="Arial" w:hAnsi="Arial"/>
                <w:sz w:val="14"/>
                <w:szCs w:val="14"/>
                <w:color w:val="auto"/>
              </w:rPr>
              <w:t>$22.7</w:t>
            </w:r>
          </w:p>
        </w:tc>
      </w:tr>
      <w:tr>
        <w:trPr>
          <w:trHeight w:val="17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4"/>
                <w:szCs w:val="14"/>
                <w:color w:val="auto"/>
              </w:rPr>
              <w:t>Prior Service Cost</w:t>
            </w:r>
          </w:p>
        </w:tc>
        <w:tc>
          <w:tcPr>
            <w:tcW w:w="40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(0.1)</w:t>
            </w:r>
          </w:p>
        </w:tc>
      </w:tr>
      <w:tr>
        <w:trPr>
          <w:trHeight w:val="174"/>
        </w:trPr>
        <w:tc>
          <w:tcPr>
            <w:tcW w:w="20" w:type="dxa"/>
            <w:vAlign w:val="bottom"/>
          </w:tcPr>
          <w:p>
            <w:pPr>
              <w:spacing w:after="0"/>
              <w:rPr>
                <w:sz w:val="15"/>
                <w:szCs w:val="15"/>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Transition Obligation</w:t>
            </w:r>
          </w:p>
        </w:tc>
        <w:tc>
          <w:tcPr>
            <w:tcW w:w="40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9.4</w:t>
            </w:r>
          </w:p>
        </w:tc>
        <w:tc>
          <w:tcPr>
            <w:tcW w:w="12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12.6</w:t>
            </w:r>
          </w:p>
        </w:tc>
      </w:tr>
      <w:tr>
        <w:trPr>
          <w:trHeight w:val="174"/>
        </w:trPr>
        <w:tc>
          <w:tcPr>
            <w:tcW w:w="20" w:type="dxa"/>
            <w:vAlign w:val="bottom"/>
          </w:tcPr>
          <w:p>
            <w:pPr>
              <w:spacing w:after="0"/>
              <w:rPr>
                <w:sz w:val="15"/>
                <w:szCs w:val="15"/>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Unrecognized Postretirement Health and Life Costs</w:t>
            </w:r>
          </w:p>
        </w:tc>
        <w:tc>
          <w:tcPr>
            <w:tcW w:w="40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$68.6</w:t>
            </w:r>
          </w:p>
        </w:tc>
        <w:tc>
          <w:tcPr>
            <w:tcW w:w="12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$35.2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Components of Net Periodic Postretirement Health and Life Expense</w:t>
            </w:r>
          </w:p>
        </w:tc>
        <w:tc>
          <w:tcPr>
            <w:tcW w:w="27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2008</w:t>
            </w: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2007</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7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Service Cost</w:t>
            </w:r>
          </w:p>
        </w:tc>
        <w:tc>
          <w:tcPr>
            <w:tcW w:w="2720" w:type="dxa"/>
            <w:vAlign w:val="bottom"/>
          </w:tcPr>
          <w:p>
            <w:pPr>
              <w:jc w:val="right"/>
              <w:ind w:right="548"/>
              <w:spacing w:after="0"/>
              <w:rPr>
                <w:sz w:val="20"/>
                <w:szCs w:val="20"/>
                <w:color w:val="auto"/>
              </w:rPr>
            </w:pPr>
            <w:r>
              <w:rPr>
                <w:rFonts w:ascii="Arial" w:cs="Arial" w:eastAsia="Arial" w:hAnsi="Arial"/>
                <w:sz w:val="14"/>
                <w:szCs w:val="14"/>
                <w:color w:val="auto"/>
              </w:rPr>
              <w:t>$4.0</w:t>
            </w:r>
          </w:p>
        </w:tc>
        <w:tc>
          <w:tcPr>
            <w:tcW w:w="1620" w:type="dxa"/>
            <w:vAlign w:val="bottom"/>
          </w:tcPr>
          <w:p>
            <w:pPr>
              <w:jc w:val="right"/>
              <w:ind w:right="648"/>
              <w:spacing w:after="0"/>
              <w:rPr>
                <w:sz w:val="20"/>
                <w:szCs w:val="20"/>
                <w:color w:val="auto"/>
              </w:rPr>
            </w:pPr>
            <w:r>
              <w:rPr>
                <w:rFonts w:ascii="Arial" w:cs="Arial" w:eastAsia="Arial" w:hAnsi="Arial"/>
                <w:sz w:val="14"/>
                <w:szCs w:val="14"/>
                <w:color w:val="auto"/>
              </w:rPr>
              <w:t>$4.2</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$4.4</w:t>
            </w:r>
          </w:p>
        </w:tc>
      </w:tr>
      <w:tr>
        <w:trPr>
          <w:trHeight w:val="172"/>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Interest Cost</w:t>
            </w:r>
          </w:p>
        </w:tc>
        <w:tc>
          <w:tcPr>
            <w:tcW w:w="2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9.4</w:t>
            </w:r>
          </w:p>
        </w:tc>
        <w:tc>
          <w:tcPr>
            <w:tcW w:w="16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7.8</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7.4</w:t>
            </w:r>
          </w:p>
        </w:tc>
      </w:tr>
      <w:tr>
        <w:trPr>
          <w:trHeight w:val="172"/>
        </w:trPr>
        <w:tc>
          <w:tcPr>
            <w:tcW w:w="2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Expected Return on Plan Assets</w:t>
            </w:r>
          </w:p>
        </w:tc>
        <w:tc>
          <w:tcPr>
            <w:tcW w:w="2720" w:type="dxa"/>
            <w:vAlign w:val="bottom"/>
          </w:tcPr>
          <w:p>
            <w:pPr>
              <w:jc w:val="right"/>
              <w:ind w:right="548"/>
              <w:spacing w:after="0"/>
              <w:rPr>
                <w:sz w:val="20"/>
                <w:szCs w:val="20"/>
                <w:color w:val="auto"/>
              </w:rPr>
            </w:pPr>
            <w:r>
              <w:rPr>
                <w:rFonts w:ascii="Arial" w:cs="Arial" w:eastAsia="Arial" w:hAnsi="Arial"/>
                <w:sz w:val="14"/>
                <w:szCs w:val="14"/>
                <w:color w:val="auto"/>
              </w:rPr>
              <w:t>(7.2)</w:t>
            </w:r>
          </w:p>
        </w:tc>
        <w:tc>
          <w:tcPr>
            <w:tcW w:w="1620" w:type="dxa"/>
            <w:vAlign w:val="bottom"/>
          </w:tcPr>
          <w:p>
            <w:pPr>
              <w:jc w:val="right"/>
              <w:ind w:right="648"/>
              <w:spacing w:after="0"/>
              <w:rPr>
                <w:sz w:val="20"/>
                <w:szCs w:val="20"/>
                <w:color w:val="auto"/>
              </w:rPr>
            </w:pPr>
            <w:r>
              <w:rPr>
                <w:rFonts w:ascii="Arial" w:cs="Arial" w:eastAsia="Arial" w:hAnsi="Arial"/>
                <w:sz w:val="14"/>
                <w:szCs w:val="14"/>
                <w:color w:val="auto"/>
              </w:rPr>
              <w:t>(6.5)</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(5.6)</w:t>
            </w:r>
          </w:p>
        </w:tc>
      </w:tr>
      <w:tr>
        <w:trPr>
          <w:trHeight w:val="172"/>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Loss</w:t>
            </w:r>
          </w:p>
        </w:tc>
        <w:tc>
          <w:tcPr>
            <w:tcW w:w="2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1.4</w:t>
            </w:r>
          </w:p>
        </w:tc>
        <w:tc>
          <w:tcPr>
            <w:tcW w:w="16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1.0</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w:t>
            </w:r>
          </w:p>
        </w:tc>
      </w:tr>
      <w:tr>
        <w:trPr>
          <w:trHeight w:val="174"/>
        </w:trPr>
        <w:tc>
          <w:tcPr>
            <w:tcW w:w="20" w:type="dxa"/>
            <w:vAlign w:val="bottom"/>
          </w:tcPr>
          <w:p>
            <w:pPr>
              <w:spacing w:after="0"/>
              <w:rPr>
                <w:sz w:val="15"/>
                <w:szCs w:val="15"/>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Amortization of Transition Obligation</w:t>
            </w:r>
          </w:p>
        </w:tc>
        <w:tc>
          <w:tcPr>
            <w:tcW w:w="2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2.5</w:t>
            </w:r>
          </w:p>
        </w:tc>
        <w:tc>
          <w:tcPr>
            <w:tcW w:w="16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2.4</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w:t>
            </w:r>
          </w:p>
        </w:tc>
      </w:tr>
      <w:tr>
        <w:trPr>
          <w:trHeight w:val="174"/>
        </w:trPr>
        <w:tc>
          <w:tcPr>
            <w:tcW w:w="20" w:type="dxa"/>
            <w:vAlign w:val="bottom"/>
          </w:tcPr>
          <w:p>
            <w:pPr>
              <w:spacing w:after="0"/>
              <w:rPr>
                <w:sz w:val="15"/>
                <w:szCs w:val="15"/>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Postretirement Health and Life Expense</w:t>
            </w:r>
          </w:p>
        </w:tc>
        <w:tc>
          <w:tcPr>
            <w:tcW w:w="2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$10.1</w:t>
            </w:r>
          </w:p>
        </w:tc>
        <w:tc>
          <w:tcPr>
            <w:tcW w:w="16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$8.9</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$10.3</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Note 14.  Pension and Other Postretirement Benefit Plans (Continued)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Changes in Plan Assets and Benefit Obligations Recognized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74560" cy="2190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4560" cy="21907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Comprehensive Income and Regulatory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560" w:type="dxa"/>
            <w:vAlign w:val="bottom"/>
          </w:tcPr>
          <w:p>
            <w:pPr>
              <w:jc w:val="right"/>
              <w:ind w:right="748"/>
              <w:spacing w:after="0"/>
              <w:rPr>
                <w:sz w:val="20"/>
                <w:szCs w:val="20"/>
                <w:color w:val="auto"/>
              </w:rPr>
            </w:pPr>
            <w:r>
              <w:rPr>
                <w:rFonts w:ascii="Arial" w:cs="Arial" w:eastAsia="Arial" w:hAnsi="Arial"/>
                <w:sz w:val="14"/>
                <w:szCs w:val="14"/>
                <w:b w:val="1"/>
                <w:bCs w:val="1"/>
                <w:color w:val="auto"/>
              </w:rPr>
              <w:t>2008</w:t>
            </w:r>
          </w:p>
        </w:tc>
        <w:tc>
          <w:tcPr>
            <w:tcW w:w="1340" w:type="dxa"/>
            <w:vAlign w:val="bottom"/>
          </w:tcPr>
          <w:p>
            <w:pPr>
              <w:jc w:val="right"/>
              <w:ind w:right="18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5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Net Loss (Gain)</w:t>
            </w:r>
          </w:p>
        </w:tc>
        <w:tc>
          <w:tcPr>
            <w:tcW w:w="3560" w:type="dxa"/>
            <w:vAlign w:val="bottom"/>
          </w:tcPr>
          <w:p>
            <w:pPr>
              <w:jc w:val="right"/>
              <w:ind w:right="848"/>
              <w:spacing w:after="0"/>
              <w:rPr>
                <w:sz w:val="20"/>
                <w:szCs w:val="20"/>
                <w:color w:val="auto"/>
              </w:rPr>
            </w:pPr>
            <w:r>
              <w:rPr>
                <w:rFonts w:ascii="Arial" w:cs="Arial" w:eastAsia="Arial" w:hAnsi="Arial"/>
                <w:sz w:val="14"/>
                <w:szCs w:val="14"/>
                <w:color w:val="auto"/>
              </w:rPr>
              <w:t>$38.3</w:t>
            </w: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$4.5</w:t>
            </w:r>
          </w:p>
        </w:tc>
      </w:tr>
      <w:tr>
        <w:trPr>
          <w:trHeight w:val="172"/>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Transition Obligation</w:t>
            </w:r>
          </w:p>
        </w:tc>
        <w:tc>
          <w:tcPr>
            <w:tcW w:w="356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(2.5)</w:t>
            </w:r>
          </w:p>
        </w:tc>
        <w:tc>
          <w:tcPr>
            <w:tcW w:w="13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(2.5)</w:t>
            </w:r>
          </w:p>
        </w:tc>
      </w:tr>
      <w:tr>
        <w:trPr>
          <w:trHeight w:val="172"/>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Amortization of Prior Service Costs</w:t>
            </w:r>
          </w:p>
        </w:tc>
        <w:tc>
          <w:tcPr>
            <w:tcW w:w="356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Amortization of Loss (Gain)</w:t>
            </w:r>
          </w:p>
        </w:tc>
        <w:tc>
          <w:tcPr>
            <w:tcW w:w="356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(1.4)</w:t>
            </w:r>
          </w:p>
        </w:tc>
        <w:tc>
          <w:tcPr>
            <w:tcW w:w="13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(0.9)</w:t>
            </w:r>
          </w:p>
        </w:tc>
      </w:tr>
      <w:tr>
        <w:trPr>
          <w:trHeight w:val="174"/>
        </w:trPr>
        <w:tc>
          <w:tcPr>
            <w:tcW w:w="20" w:type="dxa"/>
            <w:vAlign w:val="bottom"/>
            <w:tcBorders>
              <w:bottom w:val="single" w:sz="8" w:color="auto"/>
            </w:tcBorders>
          </w:tcPr>
          <w:p>
            <w:pPr>
              <w:spacing w:after="0"/>
              <w:rPr>
                <w:sz w:val="15"/>
                <w:szCs w:val="15"/>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Recognized in Other Comprehensive Income and Regulatory Assets</w:t>
            </w:r>
          </w:p>
        </w:tc>
        <w:tc>
          <w:tcPr>
            <w:tcW w:w="3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$34.4</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Postretirement</w:t>
            </w:r>
          </w:p>
        </w:tc>
      </w:tr>
      <w:tr>
        <w:trPr>
          <w:trHeight w:val="174"/>
        </w:trPr>
        <w:tc>
          <w:tcPr>
            <w:tcW w:w="20" w:type="dxa"/>
            <w:vAlign w:val="bottom"/>
          </w:tcPr>
          <w:p>
            <w:pPr>
              <w:spacing w:after="0"/>
              <w:rPr>
                <w:sz w:val="15"/>
                <w:szCs w:val="15"/>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Estimated Future Benefit Payments</w:t>
            </w:r>
          </w:p>
        </w:tc>
        <w:tc>
          <w:tcPr>
            <w:tcW w:w="43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Pension</w:t>
            </w: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Health and Life</w:t>
            </w:r>
          </w:p>
        </w:tc>
      </w:tr>
      <w:tr>
        <w:trPr>
          <w:trHeight w:val="17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43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2009</w:t>
            </w:r>
          </w:p>
        </w:tc>
        <w:tc>
          <w:tcPr>
            <w:tcW w:w="4360" w:type="dxa"/>
            <w:vAlign w:val="bottom"/>
          </w:tcPr>
          <w:p>
            <w:pPr>
              <w:jc w:val="right"/>
              <w:ind w:right="548"/>
              <w:spacing w:after="0"/>
              <w:rPr>
                <w:sz w:val="20"/>
                <w:szCs w:val="20"/>
                <w:color w:val="auto"/>
              </w:rPr>
            </w:pPr>
            <w:r>
              <w:rPr>
                <w:rFonts w:ascii="Arial" w:cs="Arial" w:eastAsia="Arial" w:hAnsi="Arial"/>
                <w:sz w:val="14"/>
                <w:szCs w:val="14"/>
                <w:color w:val="auto"/>
              </w:rPr>
              <w:t>$24.1</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$7.0</w:t>
            </w:r>
          </w:p>
        </w:tc>
      </w:tr>
      <w:tr>
        <w:trPr>
          <w:trHeight w:val="17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2010</w:t>
            </w:r>
          </w:p>
        </w:tc>
        <w:tc>
          <w:tcPr>
            <w:tcW w:w="436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$25.6</w:t>
            </w:r>
          </w:p>
        </w:tc>
        <w:tc>
          <w:tcPr>
            <w:tcW w:w="15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$7.8</w:t>
            </w:r>
          </w:p>
        </w:tc>
      </w:tr>
      <w:tr>
        <w:trPr>
          <w:trHeight w:val="17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2011</w:t>
            </w:r>
          </w:p>
        </w:tc>
        <w:tc>
          <w:tcPr>
            <w:tcW w:w="4360" w:type="dxa"/>
            <w:vAlign w:val="bottom"/>
          </w:tcPr>
          <w:p>
            <w:pPr>
              <w:jc w:val="right"/>
              <w:ind w:right="548"/>
              <w:spacing w:after="0"/>
              <w:rPr>
                <w:sz w:val="20"/>
                <w:szCs w:val="20"/>
                <w:color w:val="auto"/>
              </w:rPr>
            </w:pPr>
            <w:r>
              <w:rPr>
                <w:rFonts w:ascii="Arial" w:cs="Arial" w:eastAsia="Arial" w:hAnsi="Arial"/>
                <w:sz w:val="14"/>
                <w:szCs w:val="14"/>
                <w:color w:val="auto"/>
              </w:rPr>
              <w:t>$26.5</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$8.7</w:t>
            </w:r>
          </w:p>
        </w:tc>
      </w:tr>
      <w:tr>
        <w:trPr>
          <w:trHeight w:val="17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2012</w:t>
            </w:r>
          </w:p>
        </w:tc>
        <w:tc>
          <w:tcPr>
            <w:tcW w:w="436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$27.4</w:t>
            </w:r>
          </w:p>
        </w:tc>
        <w:tc>
          <w:tcPr>
            <w:tcW w:w="15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$9.3</w:t>
            </w:r>
          </w:p>
        </w:tc>
      </w:tr>
      <w:tr>
        <w:trPr>
          <w:trHeight w:val="17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2013</w:t>
            </w:r>
          </w:p>
        </w:tc>
        <w:tc>
          <w:tcPr>
            <w:tcW w:w="4360" w:type="dxa"/>
            <w:vAlign w:val="bottom"/>
          </w:tcPr>
          <w:p>
            <w:pPr>
              <w:jc w:val="right"/>
              <w:ind w:right="548"/>
              <w:spacing w:after="0"/>
              <w:rPr>
                <w:sz w:val="20"/>
                <w:szCs w:val="20"/>
                <w:color w:val="auto"/>
              </w:rPr>
            </w:pPr>
            <w:r>
              <w:rPr>
                <w:rFonts w:ascii="Arial" w:cs="Arial" w:eastAsia="Arial" w:hAnsi="Arial"/>
                <w:sz w:val="14"/>
                <w:szCs w:val="14"/>
                <w:color w:val="auto"/>
              </w:rPr>
              <w:t>$28.6</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$10.0</w:t>
            </w:r>
          </w:p>
        </w:tc>
      </w:tr>
      <w:tr>
        <w:trPr>
          <w:trHeight w:val="174"/>
        </w:trPr>
        <w:tc>
          <w:tcPr>
            <w:tcW w:w="20" w:type="dxa"/>
            <w:vAlign w:val="bottom"/>
          </w:tcPr>
          <w:p>
            <w:pPr>
              <w:spacing w:after="0"/>
              <w:rPr>
                <w:sz w:val="15"/>
                <w:szCs w:val="15"/>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Years 2014 – 2018</w:t>
            </w:r>
          </w:p>
        </w:tc>
        <w:tc>
          <w:tcPr>
            <w:tcW w:w="436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$160.0</w:t>
            </w:r>
          </w:p>
        </w:tc>
        <w:tc>
          <w:tcPr>
            <w:tcW w:w="15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$59.5</w:t>
            </w:r>
          </w:p>
        </w:tc>
      </w:tr>
    </w:tbl>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pension and postretirement health and life costs recorded in other long-term assets and accumulated other comprehensive income expected to be recognized as a component of net pension and postretirement benefit costs for the year ending December 31, 2009,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Postretirement</w:t>
            </w: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Pension</w:t>
            </w: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Health and Life</w:t>
            </w: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36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Net Loss</w:t>
            </w:r>
          </w:p>
        </w:tc>
        <w:tc>
          <w:tcPr>
            <w:tcW w:w="3680" w:type="dxa"/>
            <w:vAlign w:val="bottom"/>
          </w:tcPr>
          <w:p>
            <w:pPr>
              <w:jc w:val="right"/>
              <w:ind w:right="428"/>
              <w:spacing w:after="0"/>
              <w:rPr>
                <w:sz w:val="20"/>
                <w:szCs w:val="20"/>
                <w:color w:val="auto"/>
              </w:rPr>
            </w:pPr>
            <w:r>
              <w:rPr>
                <w:rFonts w:ascii="Arial" w:cs="Arial" w:eastAsia="Arial" w:hAnsi="Arial"/>
                <w:sz w:val="14"/>
                <w:szCs w:val="14"/>
                <w:color w:val="auto"/>
              </w:rPr>
              <w:t>$3.4</w:t>
            </w:r>
          </w:p>
        </w:tc>
        <w:tc>
          <w:tcPr>
            <w:tcW w:w="1680" w:type="dxa"/>
            <w:vAlign w:val="bottom"/>
          </w:tcPr>
          <w:p>
            <w:pPr>
              <w:jc w:val="right"/>
              <w:ind w:right="228"/>
              <w:spacing w:after="0"/>
              <w:rPr>
                <w:sz w:val="20"/>
                <w:szCs w:val="20"/>
                <w:color w:val="auto"/>
              </w:rPr>
            </w:pPr>
            <w:r>
              <w:rPr>
                <w:rFonts w:ascii="Arial" w:cs="Arial" w:eastAsia="Arial" w:hAnsi="Arial"/>
                <w:sz w:val="14"/>
                <w:szCs w:val="14"/>
                <w:color w:val="auto"/>
              </w:rPr>
              <w:t>$2.5</w:t>
            </w: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Prior Service Costs</w:t>
            </w:r>
          </w:p>
        </w:tc>
        <w:tc>
          <w:tcPr>
            <w:tcW w:w="36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$0.6</w:t>
            </w:r>
          </w:p>
        </w:tc>
        <w:tc>
          <w:tcPr>
            <w:tcW w:w="16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Transition Obligations</w:t>
            </w:r>
          </w:p>
        </w:tc>
        <w:tc>
          <w:tcPr>
            <w:tcW w:w="36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$2.5</w:t>
            </w:r>
          </w:p>
        </w:tc>
      </w:tr>
      <w:tr>
        <w:trPr>
          <w:trHeight w:val="174"/>
        </w:trPr>
        <w:tc>
          <w:tcPr>
            <w:tcW w:w="20" w:type="dxa"/>
            <w:vAlign w:val="bottom"/>
          </w:tcPr>
          <w:p>
            <w:pPr>
              <w:spacing w:after="0"/>
              <w:rPr>
                <w:sz w:val="15"/>
                <w:szCs w:val="15"/>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Pension and Postretirement Health and Life Costs</w:t>
            </w:r>
          </w:p>
        </w:tc>
        <w:tc>
          <w:tcPr>
            <w:tcW w:w="36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$4.0</w:t>
            </w:r>
          </w:p>
        </w:tc>
        <w:tc>
          <w:tcPr>
            <w:tcW w:w="16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$5.0</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Assumptions</w:t>
            </w:r>
          </w:p>
        </w:tc>
        <w:tc>
          <w:tcPr>
            <w:tcW w:w="452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December 31,</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74"/>
        </w:trPr>
        <w:tc>
          <w:tcPr>
            <w:tcW w:w="20" w:type="dxa"/>
            <w:vAlign w:val="bottom"/>
          </w:tcPr>
          <w:p>
            <w:pPr>
              <w:spacing w:after="0"/>
              <w:rPr>
                <w:sz w:val="15"/>
                <w:szCs w:val="15"/>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Used to Determine Benefit Obligation</w:t>
            </w:r>
          </w:p>
        </w:tc>
        <w:tc>
          <w:tcPr>
            <w:tcW w:w="45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2008</w:t>
            </w: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452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6.12%</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6.25%</w:t>
            </w:r>
          </w:p>
        </w:tc>
      </w:tr>
      <w:tr>
        <w:trPr>
          <w:trHeight w:val="17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4520" w:type="dxa"/>
            <w:vAlign w:val="bottom"/>
          </w:tcPr>
          <w:p>
            <w:pPr>
              <w:jc w:val="right"/>
              <w:ind w:right="588"/>
              <w:spacing w:after="0"/>
              <w:rPr>
                <w:sz w:val="20"/>
                <w:szCs w:val="20"/>
                <w:color w:val="auto"/>
              </w:rPr>
            </w:pPr>
            <w:r>
              <w:rPr>
                <w:rFonts w:ascii="Arial" w:cs="Arial" w:eastAsia="Arial" w:hAnsi="Arial"/>
                <w:sz w:val="14"/>
                <w:szCs w:val="14"/>
                <w:color w:val="auto"/>
              </w:rPr>
              <w:t>4.3 – 4.6%</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4.3 – 4.6%</w:t>
            </w:r>
          </w:p>
        </w:tc>
      </w:tr>
      <w:tr>
        <w:trPr>
          <w:trHeight w:val="172"/>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Health Care Trend Rates</w:t>
            </w:r>
          </w:p>
        </w:tc>
        <w:tc>
          <w:tcPr>
            <w:tcW w:w="45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Trend Rate</w:t>
            </w:r>
          </w:p>
        </w:tc>
        <w:tc>
          <w:tcPr>
            <w:tcW w:w="4520" w:type="dxa"/>
            <w:vAlign w:val="bottom"/>
          </w:tcPr>
          <w:p>
            <w:pPr>
              <w:jc w:val="right"/>
              <w:ind w:right="588"/>
              <w:spacing w:after="0"/>
              <w:rPr>
                <w:sz w:val="20"/>
                <w:szCs w:val="20"/>
                <w:color w:val="auto"/>
              </w:rPr>
            </w:pPr>
            <w:r>
              <w:rPr>
                <w:rFonts w:ascii="Arial" w:cs="Arial" w:eastAsia="Arial" w:hAnsi="Arial"/>
                <w:sz w:val="14"/>
                <w:szCs w:val="14"/>
                <w:color w:val="auto"/>
              </w:rPr>
              <w:t>9%</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10%</w:t>
            </w:r>
          </w:p>
        </w:tc>
      </w:tr>
      <w:tr>
        <w:trPr>
          <w:trHeight w:val="172"/>
        </w:trPr>
        <w:tc>
          <w:tcPr>
            <w:tcW w:w="20" w:type="dxa"/>
            <w:vAlign w:val="bottom"/>
          </w:tcPr>
          <w:p>
            <w:pPr>
              <w:spacing w:after="0"/>
              <w:rPr>
                <w:sz w:val="14"/>
                <w:szCs w:val="14"/>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Ultimate Trend Rate</w:t>
            </w:r>
          </w:p>
        </w:tc>
        <w:tc>
          <w:tcPr>
            <w:tcW w:w="45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5%</w:t>
            </w: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r>
      <w:tr>
        <w:trPr>
          <w:trHeight w:val="174"/>
        </w:trPr>
        <w:tc>
          <w:tcPr>
            <w:tcW w:w="20" w:type="dxa"/>
            <w:vAlign w:val="bottom"/>
          </w:tcPr>
          <w:p>
            <w:pPr>
              <w:spacing w:after="0"/>
              <w:rPr>
                <w:sz w:val="15"/>
                <w:szCs w:val="15"/>
                <w:color w:val="auto"/>
              </w:rPr>
            </w:pPr>
          </w:p>
        </w:tc>
        <w:tc>
          <w:tcPr>
            <w:tcW w:w="54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Year Ultimate Trend Rate Effective</w:t>
            </w:r>
          </w:p>
        </w:tc>
        <w:tc>
          <w:tcPr>
            <w:tcW w:w="45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2012</w:t>
            </w: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Assumptions</w:t>
            </w:r>
          </w:p>
        </w:tc>
        <w:tc>
          <w:tcPr>
            <w:tcW w:w="35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b w:val="1"/>
                <w:bCs w:val="1"/>
                <w:color w:val="auto"/>
              </w:rPr>
              <w:t>Used to Determine Net Periodic Benefit Costs</w:t>
            </w:r>
          </w:p>
        </w:tc>
        <w:tc>
          <w:tcPr>
            <w:tcW w:w="3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w:t>
            </w:r>
          </w:p>
        </w:tc>
        <w:tc>
          <w:tcPr>
            <w:tcW w:w="3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2008</w:t>
            </w:r>
          </w:p>
        </w:tc>
        <w:tc>
          <w:tcPr>
            <w:tcW w:w="15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2007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Discount Rate</w:t>
            </w:r>
          </w:p>
        </w:tc>
        <w:tc>
          <w:tcPr>
            <w:tcW w:w="3560" w:type="dxa"/>
            <w:vAlign w:val="bottom"/>
          </w:tcPr>
          <w:p>
            <w:pPr>
              <w:jc w:val="right"/>
              <w:ind w:right="448"/>
              <w:spacing w:after="0"/>
              <w:rPr>
                <w:sz w:val="20"/>
                <w:szCs w:val="20"/>
                <w:color w:val="auto"/>
              </w:rPr>
            </w:pPr>
            <w:r>
              <w:rPr>
                <w:rFonts w:ascii="Arial" w:cs="Arial" w:eastAsia="Arial" w:hAnsi="Arial"/>
                <w:sz w:val="14"/>
                <w:szCs w:val="14"/>
                <w:color w:val="auto"/>
              </w:rPr>
              <w:t>6.25%</w:t>
            </w:r>
          </w:p>
        </w:tc>
        <w:tc>
          <w:tcPr>
            <w:tcW w:w="1560" w:type="dxa"/>
            <w:vAlign w:val="bottom"/>
          </w:tcPr>
          <w:p>
            <w:pPr>
              <w:jc w:val="right"/>
              <w:ind w:right="388"/>
              <w:spacing w:after="0"/>
              <w:rPr>
                <w:sz w:val="20"/>
                <w:szCs w:val="20"/>
                <w:color w:val="auto"/>
              </w:rPr>
            </w:pPr>
            <w:r>
              <w:rPr>
                <w:rFonts w:ascii="Arial" w:cs="Arial" w:eastAsia="Arial" w:hAnsi="Arial"/>
                <w:sz w:val="14"/>
                <w:szCs w:val="14"/>
                <w:color w:val="auto"/>
              </w:rPr>
              <w:t>5.75%</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5.50%</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Expected Long-Term Return on Plan Assets </w:t>
            </w:r>
            <w:r>
              <w:rPr>
                <w:rFonts w:ascii="Arial" w:cs="Arial" w:eastAsia="Arial" w:hAnsi="Arial"/>
                <w:sz w:val="14"/>
                <w:szCs w:val="14"/>
                <w:i w:val="1"/>
                <w:iCs w:val="1"/>
                <w:color w:val="auto"/>
              </w:rPr>
              <w:t>(a)</w:t>
            </w:r>
          </w:p>
        </w:tc>
        <w:tc>
          <w:tcPr>
            <w:tcW w:w="35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Arial" w:cs="Arial" w:eastAsia="Arial" w:hAnsi="Arial"/>
                <w:sz w:val="14"/>
                <w:szCs w:val="14"/>
                <w:color w:val="auto"/>
              </w:rPr>
              <w:t>Pension</w:t>
            </w:r>
          </w:p>
        </w:tc>
        <w:tc>
          <w:tcPr>
            <w:tcW w:w="3560" w:type="dxa"/>
            <w:vAlign w:val="bottom"/>
          </w:tcPr>
          <w:p>
            <w:pPr>
              <w:jc w:val="right"/>
              <w:ind w:right="448"/>
              <w:spacing w:after="0"/>
              <w:rPr>
                <w:sz w:val="20"/>
                <w:szCs w:val="20"/>
                <w:color w:val="auto"/>
              </w:rPr>
            </w:pPr>
            <w:r>
              <w:rPr>
                <w:rFonts w:ascii="Arial" w:cs="Arial" w:eastAsia="Arial" w:hAnsi="Arial"/>
                <w:sz w:val="14"/>
                <w:szCs w:val="14"/>
                <w:color w:val="auto"/>
              </w:rPr>
              <w:t>9.0%</w:t>
            </w:r>
          </w:p>
        </w:tc>
        <w:tc>
          <w:tcPr>
            <w:tcW w:w="1560" w:type="dxa"/>
            <w:vAlign w:val="bottom"/>
          </w:tcPr>
          <w:p>
            <w:pPr>
              <w:jc w:val="right"/>
              <w:ind w:right="388"/>
              <w:spacing w:after="0"/>
              <w:rPr>
                <w:sz w:val="20"/>
                <w:szCs w:val="20"/>
                <w:color w:val="auto"/>
              </w:rPr>
            </w:pPr>
            <w:r>
              <w:rPr>
                <w:rFonts w:ascii="Arial" w:cs="Arial" w:eastAsia="Arial" w:hAnsi="Arial"/>
                <w:sz w:val="14"/>
                <w:szCs w:val="14"/>
                <w:color w:val="auto"/>
              </w:rPr>
              <w:t>9.0%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Postretirement Health and Life</w:t>
            </w:r>
          </w:p>
        </w:tc>
        <w:tc>
          <w:tcPr>
            <w:tcW w:w="35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7.2 – 9.0%</w:t>
            </w:r>
          </w:p>
        </w:tc>
        <w:tc>
          <w:tcPr>
            <w:tcW w:w="1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5.0 – 9.0%</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 9.0%</w:t>
            </w:r>
          </w:p>
        </w:tc>
      </w:tr>
      <w:tr>
        <w:trPr>
          <w:trHeight w:val="174"/>
        </w:trPr>
        <w:tc>
          <w:tcPr>
            <w:tcW w:w="2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Rate of Compensation Increase</w:t>
            </w:r>
          </w:p>
        </w:tc>
        <w:tc>
          <w:tcPr>
            <w:tcW w:w="35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4.3 – 4.6%</w:t>
            </w: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4.3 – 4.6%</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 – 4.5%</w:t>
            </w:r>
          </w:p>
        </w:tc>
      </w:tr>
    </w:tbl>
    <w:p>
      <w:pPr>
        <w:spacing w:after="0" w:line="183" w:lineRule="exact"/>
        <w:rPr>
          <w:sz w:val="20"/>
          <w:szCs w:val="20"/>
          <w:color w:val="auto"/>
        </w:rPr>
      </w:pPr>
    </w:p>
    <w:p>
      <w:pPr>
        <w:ind w:left="380" w:hanging="374"/>
        <w:spacing w:after="0"/>
        <w:tabs>
          <w:tab w:leader="none" w:pos="38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expected long term rate of return used to determine net periodic benefit expenses for 2009 has been reduced to 8.5 percent.</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 establishing the expected long-term return on plan assets,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Currently for plan valuation purposes, the discount rate is determined considering high-quality long-term corporate bond rates at the valuation date. The discount rate is compared to the Citigroup Pension Discount Curve adjusted for ALLETE’s specific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6"/>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Note 14.</w:t>
            </w:r>
          </w:p>
        </w:tc>
        <w:tc>
          <w:tcPr>
            <w:tcW w:w="5880" w:type="dxa"/>
            <w:vAlign w:val="bottom"/>
          </w:tcPr>
          <w:p>
            <w:pPr>
              <w:ind w:left="80"/>
              <w:spacing w:after="0"/>
              <w:rPr>
                <w:sz w:val="20"/>
                <w:szCs w:val="20"/>
                <w:color w:val="auto"/>
              </w:rPr>
            </w:pPr>
            <w:r>
              <w:rPr>
                <w:rFonts w:ascii="Arial" w:cs="Arial" w:eastAsia="Arial" w:hAnsi="Arial"/>
                <w:sz w:val="14"/>
                <w:szCs w:val="14"/>
                <w:b w:val="1"/>
                <w:bCs w:val="1"/>
                <w:color w:val="auto"/>
              </w:rPr>
              <w:t>Pension and Other Postretirement Benefit Plans (Continued)</w:t>
            </w:r>
          </w:p>
        </w:tc>
        <w:tc>
          <w:tcPr>
            <w:tcW w:w="3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440" w:type="dxa"/>
            <w:vAlign w:val="bottom"/>
            <w:gridSpan w:val="2"/>
          </w:tcPr>
          <w:p>
            <w:pPr>
              <w:spacing w:after="0"/>
              <w:rPr>
                <w:sz w:val="16"/>
                <w:szCs w:val="16"/>
                <w:color w:val="auto"/>
              </w:rPr>
            </w:pPr>
          </w:p>
        </w:tc>
        <w:tc>
          <w:tcPr>
            <w:tcW w:w="3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Sensitivity of a One-Percentage-Point</w:t>
            </w:r>
          </w:p>
        </w:tc>
        <w:tc>
          <w:tcPr>
            <w:tcW w:w="3480" w:type="dxa"/>
            <w:vAlign w:val="bottom"/>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One Percent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One Percent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Change in Health Care Trend Rates</w:t>
            </w:r>
          </w:p>
        </w:tc>
        <w:tc>
          <w:tcPr>
            <w:tcW w:w="34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Increase</w:t>
            </w: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588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Effect on Total of Postretirement Health and Life Service and Interest Cost</w:t>
            </w:r>
          </w:p>
        </w:tc>
        <w:tc>
          <w:tcPr>
            <w:tcW w:w="3480" w:type="dxa"/>
            <w:vAlign w:val="bottom"/>
          </w:tcPr>
          <w:p>
            <w:pPr>
              <w:jc w:val="right"/>
              <w:ind w:right="828"/>
              <w:spacing w:after="0"/>
              <w:rPr>
                <w:sz w:val="20"/>
                <w:szCs w:val="20"/>
                <w:color w:val="auto"/>
              </w:rPr>
            </w:pPr>
            <w:r>
              <w:rPr>
                <w:rFonts w:ascii="Arial" w:cs="Arial" w:eastAsia="Arial" w:hAnsi="Arial"/>
                <w:sz w:val="14"/>
                <w:szCs w:val="14"/>
                <w:color w:val="auto"/>
              </w:rPr>
              <w:t>$2.0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Effect on Postretirement Health and Life Obligation</w:t>
            </w:r>
          </w:p>
        </w:tc>
        <w:tc>
          <w:tcPr>
            <w:tcW w:w="34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$19.5</w:t>
            </w:r>
          </w:p>
        </w:tc>
        <w:tc>
          <w:tcPr>
            <w:tcW w:w="15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2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Postretirement</w:t>
            </w:r>
          </w:p>
        </w:tc>
        <w:tc>
          <w:tcPr>
            <w:tcW w:w="780" w:type="dxa"/>
            <w:vAlign w:val="bottom"/>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342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Pension</w:t>
            </w:r>
          </w:p>
        </w:tc>
        <w:tc>
          <w:tcPr>
            <w:tcW w:w="1560" w:type="dxa"/>
            <w:vAlign w:val="bottom"/>
            <w:shd w:val="clear" w:color="auto" w:fill="CCEEFF"/>
          </w:tcPr>
          <w:p>
            <w:pPr>
              <w:spacing w:after="0"/>
              <w:rPr>
                <w:sz w:val="16"/>
                <w:szCs w:val="16"/>
                <w:color w:val="auto"/>
              </w:rPr>
            </w:pPr>
          </w:p>
        </w:tc>
        <w:tc>
          <w:tcPr>
            <w:tcW w:w="20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 xml:space="preserve">Health and Life </w:t>
            </w:r>
            <w:r>
              <w:rPr>
                <w:rFonts w:ascii="Arial" w:cs="Arial" w:eastAsia="Arial" w:hAnsi="Arial"/>
                <w:sz w:val="14"/>
                <w:szCs w:val="14"/>
                <w:b w:val="1"/>
                <w:bCs w:val="1"/>
                <w:i w:val="1"/>
                <w:iCs w:val="1"/>
                <w:color w:val="auto"/>
              </w:rPr>
              <w:t>(a)</w:t>
            </w:r>
          </w:p>
        </w:tc>
        <w:tc>
          <w:tcPr>
            <w:tcW w:w="780" w:type="dxa"/>
            <w:vAlign w:val="bottom"/>
            <w:shd w:val="clear" w:color="auto" w:fill="CCEEFF"/>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Actual Plan Asset Allocations</w:t>
            </w:r>
          </w:p>
        </w:tc>
        <w:tc>
          <w:tcPr>
            <w:tcW w:w="342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2008</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2007</w:t>
            </w:r>
          </w:p>
        </w:tc>
        <w:tc>
          <w:tcPr>
            <w:tcW w:w="2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2008</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2007</w:t>
            </w: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34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46%</w:t>
            </w:r>
          </w:p>
        </w:tc>
        <w:tc>
          <w:tcPr>
            <w:tcW w:w="156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61%</w:t>
            </w:r>
          </w:p>
        </w:tc>
        <w:tc>
          <w:tcPr>
            <w:tcW w:w="202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47%</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w:t>
            </w: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Debt Securities</w:t>
            </w:r>
          </w:p>
        </w:tc>
        <w:tc>
          <w:tcPr>
            <w:tcW w:w="3420" w:type="dxa"/>
            <w:vAlign w:val="bottom"/>
          </w:tcPr>
          <w:p>
            <w:pPr>
              <w:jc w:val="right"/>
              <w:ind w:right="1148"/>
              <w:spacing w:after="0"/>
              <w:rPr>
                <w:sz w:val="20"/>
                <w:szCs w:val="20"/>
                <w:color w:val="auto"/>
              </w:rPr>
            </w:pPr>
            <w:r>
              <w:rPr>
                <w:rFonts w:ascii="Arial" w:cs="Arial" w:eastAsia="Arial" w:hAnsi="Arial"/>
                <w:sz w:val="14"/>
                <w:szCs w:val="14"/>
                <w:color w:val="auto"/>
              </w:rPr>
              <w:t>32%</w:t>
            </w:r>
          </w:p>
        </w:tc>
        <w:tc>
          <w:tcPr>
            <w:tcW w:w="1560" w:type="dxa"/>
            <w:vAlign w:val="bottom"/>
          </w:tcPr>
          <w:p>
            <w:pPr>
              <w:jc w:val="right"/>
              <w:ind w:right="628"/>
              <w:spacing w:after="0"/>
              <w:rPr>
                <w:sz w:val="20"/>
                <w:szCs w:val="20"/>
                <w:color w:val="auto"/>
              </w:rPr>
            </w:pPr>
            <w:r>
              <w:rPr>
                <w:rFonts w:ascii="Arial" w:cs="Arial" w:eastAsia="Arial" w:hAnsi="Arial"/>
                <w:sz w:val="14"/>
                <w:szCs w:val="14"/>
                <w:color w:val="auto"/>
              </w:rPr>
              <w:t>25%</w:t>
            </w:r>
          </w:p>
        </w:tc>
        <w:tc>
          <w:tcPr>
            <w:tcW w:w="2020" w:type="dxa"/>
            <w:vAlign w:val="bottom"/>
          </w:tcPr>
          <w:p>
            <w:pPr>
              <w:jc w:val="right"/>
              <w:ind w:right="928"/>
              <w:spacing w:after="0"/>
              <w:rPr>
                <w:sz w:val="20"/>
                <w:szCs w:val="20"/>
                <w:color w:val="auto"/>
              </w:rPr>
            </w:pPr>
            <w:r>
              <w:rPr>
                <w:rFonts w:ascii="Arial" w:cs="Arial" w:eastAsia="Arial" w:hAnsi="Arial"/>
                <w:sz w:val="14"/>
                <w:szCs w:val="14"/>
                <w:color w:val="auto"/>
              </w:rPr>
              <w:t>40%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24%</w:t>
            </w: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34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6%</w:t>
            </w:r>
          </w:p>
        </w:tc>
        <w:tc>
          <w:tcPr>
            <w:tcW w:w="156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2%</w:t>
            </w:r>
          </w:p>
        </w:tc>
        <w:tc>
          <w:tcPr>
            <w:tcW w:w="202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Private Equity</w:t>
            </w:r>
          </w:p>
        </w:tc>
        <w:tc>
          <w:tcPr>
            <w:tcW w:w="3420" w:type="dxa"/>
            <w:vAlign w:val="bottom"/>
          </w:tcPr>
          <w:p>
            <w:pPr>
              <w:jc w:val="right"/>
              <w:ind w:right="1148"/>
              <w:spacing w:after="0"/>
              <w:rPr>
                <w:sz w:val="20"/>
                <w:szCs w:val="20"/>
                <w:color w:val="auto"/>
              </w:rPr>
            </w:pPr>
            <w:r>
              <w:rPr>
                <w:rFonts w:ascii="Arial" w:cs="Arial" w:eastAsia="Arial" w:hAnsi="Arial"/>
                <w:sz w:val="14"/>
                <w:szCs w:val="14"/>
                <w:color w:val="auto"/>
              </w:rPr>
              <w:t>16%</w:t>
            </w:r>
          </w:p>
        </w:tc>
        <w:tc>
          <w:tcPr>
            <w:tcW w:w="1560" w:type="dxa"/>
            <w:vAlign w:val="bottom"/>
          </w:tcPr>
          <w:p>
            <w:pPr>
              <w:jc w:val="right"/>
              <w:ind w:right="628"/>
              <w:spacing w:after="0"/>
              <w:rPr>
                <w:sz w:val="20"/>
                <w:szCs w:val="20"/>
                <w:color w:val="auto"/>
              </w:rPr>
            </w:pPr>
            <w:r>
              <w:rPr>
                <w:rFonts w:ascii="Arial" w:cs="Arial" w:eastAsia="Arial" w:hAnsi="Arial"/>
                <w:sz w:val="14"/>
                <w:szCs w:val="14"/>
                <w:color w:val="auto"/>
              </w:rPr>
              <w:t>9%</w:t>
            </w:r>
          </w:p>
        </w:tc>
        <w:tc>
          <w:tcPr>
            <w:tcW w:w="2020" w:type="dxa"/>
            <w:vAlign w:val="bottom"/>
          </w:tcPr>
          <w:p>
            <w:pPr>
              <w:jc w:val="right"/>
              <w:ind w:right="928"/>
              <w:spacing w:after="0"/>
              <w:rPr>
                <w:sz w:val="20"/>
                <w:szCs w:val="20"/>
                <w:color w:val="auto"/>
              </w:rPr>
            </w:pPr>
            <w:r>
              <w:rPr>
                <w:rFonts w:ascii="Arial" w:cs="Arial" w:eastAsia="Arial" w:hAnsi="Arial"/>
                <w:sz w:val="14"/>
                <w:szCs w:val="14"/>
                <w:color w:val="auto"/>
              </w:rPr>
              <w:t>9%</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w:t>
            </w:r>
          </w:p>
        </w:tc>
      </w:tr>
      <w:tr>
        <w:trPr>
          <w:trHeight w:val="174"/>
        </w:trPr>
        <w:tc>
          <w:tcPr>
            <w:tcW w:w="20" w:type="dxa"/>
            <w:vAlign w:val="bottom"/>
          </w:tcPr>
          <w:p>
            <w:pPr>
              <w:spacing w:after="0"/>
              <w:rPr>
                <w:sz w:val="15"/>
                <w:szCs w:val="15"/>
                <w:color w:val="auto"/>
              </w:rPr>
            </w:pPr>
          </w:p>
        </w:tc>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w:t>
            </w:r>
          </w:p>
        </w:tc>
        <w:tc>
          <w:tcPr>
            <w:tcW w:w="342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3%</w:t>
            </w:r>
          </w:p>
        </w:tc>
        <w:tc>
          <w:tcPr>
            <w:tcW w:w="202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4%</w:t>
            </w: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r>
      <w:tr>
        <w:trPr>
          <w:trHeight w:val="174"/>
        </w:trPr>
        <w:tc>
          <w:tcPr>
            <w:tcW w:w="20" w:type="dxa"/>
            <w:vAlign w:val="bottom"/>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100%</w:t>
            </w: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100%</w:t>
            </w:r>
          </w:p>
        </w:tc>
        <w:tc>
          <w:tcPr>
            <w:tcW w:w="202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Includes VEBAs and irrevocable grantor trusts.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Pension plan equity securities did not include ALLETE common stock at December 31, 2008 or September 30, 2007.</w:t>
      </w:r>
    </w:p>
    <w:p>
      <w:pPr>
        <w:spacing w:after="0" w:line="205"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In addition, all debt securities must have a Standard &amp; Poor’s credit rating of A or higher.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Postretirement</w:t>
            </w: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Asset Target Allocations</w:t>
            </w:r>
          </w:p>
        </w:tc>
        <w:tc>
          <w:tcPr>
            <w:tcW w:w="4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Pension</w:t>
            </w:r>
          </w:p>
        </w:tc>
        <w:tc>
          <w:tcPr>
            <w:tcW w:w="1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Health and Life </w:t>
            </w:r>
            <w:r>
              <w:rPr>
                <w:rFonts w:ascii="Arial" w:cs="Arial" w:eastAsia="Arial" w:hAnsi="Arial"/>
                <w:sz w:val="14"/>
                <w:szCs w:val="14"/>
                <w:b w:val="1"/>
                <w:bCs w:val="1"/>
                <w:i w:val="1"/>
                <w:iCs w:val="1"/>
                <w:color w:val="auto"/>
              </w:rPr>
              <w:t>(a)</w:t>
            </w:r>
          </w:p>
        </w:tc>
      </w:tr>
      <w:tr>
        <w:trPr>
          <w:trHeight w:val="17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43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55%</w:t>
            </w:r>
          </w:p>
        </w:tc>
        <w:tc>
          <w:tcPr>
            <w:tcW w:w="1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55%</w:t>
            </w: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Debt Securities</w:t>
            </w:r>
          </w:p>
        </w:tc>
        <w:tc>
          <w:tcPr>
            <w:tcW w:w="4380" w:type="dxa"/>
            <w:vAlign w:val="bottom"/>
          </w:tcPr>
          <w:p>
            <w:pPr>
              <w:jc w:val="right"/>
              <w:ind w:right="508"/>
              <w:spacing w:after="0"/>
              <w:rPr>
                <w:sz w:val="20"/>
                <w:szCs w:val="20"/>
                <w:color w:val="auto"/>
              </w:rPr>
            </w:pPr>
            <w:r>
              <w:rPr>
                <w:rFonts w:ascii="Arial" w:cs="Arial" w:eastAsia="Arial" w:hAnsi="Arial"/>
                <w:sz w:val="14"/>
                <w:szCs w:val="14"/>
                <w:color w:val="auto"/>
              </w:rPr>
              <w:t>24%</w:t>
            </w:r>
          </w:p>
        </w:tc>
        <w:tc>
          <w:tcPr>
            <w:tcW w:w="1820" w:type="dxa"/>
            <w:vAlign w:val="bottom"/>
          </w:tcPr>
          <w:p>
            <w:pPr>
              <w:jc w:val="right"/>
              <w:ind w:right="228"/>
              <w:spacing w:after="0"/>
              <w:rPr>
                <w:sz w:val="20"/>
                <w:szCs w:val="20"/>
                <w:color w:val="auto"/>
              </w:rPr>
            </w:pPr>
            <w:r>
              <w:rPr>
                <w:rFonts w:ascii="Arial" w:cs="Arial" w:eastAsia="Arial" w:hAnsi="Arial"/>
                <w:sz w:val="14"/>
                <w:szCs w:val="14"/>
                <w:color w:val="auto"/>
              </w:rPr>
              <w:t>24%</w:t>
            </w:r>
          </w:p>
        </w:tc>
      </w:tr>
      <w:tr>
        <w:trPr>
          <w:trHeight w:val="17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43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9%</w:t>
            </w:r>
          </w:p>
        </w:tc>
        <w:tc>
          <w:tcPr>
            <w:tcW w:w="1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w:t>
            </w: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Private Equity</w:t>
            </w:r>
          </w:p>
        </w:tc>
        <w:tc>
          <w:tcPr>
            <w:tcW w:w="4380" w:type="dxa"/>
            <w:vAlign w:val="bottom"/>
          </w:tcPr>
          <w:p>
            <w:pPr>
              <w:jc w:val="right"/>
              <w:ind w:right="508"/>
              <w:spacing w:after="0"/>
              <w:rPr>
                <w:sz w:val="20"/>
                <w:szCs w:val="20"/>
                <w:color w:val="auto"/>
              </w:rPr>
            </w:pPr>
            <w:r>
              <w:rPr>
                <w:rFonts w:ascii="Arial" w:cs="Arial" w:eastAsia="Arial" w:hAnsi="Arial"/>
                <w:sz w:val="14"/>
                <w:szCs w:val="14"/>
                <w:color w:val="auto"/>
              </w:rPr>
              <w:t>11%</w:t>
            </w:r>
          </w:p>
        </w:tc>
        <w:tc>
          <w:tcPr>
            <w:tcW w:w="1820" w:type="dxa"/>
            <w:vAlign w:val="bottom"/>
          </w:tcPr>
          <w:p>
            <w:pPr>
              <w:jc w:val="right"/>
              <w:ind w:right="228"/>
              <w:spacing w:after="0"/>
              <w:rPr>
                <w:sz w:val="20"/>
                <w:szCs w:val="20"/>
                <w:color w:val="auto"/>
              </w:rPr>
            </w:pPr>
            <w:r>
              <w:rPr>
                <w:rFonts w:ascii="Arial" w:cs="Arial" w:eastAsia="Arial" w:hAnsi="Arial"/>
                <w:sz w:val="14"/>
                <w:szCs w:val="14"/>
                <w:color w:val="auto"/>
              </w:rPr>
              <w:t>11%</w:t>
            </w: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w:t>
            </w:r>
          </w:p>
        </w:tc>
        <w:tc>
          <w:tcPr>
            <w:tcW w:w="43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1%</w:t>
            </w:r>
          </w:p>
        </w:tc>
        <w:tc>
          <w:tcPr>
            <w:tcW w:w="18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w:t>
            </w: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100%</w:t>
            </w:r>
          </w:p>
        </w:tc>
        <w:tc>
          <w:tcPr>
            <w:tcW w:w="1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100%</w:t>
            </w:r>
          </w:p>
        </w:tc>
      </w:tr>
    </w:tbl>
    <w:p>
      <w:pPr>
        <w:spacing w:after="0" w:line="183" w:lineRule="exact"/>
        <w:rPr>
          <w:sz w:val="20"/>
          <w:szCs w:val="20"/>
          <w:color w:val="auto"/>
        </w:rPr>
      </w:pPr>
    </w:p>
    <w:p>
      <w:pPr>
        <w:ind w:left="380" w:hanging="374"/>
        <w:spacing w:after="0"/>
        <w:tabs>
          <w:tab w:leader="none" w:pos="38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VEBAs and irrevocable grantor trusts.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FSP 106-2, “Accounting and Disclosure Requirements Related to the Medicare Prescription Drug, Improvement and Modernization Act of 2003 (Act)”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which qualify us for the federal subsidy under the Act. The expected reimbursement for Medicare health subsidies reduced our after-tax postretirement medical expense by $1.2 million for 2008 ($2.3 million for 2007; $2.4 million in 2006). In 2005 we enrolled with the Centers for Medicare and Medicaid Services’ (CMS) and began recovering the subsidy in 2007. We received $0.3 million in 2007 for 2006, and expect to receive a reimbursement in 2009 for 2007.</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15.</w:t>
      </w:r>
      <w:r>
        <w:rPr>
          <w:sz w:val="20"/>
          <w:szCs w:val="20"/>
          <w:color w:val="auto"/>
        </w:rPr>
        <w:tab/>
      </w:r>
      <w:r>
        <w:rPr>
          <w:rFonts w:ascii="Arial" w:cs="Arial" w:eastAsia="Arial" w:hAnsi="Arial"/>
          <w:sz w:val="12"/>
          <w:szCs w:val="12"/>
          <w:b w:val="1"/>
          <w:bCs w:val="1"/>
          <w:color w:val="auto"/>
        </w:rPr>
        <w:t>Employee Stock and Incentive Plans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Employee Stock Ownership Plan. </w:t>
      </w:r>
      <w:r>
        <w:rPr>
          <w:rFonts w:ascii="Arial" w:cs="Arial" w:eastAsia="Arial" w:hAnsi="Arial"/>
          <w:sz w:val="14"/>
          <w:szCs w:val="14"/>
          <w:color w:val="auto"/>
        </w:rPr>
        <w:t>We sponsor a leveraged employee stock ownership plan (ESOP) within the RSOP. As of their date of hire, all employees of ALLETE, SWL&amp;P and Minnesota</w:t>
      </w:r>
      <w:r>
        <w:rPr>
          <w:rFonts w:ascii="Arial" w:cs="Arial" w:eastAsia="Arial" w:hAnsi="Arial"/>
          <w:sz w:val="14"/>
          <w:szCs w:val="14"/>
          <w:b w:val="1"/>
          <w:bCs w:val="1"/>
          <w:color w:val="auto"/>
        </w:rPr>
        <w:t xml:space="preserve"> </w:t>
      </w:r>
      <w:r>
        <w:rPr>
          <w:rFonts w:ascii="Arial" w:cs="Arial" w:eastAsia="Arial" w:hAnsi="Arial"/>
          <w:sz w:val="14"/>
          <w:szCs w:val="14"/>
          <w:color w:val="auto"/>
        </w:rPr>
        <w:t>Power Affiliate Resources are eligible to contribute to the plan. In 1990, the ESOP issued a $75 million note (term not to exceed 25 years at 10.25 percent) to us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$10.3 million in 2008 ($9.2 million in 2007; $6.9 million in 2006).</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80" w:name="page81"/>
    <w:bookmarkEnd w:id="80"/>
    <w:p>
      <w:pPr>
        <w:spacing w:after="0"/>
        <w:tabs>
          <w:tab w:leader="none" w:pos="640" w:val="left"/>
        </w:tabs>
        <w:rPr>
          <w:sz w:val="20"/>
          <w:szCs w:val="20"/>
          <w:color w:val="auto"/>
        </w:rPr>
      </w:pPr>
      <w:r>
        <w:rPr>
          <w:rFonts w:ascii="Arial" w:cs="Arial" w:eastAsia="Arial" w:hAnsi="Arial"/>
          <w:sz w:val="14"/>
          <w:szCs w:val="14"/>
          <w:b w:val="1"/>
          <w:bCs w:val="1"/>
          <w:color w:val="auto"/>
        </w:rPr>
        <w:t>Note 15.</w:t>
      </w:r>
      <w:r>
        <w:rPr>
          <w:sz w:val="20"/>
          <w:szCs w:val="20"/>
          <w:color w:val="auto"/>
        </w:rPr>
        <w:tab/>
      </w:r>
      <w:r>
        <w:rPr>
          <w:rFonts w:ascii="Arial" w:cs="Arial" w:eastAsia="Arial" w:hAnsi="Arial"/>
          <w:sz w:val="12"/>
          <w:szCs w:val="12"/>
          <w:b w:val="1"/>
          <w:bCs w:val="1"/>
          <w:color w:val="auto"/>
        </w:rPr>
        <w:t>Employee Stock and Incentive Plans (Continued)</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w:t>
            </w:r>
          </w:p>
        </w:tc>
        <w:tc>
          <w:tcPr>
            <w:tcW w:w="38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2008</w:t>
            </w:r>
          </w:p>
        </w:tc>
        <w:tc>
          <w:tcPr>
            <w:tcW w:w="164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2007</w:t>
            </w: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ESOP Shares</w:t>
            </w:r>
          </w:p>
        </w:tc>
        <w:tc>
          <w:tcPr>
            <w:tcW w:w="38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120"/>
              <w:spacing w:after="0"/>
              <w:rPr>
                <w:sz w:val="20"/>
                <w:szCs w:val="20"/>
                <w:color w:val="auto"/>
              </w:rPr>
            </w:pPr>
            <w:r>
              <w:rPr>
                <w:rFonts w:ascii="Arial" w:cs="Arial" w:eastAsia="Arial" w:hAnsi="Arial"/>
                <w:sz w:val="14"/>
                <w:szCs w:val="14"/>
                <w:color w:val="auto"/>
              </w:rPr>
              <w:t>Allocated</w:t>
            </w:r>
          </w:p>
        </w:tc>
        <w:tc>
          <w:tcPr>
            <w:tcW w:w="3880" w:type="dxa"/>
            <w:vAlign w:val="bottom"/>
          </w:tcPr>
          <w:p>
            <w:pPr>
              <w:jc w:val="right"/>
              <w:ind w:right="688"/>
              <w:spacing w:after="0"/>
              <w:rPr>
                <w:sz w:val="20"/>
                <w:szCs w:val="20"/>
                <w:color w:val="auto"/>
              </w:rPr>
            </w:pPr>
            <w:r>
              <w:rPr>
                <w:rFonts w:ascii="Arial" w:cs="Arial" w:eastAsia="Arial" w:hAnsi="Arial"/>
                <w:sz w:val="14"/>
                <w:szCs w:val="14"/>
                <w:color w:val="auto"/>
              </w:rPr>
              <w:t>2.0</w:t>
            </w:r>
          </w:p>
        </w:tc>
        <w:tc>
          <w:tcPr>
            <w:tcW w:w="1640" w:type="dxa"/>
            <w:vAlign w:val="bottom"/>
          </w:tcPr>
          <w:p>
            <w:pPr>
              <w:jc w:val="right"/>
              <w:ind w:right="648"/>
              <w:spacing w:after="0"/>
              <w:rPr>
                <w:sz w:val="20"/>
                <w:szCs w:val="20"/>
                <w:color w:val="auto"/>
              </w:rPr>
            </w:pPr>
            <w:r>
              <w:rPr>
                <w:rFonts w:ascii="Arial" w:cs="Arial" w:eastAsia="Arial" w:hAnsi="Arial"/>
                <w:sz w:val="14"/>
                <w:szCs w:val="14"/>
                <w:color w:val="auto"/>
              </w:rPr>
              <w:t>1.8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1.7</w:t>
            </w:r>
          </w:p>
        </w:tc>
      </w:tr>
      <w:tr>
        <w:trPr>
          <w:trHeight w:val="174"/>
        </w:trPr>
        <w:tc>
          <w:tcPr>
            <w:tcW w:w="20" w:type="dxa"/>
            <w:vAlign w:val="bottom"/>
          </w:tcPr>
          <w:p>
            <w:pPr>
              <w:spacing w:after="0"/>
              <w:rPr>
                <w:sz w:val="15"/>
                <w:szCs w:val="15"/>
                <w:color w:val="auto"/>
              </w:rPr>
            </w:pPr>
          </w:p>
        </w:tc>
        <w:tc>
          <w:tcPr>
            <w:tcW w:w="4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Unallocated</w:t>
            </w:r>
          </w:p>
        </w:tc>
        <w:tc>
          <w:tcPr>
            <w:tcW w:w="3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1.9</w:t>
            </w:r>
          </w:p>
        </w:tc>
        <w:tc>
          <w:tcPr>
            <w:tcW w:w="16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2.2</w:t>
            </w:r>
          </w:p>
        </w:tc>
        <w:tc>
          <w:tcPr>
            <w:tcW w:w="12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2.5</w:t>
            </w:r>
          </w:p>
        </w:tc>
      </w:tr>
      <w:tr>
        <w:trPr>
          <w:trHeight w:val="174"/>
        </w:trPr>
        <w:tc>
          <w:tcPr>
            <w:tcW w:w="20" w:type="dxa"/>
            <w:vAlign w:val="bottom"/>
          </w:tcPr>
          <w:p>
            <w:pPr>
              <w:spacing w:after="0"/>
              <w:rPr>
                <w:sz w:val="15"/>
                <w:szCs w:val="15"/>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3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3.9</w:t>
            </w:r>
          </w:p>
        </w:tc>
        <w:tc>
          <w:tcPr>
            <w:tcW w:w="16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4.0</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4.2</w:t>
            </w:r>
          </w:p>
        </w:tc>
      </w:tr>
      <w:tr>
        <w:trPr>
          <w:trHeight w:val="174"/>
        </w:trPr>
        <w:tc>
          <w:tcPr>
            <w:tcW w:w="20" w:type="dxa"/>
            <w:vAlign w:val="bottom"/>
          </w:tcPr>
          <w:p>
            <w:pPr>
              <w:spacing w:after="0"/>
              <w:rPr>
                <w:sz w:val="15"/>
                <w:szCs w:val="15"/>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Fair Value of Unallocated Shares</w:t>
            </w:r>
          </w:p>
        </w:tc>
        <w:tc>
          <w:tcPr>
            <w:tcW w:w="3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$61.3</w:t>
            </w:r>
          </w:p>
        </w:tc>
        <w:tc>
          <w:tcPr>
            <w:tcW w:w="16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$87.1</w:t>
            </w:r>
          </w:p>
        </w:tc>
        <w:tc>
          <w:tcPr>
            <w:tcW w:w="12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$115.2</w:t>
            </w:r>
          </w:p>
        </w:tc>
      </w:tr>
    </w:tbl>
    <w:p>
      <w:pPr>
        <w:spacing w:after="0" w:line="179" w:lineRule="exact"/>
        <w:rPr>
          <w:sz w:val="20"/>
          <w:szCs w:val="20"/>
          <w:color w:val="auto"/>
        </w:rPr>
      </w:pPr>
    </w:p>
    <w:p>
      <w:pPr>
        <w:jc w:val="both"/>
        <w:spacing w:after="0" w:line="306" w:lineRule="auto"/>
        <w:rPr>
          <w:sz w:val="20"/>
          <w:szCs w:val="20"/>
          <w:color w:val="auto"/>
        </w:rPr>
      </w:pPr>
      <w:r>
        <w:rPr>
          <w:rFonts w:ascii="Arial" w:cs="Arial" w:eastAsia="Arial" w:hAnsi="Arial"/>
          <w:sz w:val="13"/>
          <w:szCs w:val="13"/>
          <w:b w:val="1"/>
          <w:bCs w:val="1"/>
          <w:color w:val="auto"/>
        </w:rPr>
        <w:t xml:space="preserve">Stock-Based Compensation. </w:t>
      </w:r>
      <w:r>
        <w:rPr>
          <w:rFonts w:ascii="Arial" w:cs="Arial" w:eastAsia="Arial" w:hAnsi="Arial"/>
          <w:sz w:val="13"/>
          <w:szCs w:val="13"/>
          <w:i w:val="1"/>
          <w:iCs w:val="1"/>
          <w:color w:val="auto"/>
        </w:rPr>
        <w:t>Stock Incentive Plan.</w:t>
      </w:r>
      <w:r>
        <w:rPr>
          <w:rFonts w:ascii="Arial" w:cs="Arial" w:eastAsia="Arial" w:hAnsi="Arial"/>
          <w:sz w:val="13"/>
          <w:szCs w:val="13"/>
          <w:b w:val="1"/>
          <w:bCs w:val="1"/>
          <w:color w:val="auto"/>
        </w:rPr>
        <w:t xml:space="preserve"> </w:t>
      </w:r>
      <w:r>
        <w:rPr>
          <w:rFonts w:ascii="Arial" w:cs="Arial" w:eastAsia="Arial" w:hAnsi="Arial"/>
          <w:sz w:val="13"/>
          <w:szCs w:val="13"/>
          <w:color w:val="auto"/>
        </w:rPr>
        <w:t>Under our Executive Long-Term Incentive Compensation Plan (Executive Plan), share-based awards may be issued to key employees through a</w:t>
      </w:r>
      <w:r>
        <w:rPr>
          <w:rFonts w:ascii="Arial" w:cs="Arial" w:eastAsia="Arial" w:hAnsi="Arial"/>
          <w:sz w:val="13"/>
          <w:szCs w:val="13"/>
          <w:b w:val="1"/>
          <w:bCs w:val="1"/>
          <w:color w:val="auto"/>
        </w:rPr>
        <w:t xml:space="preserve"> </w:t>
      </w:r>
      <w:r>
        <w:rPr>
          <w:rFonts w:ascii="Arial" w:cs="Arial" w:eastAsia="Arial" w:hAnsi="Arial"/>
          <w:sz w:val="13"/>
          <w:szCs w:val="13"/>
          <w:color w:val="auto"/>
        </w:rPr>
        <w:t>broad range of methods, including non-qualified and incentive stock options, performance shares, performance units, restricted stock, stock appreciation rights and other awards. There are 1.5 million shares of common stock reserved for issuance under the Executive Plan, with 0.7 million of these shares available for issuance as of December 31, 2008.</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had a Director Long-Term Stock Incentive Plan (Director Plan) which expired on January 1, 2006. No grants have been made since 2003 under the Director Plan. Approximately 3,879 options were outstanding under the Director Plan at December 31, 2008.</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currently have the following types of share-based awards outstanding:</w:t>
      </w:r>
    </w:p>
    <w:p>
      <w:pPr>
        <w:spacing w:after="0" w:line="205" w:lineRule="exact"/>
        <w:rPr>
          <w:sz w:val="20"/>
          <w:szCs w:val="20"/>
          <w:color w:val="auto"/>
        </w:rPr>
      </w:pPr>
    </w:p>
    <w:p>
      <w:pPr>
        <w:jc w:val="both"/>
        <w:ind w:left="260"/>
        <w:spacing w:after="0" w:line="287" w:lineRule="auto"/>
        <w:rPr>
          <w:sz w:val="20"/>
          <w:szCs w:val="20"/>
          <w:color w:val="auto"/>
        </w:rPr>
      </w:pPr>
      <w:r>
        <w:rPr>
          <w:rFonts w:ascii="Arial" w:cs="Arial" w:eastAsia="Arial" w:hAnsi="Arial"/>
          <w:sz w:val="13"/>
          <w:szCs w:val="13"/>
          <w:i w:val="1"/>
          <w:iCs w:val="1"/>
          <w:color w:val="auto"/>
        </w:rPr>
        <w:t>Non-Qualified Stock Options</w:t>
      </w:r>
      <w:r>
        <w:rPr>
          <w:rFonts w:ascii="Arial" w:cs="Arial" w:eastAsia="Arial" w:hAnsi="Arial"/>
          <w:sz w:val="13"/>
          <w:szCs w:val="13"/>
          <w:color w:val="auto"/>
        </w:rPr>
        <w:t>. The options allow for the purchase of shares of common stock at a price equal to the market value of our common stock at the date of grant. Options become</w:t>
      </w:r>
      <w:r>
        <w:rPr>
          <w:rFonts w:ascii="Arial" w:cs="Arial" w:eastAsia="Arial" w:hAnsi="Arial"/>
          <w:sz w:val="13"/>
          <w:szCs w:val="13"/>
          <w:i w:val="1"/>
          <w:iCs w:val="1"/>
          <w:color w:val="auto"/>
        </w:rPr>
        <w:t xml:space="preserve"> </w:t>
      </w:r>
      <w:r>
        <w:rPr>
          <w:rFonts w:ascii="Arial" w:cs="Arial" w:eastAsia="Arial" w:hAnsi="Arial"/>
          <w:sz w:val="13"/>
          <w:szCs w:val="13"/>
          <w:color w:val="auto"/>
        </w:rPr>
        <w:t>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assumptions were used in determining the fair value of stock options granted during 2008, under the Black-Scholes option-pricing model: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Borders>
              <w:bottom w:val="single" w:sz="8" w:color="auto"/>
            </w:tcBorders>
            <w:shd w:val="clear" w:color="auto" w:fill="CCEEFF"/>
          </w:tcPr>
          <w:p>
            <w:pPr>
              <w:spacing w:after="0"/>
              <w:rPr>
                <w:sz w:val="15"/>
                <w:szCs w:val="15"/>
                <w:color w:val="auto"/>
              </w:rPr>
            </w:pPr>
          </w:p>
        </w:tc>
        <w:tc>
          <w:tcPr>
            <w:tcW w:w="42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2008</w:t>
            </w:r>
          </w:p>
        </w:tc>
        <w:tc>
          <w:tcPr>
            <w:tcW w:w="154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4"/>
                <w:szCs w:val="14"/>
                <w:color w:val="auto"/>
              </w:rPr>
              <w:t>Risk-Free Interest Rate</w:t>
            </w:r>
          </w:p>
        </w:tc>
        <w:tc>
          <w:tcPr>
            <w:tcW w:w="4200" w:type="dxa"/>
            <w:vAlign w:val="bottom"/>
          </w:tcPr>
          <w:p>
            <w:pPr>
              <w:jc w:val="right"/>
              <w:ind w:right="468"/>
              <w:spacing w:after="0"/>
              <w:rPr>
                <w:sz w:val="20"/>
                <w:szCs w:val="20"/>
                <w:color w:val="auto"/>
              </w:rPr>
            </w:pPr>
            <w:r>
              <w:rPr>
                <w:rFonts w:ascii="Arial" w:cs="Arial" w:eastAsia="Arial" w:hAnsi="Arial"/>
                <w:sz w:val="14"/>
                <w:szCs w:val="14"/>
                <w:color w:val="auto"/>
              </w:rPr>
              <w:t>2.8%</w:t>
            </w:r>
          </w:p>
        </w:tc>
        <w:tc>
          <w:tcPr>
            <w:tcW w:w="1540" w:type="dxa"/>
            <w:vAlign w:val="bottom"/>
          </w:tcPr>
          <w:p>
            <w:pPr>
              <w:jc w:val="right"/>
              <w:ind w:right="548"/>
              <w:spacing w:after="0"/>
              <w:rPr>
                <w:sz w:val="20"/>
                <w:szCs w:val="20"/>
                <w:color w:val="auto"/>
              </w:rPr>
            </w:pPr>
            <w:r>
              <w:rPr>
                <w:rFonts w:ascii="Arial" w:cs="Arial" w:eastAsia="Arial" w:hAnsi="Arial"/>
                <w:sz w:val="14"/>
                <w:szCs w:val="14"/>
                <w:color w:val="auto"/>
              </w:rPr>
              <w:t>4.8%</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4.5%</w:t>
            </w: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Expected Life</w:t>
            </w:r>
          </w:p>
        </w:tc>
        <w:tc>
          <w:tcPr>
            <w:tcW w:w="42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5 Years</w:t>
            </w:r>
          </w:p>
        </w:tc>
        <w:tc>
          <w:tcPr>
            <w:tcW w:w="154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5 Years</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 Years</w:t>
            </w: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4"/>
                <w:szCs w:val="14"/>
                <w:color w:val="auto"/>
              </w:rPr>
              <w:t>Expected Volatility</w:t>
            </w:r>
          </w:p>
        </w:tc>
        <w:tc>
          <w:tcPr>
            <w:tcW w:w="4200" w:type="dxa"/>
            <w:vAlign w:val="bottom"/>
          </w:tcPr>
          <w:p>
            <w:pPr>
              <w:jc w:val="right"/>
              <w:ind w:right="468"/>
              <w:spacing w:after="0"/>
              <w:rPr>
                <w:sz w:val="20"/>
                <w:szCs w:val="20"/>
                <w:color w:val="auto"/>
              </w:rPr>
            </w:pPr>
            <w:r>
              <w:rPr>
                <w:rFonts w:ascii="Arial" w:cs="Arial" w:eastAsia="Arial" w:hAnsi="Arial"/>
                <w:sz w:val="14"/>
                <w:szCs w:val="14"/>
                <w:color w:val="auto"/>
              </w:rPr>
              <w:t>20%</w:t>
            </w:r>
          </w:p>
        </w:tc>
        <w:tc>
          <w:tcPr>
            <w:tcW w:w="1540" w:type="dxa"/>
            <w:vAlign w:val="bottom"/>
          </w:tcPr>
          <w:p>
            <w:pPr>
              <w:jc w:val="right"/>
              <w:ind w:right="548"/>
              <w:spacing w:after="0"/>
              <w:rPr>
                <w:sz w:val="20"/>
                <w:szCs w:val="20"/>
                <w:color w:val="auto"/>
              </w:rPr>
            </w:pPr>
            <w:r>
              <w:rPr>
                <w:rFonts w:ascii="Arial" w:cs="Arial" w:eastAsia="Arial" w:hAnsi="Arial"/>
                <w:sz w:val="14"/>
                <w:szCs w:val="14"/>
                <w:color w:val="auto"/>
              </w:rPr>
              <w:t>20%</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20%</w:t>
            </w:r>
          </w:p>
        </w:tc>
      </w:tr>
      <w:tr>
        <w:trPr>
          <w:trHeight w:val="174"/>
        </w:trPr>
        <w:tc>
          <w:tcPr>
            <w:tcW w:w="20" w:type="dxa"/>
            <w:vAlign w:val="bottom"/>
          </w:tcPr>
          <w:p>
            <w:pPr>
              <w:spacing w:after="0"/>
              <w:rPr>
                <w:sz w:val="15"/>
                <w:szCs w:val="15"/>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Dividend Growth Rate</w:t>
            </w:r>
          </w:p>
        </w:tc>
        <w:tc>
          <w:tcPr>
            <w:tcW w:w="42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4.4%</w:t>
            </w:r>
          </w:p>
        </w:tc>
        <w:tc>
          <w:tcPr>
            <w:tcW w:w="154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5.0%</w:t>
            </w:r>
          </w:p>
        </w:tc>
        <w:tc>
          <w:tcPr>
            <w:tcW w:w="11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5.0%</w:t>
            </w:r>
          </w:p>
        </w:tc>
      </w:tr>
    </w:tbl>
    <w:p>
      <w:pPr>
        <w:spacing w:after="0" w:line="183" w:lineRule="exact"/>
        <w:rPr>
          <w:sz w:val="20"/>
          <w:szCs w:val="20"/>
          <w:color w:val="auto"/>
        </w:rPr>
      </w:pPr>
    </w:p>
    <w:p>
      <w:pPr>
        <w:jc w:val="both"/>
        <w:ind w:left="260"/>
        <w:spacing w:after="0" w:line="272" w:lineRule="auto"/>
        <w:rPr>
          <w:sz w:val="20"/>
          <w:szCs w:val="20"/>
          <w:color w:val="auto"/>
        </w:rPr>
      </w:pPr>
      <w:r>
        <w:rPr>
          <w:rFonts w:ascii="Arial" w:cs="Arial" w:eastAsia="Arial" w:hAnsi="Arial"/>
          <w:sz w:val="14"/>
          <w:szCs w:val="14"/>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64" w:lineRule="exact"/>
        <w:rPr>
          <w:sz w:val="20"/>
          <w:szCs w:val="20"/>
          <w:color w:val="auto"/>
        </w:rPr>
      </w:pPr>
    </w:p>
    <w:p>
      <w:pPr>
        <w:jc w:val="both"/>
        <w:ind w:left="260"/>
        <w:spacing w:after="0" w:line="263" w:lineRule="auto"/>
        <w:rPr>
          <w:sz w:val="20"/>
          <w:szCs w:val="20"/>
          <w:color w:val="auto"/>
        </w:rPr>
      </w:pPr>
      <w:r>
        <w:rPr>
          <w:rFonts w:ascii="Arial" w:cs="Arial" w:eastAsia="Arial" w:hAnsi="Arial"/>
          <w:sz w:val="14"/>
          <w:szCs w:val="14"/>
          <w:i w:val="1"/>
          <w:iCs w:val="1"/>
          <w:color w:val="auto"/>
        </w:rPr>
        <w:t xml:space="preserve">Performance Shares. </w:t>
      </w:r>
      <w:r>
        <w:rPr>
          <w:rFonts w:ascii="Arial" w:cs="Arial" w:eastAsia="Arial" w:hAnsi="Arial"/>
          <w:sz w:val="14"/>
          <w:szCs w:val="14"/>
          <w:color w:val="auto"/>
        </w:rPr>
        <w:t>Under these awards, the number of shares earned is contingent upon attaining specific performance targets over a three-year performance period. In the case of 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retirement, death or disability during a performance period, a pro-rata portion of the award will be earned at the conclusion of the performance period based on the performance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equal to the grant date fair value which is estimated based upon the assumed share-based payment three years from the date of grant. Compensation cost is recognized over the three-year performance period based on our estimate of the number of shares which will be earned by the award recipients.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81" w:name="page82"/>
    <w:bookmarkEnd w:id="81"/>
    <w:p>
      <w:pPr>
        <w:spacing w:after="0"/>
        <w:tabs>
          <w:tab w:leader="none" w:pos="660" w:val="left"/>
        </w:tabs>
        <w:rPr>
          <w:sz w:val="20"/>
          <w:szCs w:val="20"/>
          <w:color w:val="auto"/>
        </w:rPr>
      </w:pPr>
      <w:r>
        <w:rPr>
          <w:rFonts w:ascii="Arial" w:cs="Arial" w:eastAsia="Arial" w:hAnsi="Arial"/>
          <w:sz w:val="14"/>
          <w:szCs w:val="14"/>
          <w:b w:val="1"/>
          <w:bCs w:val="1"/>
          <w:color w:val="auto"/>
        </w:rPr>
        <w:t>Note 15.</w:t>
      </w:r>
      <w:r>
        <w:rPr>
          <w:sz w:val="20"/>
          <w:szCs w:val="20"/>
          <w:color w:val="auto"/>
        </w:rPr>
        <w:tab/>
      </w:r>
      <w:r>
        <w:rPr>
          <w:rFonts w:ascii="Arial" w:cs="Arial" w:eastAsia="Arial" w:hAnsi="Arial"/>
          <w:sz w:val="12"/>
          <w:szCs w:val="12"/>
          <w:b w:val="1"/>
          <w:bCs w:val="1"/>
          <w:color w:val="auto"/>
        </w:rPr>
        <w:t>Employee Stock and Incentive Plans (Continued)</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Employee Stock Purchase Plan (ESPP). </w:t>
      </w:r>
      <w:r>
        <w:rPr>
          <w:rFonts w:ascii="Arial" w:cs="Arial" w:eastAsia="Arial" w:hAnsi="Arial"/>
          <w:sz w:val="14"/>
          <w:szCs w:val="14"/>
          <w:color w:val="auto"/>
        </w:rPr>
        <w:t>Under our ESPP, eligible employees may purchase ALLETE common stock at a 5 percent discount from the market price. Because the discount is not greater</w:t>
      </w:r>
      <w:r>
        <w:rPr>
          <w:rFonts w:ascii="Arial" w:cs="Arial" w:eastAsia="Arial" w:hAnsi="Arial"/>
          <w:sz w:val="14"/>
          <w:szCs w:val="14"/>
          <w:i w:val="1"/>
          <w:iCs w:val="1"/>
          <w:color w:val="auto"/>
        </w:rPr>
        <w:t xml:space="preserve"> </w:t>
      </w:r>
      <w:r>
        <w:rPr>
          <w:rFonts w:ascii="Arial" w:cs="Arial" w:eastAsia="Arial" w:hAnsi="Arial"/>
          <w:sz w:val="14"/>
          <w:szCs w:val="14"/>
          <w:color w:val="auto"/>
        </w:rPr>
        <w:t>than 5 percent, we are not required by SFAS 123R to apply fair value accounting to these awards.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RSOP</w:t>
      </w:r>
      <w:r>
        <w:rPr>
          <w:rFonts w:ascii="Arial" w:cs="Arial" w:eastAsia="Arial" w:hAnsi="Arial"/>
          <w:sz w:val="14"/>
          <w:szCs w:val="14"/>
          <w:color w:val="auto"/>
        </w:rPr>
        <w:t>. Shares held in our RSOP are excluded from SFAS 123R and are accounted for in accordance with the AICPA Statement of Position No. 93-6, “Employers’ Accounting for Employee Stock</w:t>
      </w:r>
      <w:r>
        <w:rPr>
          <w:rFonts w:ascii="Arial" w:cs="Arial" w:eastAsia="Arial" w:hAnsi="Arial"/>
          <w:sz w:val="14"/>
          <w:szCs w:val="14"/>
          <w:i w:val="1"/>
          <w:iCs w:val="1"/>
          <w:color w:val="auto"/>
        </w:rPr>
        <w:t xml:space="preserve"> </w:t>
      </w:r>
      <w:r>
        <w:rPr>
          <w:rFonts w:ascii="Arial" w:cs="Arial" w:eastAsia="Arial" w:hAnsi="Arial"/>
          <w:sz w:val="14"/>
          <w:szCs w:val="14"/>
          <w:color w:val="auto"/>
        </w:rPr>
        <w:t>Ownership Plans.”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share-based compensation expense amounts were recognized in our consolidated statement of income for the periods presented since our adoption of SFAS 123R.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Share-Based Compensation Expense</w:t>
            </w:r>
          </w:p>
        </w:tc>
        <w:tc>
          <w:tcPr>
            <w:tcW w:w="2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 December 31</w:t>
            </w:r>
          </w:p>
        </w:tc>
        <w:tc>
          <w:tcPr>
            <w:tcW w:w="2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2008</w:t>
            </w: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2007</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Millions</w:t>
            </w:r>
          </w:p>
        </w:tc>
        <w:tc>
          <w:tcPr>
            <w:tcW w:w="2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Arial" w:cs="Arial" w:eastAsia="Arial" w:hAnsi="Arial"/>
                <w:sz w:val="14"/>
                <w:szCs w:val="14"/>
                <w:color w:val="auto"/>
              </w:rPr>
              <w:t>Stock Options</w:t>
            </w:r>
          </w:p>
        </w:tc>
        <w:tc>
          <w:tcPr>
            <w:tcW w:w="2100" w:type="dxa"/>
            <w:vAlign w:val="bottom"/>
          </w:tcPr>
          <w:p>
            <w:pPr>
              <w:jc w:val="right"/>
              <w:ind w:right="568"/>
              <w:spacing w:after="0"/>
              <w:rPr>
                <w:sz w:val="20"/>
                <w:szCs w:val="20"/>
                <w:color w:val="auto"/>
              </w:rPr>
            </w:pPr>
            <w:r>
              <w:rPr>
                <w:rFonts w:ascii="Arial" w:cs="Arial" w:eastAsia="Arial" w:hAnsi="Arial"/>
                <w:sz w:val="14"/>
                <w:szCs w:val="14"/>
                <w:color w:val="auto"/>
              </w:rPr>
              <w:t>$0.7</w:t>
            </w:r>
          </w:p>
        </w:tc>
        <w:tc>
          <w:tcPr>
            <w:tcW w:w="1540" w:type="dxa"/>
            <w:vAlign w:val="bottom"/>
          </w:tcPr>
          <w:p>
            <w:pPr>
              <w:jc w:val="right"/>
              <w:ind w:right="648"/>
              <w:spacing w:after="0"/>
              <w:rPr>
                <w:sz w:val="20"/>
                <w:szCs w:val="20"/>
                <w:color w:val="auto"/>
              </w:rPr>
            </w:pPr>
            <w:r>
              <w:rPr>
                <w:rFonts w:ascii="Arial" w:cs="Arial" w:eastAsia="Arial" w:hAnsi="Arial"/>
                <w:sz w:val="14"/>
                <w:szCs w:val="14"/>
                <w:color w:val="auto"/>
              </w:rPr>
              <w:t>$0.8</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Performance Shares</w:t>
            </w:r>
          </w:p>
        </w:tc>
        <w:tc>
          <w:tcPr>
            <w:tcW w:w="210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1.1</w:t>
            </w:r>
          </w:p>
        </w:tc>
        <w:tc>
          <w:tcPr>
            <w:tcW w:w="15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1.0</w:t>
            </w: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Share-Based Compensation Expense</w:t>
            </w:r>
          </w:p>
        </w:tc>
        <w:tc>
          <w:tcPr>
            <w:tcW w:w="21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$1.8</w:t>
            </w:r>
          </w:p>
        </w:tc>
        <w:tc>
          <w:tcPr>
            <w:tcW w:w="15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$1.8</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7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vMerge w:val="continue"/>
          </w:tcPr>
          <w:p>
            <w:pPr>
              <w:spacing w:after="0"/>
              <w:rPr>
                <w:sz w:val="15"/>
                <w:szCs w:val="15"/>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 Benefit</w:t>
            </w:r>
          </w:p>
        </w:tc>
        <w:tc>
          <w:tcPr>
            <w:tcW w:w="21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$0.7</w:t>
            </w:r>
          </w:p>
        </w:tc>
        <w:tc>
          <w:tcPr>
            <w:tcW w:w="15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$0.7</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365"/>
        </w:trPr>
        <w:tc>
          <w:tcPr>
            <w:tcW w:w="6760" w:type="dxa"/>
            <w:vAlign w:val="bottom"/>
            <w:gridSpan w:val="2"/>
          </w:tcPr>
          <w:p>
            <w:pPr>
              <w:spacing w:after="0"/>
              <w:rPr>
                <w:sz w:val="20"/>
                <w:szCs w:val="20"/>
                <w:color w:val="auto"/>
              </w:rPr>
            </w:pPr>
            <w:r>
              <w:rPr>
                <w:rFonts w:ascii="Arial" w:cs="Arial" w:eastAsia="Arial" w:hAnsi="Arial"/>
                <w:sz w:val="14"/>
                <w:szCs w:val="14"/>
                <w:color w:val="auto"/>
              </w:rPr>
              <w:t>There were no capitalized stock-based compensation costs at December 31, 2008, 2007, or 2006.</w:t>
            </w:r>
          </w:p>
        </w:tc>
        <w:tc>
          <w:tcPr>
            <w:tcW w:w="2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As of December 31, 2008, the total unrecognized compensation cost for the performance share awards not yet recognized in our statements of income was $1.3 million. This amount is expected to be recognized over a weighted-average period of 1.7 years.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information regarding our outstanding stock options for the year ended December 31,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left="708"/>
              <w:spacing w:after="0"/>
              <w:rPr>
                <w:sz w:val="20"/>
                <w:szCs w:val="20"/>
                <w:color w:val="auto"/>
              </w:rPr>
            </w:pPr>
            <w:r>
              <w:rPr>
                <w:rFonts w:ascii="Arial" w:cs="Arial" w:eastAsia="Arial" w:hAnsi="Arial"/>
                <w:sz w:val="14"/>
                <w:szCs w:val="14"/>
                <w:b w:val="1"/>
                <w:bCs w:val="1"/>
                <w:color w:val="auto"/>
                <w:w w:val="91"/>
              </w:rPr>
              <w:t>Weighted-</w:t>
            </w: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Average</w:t>
            </w:r>
          </w:p>
        </w:tc>
      </w:tr>
      <w:tr>
        <w:trPr>
          <w:trHeight w:val="158"/>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940" w:type="dxa"/>
            <w:vAlign w:val="bottom"/>
          </w:tcPr>
          <w:p>
            <w:pPr>
              <w:jc w:val="right"/>
              <w:ind w:right="348"/>
              <w:spacing w:after="0" w:line="158" w:lineRule="exact"/>
              <w:rPr>
                <w:sz w:val="20"/>
                <w:szCs w:val="20"/>
                <w:color w:val="auto"/>
              </w:rPr>
            </w:pPr>
            <w:r>
              <w:rPr>
                <w:rFonts w:ascii="Arial" w:cs="Arial" w:eastAsia="Arial" w:hAnsi="Arial"/>
                <w:sz w:val="14"/>
                <w:szCs w:val="14"/>
                <w:b w:val="1"/>
                <w:bCs w:val="1"/>
                <w:color w:val="auto"/>
              </w:rPr>
              <w:t>Weighted-</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880" w:type="dxa"/>
            <w:vAlign w:val="bottom"/>
          </w:tcPr>
          <w:p>
            <w:pPr>
              <w:jc w:val="center"/>
              <w:ind w:left="728"/>
              <w:spacing w:after="0" w:line="158" w:lineRule="exact"/>
              <w:rPr>
                <w:sz w:val="20"/>
                <w:szCs w:val="20"/>
                <w:color w:val="auto"/>
              </w:rPr>
            </w:pPr>
            <w:r>
              <w:rPr>
                <w:rFonts w:ascii="Arial" w:cs="Arial" w:eastAsia="Arial" w:hAnsi="Arial"/>
                <w:sz w:val="14"/>
                <w:szCs w:val="14"/>
                <w:b w:val="1"/>
                <w:bCs w:val="1"/>
                <w:color w:val="auto"/>
                <w:w w:val="94"/>
              </w:rPr>
              <w:t>Remaining</w:t>
            </w:r>
          </w:p>
        </w:tc>
      </w:tr>
      <w:tr>
        <w:trPr>
          <w:trHeight w:val="187"/>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40" w:type="dxa"/>
            <w:vAlign w:val="bottom"/>
          </w:tcPr>
          <w:p>
            <w:pPr>
              <w:jc w:val="right"/>
              <w:ind w:right="948"/>
              <w:spacing w:after="0"/>
              <w:rPr>
                <w:sz w:val="20"/>
                <w:szCs w:val="20"/>
                <w:color w:val="auto"/>
              </w:rPr>
            </w:pPr>
            <w:r>
              <w:rPr>
                <w:rFonts w:ascii="Arial" w:cs="Arial" w:eastAsia="Arial" w:hAnsi="Arial"/>
                <w:sz w:val="14"/>
                <w:szCs w:val="14"/>
                <w:b w:val="1"/>
                <w:bCs w:val="1"/>
                <w:color w:val="auto"/>
              </w:rPr>
              <w:t>Average</w:t>
            </w:r>
          </w:p>
        </w:tc>
        <w:tc>
          <w:tcPr>
            <w:tcW w:w="15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258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94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Exercise</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Intrinsic</w:t>
            </w:r>
          </w:p>
        </w:tc>
        <w:tc>
          <w:tcPr>
            <w:tcW w:w="1880" w:type="dxa"/>
            <w:vAlign w:val="bottom"/>
            <w:shd w:val="clear" w:color="auto" w:fill="CCEEFF"/>
          </w:tcPr>
          <w:p>
            <w:pPr>
              <w:jc w:val="center"/>
              <w:ind w:left="708"/>
              <w:spacing w:after="0"/>
              <w:rPr>
                <w:sz w:val="20"/>
                <w:szCs w:val="20"/>
                <w:color w:val="auto"/>
              </w:rPr>
            </w:pPr>
            <w:r>
              <w:rPr>
                <w:rFonts w:ascii="Arial" w:cs="Arial" w:eastAsia="Arial" w:hAnsi="Arial"/>
                <w:sz w:val="14"/>
                <w:szCs w:val="14"/>
                <w:b w:val="1"/>
                <w:bCs w:val="1"/>
                <w:color w:val="auto"/>
                <w:w w:val="95"/>
              </w:rPr>
              <w:t>Contractual</w:t>
            </w:r>
          </w:p>
        </w:tc>
      </w:tr>
      <w:tr>
        <w:trPr>
          <w:trHeight w:val="174"/>
        </w:trPr>
        <w:tc>
          <w:tcPr>
            <w:tcW w:w="20" w:type="dxa"/>
            <w:vAlign w:val="bottom"/>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Options</w:t>
            </w:r>
          </w:p>
        </w:tc>
        <w:tc>
          <w:tcPr>
            <w:tcW w:w="19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99"/>
              </w:rPr>
              <w:t>Term</w:t>
            </w:r>
          </w:p>
        </w:tc>
      </w:tr>
      <w:tr>
        <w:trPr>
          <w:trHeight w:val="172"/>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Millions</w:t>
            </w:r>
          </w:p>
        </w:tc>
        <w:tc>
          <w:tcPr>
            <w:tcW w:w="18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Outstanding at December 31, 2007</w:t>
            </w:r>
          </w:p>
        </w:tc>
        <w:tc>
          <w:tcPr>
            <w:tcW w:w="2580" w:type="dxa"/>
            <w:vAlign w:val="bottom"/>
          </w:tcPr>
          <w:p>
            <w:pPr>
              <w:jc w:val="right"/>
              <w:ind w:right="548"/>
              <w:spacing w:after="0"/>
              <w:rPr>
                <w:sz w:val="20"/>
                <w:szCs w:val="20"/>
                <w:color w:val="auto"/>
              </w:rPr>
            </w:pPr>
            <w:r>
              <w:rPr>
                <w:rFonts w:ascii="Arial" w:cs="Arial" w:eastAsia="Arial" w:hAnsi="Arial"/>
                <w:sz w:val="14"/>
                <w:szCs w:val="14"/>
                <w:color w:val="auto"/>
              </w:rPr>
              <w:t>510,992</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$39.83</w:t>
            </w: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$(0.1)</w:t>
            </w:r>
          </w:p>
        </w:tc>
        <w:tc>
          <w:tcPr>
            <w:tcW w:w="1880" w:type="dxa"/>
            <w:vAlign w:val="bottom"/>
          </w:tcPr>
          <w:p>
            <w:pPr>
              <w:ind w:left="1120"/>
              <w:spacing w:after="0"/>
              <w:rPr>
                <w:sz w:val="20"/>
                <w:szCs w:val="20"/>
                <w:color w:val="auto"/>
              </w:rPr>
            </w:pPr>
            <w:r>
              <w:rPr>
                <w:rFonts w:ascii="Arial" w:cs="Arial" w:eastAsia="Arial" w:hAnsi="Arial"/>
                <w:sz w:val="14"/>
                <w:szCs w:val="14"/>
                <w:color w:val="auto"/>
              </w:rPr>
              <w:t>6.8 years</w:t>
            </w:r>
          </w:p>
        </w:tc>
      </w:tr>
      <w:tr>
        <w:trPr>
          <w:trHeight w:val="172"/>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25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180,815</w:t>
            </w:r>
          </w:p>
        </w:tc>
        <w:tc>
          <w:tcPr>
            <w:tcW w:w="19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$39.10</w:t>
            </w:r>
          </w:p>
        </w:tc>
        <w:tc>
          <w:tcPr>
            <w:tcW w:w="15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Exercised</w:t>
            </w:r>
          </w:p>
        </w:tc>
        <w:tc>
          <w:tcPr>
            <w:tcW w:w="2580" w:type="dxa"/>
            <w:vAlign w:val="bottom"/>
          </w:tcPr>
          <w:p>
            <w:pPr>
              <w:jc w:val="right"/>
              <w:ind w:right="548"/>
              <w:spacing w:after="0"/>
              <w:rPr>
                <w:sz w:val="20"/>
                <w:szCs w:val="20"/>
                <w:color w:val="auto"/>
              </w:rPr>
            </w:pPr>
            <w:r>
              <w:rPr>
                <w:rFonts w:ascii="Arial" w:cs="Arial" w:eastAsia="Arial" w:hAnsi="Arial"/>
                <w:sz w:val="14"/>
                <w:szCs w:val="14"/>
                <w:color w:val="auto"/>
              </w:rPr>
              <w:t>(16,627)</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$25.56</w:t>
            </w:r>
          </w:p>
        </w:tc>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Forfeited</w:t>
            </w:r>
          </w:p>
        </w:tc>
        <w:tc>
          <w:tcPr>
            <w:tcW w:w="258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(2,761)</w:t>
            </w:r>
          </w:p>
        </w:tc>
        <w:tc>
          <w:tcPr>
            <w:tcW w:w="19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$39.39</w:t>
            </w:r>
          </w:p>
        </w:tc>
        <w:tc>
          <w:tcPr>
            <w:tcW w:w="15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December 31, 2008</w:t>
            </w:r>
          </w:p>
        </w:tc>
        <w:tc>
          <w:tcPr>
            <w:tcW w:w="25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672,419</w:t>
            </w:r>
          </w:p>
        </w:tc>
        <w:tc>
          <w:tcPr>
            <w:tcW w:w="1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$39.99</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$(5.2)</w:t>
            </w:r>
          </w:p>
        </w:tc>
        <w:tc>
          <w:tcPr>
            <w:tcW w:w="18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6.9 years</w:t>
            </w:r>
          </w:p>
        </w:tc>
      </w:tr>
      <w:tr>
        <w:trPr>
          <w:trHeight w:val="174"/>
        </w:trPr>
        <w:tc>
          <w:tcPr>
            <w:tcW w:w="20" w:type="dxa"/>
            <w:vAlign w:val="bottom"/>
          </w:tcPr>
          <w:p>
            <w:pPr>
              <w:spacing w:after="0"/>
              <w:rPr>
                <w:sz w:val="15"/>
                <w:szCs w:val="15"/>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Exercisable at December 31, 2008</w:t>
            </w:r>
          </w:p>
        </w:tc>
        <w:tc>
          <w:tcPr>
            <w:tcW w:w="258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406,894</w:t>
            </w:r>
          </w:p>
        </w:tc>
        <w:tc>
          <w:tcPr>
            <w:tcW w:w="19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$34.48</w:t>
            </w:r>
          </w:p>
        </w:tc>
        <w:tc>
          <w:tcPr>
            <w:tcW w:w="15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$(2.7)</w:t>
            </w:r>
          </w:p>
        </w:tc>
        <w:tc>
          <w:tcPr>
            <w:tcW w:w="18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rPr>
              <w:t>5.7 years</w:t>
            </w: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Fair Value of Options</w:t>
            </w:r>
          </w:p>
        </w:tc>
        <w:tc>
          <w:tcPr>
            <w:tcW w:w="2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Granted During the Year</w:t>
            </w:r>
          </w:p>
        </w:tc>
        <w:tc>
          <w:tcPr>
            <w:tcW w:w="258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$3.97</w:t>
            </w:r>
          </w:p>
        </w:tc>
        <w:tc>
          <w:tcPr>
            <w:tcW w:w="19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spacing w:after="0"/>
              <w:rPr>
                <w:sz w:val="15"/>
                <w:szCs w:val="15"/>
                <w:color w:val="auto"/>
              </w:rPr>
            </w:pPr>
          </w:p>
        </w:tc>
      </w:tr>
    </w:tbl>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weighted-average grant-date fair value of options was $6.18 for 2008 ($6.92 for 2007; $6.48 for 2006). The intrinsic value of a stock award is the amount by which the fair value of the underlying stock exceeds the exercise price of the award. The total intrinsic value of options exercised was $0.2 million during 2008 ($0.4 million in 2007; $0.6 million in 2006).</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At December 31, 2008, options outstanding consisted of 0.1 million with exercise prices ranging from $18.85 to $29.79, 0.4 million with exercise prices ranging from $37.76 to $41.35 and 0.2 million with exercise prices ranging from $44.15 to $48.65. The options with exercise prices ranging from $18.85 to $29.79 have an average remaining contractual life of 3.0 years; all are exercisable at December 31, 2008, at a weighted average price of $26.91. The options with exercise prices ranging from $37.76 to $41.35 have an average remaining contractual life of 7.3 years; less than 0.2 million are exercisable on December 31, 2008, at a weighted average price of $39.52. The options with exercise prices ranging from $44.15 to $48.65 have an average remaining contractual life of 7.5 years; all are exercisable on December 31, 2008, at a weighted average price of $46.25.</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8520" w:type="dxa"/>
            <w:vAlign w:val="bottom"/>
            <w:gridSpan w:val="2"/>
          </w:tcPr>
          <w:p>
            <w:pPr>
              <w:spacing w:after="0"/>
              <w:rPr>
                <w:sz w:val="20"/>
                <w:szCs w:val="20"/>
                <w:color w:val="auto"/>
              </w:rPr>
            </w:pPr>
            <w:r>
              <w:rPr>
                <w:rFonts w:ascii="Arial" w:cs="Arial" w:eastAsia="Arial" w:hAnsi="Arial"/>
                <w:sz w:val="14"/>
                <w:szCs w:val="14"/>
                <w:b w:val="1"/>
                <w:bCs w:val="1"/>
                <w:color w:val="auto"/>
              </w:rPr>
              <w:t>Note 15.   Employee Stock and Incentive Plans (Continued)</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66"/>
        </w:trPr>
        <w:tc>
          <w:tcPr>
            <w:tcW w:w="8520" w:type="dxa"/>
            <w:vAlign w:val="bottom"/>
            <w:gridSpan w:val="2"/>
          </w:tcPr>
          <w:p>
            <w:pPr>
              <w:spacing w:after="0"/>
              <w:rPr>
                <w:sz w:val="20"/>
                <w:szCs w:val="20"/>
                <w:color w:val="auto"/>
              </w:rPr>
            </w:pPr>
            <w:r>
              <w:rPr>
                <w:rFonts w:ascii="Arial" w:cs="Arial" w:eastAsia="Arial" w:hAnsi="Arial"/>
                <w:sz w:val="14"/>
                <w:szCs w:val="14"/>
                <w:i w:val="1"/>
                <w:iCs w:val="1"/>
                <w:color w:val="auto"/>
                <w:w w:val="92"/>
              </w:rPr>
              <w:t xml:space="preserve">Performance Shares. </w:t>
            </w:r>
            <w:r>
              <w:rPr>
                <w:rFonts w:ascii="Arial" w:cs="Arial" w:eastAsia="Arial" w:hAnsi="Arial"/>
                <w:sz w:val="14"/>
                <w:szCs w:val="14"/>
                <w:color w:val="auto"/>
                <w:w w:val="92"/>
              </w:rPr>
              <w:t>The following table presents information regarding our non-vested performance shares for the year ended December 31, 2008.</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8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0" w:type="dxa"/>
            <w:vAlign w:val="bottom"/>
            <w:shd w:val="clear" w:color="auto" w:fill="CCEEFF"/>
          </w:tcPr>
          <w:p>
            <w:pPr>
              <w:jc w:val="center"/>
              <w:ind w:left="208"/>
              <w:spacing w:after="0"/>
              <w:rPr>
                <w:sz w:val="20"/>
                <w:szCs w:val="20"/>
                <w:color w:val="auto"/>
              </w:rPr>
            </w:pPr>
            <w:r>
              <w:rPr>
                <w:rFonts w:ascii="Arial" w:cs="Arial" w:eastAsia="Arial" w:hAnsi="Arial"/>
                <w:sz w:val="14"/>
                <w:szCs w:val="14"/>
                <w:b w:val="1"/>
                <w:bCs w:val="1"/>
                <w:color w:val="auto"/>
                <w:w w:val="91"/>
              </w:rPr>
              <w:t>Weighted-Average</w:t>
            </w:r>
          </w:p>
        </w:tc>
      </w:tr>
      <w:tr>
        <w:trPr>
          <w:trHeight w:val="172"/>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w w:val="91"/>
              </w:rPr>
              <w:t>Number of</w:t>
            </w:r>
          </w:p>
        </w:tc>
        <w:tc>
          <w:tcPr>
            <w:tcW w:w="180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Grant Date</w:t>
            </w:r>
          </w:p>
        </w:tc>
      </w:tr>
      <w:tr>
        <w:trPr>
          <w:trHeight w:val="174"/>
        </w:trPr>
        <w:tc>
          <w:tcPr>
            <w:tcW w:w="20" w:type="dxa"/>
            <w:vAlign w:val="bottom"/>
          </w:tcPr>
          <w:p>
            <w:pPr>
              <w:spacing w:after="0"/>
              <w:rPr>
                <w:sz w:val="15"/>
                <w:szCs w:val="15"/>
                <w:color w:val="auto"/>
              </w:rPr>
            </w:pPr>
          </w:p>
        </w:tc>
        <w:tc>
          <w:tcPr>
            <w:tcW w:w="8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1800" w:type="dxa"/>
            <w:vAlign w:val="bottom"/>
            <w:tcBorders>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b w:val="1"/>
                <w:bCs w:val="1"/>
                <w:color w:val="auto"/>
                <w:w w:val="95"/>
              </w:rPr>
              <w:t>Fair Value</w:t>
            </w:r>
          </w:p>
        </w:tc>
      </w:tr>
      <w:tr>
        <w:trPr>
          <w:trHeight w:val="172"/>
        </w:trPr>
        <w:tc>
          <w:tcPr>
            <w:tcW w:w="20" w:type="dxa"/>
            <w:vAlign w:val="bottom"/>
          </w:tcPr>
          <w:p>
            <w:pPr>
              <w:spacing w:after="0"/>
              <w:rPr>
                <w:sz w:val="14"/>
                <w:szCs w:val="14"/>
                <w:color w:val="auto"/>
              </w:rPr>
            </w:pPr>
          </w:p>
        </w:tc>
        <w:tc>
          <w:tcPr>
            <w:tcW w:w="8500" w:type="dxa"/>
            <w:vAlign w:val="bottom"/>
          </w:tcPr>
          <w:p>
            <w:pPr>
              <w:spacing w:after="0"/>
              <w:rPr>
                <w:sz w:val="20"/>
                <w:szCs w:val="20"/>
                <w:color w:val="auto"/>
              </w:rPr>
            </w:pPr>
            <w:r>
              <w:rPr>
                <w:rFonts w:ascii="Arial" w:cs="Arial" w:eastAsia="Arial" w:hAnsi="Arial"/>
                <w:sz w:val="14"/>
                <w:szCs w:val="14"/>
                <w:color w:val="auto"/>
              </w:rPr>
              <w:t>Non-vested at December 31, 2007</w:t>
            </w:r>
          </w:p>
        </w:tc>
        <w:tc>
          <w:tcPr>
            <w:tcW w:w="1140" w:type="dxa"/>
            <w:vAlign w:val="bottom"/>
          </w:tcPr>
          <w:p>
            <w:pPr>
              <w:jc w:val="right"/>
              <w:ind w:right="428"/>
              <w:spacing w:after="0"/>
              <w:rPr>
                <w:sz w:val="20"/>
                <w:szCs w:val="20"/>
                <w:color w:val="auto"/>
              </w:rPr>
            </w:pPr>
            <w:r>
              <w:rPr>
                <w:rFonts w:ascii="Arial" w:cs="Arial" w:eastAsia="Arial" w:hAnsi="Arial"/>
                <w:sz w:val="14"/>
                <w:szCs w:val="14"/>
                <w:color w:val="auto"/>
              </w:rPr>
              <w:t>68,501</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$45.63</w:t>
            </w:r>
          </w:p>
        </w:tc>
      </w:tr>
      <w:tr>
        <w:trPr>
          <w:trHeight w:val="172"/>
        </w:trPr>
        <w:tc>
          <w:tcPr>
            <w:tcW w:w="20" w:type="dxa"/>
            <w:vAlign w:val="bottom"/>
          </w:tcPr>
          <w:p>
            <w:pPr>
              <w:spacing w:after="0"/>
              <w:rPr>
                <w:sz w:val="14"/>
                <w:szCs w:val="14"/>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11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36,684</w:t>
            </w:r>
          </w:p>
        </w:tc>
        <w:tc>
          <w:tcPr>
            <w:tcW w:w="18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54.05</w:t>
            </w:r>
          </w:p>
        </w:tc>
      </w:tr>
      <w:tr>
        <w:trPr>
          <w:trHeight w:val="172"/>
        </w:trPr>
        <w:tc>
          <w:tcPr>
            <w:tcW w:w="20" w:type="dxa"/>
            <w:vAlign w:val="bottom"/>
          </w:tcPr>
          <w:p>
            <w:pPr>
              <w:spacing w:after="0"/>
              <w:rPr>
                <w:sz w:val="14"/>
                <w:szCs w:val="14"/>
                <w:color w:val="auto"/>
              </w:rPr>
            </w:pPr>
          </w:p>
        </w:tc>
        <w:tc>
          <w:tcPr>
            <w:tcW w:w="8500" w:type="dxa"/>
            <w:vAlign w:val="bottom"/>
          </w:tcPr>
          <w:p>
            <w:pPr>
              <w:spacing w:after="0"/>
              <w:rPr>
                <w:sz w:val="20"/>
                <w:szCs w:val="20"/>
                <w:color w:val="auto"/>
              </w:rPr>
            </w:pPr>
            <w:r>
              <w:rPr>
                <w:rFonts w:ascii="Arial" w:cs="Arial" w:eastAsia="Arial" w:hAnsi="Arial"/>
                <w:sz w:val="14"/>
                <w:szCs w:val="14"/>
                <w:color w:val="auto"/>
              </w:rPr>
              <w:t>Unearned Grant Award</w:t>
            </w:r>
          </w:p>
        </w:tc>
        <w:tc>
          <w:tcPr>
            <w:tcW w:w="1140" w:type="dxa"/>
            <w:vAlign w:val="bottom"/>
          </w:tcPr>
          <w:p>
            <w:pPr>
              <w:jc w:val="right"/>
              <w:ind w:right="428"/>
              <w:spacing w:after="0"/>
              <w:rPr>
                <w:sz w:val="20"/>
                <w:szCs w:val="20"/>
                <w:color w:val="auto"/>
              </w:rPr>
            </w:pPr>
            <w:r>
              <w:rPr>
                <w:rFonts w:ascii="Arial" w:cs="Arial" w:eastAsia="Arial" w:hAnsi="Arial"/>
                <w:sz w:val="14"/>
                <w:szCs w:val="14"/>
                <w:color w:val="auto"/>
              </w:rPr>
              <w:t>(23,624)</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42.80</w:t>
            </w:r>
          </w:p>
        </w:tc>
      </w:tr>
      <w:tr>
        <w:trPr>
          <w:trHeight w:val="174"/>
        </w:trPr>
        <w:tc>
          <w:tcPr>
            <w:tcW w:w="20" w:type="dxa"/>
            <w:vAlign w:val="bottom"/>
          </w:tcPr>
          <w:p>
            <w:pPr>
              <w:spacing w:after="0"/>
              <w:rPr>
                <w:sz w:val="15"/>
                <w:szCs w:val="15"/>
                <w:color w:val="auto"/>
              </w:rPr>
            </w:pPr>
          </w:p>
        </w:tc>
        <w:tc>
          <w:tcPr>
            <w:tcW w:w="8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(2,323)</w:t>
            </w:r>
          </w:p>
        </w:tc>
        <w:tc>
          <w:tcPr>
            <w:tcW w:w="18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50.87</w:t>
            </w:r>
          </w:p>
        </w:tc>
      </w:tr>
      <w:tr>
        <w:trPr>
          <w:trHeight w:val="174"/>
        </w:trPr>
        <w:tc>
          <w:tcPr>
            <w:tcW w:w="20" w:type="dxa"/>
            <w:vAlign w:val="bottom"/>
            <w:tcBorders>
              <w:bottom w:val="single" w:sz="8" w:color="auto"/>
            </w:tcBorders>
          </w:tcPr>
          <w:p>
            <w:pPr>
              <w:spacing w:after="0"/>
              <w:rPr>
                <w:sz w:val="15"/>
                <w:szCs w:val="15"/>
                <w:color w:val="auto"/>
              </w:rPr>
            </w:pPr>
          </w:p>
        </w:tc>
        <w:tc>
          <w:tcPr>
            <w:tcW w:w="8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Non-vested at December 31, 2008</w:t>
            </w: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79,238</w:t>
            </w:r>
          </w:p>
        </w:tc>
        <w:tc>
          <w:tcPr>
            <w:tcW w:w="1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50.22</w:t>
            </w:r>
          </w:p>
        </w:tc>
      </w:tr>
    </w:tbl>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Less than 0.1 million performance share were granted in February 2008 for the performance period ending in 2010. The ultimate issuance is contingent upon the attainment of certain future performance goals of ALLETE during the performance periods. The grant date fair value of the performance share awards was $1.8 million.</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No performance shares were awarded in February 2008 for the three-year performance period ending in 2007, as performance targets were not met. However, in accordance with SFAS No. 123R, no compensation expense previously recognized in connection with those grants will be reversed.</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16.</w:t>
      </w:r>
      <w:r>
        <w:rPr>
          <w:sz w:val="20"/>
          <w:szCs w:val="20"/>
          <w:color w:val="auto"/>
        </w:rPr>
        <w:tab/>
      </w:r>
      <w:r>
        <w:rPr>
          <w:rFonts w:ascii="Arial" w:cs="Arial" w:eastAsia="Arial" w:hAnsi="Arial"/>
          <w:sz w:val="13"/>
          <w:szCs w:val="13"/>
          <w:b w:val="1"/>
          <w:bCs w:val="1"/>
          <w:color w:val="auto"/>
        </w:rPr>
        <w:t>Quarterly Financial Data (Unaudited)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Information for any one quarterly period is not necessarily indicative of the results which may be expected for the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Quarter Ended</w:t>
            </w:r>
          </w:p>
        </w:tc>
        <w:tc>
          <w:tcPr>
            <w:tcW w:w="1940" w:type="dxa"/>
            <w:vAlign w:val="bottom"/>
            <w:shd w:val="clear" w:color="auto" w:fill="CCEEFF"/>
          </w:tcPr>
          <w:p>
            <w:pPr>
              <w:jc w:val="right"/>
              <w:ind w:right="1188"/>
              <w:spacing w:after="0"/>
              <w:rPr>
                <w:sz w:val="20"/>
                <w:szCs w:val="20"/>
                <w:color w:val="auto"/>
              </w:rPr>
            </w:pPr>
            <w:r>
              <w:rPr>
                <w:rFonts w:ascii="Arial" w:cs="Arial" w:eastAsia="Arial" w:hAnsi="Arial"/>
                <w:sz w:val="14"/>
                <w:szCs w:val="14"/>
                <w:b w:val="1"/>
                <w:bCs w:val="1"/>
                <w:color w:val="auto"/>
              </w:rPr>
              <w:t>Mar.</w:t>
            </w:r>
          </w:p>
        </w:tc>
        <w:tc>
          <w:tcPr>
            <w:tcW w:w="102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Jun.</w:t>
            </w:r>
          </w:p>
        </w:tc>
        <w:tc>
          <w:tcPr>
            <w:tcW w:w="15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Sept.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Dec.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Borders>
              <w:bottom w:val="single" w:sz="8" w:color="auto"/>
            </w:tcBorders>
            <w:shd w:val="clear" w:color="auto" w:fill="CCEEFF"/>
          </w:tcPr>
          <w:p>
            <w:pPr>
              <w:ind w:left="5080"/>
              <w:spacing w:after="0"/>
              <w:rPr>
                <w:sz w:val="20"/>
                <w:szCs w:val="20"/>
                <w:color w:val="auto"/>
              </w:rPr>
            </w:pPr>
            <w:r>
              <w:rPr>
                <w:rFonts w:ascii="Arial" w:cs="Arial" w:eastAsia="Arial" w:hAnsi="Arial"/>
                <w:sz w:val="14"/>
                <w:szCs w:val="14"/>
                <w:b w:val="1"/>
                <w:bCs w:val="1"/>
                <w:color w:val="auto"/>
              </w:rPr>
              <w:t>31</w:t>
            </w:r>
          </w:p>
        </w:tc>
        <w:tc>
          <w:tcPr>
            <w:tcW w:w="1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30</w:t>
            </w:r>
          </w:p>
        </w:tc>
        <w:tc>
          <w:tcPr>
            <w:tcW w:w="10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30</w:t>
            </w:r>
          </w:p>
        </w:tc>
        <w:tc>
          <w:tcPr>
            <w:tcW w:w="15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b w:val="1"/>
                <w:bCs w:val="1"/>
                <w:color w:val="auto"/>
              </w:rPr>
              <w:t>Millions Except Earnings Per Share</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2008</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Operating Revenue</w:t>
            </w:r>
          </w:p>
        </w:tc>
        <w:tc>
          <w:tcPr>
            <w:tcW w:w="19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$213.4</w:t>
            </w: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$189.8</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940" w:type="dxa"/>
            <w:vAlign w:val="bottom"/>
            <w:tcBorders>
              <w:bottom w:val="single" w:sz="8" w:color="auto"/>
            </w:tcBorders>
            <w:shd w:val="clear" w:color="auto" w:fill="CCEEFF"/>
          </w:tcPr>
          <w:p>
            <w:pPr>
              <w:jc w:val="right"/>
              <w:ind w:right="1288"/>
              <w:spacing w:after="0"/>
              <w:rPr>
                <w:sz w:val="20"/>
                <w:szCs w:val="20"/>
                <w:color w:val="auto"/>
              </w:rPr>
            </w:pPr>
            <w:r>
              <w:rPr>
                <w:rFonts w:ascii="Arial" w:cs="Arial" w:eastAsia="Arial" w:hAnsi="Arial"/>
                <w:sz w:val="14"/>
                <w:szCs w:val="14"/>
                <w:color w:val="auto"/>
              </w:rPr>
              <w:t>$31.3</w:t>
            </w:r>
          </w:p>
        </w:tc>
        <w:tc>
          <w:tcPr>
            <w:tcW w:w="10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$17.5</w:t>
            </w:r>
          </w:p>
        </w:tc>
        <w:tc>
          <w:tcPr>
            <w:tcW w:w="15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$33.2</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c>
          <w:tcPr>
            <w:tcW w:w="19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$23.6</w:t>
            </w: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$10.7</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$24.7</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 of Common Stock</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Basic</w:t>
            </w:r>
          </w:p>
        </w:tc>
        <w:tc>
          <w:tcPr>
            <w:tcW w:w="19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$0.82</w:t>
            </w: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$0.37</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$0.85</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940" w:type="dxa"/>
            <w:vAlign w:val="bottom"/>
            <w:tcBorders>
              <w:bottom w:val="single" w:sz="8" w:color="auto"/>
            </w:tcBorders>
            <w:shd w:val="clear" w:color="auto" w:fill="CCEEFF"/>
          </w:tcPr>
          <w:p>
            <w:pPr>
              <w:jc w:val="right"/>
              <w:ind w:right="1288"/>
              <w:spacing w:after="0"/>
              <w:rPr>
                <w:sz w:val="20"/>
                <w:szCs w:val="20"/>
                <w:color w:val="auto"/>
              </w:rPr>
            </w:pPr>
            <w:r>
              <w:rPr>
                <w:rFonts w:ascii="Arial" w:cs="Arial" w:eastAsia="Arial" w:hAnsi="Arial"/>
                <w:sz w:val="14"/>
                <w:szCs w:val="14"/>
                <w:color w:val="auto"/>
              </w:rPr>
              <w:t>$0.82</w:t>
            </w:r>
          </w:p>
        </w:tc>
        <w:tc>
          <w:tcPr>
            <w:tcW w:w="10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$0.37</w:t>
            </w:r>
          </w:p>
        </w:tc>
        <w:tc>
          <w:tcPr>
            <w:tcW w:w="15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$0.85</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2007</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Operating Revenue</w:t>
            </w:r>
          </w:p>
        </w:tc>
        <w:tc>
          <w:tcPr>
            <w:tcW w:w="19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$205.3</w:t>
            </w: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$223.3</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$200.8</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940" w:type="dxa"/>
            <w:vAlign w:val="bottom"/>
            <w:tcBorders>
              <w:bottom w:val="single" w:sz="8" w:color="auto"/>
            </w:tcBorders>
            <w:shd w:val="clear" w:color="auto" w:fill="CCEEFF"/>
          </w:tcPr>
          <w:p>
            <w:pPr>
              <w:jc w:val="right"/>
              <w:ind w:right="1288"/>
              <w:spacing w:after="0"/>
              <w:rPr>
                <w:sz w:val="20"/>
                <w:szCs w:val="20"/>
                <w:color w:val="auto"/>
              </w:rPr>
            </w:pPr>
            <w:r>
              <w:rPr>
                <w:rFonts w:ascii="Arial" w:cs="Arial" w:eastAsia="Arial" w:hAnsi="Arial"/>
                <w:sz w:val="14"/>
                <w:szCs w:val="14"/>
                <w:color w:val="auto"/>
              </w:rPr>
              <w:t>$40.7</w:t>
            </w:r>
          </w:p>
        </w:tc>
        <w:tc>
          <w:tcPr>
            <w:tcW w:w="10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$33.3</w:t>
            </w:r>
          </w:p>
        </w:tc>
        <w:tc>
          <w:tcPr>
            <w:tcW w:w="15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$24.3</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c>
          <w:tcPr>
            <w:tcW w:w="19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$26.3</w:t>
            </w: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$22.6</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$16.5</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 of Common Stock</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Basic</w:t>
            </w:r>
          </w:p>
        </w:tc>
        <w:tc>
          <w:tcPr>
            <w:tcW w:w="19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$0.93</w:t>
            </w: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$0.80</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$0.58</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940" w:type="dxa"/>
            <w:vAlign w:val="bottom"/>
            <w:tcBorders>
              <w:bottom w:val="single" w:sz="8" w:color="auto"/>
            </w:tcBorders>
            <w:shd w:val="clear" w:color="auto" w:fill="CCEEFF"/>
          </w:tcPr>
          <w:p>
            <w:pPr>
              <w:jc w:val="right"/>
              <w:ind w:right="1288"/>
              <w:spacing w:after="0"/>
              <w:rPr>
                <w:sz w:val="20"/>
                <w:szCs w:val="20"/>
                <w:color w:val="auto"/>
              </w:rPr>
            </w:pPr>
            <w:r>
              <w:rPr>
                <w:rFonts w:ascii="Arial" w:cs="Arial" w:eastAsia="Arial" w:hAnsi="Arial"/>
                <w:sz w:val="14"/>
                <w:szCs w:val="14"/>
                <w:color w:val="auto"/>
              </w:rPr>
              <w:t>$0.93</w:t>
            </w:r>
          </w:p>
        </w:tc>
        <w:tc>
          <w:tcPr>
            <w:tcW w:w="10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$0.80</w:t>
            </w:r>
          </w:p>
        </w:tc>
        <w:tc>
          <w:tcPr>
            <w:tcW w:w="15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$0.58</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gridSpan w:val="2"/>
          </w:tcPr>
          <w:p>
            <w:pPr>
              <w:ind w:left="420"/>
              <w:spacing w:after="0"/>
              <w:rPr>
                <w:sz w:val="20"/>
                <w:szCs w:val="20"/>
                <w:color w:val="auto"/>
              </w:rPr>
            </w:pPr>
            <w:r>
              <w:rPr>
                <w:rFonts w:ascii="Arial" w:cs="Arial" w:eastAsia="Arial" w:hAnsi="Arial"/>
                <w:sz w:val="14"/>
                <w:szCs w:val="14"/>
                <w:b w:val="1"/>
                <w:bCs w:val="1"/>
                <w:color w:val="auto"/>
                <w:w w:val="94"/>
              </w:rPr>
              <w:t>Schedule II</w:t>
            </w:r>
          </w:p>
        </w:tc>
        <w:tc>
          <w:tcPr>
            <w:tcW w:w="0" w:type="dxa"/>
            <w:vAlign w:val="bottom"/>
          </w:tcPr>
          <w:p>
            <w:pPr>
              <w:spacing w:after="0"/>
              <w:rPr>
                <w:sz w:val="1"/>
                <w:szCs w:val="1"/>
                <w:color w:val="auto"/>
              </w:rPr>
            </w:pPr>
          </w:p>
        </w:tc>
      </w:tr>
      <w:tr>
        <w:trPr>
          <w:trHeight w:val="353"/>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ALLETE</w:t>
            </w:r>
          </w:p>
        </w:tc>
        <w:tc>
          <w:tcPr>
            <w:tcW w:w="3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Valuation and Qualifying Accounts and Reserves</w:t>
            </w:r>
          </w:p>
        </w:tc>
        <w:tc>
          <w:tcPr>
            <w:tcW w:w="2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left="748"/>
              <w:spacing w:after="0"/>
              <w:rPr>
                <w:sz w:val="20"/>
                <w:szCs w:val="20"/>
                <w:color w:val="auto"/>
              </w:rPr>
            </w:pPr>
            <w:r>
              <w:rPr>
                <w:rFonts w:ascii="Arial" w:cs="Arial" w:eastAsia="Arial" w:hAnsi="Arial"/>
                <w:sz w:val="14"/>
                <w:szCs w:val="14"/>
                <w:b w:val="1"/>
                <w:bCs w:val="1"/>
                <w:color w:val="auto"/>
                <w:w w:val="91"/>
              </w:rPr>
              <w:t>Balance at</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Additions</w:t>
            </w:r>
          </w:p>
        </w:tc>
        <w:tc>
          <w:tcPr>
            <w:tcW w:w="106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Balance at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140" w:type="dxa"/>
            <w:vAlign w:val="bottom"/>
          </w:tcPr>
          <w:p>
            <w:pPr>
              <w:jc w:val="center"/>
              <w:ind w:left="728"/>
              <w:spacing w:after="0"/>
              <w:rPr>
                <w:sz w:val="20"/>
                <w:szCs w:val="20"/>
                <w:color w:val="auto"/>
              </w:rPr>
            </w:pPr>
            <w:r>
              <w:rPr>
                <w:rFonts w:ascii="Arial" w:cs="Arial" w:eastAsia="Arial" w:hAnsi="Arial"/>
                <w:sz w:val="14"/>
                <w:szCs w:val="14"/>
                <w:b w:val="1"/>
                <w:bCs w:val="1"/>
                <w:color w:val="auto"/>
                <w:w w:val="90"/>
              </w:rPr>
              <w:t>Beginning</w:t>
            </w:r>
          </w:p>
        </w:tc>
        <w:tc>
          <w:tcPr>
            <w:tcW w:w="1500" w:type="dxa"/>
            <w:vAlign w:val="bottom"/>
          </w:tcPr>
          <w:p>
            <w:pPr>
              <w:jc w:val="right"/>
              <w:ind w:right="488"/>
              <w:spacing w:after="0"/>
              <w:rPr>
                <w:sz w:val="20"/>
                <w:szCs w:val="20"/>
                <w:color w:val="auto"/>
              </w:rPr>
            </w:pPr>
            <w:r>
              <w:rPr>
                <w:rFonts w:ascii="Arial" w:cs="Arial" w:eastAsia="Arial" w:hAnsi="Arial"/>
                <w:sz w:val="14"/>
                <w:szCs w:val="14"/>
                <w:b w:val="1"/>
                <w:bCs w:val="1"/>
                <w:color w:val="auto"/>
              </w:rPr>
              <w:t>Charged</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Other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from</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End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2140" w:type="dxa"/>
            <w:vAlign w:val="bottom"/>
            <w:tcBorders>
              <w:bottom w:val="single" w:sz="8" w:color="auto"/>
            </w:tcBorders>
            <w:shd w:val="clear" w:color="auto" w:fill="CCEEFF"/>
          </w:tcPr>
          <w:p>
            <w:pPr>
              <w:jc w:val="center"/>
              <w:ind w:left="748"/>
              <w:spacing w:after="0"/>
              <w:rPr>
                <w:sz w:val="20"/>
                <w:szCs w:val="20"/>
                <w:color w:val="auto"/>
              </w:rPr>
            </w:pPr>
            <w:r>
              <w:rPr>
                <w:rFonts w:ascii="Arial" w:cs="Arial" w:eastAsia="Arial" w:hAnsi="Arial"/>
                <w:sz w:val="14"/>
                <w:szCs w:val="14"/>
                <w:b w:val="1"/>
                <w:bCs w:val="1"/>
                <w:color w:val="auto"/>
                <w:w w:val="92"/>
              </w:rPr>
              <w:t>of Year</w:t>
            </w:r>
          </w:p>
        </w:tc>
        <w:tc>
          <w:tcPr>
            <w:tcW w:w="15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to Income</w:t>
            </w:r>
          </w:p>
        </w:tc>
        <w:tc>
          <w:tcPr>
            <w:tcW w:w="10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Changes</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 xml:space="preserve">Reserves </w:t>
            </w:r>
            <w:r>
              <w:rPr>
                <w:rFonts w:ascii="Arial" w:cs="Arial" w:eastAsia="Arial" w:hAnsi="Arial"/>
                <w:sz w:val="14"/>
                <w:szCs w:val="14"/>
                <w:b w:val="1"/>
                <w:bCs w:val="1"/>
                <w:i w:val="1"/>
                <w:iCs w:val="1"/>
                <w:color w:val="auto"/>
                <w:w w:val="88"/>
              </w:rPr>
              <w:t>(a)</w:t>
            </w:r>
          </w:p>
        </w:tc>
        <w:tc>
          <w:tcPr>
            <w:tcW w:w="11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40" w:type="dxa"/>
            <w:vAlign w:val="bottom"/>
            <w:gridSpan w:val="2"/>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Reserve Deducted from Related Assets</w:t>
            </w: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Reserve For Uncollectible Accounts</w:t>
            </w:r>
          </w:p>
        </w:tc>
        <w:tc>
          <w:tcPr>
            <w:tcW w:w="2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2008</w:t>
            </w:r>
          </w:p>
        </w:tc>
        <w:tc>
          <w:tcPr>
            <w:tcW w:w="3560" w:type="dxa"/>
            <w:vAlign w:val="bottom"/>
          </w:tcPr>
          <w:p>
            <w:pPr>
              <w:ind w:left="20"/>
              <w:spacing w:after="0"/>
              <w:rPr>
                <w:sz w:val="20"/>
                <w:szCs w:val="20"/>
                <w:color w:val="auto"/>
              </w:rPr>
            </w:pPr>
            <w:r>
              <w:rPr>
                <w:rFonts w:ascii="Arial" w:cs="Arial" w:eastAsia="Arial" w:hAnsi="Arial"/>
                <w:sz w:val="14"/>
                <w:szCs w:val="14"/>
                <w:color w:val="auto"/>
              </w:rPr>
              <w:t>Trade Accounts Receivable</w:t>
            </w:r>
          </w:p>
        </w:tc>
        <w:tc>
          <w:tcPr>
            <w:tcW w:w="2140" w:type="dxa"/>
            <w:vAlign w:val="bottom"/>
          </w:tcPr>
          <w:p>
            <w:pPr>
              <w:jc w:val="right"/>
              <w:ind w:right="348"/>
              <w:spacing w:after="0"/>
              <w:rPr>
                <w:sz w:val="20"/>
                <w:szCs w:val="20"/>
                <w:color w:val="auto"/>
              </w:rPr>
            </w:pPr>
            <w:r>
              <w:rPr>
                <w:rFonts w:ascii="Arial" w:cs="Arial" w:eastAsia="Arial" w:hAnsi="Arial"/>
                <w:sz w:val="14"/>
                <w:szCs w:val="14"/>
                <w:color w:val="auto"/>
              </w:rPr>
              <w:t>$1.0</w:t>
            </w:r>
          </w:p>
        </w:tc>
        <w:tc>
          <w:tcPr>
            <w:tcW w:w="1500" w:type="dxa"/>
            <w:vAlign w:val="bottom"/>
          </w:tcPr>
          <w:p>
            <w:pPr>
              <w:jc w:val="right"/>
              <w:ind w:right="548"/>
              <w:spacing w:after="0"/>
              <w:rPr>
                <w:sz w:val="20"/>
                <w:szCs w:val="20"/>
                <w:color w:val="auto"/>
              </w:rPr>
            </w:pPr>
            <w:r>
              <w:rPr>
                <w:rFonts w:ascii="Arial" w:cs="Arial" w:eastAsia="Arial" w:hAnsi="Arial"/>
                <w:sz w:val="14"/>
                <w:szCs w:val="14"/>
                <w:color w:val="auto"/>
              </w:rPr>
              <w:t>$1.0</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48"/>
              <w:spacing w:after="0"/>
              <w:rPr>
                <w:sz w:val="20"/>
                <w:szCs w:val="20"/>
                <w:color w:val="auto"/>
              </w:rPr>
            </w:pPr>
            <w:r>
              <w:rPr>
                <w:rFonts w:ascii="Arial" w:cs="Arial" w:eastAsia="Arial" w:hAnsi="Arial"/>
                <w:sz w:val="14"/>
                <w:szCs w:val="14"/>
                <w:color w:val="auto"/>
              </w:rPr>
              <w:t>$1.3</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Finance Receivables – Long-Term</w:t>
            </w:r>
          </w:p>
        </w:tc>
        <w:tc>
          <w:tcPr>
            <w:tcW w:w="21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0.2</w:t>
            </w:r>
          </w:p>
        </w:tc>
        <w:tc>
          <w:tcPr>
            <w:tcW w:w="15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0.1</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2007</w:t>
            </w:r>
          </w:p>
        </w:tc>
        <w:tc>
          <w:tcPr>
            <w:tcW w:w="3560" w:type="dxa"/>
            <w:vAlign w:val="bottom"/>
          </w:tcPr>
          <w:p>
            <w:pPr>
              <w:ind w:left="20"/>
              <w:spacing w:after="0"/>
              <w:rPr>
                <w:sz w:val="20"/>
                <w:szCs w:val="20"/>
                <w:color w:val="auto"/>
              </w:rPr>
            </w:pPr>
            <w:r>
              <w:rPr>
                <w:rFonts w:ascii="Arial" w:cs="Arial" w:eastAsia="Arial" w:hAnsi="Arial"/>
                <w:sz w:val="14"/>
                <w:szCs w:val="14"/>
                <w:color w:val="auto"/>
              </w:rPr>
              <w:t>Trade Accounts Receivable</w:t>
            </w:r>
          </w:p>
        </w:tc>
        <w:tc>
          <w:tcPr>
            <w:tcW w:w="2140" w:type="dxa"/>
            <w:vAlign w:val="bottom"/>
          </w:tcPr>
          <w:p>
            <w:pPr>
              <w:jc w:val="right"/>
              <w:ind w:right="348"/>
              <w:spacing w:after="0"/>
              <w:rPr>
                <w:sz w:val="20"/>
                <w:szCs w:val="20"/>
                <w:color w:val="auto"/>
              </w:rPr>
            </w:pPr>
            <w:r>
              <w:rPr>
                <w:rFonts w:ascii="Arial" w:cs="Arial" w:eastAsia="Arial" w:hAnsi="Arial"/>
                <w:sz w:val="14"/>
                <w:szCs w:val="14"/>
                <w:color w:val="auto"/>
              </w:rPr>
              <w:t>1.1</w:t>
            </w:r>
          </w:p>
        </w:tc>
        <w:tc>
          <w:tcPr>
            <w:tcW w:w="1500" w:type="dxa"/>
            <w:vAlign w:val="bottom"/>
          </w:tcPr>
          <w:p>
            <w:pPr>
              <w:jc w:val="right"/>
              <w:ind w:right="568"/>
              <w:spacing w:after="0"/>
              <w:rPr>
                <w:sz w:val="20"/>
                <w:szCs w:val="20"/>
                <w:color w:val="auto"/>
              </w:rPr>
            </w:pPr>
            <w:r>
              <w:rPr>
                <w:rFonts w:ascii="Arial" w:cs="Arial" w:eastAsia="Arial" w:hAnsi="Arial"/>
                <w:sz w:val="14"/>
                <w:szCs w:val="14"/>
                <w:color w:val="auto"/>
              </w:rPr>
              <w:t>1.0</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48"/>
              <w:spacing w:after="0"/>
              <w:rPr>
                <w:sz w:val="20"/>
                <w:szCs w:val="20"/>
                <w:color w:val="auto"/>
              </w:rPr>
            </w:pPr>
            <w:r>
              <w:rPr>
                <w:rFonts w:ascii="Arial" w:cs="Arial" w:eastAsia="Arial" w:hAnsi="Arial"/>
                <w:sz w:val="14"/>
                <w:szCs w:val="14"/>
                <w:color w:val="auto"/>
              </w:rPr>
              <w:t>1.1</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Finance Receivables – Long-Term</w:t>
            </w:r>
          </w:p>
        </w:tc>
        <w:tc>
          <w:tcPr>
            <w:tcW w:w="21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0.2</w:t>
            </w:r>
          </w:p>
        </w:tc>
        <w:tc>
          <w:tcPr>
            <w:tcW w:w="15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2006</w:t>
            </w:r>
          </w:p>
        </w:tc>
        <w:tc>
          <w:tcPr>
            <w:tcW w:w="3560" w:type="dxa"/>
            <w:vAlign w:val="bottom"/>
          </w:tcPr>
          <w:p>
            <w:pPr>
              <w:ind w:left="20"/>
              <w:spacing w:after="0"/>
              <w:rPr>
                <w:sz w:val="20"/>
                <w:szCs w:val="20"/>
                <w:color w:val="auto"/>
              </w:rPr>
            </w:pPr>
            <w:r>
              <w:rPr>
                <w:rFonts w:ascii="Arial" w:cs="Arial" w:eastAsia="Arial" w:hAnsi="Arial"/>
                <w:sz w:val="14"/>
                <w:szCs w:val="14"/>
                <w:color w:val="auto"/>
              </w:rPr>
              <w:t>Trade Accounts Receivable</w:t>
            </w:r>
          </w:p>
        </w:tc>
        <w:tc>
          <w:tcPr>
            <w:tcW w:w="2140" w:type="dxa"/>
            <w:vAlign w:val="bottom"/>
          </w:tcPr>
          <w:p>
            <w:pPr>
              <w:jc w:val="right"/>
              <w:ind w:right="348"/>
              <w:spacing w:after="0"/>
              <w:rPr>
                <w:sz w:val="20"/>
                <w:szCs w:val="20"/>
                <w:color w:val="auto"/>
              </w:rPr>
            </w:pPr>
            <w:r>
              <w:rPr>
                <w:rFonts w:ascii="Arial" w:cs="Arial" w:eastAsia="Arial" w:hAnsi="Arial"/>
                <w:sz w:val="14"/>
                <w:szCs w:val="14"/>
                <w:color w:val="auto"/>
              </w:rPr>
              <w:t>1.0</w:t>
            </w:r>
          </w:p>
        </w:tc>
        <w:tc>
          <w:tcPr>
            <w:tcW w:w="1500" w:type="dxa"/>
            <w:vAlign w:val="bottom"/>
          </w:tcPr>
          <w:p>
            <w:pPr>
              <w:jc w:val="right"/>
              <w:ind w:right="568"/>
              <w:spacing w:after="0"/>
              <w:rPr>
                <w:sz w:val="20"/>
                <w:szCs w:val="20"/>
                <w:color w:val="auto"/>
              </w:rPr>
            </w:pPr>
            <w:r>
              <w:rPr>
                <w:rFonts w:ascii="Arial" w:cs="Arial" w:eastAsia="Arial" w:hAnsi="Arial"/>
                <w:sz w:val="14"/>
                <w:szCs w:val="14"/>
                <w:color w:val="auto"/>
              </w:rPr>
              <w:t>0.7</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_</w:t>
            </w:r>
          </w:p>
        </w:tc>
        <w:tc>
          <w:tcPr>
            <w:tcW w:w="1480" w:type="dxa"/>
            <w:vAlign w:val="bottom"/>
          </w:tcPr>
          <w:p>
            <w:pPr>
              <w:jc w:val="right"/>
              <w:ind w:right="448"/>
              <w:spacing w:after="0"/>
              <w:rPr>
                <w:sz w:val="20"/>
                <w:szCs w:val="20"/>
                <w:color w:val="auto"/>
              </w:rPr>
            </w:pPr>
            <w:r>
              <w:rPr>
                <w:rFonts w:ascii="Arial" w:cs="Arial" w:eastAsia="Arial" w:hAnsi="Arial"/>
                <w:sz w:val="14"/>
                <w:szCs w:val="14"/>
                <w:color w:val="auto"/>
              </w:rPr>
              <w:t>0.6</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Finance Receivables – Long-Term</w:t>
            </w:r>
          </w:p>
        </w:tc>
        <w:tc>
          <w:tcPr>
            <w:tcW w:w="21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0.6</w:t>
            </w:r>
          </w:p>
        </w:tc>
        <w:tc>
          <w:tcPr>
            <w:tcW w:w="15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_</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_</w:t>
            </w: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0.4</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gridSpan w:val="2"/>
          </w:tcPr>
          <w:p>
            <w:pPr>
              <w:ind w:left="120"/>
              <w:spacing w:after="0"/>
              <w:rPr>
                <w:sz w:val="20"/>
                <w:szCs w:val="20"/>
                <w:color w:val="auto"/>
              </w:rPr>
            </w:pPr>
            <w:r>
              <w:rPr>
                <w:rFonts w:ascii="Arial" w:cs="Arial" w:eastAsia="Arial" w:hAnsi="Arial"/>
                <w:sz w:val="14"/>
                <w:szCs w:val="14"/>
                <w:color w:val="auto"/>
              </w:rPr>
              <w:t>Deferred Asset Valuation Allowance</w:t>
            </w: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1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3.3</w:t>
            </w:r>
          </w:p>
        </w:tc>
        <w:tc>
          <w:tcPr>
            <w:tcW w:w="150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(2.9)</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2007</w:t>
            </w:r>
          </w:p>
        </w:tc>
        <w:tc>
          <w:tcPr>
            <w:tcW w:w="356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2140" w:type="dxa"/>
            <w:vAlign w:val="bottom"/>
          </w:tcPr>
          <w:p>
            <w:pPr>
              <w:jc w:val="right"/>
              <w:ind w:right="348"/>
              <w:spacing w:after="0"/>
              <w:rPr>
                <w:sz w:val="20"/>
                <w:szCs w:val="20"/>
                <w:color w:val="auto"/>
              </w:rPr>
            </w:pPr>
            <w:r>
              <w:rPr>
                <w:rFonts w:ascii="Arial" w:cs="Arial" w:eastAsia="Arial" w:hAnsi="Arial"/>
                <w:sz w:val="14"/>
                <w:szCs w:val="14"/>
                <w:color w:val="auto"/>
              </w:rPr>
              <w:t>3.6</w:t>
            </w:r>
          </w:p>
        </w:tc>
        <w:tc>
          <w:tcPr>
            <w:tcW w:w="1500" w:type="dxa"/>
            <w:vAlign w:val="bottom"/>
          </w:tcPr>
          <w:p>
            <w:pPr>
              <w:jc w:val="right"/>
              <w:ind w:right="508"/>
              <w:spacing w:after="0"/>
              <w:rPr>
                <w:sz w:val="20"/>
                <w:szCs w:val="20"/>
                <w:color w:val="auto"/>
              </w:rPr>
            </w:pPr>
            <w:r>
              <w:rPr>
                <w:rFonts w:ascii="Arial" w:cs="Arial" w:eastAsia="Arial" w:hAnsi="Arial"/>
                <w:sz w:val="14"/>
                <w:szCs w:val="14"/>
                <w:color w:val="auto"/>
              </w:rPr>
              <w:t>(0.3)</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1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4.1</w:t>
            </w:r>
          </w:p>
        </w:tc>
        <w:tc>
          <w:tcPr>
            <w:tcW w:w="150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(1.1)</w:t>
            </w:r>
          </w:p>
        </w:tc>
        <w:tc>
          <w:tcPr>
            <w:tcW w:w="10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$0.6</w:t>
            </w:r>
          </w:p>
        </w:tc>
        <w:tc>
          <w:tcPr>
            <w:tcW w:w="14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hanging="374"/>
        <w:spacing w:after="0"/>
        <w:tabs>
          <w:tab w:leader="none" w:pos="38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uncollectible accounts written off.</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ALLETE 2008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4(a)3</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38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ALLETE, Inc.</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(formerly Minnesota Power &amp; Light Company</w:t>
      </w:r>
    </w:p>
    <w:p>
      <w:pPr>
        <w:spacing w:after="0" w:line="172"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and formerly Minnesota Power, Inc.)</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TO</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THE BANK OF NEW YORK MELLON</w:t>
      </w:r>
    </w:p>
    <w:p>
      <w:pPr>
        <w:spacing w:after="0" w:line="17"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(formerly The Bank of New York</w:t>
      </w:r>
    </w:p>
    <w:p>
      <w:pPr>
        <w:ind w:left="3240"/>
        <w:spacing w:after="0"/>
        <w:rPr>
          <w:sz w:val="20"/>
          <w:szCs w:val="20"/>
          <w:color w:val="auto"/>
        </w:rPr>
      </w:pPr>
      <w:r>
        <w:rPr>
          <w:rFonts w:ascii="Arial" w:cs="Arial" w:eastAsia="Arial" w:hAnsi="Arial"/>
          <w:sz w:val="17"/>
          <w:szCs w:val="17"/>
          <w:b w:val="1"/>
          <w:bCs w:val="1"/>
          <w:color w:val="auto"/>
        </w:rPr>
        <w:t>(formerly Irving Trust Company))</w:t>
      </w:r>
    </w:p>
    <w:p>
      <w:pPr>
        <w:spacing w:after="0" w:line="161"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AND</w:t>
      </w:r>
    </w:p>
    <w:p>
      <w:pPr>
        <w:spacing w:after="0" w:line="19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DOUGLAS J. MacINNES</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(successor to Richard H. West, J. A. Austin,</w:t>
      </w:r>
    </w:p>
    <w:p>
      <w:pPr>
        <w:jc w:val="center"/>
        <w:ind w:right="1220"/>
        <w:spacing w:after="0"/>
        <w:rPr>
          <w:sz w:val="20"/>
          <w:szCs w:val="20"/>
          <w:color w:val="auto"/>
        </w:rPr>
      </w:pPr>
      <w:r>
        <w:rPr>
          <w:rFonts w:ascii="Arial" w:cs="Arial" w:eastAsia="Arial" w:hAnsi="Arial"/>
          <w:sz w:val="17"/>
          <w:szCs w:val="17"/>
          <w:b w:val="1"/>
          <w:bCs w:val="1"/>
          <w:color w:val="auto"/>
        </w:rPr>
        <w:t>E. J. McCabe, D. W. May, J. A. Vaughan and W. T. Cunningham</w:t>
      </w:r>
      <w:r>
        <w:rPr>
          <w:rFonts w:ascii="Arial" w:cs="Arial" w:eastAsia="Arial" w:hAnsi="Arial"/>
          <w:sz w:val="14"/>
          <w:szCs w:val="14"/>
          <w:b w:val="1"/>
          <w:bCs w:val="1"/>
          <w:color w:val="auto"/>
        </w:rPr>
        <w:t>)</w:t>
      </w:r>
    </w:p>
    <w:p>
      <w:pPr>
        <w:spacing w:after="0" w:line="172"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As Trustees under ALLETE, Inc.’s Mortgage and Deed of Trust dated as of September 1, 1945</w:t>
      </w: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Twenty-ninth Supplemental Indenture</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Providing, among other things, for</w:t>
      </w:r>
    </w:p>
    <w:p>
      <w:pPr>
        <w:jc w:val="center"/>
        <w:ind w:right="1220"/>
        <w:spacing w:after="0" w:line="238" w:lineRule="auto"/>
        <w:rPr>
          <w:sz w:val="20"/>
          <w:szCs w:val="20"/>
          <w:color w:val="auto"/>
        </w:rPr>
      </w:pPr>
      <w:r>
        <w:rPr>
          <w:rFonts w:ascii="Arial" w:cs="Arial" w:eastAsia="Arial" w:hAnsi="Arial"/>
          <w:sz w:val="17"/>
          <w:szCs w:val="17"/>
          <w:b w:val="1"/>
          <w:bCs w:val="1"/>
          <w:color w:val="auto"/>
        </w:rPr>
        <w:t>First Mortgage Bonds, 6.94% Series due January 15, 2014</w:t>
      </w:r>
    </w:p>
    <w:p>
      <w:pPr>
        <w:jc w:val="center"/>
        <w:ind w:right="1220"/>
        <w:spacing w:after="0" w:line="238" w:lineRule="auto"/>
        <w:rPr>
          <w:sz w:val="20"/>
          <w:szCs w:val="20"/>
          <w:color w:val="auto"/>
        </w:rPr>
      </w:pPr>
      <w:r>
        <w:rPr>
          <w:rFonts w:ascii="Arial" w:cs="Arial" w:eastAsia="Arial" w:hAnsi="Arial"/>
          <w:sz w:val="17"/>
          <w:szCs w:val="17"/>
          <w:b w:val="1"/>
          <w:bCs w:val="1"/>
          <w:color w:val="auto"/>
        </w:rPr>
        <w:t>(Thirty-fifth Series)</w:t>
      </w:r>
    </w:p>
    <w:p>
      <w:pPr>
        <w:jc w:val="center"/>
        <w:ind w:right="1220"/>
        <w:spacing w:after="0" w:line="238" w:lineRule="auto"/>
        <w:rPr>
          <w:sz w:val="20"/>
          <w:szCs w:val="20"/>
          <w:color w:val="auto"/>
        </w:rPr>
      </w:pPr>
      <w:r>
        <w:rPr>
          <w:rFonts w:ascii="Arial" w:cs="Arial" w:eastAsia="Arial" w:hAnsi="Arial"/>
          <w:sz w:val="17"/>
          <w:szCs w:val="17"/>
          <w:b w:val="1"/>
          <w:bCs w:val="1"/>
          <w:color w:val="auto"/>
        </w:rPr>
        <w:t>and</w:t>
      </w:r>
    </w:p>
    <w:p>
      <w:pPr>
        <w:jc w:val="center"/>
        <w:ind w:right="1220"/>
        <w:spacing w:after="0" w:line="238" w:lineRule="auto"/>
        <w:rPr>
          <w:sz w:val="20"/>
          <w:szCs w:val="20"/>
          <w:color w:val="auto"/>
        </w:rPr>
      </w:pPr>
      <w:r>
        <w:rPr>
          <w:rFonts w:ascii="Arial" w:cs="Arial" w:eastAsia="Arial" w:hAnsi="Arial"/>
          <w:sz w:val="17"/>
          <w:szCs w:val="17"/>
          <w:b w:val="1"/>
          <w:bCs w:val="1"/>
          <w:color w:val="auto"/>
        </w:rPr>
        <w:t>First Mortgage Bonds, 7.70% Series due January 15, 2016</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(Thirty-sixth Series)</w:t>
      </w:r>
    </w:p>
    <w:p>
      <w:pPr>
        <w:spacing w:after="0" w:line="178" w:lineRule="exact"/>
        <w:rPr>
          <w:sz w:val="20"/>
          <w:szCs w:val="20"/>
          <w:color w:val="auto"/>
        </w:rPr>
      </w:pPr>
    </w:p>
    <w:p>
      <w:pPr>
        <w:ind w:left="3460"/>
        <w:spacing w:after="0"/>
        <w:rPr>
          <w:sz w:val="20"/>
          <w:szCs w:val="20"/>
          <w:color w:val="auto"/>
        </w:rPr>
      </w:pPr>
      <w:r>
        <w:rPr>
          <w:rFonts w:ascii="Arial" w:cs="Arial" w:eastAsia="Arial" w:hAnsi="Arial"/>
          <w:sz w:val="17"/>
          <w:szCs w:val="17"/>
          <w:i w:val="1"/>
          <w:iCs w:val="1"/>
          <w:color w:val="auto"/>
        </w:rPr>
        <w:t>Dated as of November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828040</wp:posOffset>
            </wp:positionV>
            <wp:extent cx="728027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TWENTY-NINTH SUPPLEMENTAL INDENTURE</w:t>
      </w:r>
    </w:p>
    <w:p>
      <w:pPr>
        <w:spacing w:after="0" w:line="201"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b w:val="1"/>
          <w:bCs w:val="1"/>
          <w:color w:val="auto"/>
        </w:rPr>
        <w:t xml:space="preserve">THIS INDENTURE, </w:t>
      </w:r>
      <w:r>
        <w:rPr>
          <w:rFonts w:ascii="Arial" w:cs="Arial" w:eastAsia="Arial" w:hAnsi="Arial"/>
          <w:sz w:val="13"/>
          <w:szCs w:val="13"/>
          <w:color w:val="auto"/>
        </w:rPr>
        <w:t>dated as of November 1, 2008, by and between ALLETE, Inc. (formerly Minnesota Power &amp; Light Company and formerly Minnesota Power, Inc.), a corporation of</w:t>
      </w:r>
      <w:r>
        <w:rPr>
          <w:rFonts w:ascii="Arial" w:cs="Arial" w:eastAsia="Arial" w:hAnsi="Arial"/>
          <w:sz w:val="13"/>
          <w:szCs w:val="13"/>
          <w:b w:val="1"/>
          <w:bCs w:val="1"/>
          <w:color w:val="auto"/>
        </w:rPr>
        <w:t xml:space="preserve"> </w:t>
      </w:r>
      <w:r>
        <w:rPr>
          <w:rFonts w:ascii="Arial" w:cs="Arial" w:eastAsia="Arial" w:hAnsi="Arial"/>
          <w:sz w:val="13"/>
          <w:szCs w:val="13"/>
          <w:color w:val="auto"/>
        </w:rPr>
        <w:t>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(Douglas J. MacInnes, successor Co-Trustee), as Trustees, securing bonds issued and to be issued as provided therein (hereinafter sometimes called the “Mortgage”), reference to which Mortgage is hereby made, this indenture (hereinafter sometimes called the “Twenty-ninth Supplemental Indenture”) being supplemental thereto:</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Mortgage was filed and recorded in various official records in the State of Minnesota; and</w:t>
      </w:r>
    </w:p>
    <w:p>
      <w:pPr>
        <w:spacing w:after="0" w:line="205"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under the Sixth Supplemental Indenture, dated as of August 1, 1975, to which reference is hereinafter made, D. W. May in turn succeeded E. J. McCabe as Co-Trustee under the Mortgage;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on May 8, 2001, the Company filed Amended and Restated Articles of Incorporation with the Secretary of State of the State of Minnesota changing its name from Minnesota Power, Inc. to ALLETE, Inc.; and</w:t>
      </w:r>
    </w:p>
    <w:p>
      <w:pPr>
        <w:spacing w:after="0" w:line="15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for said purposes, among others, the Company executed and delivered the following indentures supplemental to the Mortgage: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rPr>
              <w:t>Designation</w:t>
            </w:r>
          </w:p>
        </w:tc>
        <w:tc>
          <w:tcPr>
            <w:tcW w:w="6040" w:type="dxa"/>
            <w:vAlign w:val="bottom"/>
            <w:tcBorders>
              <w:bottom w:val="single" w:sz="8" w:color="auto"/>
            </w:tcBorders>
            <w:shd w:val="clear" w:color="auto" w:fill="CCEEFF"/>
          </w:tcPr>
          <w:p>
            <w:pPr>
              <w:ind w:left="3060"/>
              <w:spacing w:after="0"/>
              <w:rPr>
                <w:sz w:val="20"/>
                <w:szCs w:val="20"/>
                <w:color w:val="auto"/>
              </w:rPr>
            </w:pPr>
            <w:r>
              <w:rPr>
                <w:rFonts w:ascii="Arial" w:cs="Arial" w:eastAsia="Arial" w:hAnsi="Arial"/>
                <w:sz w:val="14"/>
                <w:szCs w:val="14"/>
                <w:b w:val="1"/>
                <w:bCs w:val="1"/>
                <w:color w:val="auto"/>
              </w:rPr>
              <w:t>Dated as of</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First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March 1, 1949</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Second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July 1, 1951</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Third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March 1, 1957</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Fourth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January 1, 1968</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Fifth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April 1, 1971</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Sixth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August 1, 1975</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Seventh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September 1, 1976</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Eighth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September 1, 1977</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Ninth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April 1, 1978</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Tenth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August 1, 1978</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Eleventh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December 1, 1982</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Twelfth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April 1, 1987</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Thirteenth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March 1, 1992</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Fourteenth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June 1, 1992</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Fifteenth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July 1, 1992</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Sixteenth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July 1, 1992</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Seventeenth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February 1, 1993</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Eighteenth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July 1, 1993</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Nineteenth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February 1, 1997</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Twentieth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November 1, 1997</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Twenty-first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October 1, 2000</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Twenty-second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July 1, 2003</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Twenty-third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August 1, 2004</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Twenty-fourth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March 1, 2005</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Twenty-fifth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December 1, 2005</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Twenty-sixth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October 1, 2006</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Twenty-seventh Supplemental Indenture</w:t>
            </w:r>
          </w:p>
        </w:tc>
        <w:tc>
          <w:tcPr>
            <w:tcW w:w="6040" w:type="dxa"/>
            <w:vAlign w:val="bottom"/>
          </w:tcPr>
          <w:p>
            <w:pPr>
              <w:ind w:left="3060"/>
              <w:spacing w:after="0"/>
              <w:rPr>
                <w:sz w:val="20"/>
                <w:szCs w:val="20"/>
                <w:color w:val="auto"/>
              </w:rPr>
            </w:pPr>
            <w:r>
              <w:rPr>
                <w:rFonts w:ascii="Arial" w:cs="Arial" w:eastAsia="Arial" w:hAnsi="Arial"/>
                <w:sz w:val="14"/>
                <w:szCs w:val="14"/>
                <w:color w:val="auto"/>
              </w:rPr>
              <w:t>February 1, 2008</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Twenty-eighth Supplemental Indenture</w:t>
            </w:r>
          </w:p>
        </w:tc>
        <w:tc>
          <w:tcPr>
            <w:tcW w:w="604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May 1, 2008</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which supplemental indentures were filed and recorded in various official records in the State of Minnesota; and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Company has heretofore issued, in accordance with the provisions of the Mortgage, as heretofore supplemented, the following series of First Mortgage Bonds: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47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Principal</w:t>
            </w:r>
          </w:p>
        </w:tc>
        <w:tc>
          <w:tcPr>
            <w:tcW w:w="19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Principal</w:t>
            </w: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47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Amount</w:t>
            </w:r>
          </w:p>
        </w:tc>
        <w:tc>
          <w:tcPr>
            <w:tcW w:w="19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Amount</w:t>
            </w:r>
          </w:p>
        </w:tc>
      </w:tr>
      <w:tr>
        <w:trPr>
          <w:trHeight w:val="189"/>
        </w:trPr>
        <w:tc>
          <w:tcPr>
            <w:tcW w:w="20" w:type="dxa"/>
            <w:vAlign w:val="bottom"/>
          </w:tcPr>
          <w:p>
            <w:pPr>
              <w:spacing w:after="0"/>
              <w:rPr>
                <w:sz w:val="16"/>
                <w:szCs w:val="16"/>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47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Issued</w:t>
            </w:r>
          </w:p>
        </w:tc>
        <w:tc>
          <w:tcPr>
            <w:tcW w:w="19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Outstanding</w:t>
            </w: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3-1/8% Series due 1975</w:t>
            </w:r>
          </w:p>
        </w:tc>
        <w:tc>
          <w:tcPr>
            <w:tcW w:w="4780" w:type="dxa"/>
            <w:vAlign w:val="bottom"/>
          </w:tcPr>
          <w:p>
            <w:pPr>
              <w:jc w:val="right"/>
              <w:ind w:right="708"/>
              <w:spacing w:after="0"/>
              <w:rPr>
                <w:sz w:val="20"/>
                <w:szCs w:val="20"/>
                <w:color w:val="auto"/>
              </w:rPr>
            </w:pPr>
            <w:r>
              <w:rPr>
                <w:rFonts w:ascii="Arial" w:cs="Arial" w:eastAsia="Arial" w:hAnsi="Arial"/>
                <w:sz w:val="14"/>
                <w:szCs w:val="14"/>
                <w:color w:val="auto"/>
              </w:rPr>
              <w:t>$26,000,000</w:t>
            </w:r>
          </w:p>
        </w:tc>
        <w:tc>
          <w:tcPr>
            <w:tcW w:w="194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3-1/8% Series due 1979</w:t>
            </w:r>
          </w:p>
        </w:tc>
        <w:tc>
          <w:tcPr>
            <w:tcW w:w="47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4,000,000</w:t>
            </w:r>
          </w:p>
        </w:tc>
        <w:tc>
          <w:tcPr>
            <w:tcW w:w="19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3-5/8% Series due 1981</w:t>
            </w:r>
          </w:p>
        </w:tc>
        <w:tc>
          <w:tcPr>
            <w:tcW w:w="4780" w:type="dxa"/>
            <w:vAlign w:val="bottom"/>
          </w:tcPr>
          <w:p>
            <w:pPr>
              <w:jc w:val="right"/>
              <w:ind w:right="708"/>
              <w:spacing w:after="0"/>
              <w:rPr>
                <w:sz w:val="20"/>
                <w:szCs w:val="20"/>
                <w:color w:val="auto"/>
              </w:rPr>
            </w:pPr>
            <w:r>
              <w:rPr>
                <w:rFonts w:ascii="Arial" w:cs="Arial" w:eastAsia="Arial" w:hAnsi="Arial"/>
                <w:sz w:val="14"/>
                <w:szCs w:val="14"/>
                <w:color w:val="auto"/>
              </w:rPr>
              <w:t>10,000,000</w:t>
            </w:r>
          </w:p>
        </w:tc>
        <w:tc>
          <w:tcPr>
            <w:tcW w:w="194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4-3/4% Series due 1987</w:t>
            </w:r>
          </w:p>
        </w:tc>
        <w:tc>
          <w:tcPr>
            <w:tcW w:w="47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12,000,000</w:t>
            </w:r>
          </w:p>
        </w:tc>
        <w:tc>
          <w:tcPr>
            <w:tcW w:w="19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6-1/2% Series due 1998</w:t>
            </w:r>
          </w:p>
        </w:tc>
        <w:tc>
          <w:tcPr>
            <w:tcW w:w="4780" w:type="dxa"/>
            <w:vAlign w:val="bottom"/>
          </w:tcPr>
          <w:p>
            <w:pPr>
              <w:jc w:val="right"/>
              <w:ind w:right="708"/>
              <w:spacing w:after="0"/>
              <w:rPr>
                <w:sz w:val="20"/>
                <w:szCs w:val="20"/>
                <w:color w:val="auto"/>
              </w:rPr>
            </w:pPr>
            <w:r>
              <w:rPr>
                <w:rFonts w:ascii="Arial" w:cs="Arial" w:eastAsia="Arial" w:hAnsi="Arial"/>
                <w:sz w:val="14"/>
                <w:szCs w:val="14"/>
                <w:color w:val="auto"/>
              </w:rPr>
              <w:t>18,000,000</w:t>
            </w:r>
          </w:p>
        </w:tc>
        <w:tc>
          <w:tcPr>
            <w:tcW w:w="194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8-1/8% Series due 2001</w:t>
            </w:r>
          </w:p>
        </w:tc>
        <w:tc>
          <w:tcPr>
            <w:tcW w:w="47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23,000,000</w:t>
            </w:r>
          </w:p>
        </w:tc>
        <w:tc>
          <w:tcPr>
            <w:tcW w:w="19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10-1/2% Series due 2005</w:t>
            </w:r>
          </w:p>
        </w:tc>
        <w:tc>
          <w:tcPr>
            <w:tcW w:w="4780" w:type="dxa"/>
            <w:vAlign w:val="bottom"/>
          </w:tcPr>
          <w:p>
            <w:pPr>
              <w:jc w:val="right"/>
              <w:ind w:right="708"/>
              <w:spacing w:after="0"/>
              <w:rPr>
                <w:sz w:val="20"/>
                <w:szCs w:val="20"/>
                <w:color w:val="auto"/>
              </w:rPr>
            </w:pPr>
            <w:r>
              <w:rPr>
                <w:rFonts w:ascii="Arial" w:cs="Arial" w:eastAsia="Arial" w:hAnsi="Arial"/>
                <w:sz w:val="14"/>
                <w:szCs w:val="14"/>
                <w:color w:val="auto"/>
              </w:rPr>
              <w:t>35,000,000</w:t>
            </w:r>
          </w:p>
        </w:tc>
        <w:tc>
          <w:tcPr>
            <w:tcW w:w="194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8.70% Series due 2006</w:t>
            </w:r>
          </w:p>
        </w:tc>
        <w:tc>
          <w:tcPr>
            <w:tcW w:w="47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35,000,000</w:t>
            </w:r>
          </w:p>
        </w:tc>
        <w:tc>
          <w:tcPr>
            <w:tcW w:w="19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8.35% Series due 2007</w:t>
            </w:r>
          </w:p>
        </w:tc>
        <w:tc>
          <w:tcPr>
            <w:tcW w:w="4780" w:type="dxa"/>
            <w:vAlign w:val="bottom"/>
          </w:tcPr>
          <w:p>
            <w:pPr>
              <w:jc w:val="right"/>
              <w:ind w:right="708"/>
              <w:spacing w:after="0"/>
              <w:rPr>
                <w:sz w:val="20"/>
                <w:szCs w:val="20"/>
                <w:color w:val="auto"/>
              </w:rPr>
            </w:pPr>
            <w:r>
              <w:rPr>
                <w:rFonts w:ascii="Arial" w:cs="Arial" w:eastAsia="Arial" w:hAnsi="Arial"/>
                <w:sz w:val="14"/>
                <w:szCs w:val="14"/>
                <w:color w:val="auto"/>
              </w:rPr>
              <w:t>50,000,000</w:t>
            </w:r>
          </w:p>
        </w:tc>
        <w:tc>
          <w:tcPr>
            <w:tcW w:w="194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9-1/4% Series due 2008</w:t>
            </w:r>
          </w:p>
        </w:tc>
        <w:tc>
          <w:tcPr>
            <w:tcW w:w="47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50,000,000</w:t>
            </w:r>
          </w:p>
        </w:tc>
        <w:tc>
          <w:tcPr>
            <w:tcW w:w="19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bl>
    <w:p>
      <w:pPr>
        <w:sectPr>
          <w:pgSz w:w="11900" w:h="16838" w:orient="portrait"/>
          <w:cols w:equalWidth="0" w:num="1">
            <w:col w:w="11460"/>
          </w:cols>
          <w:pgMar w:left="220" w:top="429" w:right="219"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gridSpan w:val="2"/>
          </w:tcPr>
          <w:p>
            <w:pPr>
              <w:spacing w:after="0"/>
              <w:rPr>
                <w:sz w:val="20"/>
                <w:szCs w:val="20"/>
                <w:color w:val="auto"/>
              </w:rPr>
            </w:pPr>
            <w:r>
              <w:rPr>
                <w:rFonts w:ascii="Arial" w:cs="Arial" w:eastAsia="Arial" w:hAnsi="Arial"/>
                <w:sz w:val="14"/>
                <w:szCs w:val="14"/>
                <w:color w:val="auto"/>
              </w:rPr>
              <w:t>Pollution Control Series A</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111,000,000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4"/>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Development Series A</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2,500,000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Industrial Development Series B</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1,800,000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Development Series C</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1,150,000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Pollution Control Series B</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13,500,000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Pollution Control Series C</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Pollution Control Series D</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3,600,000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7-3/4% Series due 1994</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55,000,000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7-3/8% Series due March 1, 1997</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60,000,000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7-3/4% Series due June 1, 2007</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55,000,000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7-1/2% Series due August 1, 2007</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35,000,000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Pollution Control Series E</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111,000,000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7% Series due March 1, 2008</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50,000,000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6-1/4% Series due July 1, 2003</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25,000,000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7% Series due February 15, 2007</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60,000,000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6.68%</w:t>
            </w:r>
          </w:p>
        </w:tc>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November 15, 2007</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20,000,000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Floating Rate Series due October 20, 2003</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250,000,000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Collateral Series A</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255,000,000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None</w:t>
            </w:r>
          </w:p>
        </w:tc>
      </w:tr>
      <w:tr>
        <w:trPr>
          <w:trHeight w:val="172"/>
        </w:trPr>
        <w:tc>
          <w:tcPr>
            <w:tcW w:w="5240" w:type="dxa"/>
            <w:vAlign w:val="bottom"/>
            <w:gridSpan w:val="2"/>
          </w:tcPr>
          <w:p>
            <w:pPr>
              <w:spacing w:after="0"/>
              <w:rPr>
                <w:sz w:val="20"/>
                <w:szCs w:val="20"/>
                <w:color w:val="auto"/>
              </w:rPr>
            </w:pPr>
            <w:r>
              <w:rPr>
                <w:rFonts w:ascii="Arial" w:cs="Arial" w:eastAsia="Arial" w:hAnsi="Arial"/>
                <w:sz w:val="14"/>
                <w:szCs w:val="14"/>
                <w:color w:val="auto"/>
              </w:rPr>
              <w:t>Pollution Control Series F</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111,000,000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111,000,000</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5.28%</w:t>
            </w:r>
          </w:p>
        </w:tc>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August 1, 2020</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35,000,000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35,000,000</w:t>
            </w:r>
          </w:p>
        </w:tc>
      </w:tr>
      <w:tr>
        <w:trPr>
          <w:trHeight w:val="172"/>
        </w:trPr>
        <w:tc>
          <w:tcPr>
            <w:tcW w:w="400" w:type="dxa"/>
            <w:vAlign w:val="bottom"/>
          </w:tcPr>
          <w:p>
            <w:pPr>
              <w:spacing w:after="0"/>
              <w:rPr>
                <w:sz w:val="20"/>
                <w:szCs w:val="20"/>
                <w:color w:val="auto"/>
              </w:rPr>
            </w:pPr>
            <w:r>
              <w:rPr>
                <w:rFonts w:ascii="Arial" w:cs="Arial" w:eastAsia="Arial" w:hAnsi="Arial"/>
                <w:sz w:val="14"/>
                <w:szCs w:val="14"/>
                <w:color w:val="auto"/>
                <w:w w:val="95"/>
              </w:rPr>
              <w:t>5.69%</w:t>
            </w:r>
          </w:p>
        </w:tc>
        <w:tc>
          <w:tcPr>
            <w:tcW w:w="4840" w:type="dxa"/>
            <w:vAlign w:val="bottom"/>
          </w:tcPr>
          <w:p>
            <w:pPr>
              <w:ind w:left="20"/>
              <w:spacing w:after="0"/>
              <w:rPr>
                <w:sz w:val="20"/>
                <w:szCs w:val="20"/>
                <w:color w:val="auto"/>
              </w:rPr>
            </w:pPr>
            <w:r>
              <w:rPr>
                <w:rFonts w:ascii="Arial" w:cs="Arial" w:eastAsia="Arial" w:hAnsi="Arial"/>
                <w:sz w:val="14"/>
                <w:szCs w:val="14"/>
                <w:color w:val="auto"/>
              </w:rPr>
              <w:t>Series due March 1, 2036</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50,000,000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50,000,000</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5.99%</w:t>
            </w:r>
          </w:p>
        </w:tc>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February 1, 2027</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60,000,000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60,000,000</w:t>
            </w:r>
          </w:p>
        </w:tc>
      </w:tr>
      <w:tr>
        <w:trPr>
          <w:trHeight w:val="172"/>
        </w:trPr>
        <w:tc>
          <w:tcPr>
            <w:tcW w:w="400" w:type="dxa"/>
            <w:vAlign w:val="bottom"/>
          </w:tcPr>
          <w:p>
            <w:pPr>
              <w:spacing w:after="0"/>
              <w:rPr>
                <w:sz w:val="20"/>
                <w:szCs w:val="20"/>
                <w:color w:val="auto"/>
              </w:rPr>
            </w:pPr>
            <w:r>
              <w:rPr>
                <w:rFonts w:ascii="Arial" w:cs="Arial" w:eastAsia="Arial" w:hAnsi="Arial"/>
                <w:sz w:val="14"/>
                <w:szCs w:val="14"/>
                <w:color w:val="auto"/>
                <w:w w:val="95"/>
              </w:rPr>
              <w:t>4.86%</w:t>
            </w:r>
          </w:p>
        </w:tc>
        <w:tc>
          <w:tcPr>
            <w:tcW w:w="4840" w:type="dxa"/>
            <w:vAlign w:val="bottom"/>
          </w:tcPr>
          <w:p>
            <w:pPr>
              <w:ind w:left="20"/>
              <w:spacing w:after="0"/>
              <w:rPr>
                <w:sz w:val="20"/>
                <w:szCs w:val="20"/>
                <w:color w:val="auto"/>
              </w:rPr>
            </w:pPr>
            <w:r>
              <w:rPr>
                <w:rFonts w:ascii="Arial" w:cs="Arial" w:eastAsia="Arial" w:hAnsi="Arial"/>
                <w:sz w:val="14"/>
                <w:szCs w:val="14"/>
                <w:color w:val="auto"/>
              </w:rPr>
              <w:t>Series due April 1, 2013</w:t>
            </w:r>
          </w:p>
        </w:tc>
        <w:tc>
          <w:tcPr>
            <w:tcW w:w="4320" w:type="dxa"/>
            <w:vAlign w:val="bottom"/>
          </w:tcPr>
          <w:p>
            <w:pPr>
              <w:jc w:val="right"/>
              <w:ind w:right="748"/>
              <w:spacing w:after="0"/>
              <w:rPr>
                <w:sz w:val="20"/>
                <w:szCs w:val="20"/>
                <w:color w:val="auto"/>
              </w:rPr>
            </w:pPr>
            <w:r>
              <w:rPr>
                <w:rFonts w:ascii="Arial" w:cs="Arial" w:eastAsia="Arial" w:hAnsi="Arial"/>
                <w:sz w:val="14"/>
                <w:szCs w:val="14"/>
                <w:color w:val="auto"/>
              </w:rPr>
              <w:t>60,000,000</w:t>
            </w: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60,000,000</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6.02%</w:t>
            </w:r>
          </w:p>
        </w:tc>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May 1, 2023</w:t>
            </w:r>
          </w:p>
        </w:tc>
        <w:tc>
          <w:tcPr>
            <w:tcW w:w="43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75,000,000</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75,000,000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which bonds are also hereinafter sometimes called bonds of the First through Thirty-fourth Series, respectively; and</w:t>
      </w:r>
    </w:p>
    <w:p>
      <w:pPr>
        <w:spacing w:after="0" w:line="205"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51"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56"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the Company now desires to create a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6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execution and delivery by the Company of this Twenty-ninth Supplemental Indenture, and the terms of the bonds of the Thirty-fifth Series and the Thirty-sixth Series, hereinafter referred to, have been duly authorized by the Board of Directors of the Company by appropriate resolutions of said Board of Directors;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THIS INDENTURE WITNESSETH:</w:t>
      </w:r>
    </w:p>
    <w:p>
      <w:pPr>
        <w:spacing w:after="0" w:line="205"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3"/>
          <w:szCs w:val="13"/>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DOUGLAS J. MACINNES,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Twenty-ninth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67"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67"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67"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3"/>
          <w:szCs w:val="13"/>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Twenty-ninth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Twenty-ninth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ectPr>
          <w:pgSz w:w="11900" w:h="16838" w:orient="portrait"/>
          <w:cols w:equalWidth="0" w:num="1">
            <w:col w:w="11460"/>
          </w:cols>
          <w:pgMar w:left="220" w:top="129" w:right="219" w:bottom="32" w:gutter="0" w:footer="0" w:header="0"/>
        </w:sectPr>
      </w:pPr>
    </w:p>
    <w:bookmarkStart w:id="88" w:name="page89"/>
    <w:bookmarkEnd w:id="88"/>
    <w:p>
      <w:pPr>
        <w:jc w:val="both"/>
        <w:ind w:firstLine="517"/>
        <w:spacing w:after="0" w:line="288" w:lineRule="auto"/>
        <w:rPr>
          <w:sz w:val="20"/>
          <w:szCs w:val="20"/>
          <w:color w:val="auto"/>
        </w:rPr>
      </w:pPr>
      <w:r>
        <w:rPr>
          <w:rFonts w:ascii="Arial" w:cs="Arial" w:eastAsia="Arial" w:hAnsi="Arial"/>
          <w:sz w:val="14"/>
          <w:szCs w:val="14"/>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IN TRUST NEVERTHELESS, for the same purposes and upon the same terms, trusts and conditions and subject to and with the same provisos and covenants as are set forth in the Mortgage, as supplemented, this Twenty-ninth Supplemental Indenture being supplemental thereto.</w:t>
      </w:r>
    </w:p>
    <w:p>
      <w:pPr>
        <w:spacing w:after="0" w:line="152"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further covenants and agrees to and with the Trustees and their successors in said trust under the Mortgage as follows: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Thirty-fifth Series of Bonds</w:t>
      </w:r>
    </w:p>
    <w:p>
      <w:pPr>
        <w:spacing w:after="0" w:line="196"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color w:val="auto"/>
        </w:rPr>
        <w:t>SECTION 1. There shall be a series of bonds designated “6.94% Series due January 15, 2014” (herein sometimes referred to as the “Thirty-fifth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Thirty-fifth Series shall be dated as in Section 10 of the Mortgage provided, mature on January 15, 2014, be issued as fully registered bonds in denominations of One Thousand Dollars and, at the option of the Company, in any multiple or multiples of One Thousand Dollars (the exercise of such option to be evidenced by the execution and delivery thereof) and bear interest from December 15, 2008 (computed on the basis of a 360-day year of twelve thirty-day months) at the rate of 6.94% per annum, payable semi-annually on January 15 and July 15 of each year, commencing July 15, 2009,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54" w:lineRule="exact"/>
        <w:rPr>
          <w:sz w:val="20"/>
          <w:szCs w:val="20"/>
          <w:color w:val="auto"/>
        </w:rPr>
      </w:pPr>
    </w:p>
    <w:p>
      <w:pPr>
        <w:jc w:val="both"/>
        <w:ind w:firstLine="523"/>
        <w:spacing w:after="0" w:line="280" w:lineRule="auto"/>
        <w:tabs>
          <w:tab w:leader="none" w:pos="1189" w:val="left"/>
        </w:tabs>
        <w:numPr>
          <w:ilvl w:val="1"/>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Optional Prepayment. </w:t>
      </w:r>
      <w:r>
        <w:rPr>
          <w:rFonts w:ascii="Arial" w:cs="Arial" w:eastAsia="Arial" w:hAnsi="Arial"/>
          <w:sz w:val="13"/>
          <w:szCs w:val="13"/>
          <w:color w:val="auto"/>
        </w:rPr>
        <w:t>The Company may, at its option, upon notice as provided below, prepay at any time all, or from time to time any part of, the bonds of the Thirty-fifth</w:t>
      </w:r>
      <w:r>
        <w:rPr>
          <w:rFonts w:ascii="Arial" w:cs="Arial" w:eastAsia="Arial" w:hAnsi="Arial"/>
          <w:sz w:val="13"/>
          <w:szCs w:val="13"/>
          <w:b w:val="1"/>
          <w:bCs w:val="1"/>
          <w:color w:val="auto"/>
        </w:rPr>
        <w:t xml:space="preserve"> </w:t>
      </w:r>
      <w:r>
        <w:rPr>
          <w:rFonts w:ascii="Arial" w:cs="Arial" w:eastAsia="Arial" w:hAnsi="Arial"/>
          <w:sz w:val="13"/>
          <w:szCs w:val="13"/>
          <w:color w:val="auto"/>
        </w:rPr>
        <w:t>Series at 100% of the principal amount so prepaid, and the Make-Whole Amount determined for the Settlement Date specified by the Company in such notice with respect to such principal amount. The Company will give each registered owner of Bonds of the Thirty-fifth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Thirty-fifth Series to be prepaid on such date, the principal amount of each bond held by such registered owner to be prepaid (determined in accordance with subsection</w:t>
      </w:r>
    </w:p>
    <w:p>
      <w:pPr>
        <w:spacing w:after="0" w:line="1" w:lineRule="exact"/>
        <w:rPr>
          <w:rFonts w:ascii="Arial" w:cs="Arial" w:eastAsia="Arial" w:hAnsi="Arial"/>
          <w:sz w:val="13"/>
          <w:szCs w:val="13"/>
          <w:color w:val="auto"/>
        </w:rPr>
      </w:pPr>
    </w:p>
    <w:p>
      <w:pPr>
        <w:jc w:val="both"/>
        <w:ind w:firstLine="6"/>
        <w:spacing w:after="0" w:line="259" w:lineRule="auto"/>
        <w:tabs>
          <w:tab w:leader="none" w:pos="238" w:val="left"/>
        </w:tabs>
        <w:numPr>
          <w:ilvl w:val="0"/>
          <w:numId w:val="30"/>
        </w:numPr>
        <w:rPr>
          <w:rFonts w:ascii="Arial" w:cs="Arial" w:eastAsia="Arial" w:hAnsi="Arial"/>
          <w:sz w:val="14"/>
          <w:szCs w:val="14"/>
          <w:color w:val="auto"/>
        </w:rPr>
      </w:pPr>
      <w:r>
        <w:rPr>
          <w:rFonts w:ascii="Arial" w:cs="Arial" w:eastAsia="Arial" w:hAnsi="Arial"/>
          <w:sz w:val="14"/>
          <w:szCs w:val="14"/>
          <w:color w:val="auto"/>
        </w:rPr>
        <w:t>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Thirty-fifth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Thirty-fifth Series are not otherwise subject to voluntary or optional prepayment.</w:t>
      </w:r>
    </w:p>
    <w:p>
      <w:pPr>
        <w:spacing w:after="0" w:line="171" w:lineRule="exact"/>
        <w:rPr>
          <w:rFonts w:ascii="Arial" w:cs="Arial" w:eastAsia="Arial" w:hAnsi="Arial"/>
          <w:sz w:val="14"/>
          <w:szCs w:val="14"/>
          <w:color w:val="auto"/>
        </w:rPr>
      </w:pPr>
    </w:p>
    <w:p>
      <w:pPr>
        <w:jc w:val="both"/>
        <w:ind w:firstLine="562"/>
        <w:spacing w:after="0" w:line="275" w:lineRule="auto"/>
        <w:tabs>
          <w:tab w:leader="none" w:pos="1172" w:val="left"/>
        </w:tabs>
        <w:numPr>
          <w:ilvl w:val="2"/>
          <w:numId w:val="30"/>
        </w:numPr>
        <w:rPr>
          <w:rFonts w:ascii="Arial" w:cs="Arial" w:eastAsia="Arial" w:hAnsi="Arial"/>
          <w:sz w:val="14"/>
          <w:szCs w:val="14"/>
          <w:color w:val="auto"/>
        </w:rPr>
      </w:pPr>
      <w:r>
        <w:rPr>
          <w:rFonts w:ascii="Arial" w:cs="Arial" w:eastAsia="Arial" w:hAnsi="Arial"/>
          <w:sz w:val="14"/>
          <w:szCs w:val="14"/>
          <w:b w:val="1"/>
          <w:bCs w:val="1"/>
          <w:color w:val="auto"/>
        </w:rPr>
        <w:t xml:space="preserve">Allocation of Partial Prepayments. </w:t>
      </w:r>
      <w:r>
        <w:rPr>
          <w:rFonts w:ascii="Arial" w:cs="Arial" w:eastAsia="Arial" w:hAnsi="Arial"/>
          <w:sz w:val="14"/>
          <w:szCs w:val="14"/>
          <w:color w:val="auto"/>
        </w:rPr>
        <w:t>In the case of each partial prepayment of the bonds of the Thirty-fifth Series, the principal amount of the Bonds of the Thirty-fifth Series to</w:t>
      </w:r>
      <w:r>
        <w:rPr>
          <w:rFonts w:ascii="Arial" w:cs="Arial" w:eastAsia="Arial" w:hAnsi="Arial"/>
          <w:sz w:val="14"/>
          <w:szCs w:val="14"/>
          <w:b w:val="1"/>
          <w:bCs w:val="1"/>
          <w:color w:val="auto"/>
        </w:rPr>
        <w:t xml:space="preserve"> </w:t>
      </w:r>
      <w:r>
        <w:rPr>
          <w:rFonts w:ascii="Arial" w:cs="Arial" w:eastAsia="Arial" w:hAnsi="Arial"/>
          <w:sz w:val="14"/>
          <w:szCs w:val="14"/>
          <w:color w:val="auto"/>
        </w:rPr>
        <w:t>be prepaid shall be allocated by the Company among all of the Bonds of the Thirty-fifth Series at the time outstanding in proportion, as nearly as practicable, to the respective unpaid principal amounts thereof not theretofore called for prepayment.</w:t>
      </w:r>
    </w:p>
    <w:p>
      <w:pPr>
        <w:spacing w:after="0" w:line="157" w:lineRule="exact"/>
        <w:rPr>
          <w:rFonts w:ascii="Arial" w:cs="Arial" w:eastAsia="Arial" w:hAnsi="Arial"/>
          <w:sz w:val="14"/>
          <w:szCs w:val="14"/>
          <w:color w:val="auto"/>
        </w:rPr>
      </w:pPr>
    </w:p>
    <w:p>
      <w:pPr>
        <w:jc w:val="both"/>
        <w:ind w:firstLine="563"/>
        <w:spacing w:after="0" w:line="282" w:lineRule="auto"/>
        <w:tabs>
          <w:tab w:leader="none" w:pos="1230" w:val="left"/>
        </w:tabs>
        <w:numPr>
          <w:ilvl w:val="2"/>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Maturity; Surrender, Etc. </w:t>
      </w:r>
      <w:r>
        <w:rPr>
          <w:rFonts w:ascii="Arial" w:cs="Arial" w:eastAsia="Arial" w:hAnsi="Arial"/>
          <w:sz w:val="13"/>
          <w:szCs w:val="13"/>
          <w:color w:val="auto"/>
        </w:rPr>
        <w:t>In the case of each notice of prepayment of bonds of the Thirty-fifth Series pursuant to this section, if cash sufficient to pay the principal amount to</w:t>
      </w:r>
      <w:r>
        <w:rPr>
          <w:rFonts w:ascii="Arial" w:cs="Arial" w:eastAsia="Arial" w:hAnsi="Arial"/>
          <w:sz w:val="13"/>
          <w:szCs w:val="13"/>
          <w:b w:val="1"/>
          <w:bCs w:val="1"/>
          <w:color w:val="auto"/>
        </w:rPr>
        <w:t xml:space="preserve"> </w:t>
      </w:r>
      <w:r>
        <w:rPr>
          <w:rFonts w:ascii="Arial" w:cs="Arial" w:eastAsia="Arial" w:hAnsi="Arial"/>
          <w:sz w:val="13"/>
          <w:szCs w:val="13"/>
          <w:color w:val="auto"/>
        </w:rPr>
        <w:t>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Thirty-fifth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55"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4"/>
          <w:szCs w:val="14"/>
          <w:color w:val="auto"/>
        </w:rPr>
        <w:t>(IV)</w:t>
      </w:r>
      <w:r>
        <w:rPr>
          <w:sz w:val="20"/>
          <w:szCs w:val="20"/>
          <w:color w:val="auto"/>
        </w:rPr>
        <w:tab/>
      </w:r>
      <w:r>
        <w:rPr>
          <w:rFonts w:ascii="Arial" w:cs="Arial" w:eastAsia="Arial" w:hAnsi="Arial"/>
          <w:sz w:val="14"/>
          <w:szCs w:val="14"/>
          <w:b w:val="1"/>
          <w:bCs w:val="1"/>
          <w:color w:val="auto"/>
        </w:rPr>
        <w:t>Make-Whole Amount.</w:t>
      </w:r>
    </w:p>
    <w:p>
      <w:pPr>
        <w:spacing w:after="0" w:line="209"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“Make-Whole Amount” means, with respect to any bond of the Thirty-fifth Series, an amount equal to the excess, if any, of the Discounted Value of the Remaining Scheduled Payments with respect to the Called Principal of such bond of the Thirty-fifth Series over the amount of such Called Principal, provided that the Make-Whole Amount may in no event be less than zero. For the purposes of determining the Make-Whole Amount, the following terms have the following meanings: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“Business Day” means any day other than a Saturday, a Sunday or a day on which commercial banks in New York City are required or authorized to be closed.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“Called Principal” means, with respect to any bond of the Thirty-fifth Series, the principal of such bond that is to be prepaid pursuant to subsection (I) of this section.</w:t>
      </w:r>
    </w:p>
    <w:p>
      <w:pPr>
        <w:spacing w:after="0" w:line="205"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“Discounted Value” means, with respect to the Called Principal of any bond of the Thirty-fifth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Thirty-fifth Series is payable) equal to the Reinvestment Yield with respect to such Called Principal.</w:t>
      </w:r>
    </w:p>
    <w:p>
      <w:pPr>
        <w:spacing w:after="0" w:line="147"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3"/>
          <w:szCs w:val="13"/>
          <w:color w:val="auto"/>
        </w:rPr>
        <w:t>“Reinvestment Yield” means, with respect to the Called Principal of any bond of the Thirty-fifth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w:t>
      </w:r>
    </w:p>
    <w:p>
      <w:pPr>
        <w:spacing w:after="0" w:line="4" w:lineRule="exact"/>
        <w:rPr>
          <w:sz w:val="20"/>
          <w:szCs w:val="20"/>
          <w:color w:val="auto"/>
        </w:rPr>
      </w:pPr>
    </w:p>
    <w:p>
      <w:pPr>
        <w:jc w:val="both"/>
        <w:ind w:firstLine="6"/>
        <w:spacing w:after="0" w:line="265" w:lineRule="auto"/>
        <w:tabs>
          <w:tab w:leader="none" w:pos="205"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Thirty-fifth Series.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“Remaining Average Life” means, with respect to any Called Principal, the number of years (calculated to the nearest one-twelfth year) obtained by dividing (i) such Called Principal into</w:t>
      </w:r>
    </w:p>
    <w:p>
      <w:pPr>
        <w:spacing w:after="0" w:line="33" w:lineRule="exact"/>
        <w:rPr>
          <w:sz w:val="20"/>
          <w:szCs w:val="20"/>
          <w:color w:val="auto"/>
        </w:rPr>
      </w:pPr>
    </w:p>
    <w:p>
      <w:pPr>
        <w:ind w:firstLine="6"/>
        <w:spacing w:after="0" w:line="313" w:lineRule="auto"/>
        <w:tabs>
          <w:tab w:leader="none" w:pos="2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39"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“Remaining Scheduled Payments” means, with respect to the Called Principal of any Bond of the Thirty-fifth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Thirty-fifth Series, then the amount of the next succeeding scheduled interest payment will be reduced by the amount of interest accrued to such Settlement Date and required to be paid on such Settlement Date pursuant to subsection (I) of this section.</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“Settlement Date” means, with respect to the Called Principal of any Bond of the Thirty-fifth Series, the date on which such Called Principal is to be prepaid pursuant to subsection (I) of this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section.</w:t>
      </w:r>
    </w:p>
    <w:p>
      <w:pPr>
        <w:sectPr>
          <w:pgSz w:w="11900" w:h="16838" w:orient="portrait"/>
          <w:cols w:equalWidth="0" w:num="1">
            <w:col w:w="11460"/>
          </w:cols>
          <w:pgMar w:left="220" w:top="129" w:right="219" w:bottom="0" w:gutter="0" w:footer="0" w:header="0"/>
        </w:sectPr>
      </w:pPr>
    </w:p>
    <w:bookmarkStart w:id="89" w:name="page90"/>
    <w:bookmarkEnd w:id="89"/>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“Senior Financial Officer” means the chief financial officer, principal accounting officer, treasurer or comptroller of the Company.</w:t>
      </w:r>
    </w:p>
    <w:p>
      <w:pPr>
        <w:spacing w:after="0" w:line="205" w:lineRule="exact"/>
        <w:rPr>
          <w:sz w:val="20"/>
          <w:szCs w:val="20"/>
          <w:color w:val="auto"/>
        </w:rPr>
      </w:pPr>
    </w:p>
    <w:p>
      <w:pPr>
        <w:jc w:val="both"/>
        <w:ind w:firstLine="569"/>
        <w:spacing w:after="0" w:line="302" w:lineRule="auto"/>
        <w:tabs>
          <w:tab w:leader="none" w:pos="1302" w:val="left"/>
        </w:tabs>
        <w:numPr>
          <w:ilvl w:val="0"/>
          <w:numId w:val="34"/>
        </w:numPr>
        <w:rPr>
          <w:rFonts w:ascii="Arial" w:cs="Arial" w:eastAsia="Arial" w:hAnsi="Arial"/>
          <w:sz w:val="13"/>
          <w:szCs w:val="13"/>
          <w:color w:val="auto"/>
        </w:rPr>
      </w:pPr>
      <w:r>
        <w:rPr>
          <w:rFonts w:ascii="Arial" w:cs="Arial" w:eastAsia="Arial" w:hAnsi="Arial"/>
          <w:sz w:val="13"/>
          <w:szCs w:val="13"/>
          <w:color w:val="auto"/>
        </w:rPr>
        <w:t>At the option of the registered owner, any bonds of the Thirty-fifth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47"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Bonds of the Thirty-fifth Series shall be transferable (subject to the provisions of Section 12 of the Mortgage) at the office or agency of the Company in the Borough of Manhattan, The City of New York. The Company shall not be required to make transfers or exchanges of bonds of the Thirty-fifth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47"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Upon any exchange or transfer of bonds of the Thirty-fifth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Thirty-fifth Series.</w:t>
      </w:r>
    </w:p>
    <w:p>
      <w:pPr>
        <w:spacing w:after="0" w:line="130"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After the delivery of this Twenty-ninth Supplemental Indenture and upon compliance with the applicable provisions of the Mortgage and receipt of consideration therefor by the Company, there shall be an initial issue of bonds of the Thirty-fifth Series for the aggregate principal amount of $18,000,000.</w:t>
      </w:r>
    </w:p>
    <w:p>
      <w:pPr>
        <w:spacing w:after="0" w:line="200" w:lineRule="exact"/>
        <w:rPr>
          <w:sz w:val="20"/>
          <w:szCs w:val="20"/>
          <w:color w:val="auto"/>
        </w:rPr>
      </w:pPr>
    </w:p>
    <w:p>
      <w:pPr>
        <w:spacing w:after="0" w:line="336"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ARTICLE II</w:t>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Thirty-sixth Series of Bonds</w:t>
      </w:r>
    </w:p>
    <w:p>
      <w:pPr>
        <w:spacing w:after="0" w:line="209"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color w:val="auto"/>
        </w:rPr>
        <w:t>SECTION 1. There shall be a series of bonds designated “7.70% Series due January 15, 2016” (herein sometimes referred to as the “Thirty-sixth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Thirty-sixth Series shall be dated as in Section 10 of the Mortgage provided, mature on January 15, 2016, be issued as fully registered bonds in denominations of One Thousand Dollars and, at the option of the Company, in any multiple or multiples of One Thousand Dollars (the exercise of such option to be evidenced by the execution and delivery thereof) and bear interest from December 15, 2008 (computed on the basis of a 360-day year of twelve thirty-day months) at the rate of 7.70% per annum, payable semi-annually on January 15 and July 15 of each year, commencing July 15, 2009,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54" w:lineRule="exact"/>
        <w:rPr>
          <w:sz w:val="20"/>
          <w:szCs w:val="20"/>
          <w:color w:val="auto"/>
        </w:rPr>
      </w:pPr>
    </w:p>
    <w:p>
      <w:pPr>
        <w:jc w:val="both"/>
        <w:ind w:firstLine="523"/>
        <w:spacing w:after="0" w:line="280" w:lineRule="auto"/>
        <w:tabs>
          <w:tab w:leader="none" w:pos="1178" w:val="left"/>
        </w:tabs>
        <w:numPr>
          <w:ilvl w:val="1"/>
          <w:numId w:val="35"/>
        </w:numPr>
        <w:rPr>
          <w:rFonts w:ascii="Arial" w:cs="Arial" w:eastAsia="Arial" w:hAnsi="Arial"/>
          <w:sz w:val="13"/>
          <w:szCs w:val="13"/>
          <w:color w:val="auto"/>
        </w:rPr>
      </w:pPr>
      <w:r>
        <w:rPr>
          <w:rFonts w:ascii="Arial" w:cs="Arial" w:eastAsia="Arial" w:hAnsi="Arial"/>
          <w:sz w:val="13"/>
          <w:szCs w:val="13"/>
          <w:b w:val="1"/>
          <w:bCs w:val="1"/>
          <w:color w:val="auto"/>
        </w:rPr>
        <w:t xml:space="preserve">Optional Prepayment. </w:t>
      </w:r>
      <w:r>
        <w:rPr>
          <w:rFonts w:ascii="Arial" w:cs="Arial" w:eastAsia="Arial" w:hAnsi="Arial"/>
          <w:sz w:val="13"/>
          <w:szCs w:val="13"/>
          <w:color w:val="auto"/>
        </w:rPr>
        <w:t>The Company may, at its option, upon notice as provided below, prepay at any time all, or from time to time any part of, the bonds of the Thirty-sixth</w:t>
      </w:r>
      <w:r>
        <w:rPr>
          <w:rFonts w:ascii="Arial" w:cs="Arial" w:eastAsia="Arial" w:hAnsi="Arial"/>
          <w:sz w:val="13"/>
          <w:szCs w:val="13"/>
          <w:b w:val="1"/>
          <w:bCs w:val="1"/>
          <w:color w:val="auto"/>
        </w:rPr>
        <w:t xml:space="preserve"> </w:t>
      </w:r>
      <w:r>
        <w:rPr>
          <w:rFonts w:ascii="Arial" w:cs="Arial" w:eastAsia="Arial" w:hAnsi="Arial"/>
          <w:sz w:val="13"/>
          <w:szCs w:val="13"/>
          <w:color w:val="auto"/>
        </w:rPr>
        <w:t>Series at 100% of the principal amount so prepaid, and the Make-Whole Amount determined for the Settlement Date specified by the Company in such notice with respect to such principal amount. The Company will give each registered owner of Bonds of the Thirty-sixth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Thirty-sixth Series to be prepaid on such date, the principal amount of each bond held by such registered owner to be prepaid (determined in accordance with subsection</w:t>
      </w:r>
    </w:p>
    <w:p>
      <w:pPr>
        <w:spacing w:after="0" w:line="1" w:lineRule="exact"/>
        <w:rPr>
          <w:rFonts w:ascii="Arial" w:cs="Arial" w:eastAsia="Arial" w:hAnsi="Arial"/>
          <w:sz w:val="13"/>
          <w:szCs w:val="13"/>
          <w:color w:val="auto"/>
        </w:rPr>
      </w:pPr>
    </w:p>
    <w:p>
      <w:pPr>
        <w:jc w:val="both"/>
        <w:ind w:firstLine="6"/>
        <w:spacing w:after="0" w:line="259" w:lineRule="auto"/>
        <w:tabs>
          <w:tab w:leader="none" w:pos="238" w:val="left"/>
        </w:tabs>
        <w:numPr>
          <w:ilvl w:val="0"/>
          <w:numId w:val="36"/>
        </w:numPr>
        <w:rPr>
          <w:rFonts w:ascii="Arial" w:cs="Arial" w:eastAsia="Arial" w:hAnsi="Arial"/>
          <w:sz w:val="14"/>
          <w:szCs w:val="14"/>
          <w:color w:val="auto"/>
        </w:rPr>
      </w:pPr>
      <w:r>
        <w:rPr>
          <w:rFonts w:ascii="Arial" w:cs="Arial" w:eastAsia="Arial" w:hAnsi="Arial"/>
          <w:sz w:val="14"/>
          <w:szCs w:val="14"/>
          <w:color w:val="auto"/>
        </w:rPr>
        <w:t>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Thirty-sixth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Thirty-sixth Series are not otherwise subject to voluntary or optional prepayment.</w:t>
      </w:r>
    </w:p>
    <w:p>
      <w:pPr>
        <w:spacing w:after="0" w:line="171" w:lineRule="exact"/>
        <w:rPr>
          <w:rFonts w:ascii="Arial" w:cs="Arial" w:eastAsia="Arial" w:hAnsi="Arial"/>
          <w:sz w:val="14"/>
          <w:szCs w:val="14"/>
          <w:color w:val="auto"/>
        </w:rPr>
      </w:pPr>
    </w:p>
    <w:p>
      <w:pPr>
        <w:jc w:val="both"/>
        <w:ind w:firstLine="523"/>
        <w:spacing w:after="0" w:line="275" w:lineRule="auto"/>
        <w:tabs>
          <w:tab w:leader="none" w:pos="1125" w:val="left"/>
        </w:tabs>
        <w:numPr>
          <w:ilvl w:val="1"/>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Allocation of Partial Prepayments. </w:t>
      </w:r>
      <w:r>
        <w:rPr>
          <w:rFonts w:ascii="Arial" w:cs="Arial" w:eastAsia="Arial" w:hAnsi="Arial"/>
          <w:sz w:val="14"/>
          <w:szCs w:val="14"/>
          <w:color w:val="auto"/>
        </w:rPr>
        <w:t>In the case of each partial prepayment of the bonds of the Thirty-sixth Series, the principal amount of the Bonds of the Thirty-sixth Series to</w:t>
      </w:r>
      <w:r>
        <w:rPr>
          <w:rFonts w:ascii="Arial" w:cs="Arial" w:eastAsia="Arial" w:hAnsi="Arial"/>
          <w:sz w:val="14"/>
          <w:szCs w:val="14"/>
          <w:b w:val="1"/>
          <w:bCs w:val="1"/>
          <w:color w:val="auto"/>
        </w:rPr>
        <w:t xml:space="preserve"> </w:t>
      </w:r>
      <w:r>
        <w:rPr>
          <w:rFonts w:ascii="Arial" w:cs="Arial" w:eastAsia="Arial" w:hAnsi="Arial"/>
          <w:sz w:val="14"/>
          <w:szCs w:val="14"/>
          <w:color w:val="auto"/>
        </w:rPr>
        <w:t>be prepaid shall be allocated by the Company among all of the Bonds of the Thirty-sixth Series at the time outstanding in proportion, as nearly as practicable, to the respective unpaid principal amounts thereof not theretofore called for prepayment.</w:t>
      </w:r>
    </w:p>
    <w:p>
      <w:pPr>
        <w:spacing w:after="0" w:line="158"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3"/>
          <w:szCs w:val="13"/>
          <w:color w:val="auto"/>
        </w:rPr>
        <w:t xml:space="preserve">(III) </w:t>
      </w:r>
      <w:r>
        <w:rPr>
          <w:rFonts w:ascii="Arial" w:cs="Arial" w:eastAsia="Arial" w:hAnsi="Arial"/>
          <w:sz w:val="13"/>
          <w:szCs w:val="13"/>
          <w:b w:val="1"/>
          <w:bCs w:val="1"/>
          <w:color w:val="auto"/>
        </w:rPr>
        <w:t>Maturity; Surrender, Etc.</w:t>
      </w:r>
      <w:r>
        <w:rPr>
          <w:rFonts w:ascii="Arial" w:cs="Arial" w:eastAsia="Arial" w:hAnsi="Arial"/>
          <w:sz w:val="13"/>
          <w:szCs w:val="13"/>
          <w:color w:val="auto"/>
        </w:rPr>
        <w:t xml:space="preserve"> In the case of each notice of prepayment of bonds of the Thirty-sixth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Thirty-sixth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55"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4"/>
          <w:szCs w:val="14"/>
          <w:color w:val="auto"/>
        </w:rPr>
        <w:t>(IV)</w:t>
      </w:r>
      <w:r>
        <w:rPr>
          <w:sz w:val="20"/>
          <w:szCs w:val="20"/>
          <w:color w:val="auto"/>
        </w:rPr>
        <w:tab/>
      </w:r>
      <w:r>
        <w:rPr>
          <w:rFonts w:ascii="Arial" w:cs="Arial" w:eastAsia="Arial" w:hAnsi="Arial"/>
          <w:sz w:val="14"/>
          <w:szCs w:val="14"/>
          <w:b w:val="1"/>
          <w:bCs w:val="1"/>
          <w:color w:val="auto"/>
        </w:rPr>
        <w:t>Make-Whole Amount.</w:t>
      </w:r>
    </w:p>
    <w:p>
      <w:pPr>
        <w:spacing w:after="0" w:line="209"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“Make-Whole Amount” means, with respect to any bond of the Thirty-sixth Series, an amount equal to the excess, if any, of the Discounted Value of the Remaining Scheduled Payments with respect to the Called Principal of such bond of the Thirty-sixth Series over the amount of such Called Principal, provided that the Make-Whole Amount may in no event be less than zero. For the purposes of determining the Make-Whole Amount, the following terms have the following meanings: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“Business Day” means any day other than a Saturday, a Sunday or a day on which commercial banks in New York City are required or authorized to be closed.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“Called Principal” means, with respect to any bond of the Thirty-sixth Series, the principal of such bond that is to be prepaid pursuant to subsection (I) of this section.</w:t>
      </w:r>
    </w:p>
    <w:p>
      <w:pPr>
        <w:spacing w:after="0" w:line="205"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“Discounted Value” means, with respect to the Called Principal of any bond of the Thirty-sixth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Thirty-sixth Series is payable) equal to the Reinvestment Yield with respect to such Called Principal.</w:t>
      </w:r>
    </w:p>
    <w:p>
      <w:pPr>
        <w:spacing w:after="0" w:line="147"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3"/>
          <w:szCs w:val="13"/>
          <w:color w:val="auto"/>
        </w:rPr>
        <w:t>“Reinvestment Yield” means, with respect to the Called Principal of any bond of the Thirty-sixth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w:t>
      </w:r>
    </w:p>
    <w:p>
      <w:pPr>
        <w:spacing w:after="0" w:line="4" w:lineRule="exact"/>
        <w:rPr>
          <w:sz w:val="20"/>
          <w:szCs w:val="20"/>
          <w:color w:val="auto"/>
        </w:rPr>
      </w:pPr>
    </w:p>
    <w:p>
      <w:pPr>
        <w:jc w:val="both"/>
        <w:ind w:firstLine="6"/>
        <w:spacing w:after="0" w:line="265" w:lineRule="auto"/>
        <w:tabs>
          <w:tab w:leader="none" w:pos="205"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Thirty-sixth Series.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“Remaining Average Life” means, with respect to any Called Principal, the number of years (calculated to the nearest one-twelfth year) obtained by dividing (i) such Called Principal into</w:t>
      </w:r>
    </w:p>
    <w:p>
      <w:pPr>
        <w:spacing w:after="0" w:line="33" w:lineRule="exact"/>
        <w:rPr>
          <w:sz w:val="20"/>
          <w:szCs w:val="20"/>
          <w:color w:val="auto"/>
        </w:rPr>
      </w:pPr>
    </w:p>
    <w:p>
      <w:pPr>
        <w:ind w:firstLine="6"/>
        <w:spacing w:after="0" w:line="313" w:lineRule="auto"/>
        <w:tabs>
          <w:tab w:leader="none" w:pos="212"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39" w:lineRule="exact"/>
        <w:rPr>
          <w:sz w:val="20"/>
          <w:szCs w:val="20"/>
          <w:color w:val="auto"/>
        </w:rPr>
      </w:pPr>
    </w:p>
    <w:p>
      <w:pPr>
        <w:ind w:firstLine="517"/>
        <w:spacing w:after="0" w:line="328" w:lineRule="auto"/>
        <w:rPr>
          <w:sz w:val="20"/>
          <w:szCs w:val="20"/>
          <w:color w:val="auto"/>
        </w:rPr>
      </w:pPr>
      <w:r>
        <w:rPr>
          <w:rFonts w:ascii="Arial" w:cs="Arial" w:eastAsia="Arial" w:hAnsi="Arial"/>
          <w:sz w:val="13"/>
          <w:szCs w:val="13"/>
          <w:color w:val="auto"/>
        </w:rPr>
        <w:t>“Remaining Scheduled Payments” means, with respect to the Called Principal of any Bond of the Thirty-sixth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w:t>
      </w:r>
    </w:p>
    <w:p>
      <w:pPr>
        <w:sectPr>
          <w:pgSz w:w="11900" w:h="16860" w:orient="portrait"/>
          <w:cols w:equalWidth="0" w:num="1">
            <w:col w:w="11460"/>
          </w:cols>
          <w:pgMar w:left="220" w:top="129" w:right="219" w:bottom="0" w:gutter="0" w:footer="0" w:header="0"/>
        </w:sectPr>
      </w:pPr>
    </w:p>
    <w:bookmarkStart w:id="90" w:name="page91"/>
    <w:bookmarkEnd w:id="90"/>
    <w:p>
      <w:pPr>
        <w:spacing w:after="0" w:line="288" w:lineRule="auto"/>
        <w:rPr>
          <w:sz w:val="20"/>
          <w:szCs w:val="20"/>
          <w:color w:val="auto"/>
        </w:rPr>
      </w:pPr>
      <w:r>
        <w:rPr>
          <w:rFonts w:ascii="Arial" w:cs="Arial" w:eastAsia="Arial" w:hAnsi="Arial"/>
          <w:sz w:val="14"/>
          <w:szCs w:val="14"/>
          <w:color w:val="auto"/>
        </w:rPr>
        <w:t>on which interest payments are due to be made under the terms of the Bonds of the Thirty-sixth Series, then the amount of the next succeeding scheduled interest payment will be reduced by the amount of interest accrued to such Settlement Date and required to be paid on such Settlement Date pursuant to subsection (I) of this section.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“Settlement Date” means, with respect to the Called Principal of any Bond of the Thirty-sixth Series, the date on which such Called Principal is to be prepaid pursuant to subsection (I) of this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section.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“Senior Financial Officer” means the chief financial officer, principal accounting officer, treasurer or comptroller of the Company.</w:t>
      </w:r>
    </w:p>
    <w:p>
      <w:pPr>
        <w:spacing w:after="0" w:line="205" w:lineRule="exact"/>
        <w:rPr>
          <w:sz w:val="20"/>
          <w:szCs w:val="20"/>
          <w:color w:val="auto"/>
        </w:rPr>
      </w:pPr>
    </w:p>
    <w:p>
      <w:pPr>
        <w:jc w:val="both"/>
        <w:ind w:firstLine="568"/>
        <w:spacing w:after="0" w:line="302" w:lineRule="auto"/>
        <w:tabs>
          <w:tab w:leader="none" w:pos="1292" w:val="left"/>
        </w:tabs>
        <w:numPr>
          <w:ilvl w:val="0"/>
          <w:numId w:val="39"/>
        </w:numPr>
        <w:rPr>
          <w:rFonts w:ascii="Arial" w:cs="Arial" w:eastAsia="Arial" w:hAnsi="Arial"/>
          <w:sz w:val="13"/>
          <w:szCs w:val="13"/>
          <w:color w:val="auto"/>
        </w:rPr>
      </w:pPr>
      <w:r>
        <w:rPr>
          <w:rFonts w:ascii="Arial" w:cs="Arial" w:eastAsia="Arial" w:hAnsi="Arial"/>
          <w:sz w:val="13"/>
          <w:szCs w:val="13"/>
          <w:color w:val="auto"/>
        </w:rPr>
        <w:t>At the option of the registered owner, any bonds of the Thirty-sixth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47"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Bonds of the Thirty-sixth Series shall be transferable (subject to the provisions of Section 12 of the Mortgage) at the office or agency of the Company in the Borough of Manhattan, The City of New York. The Company shall not be required to make transfers or exchanges of bonds of the Thirty-sixth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47"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Upon any exchange or transfer of bonds of the Thirty-sixth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Thirty-sixth Series.</w:t>
      </w:r>
    </w:p>
    <w:p>
      <w:pPr>
        <w:spacing w:after="0" w:line="130"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After the delivery of this Twenty-ninth Supplemental Indenture and upon compliance with the applicable provisions of the Mortgage and receipt of consideration therefor by the Company, there shall be an initial issue of bonds of the Thirty-sixth Series for the aggregate principal amount of $20,000,000.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Reservation of Right to Amend the Mortgage</w:t>
      </w:r>
    </w:p>
    <w:p>
      <w:pPr>
        <w:spacing w:after="0" w:line="196"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SECTION 1. The Company reserves the right, without any vote, consent or other action by the holders of Bonds of the Thirty-fifth Series, the Thirty-sixth Series or any subsequent series, to amend the Mortgage, as herein or heretofore supplemented as follows:</w:t>
      </w:r>
    </w:p>
    <w:p>
      <w:pPr>
        <w:spacing w:after="0" w:line="152" w:lineRule="exact"/>
        <w:rPr>
          <w:sz w:val="20"/>
          <w:szCs w:val="20"/>
          <w:color w:val="auto"/>
        </w:rPr>
      </w:pPr>
    </w:p>
    <w:p>
      <w:pPr>
        <w:ind w:firstLine="523"/>
        <w:spacing w:after="0" w:line="288"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152" w:lineRule="exact"/>
        <w:rPr>
          <w:rFonts w:ascii="Arial" w:cs="Arial" w:eastAsia="Arial" w:hAnsi="Arial"/>
          <w:sz w:val="14"/>
          <w:szCs w:val="14"/>
          <w:color w:val="auto"/>
        </w:rPr>
      </w:pPr>
    </w:p>
    <w:p>
      <w:pPr>
        <w:ind w:left="760" w:hanging="237"/>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By adding the following at the end of the first sentence of Section 101:</w:t>
      </w:r>
    </w:p>
    <w:p>
      <w:pPr>
        <w:spacing w:after="0" w:line="205" w:lineRule="exact"/>
        <w:rPr>
          <w:sz w:val="20"/>
          <w:szCs w:val="20"/>
          <w:color w:val="auto"/>
        </w:rPr>
      </w:pPr>
    </w:p>
    <w:p>
      <w:pPr>
        <w:jc w:val="both"/>
        <w:ind w:left="1040" w:right="1040"/>
        <w:spacing w:after="0" w:line="272" w:lineRule="auto"/>
        <w:rPr>
          <w:sz w:val="20"/>
          <w:szCs w:val="20"/>
          <w:color w:val="auto"/>
        </w:rPr>
      </w:pPr>
      <w:r>
        <w:rPr>
          <w:rFonts w:ascii="Arial" w:cs="Arial" w:eastAsia="Arial" w:hAnsi="Arial"/>
          <w:sz w:val="14"/>
          <w:szCs w:val="14"/>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1. Section 126 of the Mortgage, as heretofore amended, is hereby further amended by adding the words “and January 15, 2014 and January 15, 2016” after the words “and May 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196"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SECTION 2. Subject to the amendments provided for in this Twenty-ninth Supplemental Indenture, the terms defined in the Mortgage, as heretofore supplemented, shall, for all purposes of this Twenty-ninth Supplemental Indenture, have the meanings specified in the Mortgage, as heretofore supplemented.</w:t>
      </w:r>
    </w:p>
    <w:p>
      <w:pPr>
        <w:spacing w:after="0" w:line="152"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SECTION 3. The holders of bonds of the Thirty-fifth Series and the Thirty-sixth Series consent that the Company may, but shall not be obligated to, fix a record date for the purpose of determining the holders of bonds of the Thirty-fifth Series and the Thirty-sixth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4. The Trustees hereby accept the trusts herein declared, provided, created or supplemented and agree to perform the same upon the terms and conditions herein and in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Mortgage set forth and upon the following terms and conditions:</w:t>
      </w:r>
    </w:p>
    <w:p>
      <w:pPr>
        <w:spacing w:after="0" w:line="196"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The Trustees shall not be responsible in any manner whatsoever for or in respect of the validity or sufficiency of this Twenty-ninth Supplemental Indenture or for or in respect of the recitals contained herein, all of which recitals are made by the Company solely. In general, each and every term and condition contained in Article XVII of the Mortgage shall apply to and form part of this Twenty-ninth Supplemental Indenture with the same force and effect as if the same were herein set forth in full with such omissions, variations and insertions, if any, as may be appropriate to make the same conform to the provisions of this Twenty-ninth Supplemental Indenture.</w:t>
      </w:r>
    </w:p>
    <w:p>
      <w:pPr>
        <w:spacing w:after="0" w:line="167"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SECTION 5. Whenever in this Twenty-ninth Supplemental Indenture any party hereto is named or referred to, this shall, subject to the provisions of Articles XVI and XVII of the Mortgage, as heretofore supplemented, be deemed to include the successors or assigns of such party, and all the covenants and agreements in this Twenty-ninth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47"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SECTION 6. Nothing in this Twenty-ninth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Twenty-ninth Supplemental Indenture or any covenant, condition, stipulation, promise or agreement hereof, and all the covenants, conditions, stipulations, promises and agreements in this Twenty-ninth Supplemental Indenture contained by and on behalf of the Company shall be for the sole and exclusive benefit of the parties hereto, and of the holders of the bonds and of the coupons Outstanding under the Mortgage.</w:t>
      </w:r>
    </w:p>
    <w:p>
      <w:pPr>
        <w:spacing w:after="0" w:line="151"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SECTION 7. This Twenty-ninth Supplemental Indenture shall be executed in several counterparts, each of which shall be an original and all of which shall constitute but one and the same instrument.</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8. The Company, the mortgagor named herein, by its execution hereof acknowledges receipt of a full, true and complete copy of this Twenty-ninth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28027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91" w:name="page92"/>
    <w:bookmarkEnd w:id="91"/>
    <w:p>
      <w:pPr>
        <w:jc w:val="both"/>
        <w:ind w:firstLine="517"/>
        <w:spacing w:after="0" w:line="264" w:lineRule="auto"/>
        <w:rPr>
          <w:sz w:val="20"/>
          <w:szCs w:val="20"/>
          <w:color w:val="auto"/>
        </w:rPr>
      </w:pPr>
      <w:r>
        <w:rPr>
          <w:rFonts w:ascii="Arial" w:cs="Arial" w:eastAsia="Arial" w:hAnsi="Arial"/>
          <w:sz w:val="14"/>
          <w:szCs w:val="14"/>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has hereunto set his hand and affixed his seal, all in The City of New York, as of the day and year first above written.</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ALLETE, I</w:t>
      </w:r>
      <w:r>
        <w:rPr>
          <w:rFonts w:ascii="Arial" w:cs="Arial" w:eastAsia="Arial" w:hAnsi="Arial"/>
          <w:sz w:val="9"/>
          <w:szCs w:val="9"/>
          <w:color w:val="auto"/>
        </w:rPr>
        <w:t>NC</w:t>
      </w:r>
      <w:r>
        <w:rPr>
          <w:rFonts w:ascii="Arial" w:cs="Arial" w:eastAsia="Arial" w:hAnsi="Arial"/>
          <w:sz w:val="14"/>
          <w:szCs w:val="14"/>
          <w:color w:val="auto"/>
        </w:rPr>
        <w:t>.</w:t>
      </w:r>
    </w:p>
    <w:p>
      <w:pPr>
        <w:spacing w:after="0" w:line="195" w:lineRule="exact"/>
        <w:rPr>
          <w:sz w:val="20"/>
          <w:szCs w:val="20"/>
          <w:color w:val="auto"/>
        </w:rPr>
      </w:pPr>
    </w:p>
    <w:tbl>
      <w:tblPr>
        <w:tblLayout w:type="fixed"/>
        <w:tblInd w:w="36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 Mark Schober</w:t>
            </w:r>
          </w:p>
        </w:tc>
        <w:tc>
          <w:tcPr>
            <w:tcW w:w="60" w:type="dxa"/>
            <w:vAlign w:val="bottom"/>
          </w:tcPr>
          <w:p>
            <w:pPr>
              <w:spacing w:after="0"/>
              <w:rPr>
                <w:sz w:val="14"/>
                <w:szCs w:val="14"/>
                <w:color w:val="auto"/>
              </w:rPr>
            </w:pPr>
          </w:p>
        </w:tc>
      </w:tr>
      <w:tr>
        <w:trPr>
          <w:trHeight w:val="174"/>
        </w:trPr>
        <w:tc>
          <w:tcPr>
            <w:tcW w:w="36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color w:val="auto"/>
              </w:rPr>
              <w:t>Mark Schober</w:t>
            </w:r>
          </w:p>
        </w:tc>
      </w:tr>
      <w:tr>
        <w:trPr>
          <w:trHeight w:val="182"/>
        </w:trPr>
        <w:tc>
          <w:tcPr>
            <w:tcW w:w="36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color w:val="auto"/>
                <w:w w:val="94"/>
              </w:rPr>
              <w:t>Senior VP &amp; CFO</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Attest: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Deborah A. Amberg</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Deborah A. Amberg</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Sr. VP, General Counsel, &amp; Secretary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Executed, sealed and delivered by ALLETE,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 the presence of:</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Dawn LaPointe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Jodi Nash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Trustees’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28027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92" w:name="page93"/>
    <w:bookmarkEnd w:id="92"/>
    <w:p>
      <w:pPr>
        <w:ind w:left="3620"/>
        <w:spacing w:after="0"/>
        <w:rPr>
          <w:sz w:val="20"/>
          <w:szCs w:val="20"/>
          <w:color w:val="auto"/>
        </w:rPr>
      </w:pPr>
      <w:r>
        <w:rPr>
          <w:rFonts w:ascii="Arial" w:cs="Arial" w:eastAsia="Arial" w:hAnsi="Arial"/>
          <w:sz w:val="14"/>
          <w:szCs w:val="14"/>
          <w:color w:val="auto"/>
        </w:rPr>
        <w:t>THE BANK OF NEW YORK MELLON,</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as Trustee</w:t>
      </w:r>
    </w:p>
    <w:p>
      <w:pPr>
        <w:spacing w:after="0" w:line="196" w:lineRule="exact"/>
        <w:rPr>
          <w:sz w:val="20"/>
          <w:szCs w:val="20"/>
          <w:color w:val="auto"/>
        </w:rPr>
      </w:pPr>
    </w:p>
    <w:p>
      <w:pPr>
        <w:ind w:left="3620"/>
        <w:spacing w:after="0"/>
        <w:tabs>
          <w:tab w:leader="none" w:pos="41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/s/ Mary Miselis</w:t>
      </w:r>
    </w:p>
    <w:p>
      <w:pPr>
        <w:spacing w:after="0" w:line="1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Mary Miselis</w:t>
      </w:r>
    </w:p>
    <w:p>
      <w:pPr>
        <w:spacing w:after="0" w:line="3"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Vice President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Attest: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Rafael E. Miranda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Rafael E. Miranda</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200" w:lineRule="exact"/>
        <w:rPr>
          <w:sz w:val="20"/>
          <w:szCs w:val="20"/>
          <w:color w:val="auto"/>
        </w:rPr>
      </w:pPr>
    </w:p>
    <w:p>
      <w:pPr>
        <w:spacing w:after="0" w:line="38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/s/ Douglas J. MacInnes 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-5715</wp:posOffset>
            </wp:positionV>
            <wp:extent cx="107378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73785" cy="6985"/>
                    </a:xfrm>
                    <a:prstGeom prst="rect">
                      <a:avLst/>
                    </a:prstGeom>
                    <a:noFill/>
                  </pic:spPr>
                </pic:pic>
              </a:graphicData>
            </a:graphic>
          </wp:anchor>
        </w:drawing>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OUGLAS</w:t>
      </w:r>
      <w:r>
        <w:rPr>
          <w:rFonts w:ascii="Arial" w:cs="Arial" w:eastAsia="Arial" w:hAnsi="Arial"/>
          <w:sz w:val="14"/>
          <w:szCs w:val="14"/>
          <w:color w:val="auto"/>
        </w:rPr>
        <w:t xml:space="preserve"> J. M</w:t>
      </w:r>
      <w:r>
        <w:rPr>
          <w:rFonts w:ascii="Arial" w:cs="Arial" w:eastAsia="Arial" w:hAnsi="Arial"/>
          <w:sz w:val="9"/>
          <w:szCs w:val="9"/>
          <w:color w:val="auto"/>
        </w:rPr>
        <w:t>AC</w:t>
      </w:r>
      <w:r>
        <w:rPr>
          <w:rFonts w:ascii="Arial" w:cs="Arial" w:eastAsia="Arial" w:hAnsi="Arial"/>
          <w:sz w:val="14"/>
          <w:szCs w:val="14"/>
          <w:color w:val="auto"/>
        </w:rPr>
        <w:t>I</w:t>
      </w:r>
      <w:r>
        <w:rPr>
          <w:rFonts w:ascii="Arial" w:cs="Arial" w:eastAsia="Arial" w:hAnsi="Arial"/>
          <w:sz w:val="9"/>
          <w:szCs w:val="9"/>
          <w:color w:val="auto"/>
        </w:rPr>
        <w:t>NNES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Executed, sealed and delivered by THE BANK OF NEW</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YORK MELLON and DOUGLAS J. MACINNES in the presence of:</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James Briggs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Lindsey Widdis</w:t>
      </w:r>
    </w:p>
    <w:p>
      <w:pPr>
        <w:spacing w:after="0" w:line="393"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Twenty-ninth Supplemental Indenture dated as of November 1, 2008</w:t>
      </w:r>
    </w:p>
    <w:p>
      <w:pPr>
        <w:spacing w:after="0" w:line="44"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Trustees’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28027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39"/>
          </w:cols>
          <w:pgMar w:left="220" w:top="1023" w:right="1440" w:bottom="1440" w:gutter="0" w:footer="0" w:header="0"/>
        </w:sectPr>
      </w:pPr>
    </w:p>
    <w:bookmarkStart w:id="93" w:name="page94"/>
    <w:bookmarkEnd w:id="93"/>
    <w:p>
      <w:pPr>
        <w:spacing w:after="0"/>
        <w:tabs>
          <w:tab w:leader="none" w:pos="2860" w:val="left"/>
        </w:tabs>
        <w:rPr>
          <w:sz w:val="20"/>
          <w:szCs w:val="20"/>
          <w:color w:val="auto"/>
        </w:rPr>
      </w:pPr>
      <w:r>
        <w:rPr>
          <w:rFonts w:ascii="Arial" w:cs="Arial" w:eastAsia="Arial" w:hAnsi="Arial"/>
          <w:sz w:val="14"/>
          <w:szCs w:val="14"/>
          <w:color w:val="auto"/>
        </w:rPr>
        <w:t>STATE OF MINNESOTA</w:t>
      </w:r>
      <w:r>
        <w:rPr>
          <w:sz w:val="20"/>
          <w:szCs w:val="20"/>
          <w:color w:val="auto"/>
        </w:rPr>
        <w:tab/>
      </w:r>
      <w:r>
        <w:rPr>
          <w:rFonts w:ascii="Arial" w:cs="Arial" w:eastAsia="Arial" w:hAnsi="Arial"/>
          <w:sz w:val="12"/>
          <w:szCs w:val="12"/>
          <w:color w:val="auto"/>
        </w:rPr>
        <w:t>)</w:t>
      </w:r>
    </w:p>
    <w:p>
      <w:pPr>
        <w:spacing w:after="0" w:line="21" w:lineRule="exact"/>
        <w:rPr>
          <w:sz w:val="20"/>
          <w:szCs w:val="20"/>
          <w:color w:val="auto"/>
        </w:rPr>
      </w:pPr>
    </w:p>
    <w:p>
      <w:pPr>
        <w:ind w:left="2840" w:hanging="118"/>
        <w:spacing w:after="0"/>
        <w:tabs>
          <w:tab w:leader="none" w:pos="2840" w:val="left"/>
        </w:tabs>
        <w:numPr>
          <w:ilvl w:val="0"/>
          <w:numId w:val="41"/>
        </w:numPr>
        <w:rPr>
          <w:rFonts w:ascii="Arial" w:cs="Arial" w:eastAsia="Arial" w:hAnsi="Arial"/>
          <w:sz w:val="14"/>
          <w:szCs w:val="14"/>
          <w:color w:val="auto"/>
        </w:rPr>
      </w:pPr>
      <w:r>
        <w:rPr>
          <w:rFonts w:ascii="Arial" w:cs="Arial" w:eastAsia="Arial" w:hAnsi="Arial"/>
          <w:sz w:val="10"/>
          <w:szCs w:val="10"/>
          <w:color w:val="auto"/>
        </w:rPr>
        <w:t>SS</w:t>
      </w:r>
      <w:r>
        <w:rPr>
          <w:rFonts w:ascii="Arial" w:cs="Arial" w:eastAsia="Arial" w:hAnsi="Arial"/>
          <w:sz w:val="14"/>
          <w:szCs w:val="14"/>
          <w:color w:val="auto"/>
        </w:rPr>
        <w:t>.:</w:t>
      </w:r>
    </w:p>
    <w:p>
      <w:pPr>
        <w:spacing w:after="0" w:line="11" w:lineRule="exact"/>
        <w:rPr>
          <w:sz w:val="20"/>
          <w:szCs w:val="20"/>
          <w:color w:val="auto"/>
        </w:rPr>
      </w:pPr>
    </w:p>
    <w:p>
      <w:pPr>
        <w:spacing w:after="0"/>
        <w:tabs>
          <w:tab w:leader="none" w:pos="2960" w:val="left"/>
        </w:tabs>
        <w:rPr>
          <w:sz w:val="20"/>
          <w:szCs w:val="20"/>
          <w:color w:val="auto"/>
        </w:rPr>
      </w:pPr>
      <w:r>
        <w:rPr>
          <w:rFonts w:ascii="Arial" w:cs="Arial" w:eastAsia="Arial" w:hAnsi="Arial"/>
          <w:sz w:val="14"/>
          <w:szCs w:val="14"/>
          <w:color w:val="auto"/>
        </w:rPr>
        <w:t>COUNTY OF ST. LOUIS</w:t>
      </w:r>
      <w:r>
        <w:rPr>
          <w:sz w:val="20"/>
          <w:szCs w:val="20"/>
          <w:color w:val="auto"/>
        </w:rPr>
        <w:tab/>
      </w:r>
      <w:r>
        <w:rPr>
          <w:rFonts w:ascii="Arial" w:cs="Arial" w:eastAsia="Arial" w:hAnsi="Arial"/>
          <w:sz w:val="12"/>
          <w:szCs w:val="12"/>
          <w:color w:val="auto"/>
        </w:rPr>
        <w:t>)</w:t>
      </w:r>
    </w:p>
    <w:p>
      <w:pPr>
        <w:spacing w:after="0" w:line="19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On this 4th day of December, 2008, before me, a Notary Public within and for said County, personally appeared Mark Schober and Deborah A. Amberg, to me personally known, who, being each by me duly sworn, did say that they are respectively the Senior Vice President and CFO and the Senior Vice President, General Counsel, and Secretary of ALLETE, Inc., the corporation named in the foregoing instrument; that the seal affixed to the foregoing instrument is the corporate seal of said corporation; that said instrument was signed and sealed in behalf of said corporation by authority of its Board of Directors; and said Mark Schober and Deborah A. Amberg acknowledged said instrument to be the free act and deed of said corporation.</w:t>
      </w:r>
    </w:p>
    <w:p>
      <w:pPr>
        <w:spacing w:after="0" w:line="151"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Personally came before me on this 4th day of December, 2008, Mark Schober, to me known to be the Senior Vice President and CFO, and Deborah A. Amberg, to me known to be the Senior Vice President, General Counsel, and Secretary,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CFO and the Senior 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Mark Schober and Deborah A. Amberg then and there acknowledged said instrument to be the free act and deed of said corporation and that such corporation executed the same.</w:t>
      </w:r>
    </w:p>
    <w:p>
      <w:pPr>
        <w:spacing w:after="0" w:line="15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On the 4th day of December, 2008, before me personally came Mark Schober and Deborah A. Amberg, to me known, who, being by me duly sworn, did depose and say that they respectively reside at 202 W. Owatonna Street, Duluth, Minnesota, and 2738 Northridge Drive, Duluth, Minnesota; that they are respectively the Senior Vice President and CFO and the Senior Vice President, General Counsel,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notarial seal this 4th day of December, 2008.</w:t>
      </w:r>
    </w:p>
    <w:p>
      <w:pPr>
        <w:spacing w:after="0" w:line="199" w:lineRule="exact"/>
        <w:rPr>
          <w:sz w:val="20"/>
          <w:szCs w:val="20"/>
          <w:color w:val="auto"/>
        </w:rPr>
      </w:pPr>
    </w:p>
    <w:p>
      <w:pPr>
        <w:ind w:left="8580"/>
        <w:spacing w:after="0"/>
        <w:rPr>
          <w:sz w:val="20"/>
          <w:szCs w:val="20"/>
          <w:color w:val="auto"/>
        </w:rPr>
      </w:pPr>
      <w:r>
        <w:rPr>
          <w:rFonts w:ascii="Arial" w:cs="Arial" w:eastAsia="Arial" w:hAnsi="Arial"/>
          <w:sz w:val="17"/>
          <w:szCs w:val="17"/>
          <w:u w:val="single" w:color="auto"/>
          <w:color w:val="auto"/>
        </w:rPr>
        <w:t>/s/ Jodi Nash</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455295</wp:posOffset>
            </wp:positionV>
            <wp:extent cx="728027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94" w:name="page95"/>
    <w:bookmarkEnd w:id="94"/>
    <w:p>
      <w:pPr>
        <w:spacing w:after="0"/>
        <w:tabs>
          <w:tab w:leader="none" w:pos="2780" w:val="left"/>
        </w:tabs>
        <w:rPr>
          <w:sz w:val="20"/>
          <w:szCs w:val="20"/>
          <w:color w:val="auto"/>
        </w:rPr>
      </w:pPr>
      <w:r>
        <w:rPr>
          <w:rFonts w:ascii="Arial" w:cs="Arial" w:eastAsia="Arial" w:hAnsi="Arial"/>
          <w:sz w:val="14"/>
          <w:szCs w:val="14"/>
          <w:color w:val="auto"/>
        </w:rPr>
        <w:t>STATE OF NEW YORK</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left="2720" w:hanging="127"/>
        <w:spacing w:after="0"/>
        <w:tabs>
          <w:tab w:leader="none" w:pos="2720" w:val="left"/>
        </w:tabs>
        <w:numPr>
          <w:ilvl w:val="0"/>
          <w:numId w:val="42"/>
        </w:numPr>
        <w:rPr>
          <w:rFonts w:ascii="Arial" w:cs="Arial" w:eastAsia="Arial" w:hAnsi="Arial"/>
          <w:sz w:val="14"/>
          <w:szCs w:val="14"/>
          <w:color w:val="auto"/>
        </w:rPr>
      </w:pPr>
      <w:r>
        <w:rPr>
          <w:rFonts w:ascii="Arial" w:cs="Arial" w:eastAsia="Arial" w:hAnsi="Arial"/>
          <w:sz w:val="10"/>
          <w:szCs w:val="10"/>
          <w:color w:val="auto"/>
        </w:rPr>
        <w:t>SS</w:t>
      </w:r>
      <w:r>
        <w:rPr>
          <w:rFonts w:ascii="Arial" w:cs="Arial" w:eastAsia="Arial" w:hAnsi="Arial"/>
          <w:sz w:val="14"/>
          <w:szCs w:val="14"/>
          <w:color w:val="auto"/>
        </w:rPr>
        <w:t>:</w:t>
      </w:r>
    </w:p>
    <w:p>
      <w:pPr>
        <w:spacing w:after="0" w:line="11"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COUNTY OF NEW YORK</w:t>
      </w:r>
      <w:r>
        <w:rPr>
          <w:sz w:val="20"/>
          <w:szCs w:val="20"/>
          <w:color w:val="auto"/>
        </w:rPr>
        <w:tab/>
      </w:r>
      <w:r>
        <w:rPr>
          <w:rFonts w:ascii="Arial" w:cs="Arial" w:eastAsia="Arial" w:hAnsi="Arial"/>
          <w:sz w:val="12"/>
          <w:szCs w:val="12"/>
          <w:color w:val="auto"/>
        </w:rPr>
        <w:t>)</w:t>
      </w:r>
    </w:p>
    <w:p>
      <w:pPr>
        <w:spacing w:after="0" w:line="196"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On this 9 day of December, 2008, before me, a Notary Public within and for said County, personally appeared Mary Miselis and Rafael E. Miranda, to me personally known, who, being each by me duly sworn, did say that they are respectively a Vice President and a Vice President of THE BANK OF NEW YORK MELLON, the corporation named in the foregoing instrument; that the seal affixed to the foregoing instrument is the corporate seal of said corporation; that said instrument was signed and sealed in behalf of said corporation by authority of its Board of Directors; and said Vice President and Vice President acknowledged said instrument to be the free act and deed of said corporation.</w:t>
      </w:r>
    </w:p>
    <w:p>
      <w:pPr>
        <w:spacing w:after="0" w:line="167"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Personally came before me on this 9 day of December, 2008, Rafael E. Miranda, to me known to be a Vice President, and Mary Miselis, known to me to be a Vice President, of the above named THE BANK OF NEW YORK MELLON,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a Vice President and an Officer of said corporation; that the seal affixed to said instrument is the corporate seal of said corporation; and that they signed, sealed and delivered said instrument in the name and on behalf of said corporation by authority of its Board of Directors, and said Rafael E. Miranda and Mary Miselis then and there acknowledged said instrument to be the free act and deed of said corporation and that such corporation executed the same.</w:t>
      </w:r>
    </w:p>
    <w:p>
      <w:pPr>
        <w:spacing w:after="0" w:line="170"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On the 9 day of December, 2008, before me personally came Rafael E. Miranda and Mary Miselis, to me known, who, being by me duly sworn, did depose and say that they each reside at 101 Barclay Street, 8W, New York, New York 10286; that they are respectively a Vice President and an Officer of THE BANK OF NEW YORK MELLON,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notarial seal this 9 day of December, 2008.</w:t>
      </w:r>
    </w:p>
    <w:p>
      <w:pPr>
        <w:spacing w:after="0" w:line="199" w:lineRule="exact"/>
        <w:rPr>
          <w:sz w:val="20"/>
          <w:szCs w:val="20"/>
          <w:color w:val="auto"/>
        </w:rPr>
      </w:pPr>
    </w:p>
    <w:p>
      <w:pPr>
        <w:ind w:left="7860"/>
        <w:spacing w:after="0"/>
        <w:rPr>
          <w:sz w:val="20"/>
          <w:szCs w:val="20"/>
          <w:color w:val="auto"/>
        </w:rPr>
      </w:pPr>
      <w:r>
        <w:rPr>
          <w:rFonts w:ascii="Arial" w:cs="Arial" w:eastAsia="Arial" w:hAnsi="Arial"/>
          <w:sz w:val="17"/>
          <w:szCs w:val="17"/>
          <w:u w:val="single" w:color="auto"/>
          <w:color w:val="auto"/>
        </w:rPr>
        <w:t>/s/ Carlos R. Luciano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578485</wp:posOffset>
            </wp:positionV>
            <wp:extent cx="728027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95" w:name="page96"/>
    <w:bookmarkEnd w:id="95"/>
    <w:p>
      <w:pPr>
        <w:spacing w:after="0"/>
        <w:tabs>
          <w:tab w:leader="none" w:pos="2780" w:val="left"/>
        </w:tabs>
        <w:rPr>
          <w:sz w:val="20"/>
          <w:szCs w:val="20"/>
          <w:color w:val="auto"/>
        </w:rPr>
      </w:pPr>
      <w:r>
        <w:rPr>
          <w:rFonts w:ascii="Arial" w:cs="Arial" w:eastAsia="Arial" w:hAnsi="Arial"/>
          <w:sz w:val="14"/>
          <w:szCs w:val="14"/>
          <w:color w:val="auto"/>
        </w:rPr>
        <w:t>STATE OF NEW YORK</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left="2720" w:hanging="127"/>
        <w:spacing w:after="0"/>
        <w:tabs>
          <w:tab w:leader="none" w:pos="2720" w:val="left"/>
        </w:tabs>
        <w:numPr>
          <w:ilvl w:val="0"/>
          <w:numId w:val="43"/>
        </w:numPr>
        <w:rPr>
          <w:rFonts w:ascii="Arial" w:cs="Arial" w:eastAsia="Arial" w:hAnsi="Arial"/>
          <w:sz w:val="14"/>
          <w:szCs w:val="14"/>
          <w:color w:val="auto"/>
        </w:rPr>
      </w:pPr>
      <w:r>
        <w:rPr>
          <w:rFonts w:ascii="Arial" w:cs="Arial" w:eastAsia="Arial" w:hAnsi="Arial"/>
          <w:sz w:val="10"/>
          <w:szCs w:val="10"/>
          <w:color w:val="auto"/>
        </w:rPr>
        <w:t>SS</w:t>
      </w:r>
      <w:r>
        <w:rPr>
          <w:rFonts w:ascii="Arial" w:cs="Arial" w:eastAsia="Arial" w:hAnsi="Arial"/>
          <w:sz w:val="14"/>
          <w:szCs w:val="14"/>
          <w:color w:val="auto"/>
        </w:rPr>
        <w:t>:</w:t>
      </w:r>
    </w:p>
    <w:p>
      <w:pPr>
        <w:spacing w:after="0" w:line="11"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COUNTY OF NEW YORK</w:t>
      </w:r>
      <w:r>
        <w:rPr>
          <w:sz w:val="20"/>
          <w:szCs w:val="20"/>
          <w:color w:val="auto"/>
        </w:rPr>
        <w:tab/>
      </w:r>
      <w:r>
        <w:rPr>
          <w:rFonts w:ascii="Arial" w:cs="Arial" w:eastAsia="Arial" w:hAnsi="Arial"/>
          <w:sz w:val="12"/>
          <w:szCs w:val="12"/>
          <w:color w:val="auto"/>
        </w:rPr>
        <w:t>)</w:t>
      </w:r>
    </w:p>
    <w:p>
      <w:pPr>
        <w:spacing w:after="0" w:line="196"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On this 9 day of December, 2008, before me personally appeared DOUGLAS J. MACINNES, to me known to be the person described in and who executed the foregoing instrument, and acknowledged that he executed the same as his free act and deed.</w:t>
      </w:r>
    </w:p>
    <w:p>
      <w:pPr>
        <w:spacing w:after="0" w:line="152"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Personally came before me this 9 day of December, 2008, the above named DOUGLAS J. MACINNES, to me known to be the person who executed the foregoing instrument, and acknowledged the same.</w:t>
      </w:r>
    </w:p>
    <w:p>
      <w:pPr>
        <w:spacing w:after="0" w:line="152"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On the 9 day of December, 2008, before me personally came DOUGLAS J. MACINNES, to me known to be the person described in and who executed the foregoing instrument, and acknowledged that he executed the same.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notarial seal this 9 day of December, 2008.</w:t>
      </w:r>
    </w:p>
    <w:p>
      <w:pPr>
        <w:spacing w:after="0" w:line="199" w:lineRule="exact"/>
        <w:rPr>
          <w:sz w:val="20"/>
          <w:szCs w:val="20"/>
          <w:color w:val="auto"/>
        </w:rPr>
      </w:pPr>
    </w:p>
    <w:p>
      <w:pPr>
        <w:ind w:left="7460"/>
        <w:spacing w:after="0"/>
        <w:rPr>
          <w:sz w:val="20"/>
          <w:szCs w:val="20"/>
          <w:color w:val="auto"/>
        </w:rPr>
      </w:pPr>
      <w:r>
        <w:rPr>
          <w:rFonts w:ascii="Arial" w:cs="Arial" w:eastAsia="Arial" w:hAnsi="Arial"/>
          <w:sz w:val="17"/>
          <w:szCs w:val="17"/>
          <w:u w:val="single" w:color="auto"/>
          <w:color w:val="auto"/>
        </w:rPr>
        <w:t>/s/ Carlos R. Luciano</w:t>
      </w:r>
    </w:p>
    <w:p>
      <w:pPr>
        <w:spacing w:after="0" w:line="17"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332105</wp:posOffset>
            </wp:positionV>
            <wp:extent cx="728027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4(a)4</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ALLETE, Inc.</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(formerly Minnesota Power &amp; Light Company</w:t>
      </w:r>
    </w:p>
    <w:p>
      <w:pPr>
        <w:jc w:val="center"/>
        <w:ind w:right="1220"/>
        <w:spacing w:after="0" w:line="238" w:lineRule="auto"/>
        <w:rPr>
          <w:sz w:val="20"/>
          <w:szCs w:val="20"/>
          <w:color w:val="auto"/>
        </w:rPr>
      </w:pPr>
      <w:r>
        <w:rPr>
          <w:rFonts w:ascii="Arial" w:cs="Arial" w:eastAsia="Arial" w:hAnsi="Arial"/>
          <w:sz w:val="17"/>
          <w:szCs w:val="17"/>
          <w:b w:val="1"/>
          <w:bCs w:val="1"/>
          <w:color w:val="auto"/>
        </w:rPr>
        <w:t>and formerly Minnesota Power, Inc.)</w:t>
      </w:r>
    </w:p>
    <w:p>
      <w:pPr>
        <w:jc w:val="center"/>
        <w:ind w:right="1220"/>
        <w:spacing w:after="0" w:line="236" w:lineRule="auto"/>
        <w:rPr>
          <w:sz w:val="20"/>
          <w:szCs w:val="20"/>
          <w:color w:val="auto"/>
        </w:rPr>
      </w:pPr>
      <w:r>
        <w:rPr>
          <w:rFonts w:ascii="Arial" w:cs="Arial" w:eastAsia="Arial" w:hAnsi="Arial"/>
          <w:sz w:val="17"/>
          <w:szCs w:val="17"/>
          <w:b w:val="1"/>
          <w:bCs w:val="1"/>
          <w:color w:val="auto"/>
        </w:rPr>
        <w:t>TO</w:t>
      </w:r>
    </w:p>
    <w:p>
      <w:pPr>
        <w:jc w:val="center"/>
        <w:ind w:right="1220"/>
        <w:spacing w:after="0" w:line="235" w:lineRule="auto"/>
        <w:rPr>
          <w:sz w:val="20"/>
          <w:szCs w:val="20"/>
          <w:color w:val="auto"/>
        </w:rPr>
      </w:pPr>
      <w:r>
        <w:rPr>
          <w:rFonts w:ascii="Arial" w:cs="Arial" w:eastAsia="Arial" w:hAnsi="Arial"/>
          <w:sz w:val="26"/>
          <w:szCs w:val="26"/>
          <w:b w:val="1"/>
          <w:bCs w:val="1"/>
          <w:color w:val="auto"/>
        </w:rPr>
        <w:t>THE BANK OF NEW YORK MELLON</w:t>
      </w:r>
    </w:p>
    <w:p>
      <w:pPr>
        <w:ind w:left="3260"/>
        <w:spacing w:after="0" w:line="238" w:lineRule="auto"/>
        <w:rPr>
          <w:sz w:val="20"/>
          <w:szCs w:val="20"/>
          <w:color w:val="auto"/>
        </w:rPr>
      </w:pPr>
      <w:r>
        <w:rPr>
          <w:rFonts w:ascii="Arial" w:cs="Arial" w:eastAsia="Arial" w:hAnsi="Arial"/>
          <w:sz w:val="17"/>
          <w:szCs w:val="17"/>
          <w:b w:val="1"/>
          <w:bCs w:val="1"/>
          <w:color w:val="auto"/>
        </w:rPr>
        <w:t>(formerly The Bank of New York)</w:t>
      </w:r>
    </w:p>
    <w:p>
      <w:pPr>
        <w:ind w:left="3280"/>
        <w:spacing w:after="0" w:line="236" w:lineRule="auto"/>
        <w:rPr>
          <w:sz w:val="20"/>
          <w:szCs w:val="20"/>
          <w:color w:val="auto"/>
        </w:rPr>
      </w:pPr>
      <w:r>
        <w:rPr>
          <w:rFonts w:ascii="Arial" w:cs="Arial" w:eastAsia="Arial" w:hAnsi="Arial"/>
          <w:sz w:val="17"/>
          <w:szCs w:val="17"/>
          <w:b w:val="1"/>
          <w:bCs w:val="1"/>
          <w:color w:val="auto"/>
        </w:rPr>
        <w:t>(formerly Irving Trust Company)</w:t>
      </w:r>
    </w:p>
    <w:p>
      <w:pPr>
        <w:jc w:val="center"/>
        <w:ind w:right="1220"/>
        <w:spacing w:after="0" w:line="234" w:lineRule="auto"/>
        <w:rPr>
          <w:sz w:val="20"/>
          <w:szCs w:val="20"/>
          <w:color w:val="auto"/>
        </w:rPr>
      </w:pPr>
      <w:r>
        <w:rPr>
          <w:rFonts w:ascii="Arial" w:cs="Arial" w:eastAsia="Arial" w:hAnsi="Arial"/>
          <w:sz w:val="26"/>
          <w:szCs w:val="26"/>
          <w:b w:val="1"/>
          <w:bCs w:val="1"/>
          <w:color w:val="auto"/>
        </w:rPr>
        <w:t>AND</w:t>
      </w:r>
    </w:p>
    <w:p>
      <w:pPr>
        <w:jc w:val="center"/>
        <w:ind w:right="1220"/>
        <w:spacing w:after="0" w:line="234" w:lineRule="auto"/>
        <w:rPr>
          <w:sz w:val="20"/>
          <w:szCs w:val="20"/>
          <w:color w:val="auto"/>
        </w:rPr>
      </w:pPr>
      <w:r>
        <w:rPr>
          <w:rFonts w:ascii="Arial" w:cs="Arial" w:eastAsia="Arial" w:hAnsi="Arial"/>
          <w:sz w:val="26"/>
          <w:szCs w:val="26"/>
          <w:b w:val="1"/>
          <w:bCs w:val="1"/>
          <w:color w:val="auto"/>
        </w:rPr>
        <w:t>DOUGLAS J. MacINNES</w:t>
      </w:r>
    </w:p>
    <w:p>
      <w:pPr>
        <w:jc w:val="center"/>
        <w:ind w:right="1220"/>
        <w:spacing w:after="0"/>
        <w:rPr>
          <w:sz w:val="20"/>
          <w:szCs w:val="20"/>
          <w:color w:val="auto"/>
        </w:rPr>
      </w:pPr>
      <w:r>
        <w:rPr>
          <w:rFonts w:ascii="Arial" w:cs="Arial" w:eastAsia="Arial" w:hAnsi="Arial"/>
          <w:sz w:val="17"/>
          <w:szCs w:val="17"/>
          <w:b w:val="1"/>
          <w:bCs w:val="1"/>
          <w:color w:val="auto"/>
        </w:rPr>
        <w:t>(successor to Richard H. West, J. A. Austin,</w:t>
      </w:r>
    </w:p>
    <w:p>
      <w:pPr>
        <w:jc w:val="center"/>
        <w:ind w:right="1220"/>
        <w:spacing w:after="0"/>
        <w:rPr>
          <w:sz w:val="20"/>
          <w:szCs w:val="20"/>
          <w:color w:val="auto"/>
        </w:rPr>
      </w:pPr>
      <w:r>
        <w:rPr>
          <w:rFonts w:ascii="Arial" w:cs="Arial" w:eastAsia="Arial" w:hAnsi="Arial"/>
          <w:sz w:val="17"/>
          <w:szCs w:val="17"/>
          <w:b w:val="1"/>
          <w:bCs w:val="1"/>
          <w:color w:val="auto"/>
        </w:rPr>
        <w:t>E. J. McCabe, D. W. May, J. A. Vaughan and W. T. Cunningham</w:t>
      </w:r>
      <w:r>
        <w:rPr>
          <w:rFonts w:ascii="Arial" w:cs="Arial" w:eastAsia="Arial" w:hAnsi="Arial"/>
          <w:sz w:val="14"/>
          <w:szCs w:val="14"/>
          <w:b w:val="1"/>
          <w:bCs w:val="1"/>
          <w:color w:val="auto"/>
        </w:rPr>
        <w:t>)</w:t>
      </w:r>
    </w:p>
    <w:p>
      <w:pPr>
        <w:spacing w:after="0" w:line="172"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As Trustees under ALLETE, Inc.’s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Thirtieth Supplemental Indenture</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Providing, among other things, for</w:t>
      </w:r>
    </w:p>
    <w:p>
      <w:pPr>
        <w:jc w:val="center"/>
        <w:ind w:right="1220"/>
        <w:spacing w:after="0" w:line="238" w:lineRule="auto"/>
        <w:rPr>
          <w:sz w:val="20"/>
          <w:szCs w:val="20"/>
          <w:color w:val="auto"/>
        </w:rPr>
      </w:pPr>
      <w:r>
        <w:rPr>
          <w:rFonts w:ascii="Arial" w:cs="Arial" w:eastAsia="Arial" w:hAnsi="Arial"/>
          <w:sz w:val="17"/>
          <w:szCs w:val="17"/>
          <w:b w:val="1"/>
          <w:bCs w:val="1"/>
          <w:color w:val="auto"/>
        </w:rPr>
        <w:t>First Mortgage Bonds, 8.17% Series due January 15, 2019</w:t>
      </w:r>
    </w:p>
    <w:p>
      <w:pPr>
        <w:jc w:val="center"/>
        <w:ind w:right="1220"/>
        <w:spacing w:after="0"/>
        <w:rPr>
          <w:sz w:val="20"/>
          <w:szCs w:val="20"/>
          <w:color w:val="auto"/>
        </w:rPr>
      </w:pPr>
      <w:r>
        <w:rPr>
          <w:rFonts w:ascii="Arial" w:cs="Arial" w:eastAsia="Arial" w:hAnsi="Arial"/>
          <w:sz w:val="17"/>
          <w:szCs w:val="17"/>
          <w:b w:val="1"/>
          <w:bCs w:val="1"/>
          <w:color w:val="auto"/>
        </w:rPr>
        <w:t>(Thirty-seventh Series)</w:t>
      </w: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7"/>
          <w:szCs w:val="17"/>
          <w:b w:val="1"/>
          <w:bCs w:val="1"/>
          <w:i w:val="1"/>
          <w:iCs w:val="1"/>
          <w:color w:val="auto"/>
        </w:rPr>
        <w:t>Dated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951230</wp:posOffset>
            </wp:positionV>
            <wp:extent cx="728027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98" w:name="page99"/>
    <w:bookmarkEnd w:id="98"/>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THIRTIETH SUPPLEMENTAL INDENTURE</w:t>
      </w:r>
    </w:p>
    <w:p>
      <w:pPr>
        <w:spacing w:after="0" w:line="201"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b w:val="1"/>
          <w:bCs w:val="1"/>
          <w:color w:val="auto"/>
        </w:rPr>
        <w:t xml:space="preserve">THIS INDENTURE, </w:t>
      </w:r>
      <w:r>
        <w:rPr>
          <w:rFonts w:ascii="Arial" w:cs="Arial" w:eastAsia="Arial" w:hAnsi="Arial"/>
          <w:sz w:val="13"/>
          <w:szCs w:val="13"/>
          <w:color w:val="auto"/>
        </w:rPr>
        <w:t>dated as of January 1, 2009, by and between ALLETE, Inc. (formerly Minnesota Power &amp; Light Company and formerly Minnesota Power, Inc.), a corporation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(Douglas J. MacInnes, successor Co-Trustee), as Trustees, securing bonds issued and to be issued as provided therein (hereinafter sometimes called the “Mortgage”), reference to which Mortgage is hereby made, this indenture (hereinafter sometimes called the “Thirtieth Supplemental Indenture”) being supplemental thereto:</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Mortgage was filed and recorded in various official records in the State of Minnesota; and</w:t>
      </w:r>
    </w:p>
    <w:p>
      <w:pPr>
        <w:spacing w:after="0" w:line="205"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under the Sixth Supplemental Indenture, dated as of August 1, 1975, to which reference is hereinafter made, D. W. May in turn succeeded E. J. McCabe as Co-Trustee under the Mortgage;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on May 8, 2001, the Company filed Amended and Restated Articles of Incorporation with the Secretary of State of the State of Minnesota changing its name from Minnesota Power, Inc. to ALLETE, Inc.; and</w:t>
      </w:r>
    </w:p>
    <w:p>
      <w:pPr>
        <w:spacing w:after="0" w:line="15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for said purposes, among others, the Company executed and delivered the following indentures supplemental to the Mortgage: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rPr>
              <w:t>Designation</w:t>
            </w:r>
          </w:p>
        </w:tc>
        <w:tc>
          <w:tcPr>
            <w:tcW w:w="39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b w:val="1"/>
                <w:bCs w:val="1"/>
                <w:color w:val="auto"/>
              </w:rPr>
              <w:t>Dated as of</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First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March 1, 1949</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Second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July 1, 1951</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Third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March 1, 1957</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Fourth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January 1, 1968</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Fifth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April 1, 1971</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Sixth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August 1, 1975</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Seventh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September 1, 1976</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Eighth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September 1, 1977</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Ninth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April 1, 1978</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Tenth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August 1, 1978</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Eleventh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December 1, 1982</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Twelfth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April 1, 1987</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Thirteenth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March 1, 1992</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Fourteenth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June 1, 1992</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Fifteenth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July 1, 1992</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Sixteenth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July 1, 1992</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Seventeenth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February 1, 1993</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Eighteenth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July 1, 1993</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Nineteenth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February 1, 1997</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Twentieth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November 1, 1997</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Twenty-first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October 1, 2000</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Twenty-second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July 1, 2003</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Twenty-third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August 1, 2004</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Twenty-fourth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March 1, 2005</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Twenty-fifth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December 1, 2005</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Twenty-sixth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October 1, 2006</w:t>
            </w: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Twenty-seventh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February 1, 2008</w:t>
            </w: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Twenty-eighth Supplemental Indenture</w:t>
            </w:r>
          </w:p>
        </w:tc>
        <w:tc>
          <w:tcPr>
            <w:tcW w:w="39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May 1, 2008</w:t>
            </w:r>
          </w:p>
        </w:tc>
      </w:tr>
      <w:tr>
        <w:trPr>
          <w:trHeight w:val="16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Twenty-ninth Supplemental Indenture</w:t>
            </w:r>
          </w:p>
        </w:tc>
        <w:tc>
          <w:tcPr>
            <w:tcW w:w="3980" w:type="dxa"/>
            <w:vAlign w:val="bottom"/>
          </w:tcPr>
          <w:p>
            <w:pPr>
              <w:ind w:left="1000"/>
              <w:spacing w:after="0"/>
              <w:rPr>
                <w:sz w:val="20"/>
                <w:szCs w:val="20"/>
                <w:color w:val="auto"/>
              </w:rPr>
            </w:pPr>
            <w:r>
              <w:rPr>
                <w:rFonts w:ascii="Arial" w:cs="Arial" w:eastAsia="Arial" w:hAnsi="Arial"/>
                <w:sz w:val="14"/>
                <w:szCs w:val="14"/>
                <w:color w:val="auto"/>
              </w:rPr>
              <w:t>November 1, 2008</w:t>
            </w:r>
          </w:p>
        </w:tc>
      </w:tr>
      <w:tr>
        <w:trPr>
          <w:trHeight w:val="182"/>
        </w:trPr>
        <w:tc>
          <w:tcPr>
            <w:tcW w:w="7480" w:type="dxa"/>
            <w:vAlign w:val="bottom"/>
            <w:gridSpan w:val="2"/>
          </w:tcPr>
          <w:p>
            <w:pPr>
              <w:spacing w:after="0"/>
              <w:rPr>
                <w:sz w:val="20"/>
                <w:szCs w:val="20"/>
                <w:color w:val="auto"/>
              </w:rPr>
            </w:pPr>
            <w:r>
              <w:rPr>
                <w:rFonts w:ascii="Arial" w:cs="Arial" w:eastAsia="Arial" w:hAnsi="Arial"/>
                <w:sz w:val="14"/>
                <w:szCs w:val="14"/>
                <w:color w:val="auto"/>
              </w:rPr>
              <w:t>which supplemental indentures were filed and recorded in various official records in the State of Minnesota; and</w:t>
            </w:r>
          </w:p>
        </w:tc>
        <w:tc>
          <w:tcPr>
            <w:tcW w:w="3980" w:type="dxa"/>
            <w:vAlign w:val="bottom"/>
          </w:tcPr>
          <w:p>
            <w:pPr>
              <w:spacing w:after="0"/>
              <w:rPr>
                <w:sz w:val="15"/>
                <w:szCs w:val="15"/>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Company has heretofore issued, in accordance with the provisions of the Mortgage, as heretofore supplemented, the following series of First Mortgage Bonds: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14"/>
                <w:szCs w:val="14"/>
                <w:color w:val="auto"/>
              </w:rPr>
            </w:pP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Principal</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Principal</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14"/>
                <w:szCs w:val="14"/>
                <w:color w:val="auto"/>
              </w:rPr>
            </w:pP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Amount</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Amount</w:t>
            </w:r>
          </w:p>
        </w:tc>
      </w:tr>
      <w:tr>
        <w:trPr>
          <w:trHeight w:val="189"/>
        </w:trPr>
        <w:tc>
          <w:tcPr>
            <w:tcW w:w="20" w:type="dxa"/>
            <w:vAlign w:val="bottom"/>
          </w:tcPr>
          <w:p>
            <w:pPr>
              <w:spacing w:after="0"/>
              <w:rPr>
                <w:sz w:val="16"/>
                <w:szCs w:val="16"/>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468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Issued</w:t>
            </w:r>
          </w:p>
        </w:tc>
        <w:tc>
          <w:tcPr>
            <w:tcW w:w="15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Outstanding</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3-1/8% Series due 1975</w:t>
            </w:r>
          </w:p>
        </w:tc>
        <w:tc>
          <w:tcPr>
            <w:tcW w:w="4680" w:type="dxa"/>
            <w:vAlign w:val="bottom"/>
          </w:tcPr>
          <w:p>
            <w:pPr>
              <w:jc w:val="right"/>
              <w:ind w:right="568"/>
              <w:spacing w:after="0"/>
              <w:rPr>
                <w:sz w:val="20"/>
                <w:szCs w:val="20"/>
                <w:color w:val="auto"/>
              </w:rPr>
            </w:pPr>
            <w:r>
              <w:rPr>
                <w:rFonts w:ascii="Arial" w:cs="Arial" w:eastAsia="Arial" w:hAnsi="Arial"/>
                <w:sz w:val="14"/>
                <w:szCs w:val="14"/>
                <w:color w:val="auto"/>
              </w:rPr>
              <w:t>$26,000,000</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3-1/8% Series due 1979</w:t>
            </w: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4,000,000</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3-5/8% Series due 1981</w:t>
            </w:r>
          </w:p>
        </w:tc>
        <w:tc>
          <w:tcPr>
            <w:tcW w:w="4680" w:type="dxa"/>
            <w:vAlign w:val="bottom"/>
          </w:tcPr>
          <w:p>
            <w:pPr>
              <w:jc w:val="right"/>
              <w:ind w:right="568"/>
              <w:spacing w:after="0"/>
              <w:rPr>
                <w:sz w:val="20"/>
                <w:szCs w:val="20"/>
                <w:color w:val="auto"/>
              </w:rPr>
            </w:pPr>
            <w:r>
              <w:rPr>
                <w:rFonts w:ascii="Arial" w:cs="Arial" w:eastAsia="Arial" w:hAnsi="Arial"/>
                <w:sz w:val="14"/>
                <w:szCs w:val="14"/>
                <w:color w:val="auto"/>
              </w:rPr>
              <w:t>10,000,000</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4-3/4% Series due 1987</w:t>
            </w: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12,000,000</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6-1/2% Series due 1998</w:t>
            </w:r>
          </w:p>
        </w:tc>
        <w:tc>
          <w:tcPr>
            <w:tcW w:w="4680" w:type="dxa"/>
            <w:vAlign w:val="bottom"/>
          </w:tcPr>
          <w:p>
            <w:pPr>
              <w:jc w:val="right"/>
              <w:ind w:right="568"/>
              <w:spacing w:after="0"/>
              <w:rPr>
                <w:sz w:val="20"/>
                <w:szCs w:val="20"/>
                <w:color w:val="auto"/>
              </w:rPr>
            </w:pPr>
            <w:r>
              <w:rPr>
                <w:rFonts w:ascii="Arial" w:cs="Arial" w:eastAsia="Arial" w:hAnsi="Arial"/>
                <w:sz w:val="14"/>
                <w:szCs w:val="14"/>
                <w:color w:val="auto"/>
              </w:rPr>
              <w:t>18,000,000</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8-1/8% Series due 2001</w:t>
            </w: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23,000,000</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10-1/2% Series due 2005</w:t>
            </w:r>
          </w:p>
        </w:tc>
        <w:tc>
          <w:tcPr>
            <w:tcW w:w="4680" w:type="dxa"/>
            <w:vAlign w:val="bottom"/>
          </w:tcPr>
          <w:p>
            <w:pPr>
              <w:jc w:val="right"/>
              <w:ind w:right="568"/>
              <w:spacing w:after="0"/>
              <w:rPr>
                <w:sz w:val="20"/>
                <w:szCs w:val="20"/>
                <w:color w:val="auto"/>
              </w:rPr>
            </w:pPr>
            <w:r>
              <w:rPr>
                <w:rFonts w:ascii="Arial" w:cs="Arial" w:eastAsia="Arial" w:hAnsi="Arial"/>
                <w:sz w:val="14"/>
                <w:szCs w:val="14"/>
                <w:color w:val="auto"/>
              </w:rPr>
              <w:t>35,000,000</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8.70% Series due 2006</w:t>
            </w: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35,000,000</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8.35% Series due 2007</w:t>
            </w:r>
          </w:p>
        </w:tc>
        <w:tc>
          <w:tcPr>
            <w:tcW w:w="4680" w:type="dxa"/>
            <w:vAlign w:val="bottom"/>
          </w:tcPr>
          <w:p>
            <w:pPr>
              <w:jc w:val="right"/>
              <w:ind w:right="568"/>
              <w:spacing w:after="0"/>
              <w:rPr>
                <w:sz w:val="20"/>
                <w:szCs w:val="20"/>
                <w:color w:val="auto"/>
              </w:rPr>
            </w:pPr>
            <w:r>
              <w:rPr>
                <w:rFonts w:ascii="Arial" w:cs="Arial" w:eastAsia="Arial" w:hAnsi="Arial"/>
                <w:sz w:val="14"/>
                <w:szCs w:val="14"/>
                <w:color w:val="auto"/>
              </w:rPr>
              <w:t>50,000,000</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9-1/4% Series due 2008</w:t>
            </w: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50,000,000</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Pollution Control Series A</w:t>
            </w:r>
          </w:p>
        </w:tc>
        <w:tc>
          <w:tcPr>
            <w:tcW w:w="4680" w:type="dxa"/>
            <w:vAlign w:val="bottom"/>
          </w:tcPr>
          <w:p>
            <w:pPr>
              <w:jc w:val="right"/>
              <w:ind w:right="568"/>
              <w:spacing w:after="0"/>
              <w:rPr>
                <w:sz w:val="20"/>
                <w:szCs w:val="20"/>
                <w:color w:val="auto"/>
              </w:rPr>
            </w:pPr>
            <w:r>
              <w:rPr>
                <w:rFonts w:ascii="Arial" w:cs="Arial" w:eastAsia="Arial" w:hAnsi="Arial"/>
                <w:sz w:val="14"/>
                <w:szCs w:val="14"/>
                <w:color w:val="auto"/>
              </w:rPr>
              <w:t>111,000,000</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Industrial Development Series A</w:t>
            </w:r>
          </w:p>
        </w:tc>
        <w:tc>
          <w:tcPr>
            <w:tcW w:w="46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2,500,000</w:t>
            </w:r>
          </w:p>
        </w:tc>
        <w:tc>
          <w:tcPr>
            <w:tcW w:w="1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bl>
    <w:p>
      <w:pPr>
        <w:sectPr>
          <w:pgSz w:w="11900" w:h="16900" w:orient="portrait"/>
          <w:cols w:equalWidth="0" w:num="1">
            <w:col w:w="11460"/>
          </w:cols>
          <w:pgMar w:left="220" w:top="429" w:right="219"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gridSpan w:val="2"/>
          </w:tcPr>
          <w:p>
            <w:pPr>
              <w:spacing w:after="0"/>
              <w:rPr>
                <w:sz w:val="20"/>
                <w:szCs w:val="20"/>
                <w:color w:val="auto"/>
              </w:rPr>
            </w:pPr>
            <w:r>
              <w:rPr>
                <w:rFonts w:ascii="Arial" w:cs="Arial" w:eastAsia="Arial" w:hAnsi="Arial"/>
                <w:sz w:val="14"/>
                <w:szCs w:val="14"/>
                <w:color w:val="auto"/>
              </w:rPr>
              <w:t>Industrial Development Series B</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1,800,000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4"/>
        </w:trPr>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Development Series C</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1,150,000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Pollution Control Series B</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13,500,000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Pollution Control Series C</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2,000,000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Pollution Control Series D</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3,600,000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7-3/4% Series due 1994</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55,000,000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7-3/8% Series due March 1, 1997</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60,000,000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7-3/4% Series due June 1, 2007</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55,000,000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7-1/2% Series due August 1, 2007</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35,000,000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Pollution Control Series E</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111,000,000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7% Series due March 1, 2008</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50,000,000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6-1/4% Series due July 1, 2003</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25,000,000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7% Series due February 15, 2007</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60,000,000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6.68%</w:t>
            </w: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November 15, 2007</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20,000,000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Floating Rate Series due October 20, 2003</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250,000,000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Collateral Series A</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255,000,000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None</w:t>
            </w:r>
          </w:p>
        </w:tc>
      </w:tr>
      <w:tr>
        <w:trPr>
          <w:trHeight w:val="172"/>
        </w:trPr>
        <w:tc>
          <w:tcPr>
            <w:tcW w:w="5480" w:type="dxa"/>
            <w:vAlign w:val="bottom"/>
            <w:gridSpan w:val="2"/>
          </w:tcPr>
          <w:p>
            <w:pPr>
              <w:spacing w:after="0"/>
              <w:rPr>
                <w:sz w:val="20"/>
                <w:szCs w:val="20"/>
                <w:color w:val="auto"/>
              </w:rPr>
            </w:pPr>
            <w:r>
              <w:rPr>
                <w:rFonts w:ascii="Arial" w:cs="Arial" w:eastAsia="Arial" w:hAnsi="Arial"/>
                <w:sz w:val="14"/>
                <w:szCs w:val="14"/>
                <w:color w:val="auto"/>
              </w:rPr>
              <w:t>Pollution Control Series F</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111,000,000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111,000,000</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5.28%</w:t>
            </w: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August 1, 2020</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35,000,000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35,000,000</w:t>
            </w:r>
          </w:p>
        </w:tc>
      </w:tr>
      <w:tr>
        <w:trPr>
          <w:trHeight w:val="172"/>
        </w:trPr>
        <w:tc>
          <w:tcPr>
            <w:tcW w:w="400" w:type="dxa"/>
            <w:vAlign w:val="bottom"/>
          </w:tcPr>
          <w:p>
            <w:pPr>
              <w:spacing w:after="0"/>
              <w:rPr>
                <w:sz w:val="20"/>
                <w:szCs w:val="20"/>
                <w:color w:val="auto"/>
              </w:rPr>
            </w:pPr>
            <w:r>
              <w:rPr>
                <w:rFonts w:ascii="Arial" w:cs="Arial" w:eastAsia="Arial" w:hAnsi="Arial"/>
                <w:sz w:val="14"/>
                <w:szCs w:val="14"/>
                <w:color w:val="auto"/>
                <w:w w:val="95"/>
              </w:rPr>
              <w:t>5.69%</w:t>
            </w:r>
          </w:p>
        </w:tc>
        <w:tc>
          <w:tcPr>
            <w:tcW w:w="5080" w:type="dxa"/>
            <w:vAlign w:val="bottom"/>
          </w:tcPr>
          <w:p>
            <w:pPr>
              <w:ind w:left="20"/>
              <w:spacing w:after="0"/>
              <w:rPr>
                <w:sz w:val="20"/>
                <w:szCs w:val="20"/>
                <w:color w:val="auto"/>
              </w:rPr>
            </w:pPr>
            <w:r>
              <w:rPr>
                <w:rFonts w:ascii="Arial" w:cs="Arial" w:eastAsia="Arial" w:hAnsi="Arial"/>
                <w:sz w:val="14"/>
                <w:szCs w:val="14"/>
                <w:color w:val="auto"/>
              </w:rPr>
              <w:t>Series due March 1, 2036</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50,000,000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50,000,000</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5.99%</w:t>
            </w: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February 1, 2027</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60,000,000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60,000,000</w:t>
            </w:r>
          </w:p>
        </w:tc>
      </w:tr>
      <w:tr>
        <w:trPr>
          <w:trHeight w:val="172"/>
        </w:trPr>
        <w:tc>
          <w:tcPr>
            <w:tcW w:w="400" w:type="dxa"/>
            <w:vAlign w:val="bottom"/>
          </w:tcPr>
          <w:p>
            <w:pPr>
              <w:spacing w:after="0"/>
              <w:rPr>
                <w:sz w:val="20"/>
                <w:szCs w:val="20"/>
                <w:color w:val="auto"/>
              </w:rPr>
            </w:pPr>
            <w:r>
              <w:rPr>
                <w:rFonts w:ascii="Arial" w:cs="Arial" w:eastAsia="Arial" w:hAnsi="Arial"/>
                <w:sz w:val="14"/>
                <w:szCs w:val="14"/>
                <w:color w:val="auto"/>
                <w:w w:val="95"/>
              </w:rPr>
              <w:t>4.86%</w:t>
            </w:r>
          </w:p>
        </w:tc>
        <w:tc>
          <w:tcPr>
            <w:tcW w:w="5080" w:type="dxa"/>
            <w:vAlign w:val="bottom"/>
          </w:tcPr>
          <w:p>
            <w:pPr>
              <w:ind w:left="20"/>
              <w:spacing w:after="0"/>
              <w:rPr>
                <w:sz w:val="20"/>
                <w:szCs w:val="20"/>
                <w:color w:val="auto"/>
              </w:rPr>
            </w:pPr>
            <w:r>
              <w:rPr>
                <w:rFonts w:ascii="Arial" w:cs="Arial" w:eastAsia="Arial" w:hAnsi="Arial"/>
                <w:sz w:val="14"/>
                <w:szCs w:val="14"/>
                <w:color w:val="auto"/>
              </w:rPr>
              <w:t>Series due April 1, 2013</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60,000,000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60,000,000</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6.02%</w:t>
            </w: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May 1, 2023</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75,000,000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75,000,000</w:t>
            </w:r>
          </w:p>
        </w:tc>
      </w:tr>
      <w:tr>
        <w:trPr>
          <w:trHeight w:val="172"/>
        </w:trPr>
        <w:tc>
          <w:tcPr>
            <w:tcW w:w="400" w:type="dxa"/>
            <w:vAlign w:val="bottom"/>
          </w:tcPr>
          <w:p>
            <w:pPr>
              <w:spacing w:after="0"/>
              <w:rPr>
                <w:sz w:val="20"/>
                <w:szCs w:val="20"/>
                <w:color w:val="auto"/>
              </w:rPr>
            </w:pPr>
            <w:r>
              <w:rPr>
                <w:rFonts w:ascii="Arial" w:cs="Arial" w:eastAsia="Arial" w:hAnsi="Arial"/>
                <w:sz w:val="14"/>
                <w:szCs w:val="14"/>
                <w:color w:val="auto"/>
                <w:w w:val="95"/>
              </w:rPr>
              <w:t>6.94%</w:t>
            </w:r>
          </w:p>
        </w:tc>
        <w:tc>
          <w:tcPr>
            <w:tcW w:w="5080" w:type="dxa"/>
            <w:vAlign w:val="bottom"/>
          </w:tcPr>
          <w:p>
            <w:pPr>
              <w:ind w:left="20"/>
              <w:spacing w:after="0"/>
              <w:rPr>
                <w:sz w:val="20"/>
                <w:szCs w:val="20"/>
                <w:color w:val="auto"/>
              </w:rPr>
            </w:pPr>
            <w:r>
              <w:rPr>
                <w:rFonts w:ascii="Arial" w:cs="Arial" w:eastAsia="Arial" w:hAnsi="Arial"/>
                <w:sz w:val="14"/>
                <w:szCs w:val="14"/>
                <w:color w:val="auto"/>
              </w:rPr>
              <w:t>Series due January 15, 2014</w:t>
            </w:r>
          </w:p>
        </w:tc>
        <w:tc>
          <w:tcPr>
            <w:tcW w:w="4420" w:type="dxa"/>
            <w:vAlign w:val="bottom"/>
          </w:tcPr>
          <w:p>
            <w:pPr>
              <w:jc w:val="right"/>
              <w:ind w:right="588"/>
              <w:spacing w:after="0"/>
              <w:rPr>
                <w:sz w:val="20"/>
                <w:szCs w:val="20"/>
                <w:color w:val="auto"/>
              </w:rPr>
            </w:pPr>
            <w:r>
              <w:rPr>
                <w:rFonts w:ascii="Arial" w:cs="Arial" w:eastAsia="Arial" w:hAnsi="Arial"/>
                <w:sz w:val="14"/>
                <w:szCs w:val="14"/>
                <w:color w:val="auto"/>
              </w:rPr>
              <w:t>18,000,000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18,000,000</w:t>
            </w:r>
          </w:p>
        </w:tc>
      </w:tr>
      <w:tr>
        <w:trPr>
          <w:trHeight w:val="172"/>
        </w:trPr>
        <w:tc>
          <w:tcPr>
            <w:tcW w:w="400" w:type="dxa"/>
            <w:vAlign w:val="bottom"/>
            <w:shd w:val="clear" w:color="auto" w:fill="CCEEFF"/>
          </w:tcPr>
          <w:p>
            <w:pPr>
              <w:spacing w:after="0"/>
              <w:rPr>
                <w:sz w:val="20"/>
                <w:szCs w:val="20"/>
                <w:color w:val="auto"/>
              </w:rPr>
            </w:pPr>
            <w:r>
              <w:rPr>
                <w:rFonts w:ascii="Arial" w:cs="Arial" w:eastAsia="Arial" w:hAnsi="Arial"/>
                <w:sz w:val="14"/>
                <w:szCs w:val="14"/>
                <w:color w:val="auto"/>
                <w:w w:val="95"/>
              </w:rPr>
              <w:t>7.70%</w:t>
            </w: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due January 15, 2016</w:t>
            </w:r>
          </w:p>
        </w:tc>
        <w:tc>
          <w:tcPr>
            <w:tcW w:w="44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20,000,000</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20,000,000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which bonds are also hereinafter sometimes called bonds of the First through Thirty-sixth Series, respectively; and</w:t>
      </w:r>
    </w:p>
    <w:p>
      <w:pPr>
        <w:spacing w:after="0" w:line="205"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51"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56"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the Company now desires to create a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6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execution and delivery by the Company of this Thirtieth Supplemental Indenture, and the terms of the bonds of the Thirty-seventh Series, hereinafter referred to, have been duly authorized by the Board of Directors of the Company by appropriate resolutions of said Board of Directors;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THIS INDENTURE WITNESSETH:</w:t>
      </w:r>
    </w:p>
    <w:p>
      <w:pPr>
        <w:spacing w:after="0" w:line="205"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3"/>
          <w:szCs w:val="13"/>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DOUGLAS J. MACINNES,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Thirtieth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67"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67"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67"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3"/>
          <w:szCs w:val="13"/>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Thirtieth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Thirtieth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63"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ectPr>
          <w:pgSz w:w="11900" w:h="16838" w:orient="portrait"/>
          <w:cols w:equalWidth="0" w:num="1">
            <w:col w:w="11460"/>
          </w:cols>
          <w:pgMar w:left="220" w:top="129" w:right="219" w:bottom="0" w:gutter="0" w:footer="0" w:header="0"/>
        </w:sectPr>
      </w:pPr>
    </w:p>
    <w:bookmarkStart w:id="100" w:name="page101"/>
    <w:bookmarkEnd w:id="100"/>
    <w:p>
      <w:pPr>
        <w:jc w:val="both"/>
        <w:ind w:firstLine="517"/>
        <w:spacing w:after="0" w:line="288" w:lineRule="auto"/>
        <w:rPr>
          <w:sz w:val="20"/>
          <w:szCs w:val="20"/>
          <w:color w:val="auto"/>
        </w:rPr>
      </w:pPr>
      <w:r>
        <w:rPr>
          <w:rFonts w:ascii="Arial" w:cs="Arial" w:eastAsia="Arial" w:hAnsi="Arial"/>
          <w:sz w:val="14"/>
          <w:szCs w:val="14"/>
          <w:color w:val="auto"/>
        </w:rPr>
        <w:t>IN TRUST NEVERTHELESS, for the same purposes and upon the same terms, trusts and conditions and subject to and with the same provisos and covenants as are set forth in the Mortgage, as supplemented, this Thirtieth Supplemental Indenture being supplemental thereto.</w:t>
      </w:r>
    </w:p>
    <w:p>
      <w:pPr>
        <w:spacing w:after="0" w:line="152"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further covenants and agrees to and with the Trustees and their successors in said trust under the Mortgage as follows: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Thirty-seventh Series of Bonds</w:t>
      </w:r>
    </w:p>
    <w:p>
      <w:pPr>
        <w:spacing w:after="0" w:line="196"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color w:val="auto"/>
        </w:rPr>
        <w:t>SECTION 1. There shall be a series of bonds designated “8.17% Series due January 15, 2019” (herein sometimes referred to as the “Thirty-seventh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Thirty-seventh Series shall be dated as in Section 10 of the Mortgage provided, mature on January 15, 2019, be issued as fully registered bonds in denominations of One Thousand Dollars and, at the option of the Company, in any multiple or multiples of One Thousand Dollars (the exercise of such option to be evidenced by the execution and delivery thereof) and bear interest from January 15, 2009 (computed on the basis of a 360-day year of twelve thirty-day months) at the rate of 8.17% per annum, payable semi-annually on January 15 and July 15 of each year, commencing July 15, 2009,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54" w:lineRule="exact"/>
        <w:rPr>
          <w:sz w:val="20"/>
          <w:szCs w:val="20"/>
          <w:color w:val="auto"/>
        </w:rPr>
      </w:pPr>
    </w:p>
    <w:p>
      <w:pPr>
        <w:jc w:val="both"/>
        <w:ind w:firstLine="523"/>
        <w:spacing w:after="0" w:line="303" w:lineRule="auto"/>
        <w:tabs>
          <w:tab w:leader="none" w:pos="1135" w:val="left"/>
        </w:tabs>
        <w:numPr>
          <w:ilvl w:val="1"/>
          <w:numId w:val="44"/>
        </w:numPr>
        <w:rPr>
          <w:rFonts w:ascii="Arial" w:cs="Arial" w:eastAsia="Arial" w:hAnsi="Arial"/>
          <w:sz w:val="12"/>
          <w:szCs w:val="12"/>
          <w:color w:val="auto"/>
        </w:rPr>
      </w:pPr>
      <w:r>
        <w:rPr>
          <w:rFonts w:ascii="Arial" w:cs="Arial" w:eastAsia="Arial" w:hAnsi="Arial"/>
          <w:sz w:val="12"/>
          <w:szCs w:val="12"/>
          <w:b w:val="1"/>
          <w:bCs w:val="1"/>
          <w:color w:val="auto"/>
        </w:rPr>
        <w:t xml:space="preserve">Optional Prepayment. </w:t>
      </w:r>
      <w:r>
        <w:rPr>
          <w:rFonts w:ascii="Arial" w:cs="Arial" w:eastAsia="Arial" w:hAnsi="Arial"/>
          <w:sz w:val="12"/>
          <w:szCs w:val="12"/>
          <w:color w:val="auto"/>
        </w:rPr>
        <w:t>The Company may, at its option, upon notice as provided below, prepay at any time all, or from time to time any part of, the bonds of the Thirty-seventh</w:t>
      </w:r>
      <w:r>
        <w:rPr>
          <w:rFonts w:ascii="Arial" w:cs="Arial" w:eastAsia="Arial" w:hAnsi="Arial"/>
          <w:sz w:val="12"/>
          <w:szCs w:val="12"/>
          <w:b w:val="1"/>
          <w:bCs w:val="1"/>
          <w:color w:val="auto"/>
        </w:rPr>
        <w:t xml:space="preserve"> </w:t>
      </w:r>
      <w:r>
        <w:rPr>
          <w:rFonts w:ascii="Arial" w:cs="Arial" w:eastAsia="Arial" w:hAnsi="Arial"/>
          <w:sz w:val="12"/>
          <w:szCs w:val="12"/>
          <w:color w:val="auto"/>
        </w:rPr>
        <w:t>Series at 100% of the principal amount so prepaid, and the Make-Whole Amount determined for the Settlement Date specified by the Company in such notice with respect to such principal amount. The Company will give each registered owner of Bonds of the Thirty-seventh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Thirty-seventh Series to be prepaid on such date, the principal amount of each bond held by such registered owner to be prepaid (determined in accordance with subsection</w:t>
      </w:r>
    </w:p>
    <w:p>
      <w:pPr>
        <w:spacing w:after="0" w:line="2" w:lineRule="exact"/>
        <w:rPr>
          <w:rFonts w:ascii="Arial" w:cs="Arial" w:eastAsia="Arial" w:hAnsi="Arial"/>
          <w:sz w:val="12"/>
          <w:szCs w:val="12"/>
          <w:color w:val="auto"/>
        </w:rPr>
      </w:pPr>
    </w:p>
    <w:p>
      <w:pPr>
        <w:jc w:val="both"/>
        <w:ind w:firstLine="6"/>
        <w:spacing w:after="0" w:line="259" w:lineRule="auto"/>
        <w:tabs>
          <w:tab w:leader="none" w:pos="238" w:val="left"/>
        </w:tabs>
        <w:numPr>
          <w:ilvl w:val="0"/>
          <w:numId w:val="45"/>
        </w:numPr>
        <w:rPr>
          <w:rFonts w:ascii="Arial" w:cs="Arial" w:eastAsia="Arial" w:hAnsi="Arial"/>
          <w:sz w:val="14"/>
          <w:szCs w:val="14"/>
          <w:color w:val="auto"/>
        </w:rPr>
      </w:pPr>
      <w:r>
        <w:rPr>
          <w:rFonts w:ascii="Arial" w:cs="Arial" w:eastAsia="Arial" w:hAnsi="Arial"/>
          <w:sz w:val="14"/>
          <w:szCs w:val="14"/>
          <w:color w:val="auto"/>
        </w:rPr>
        <w:t>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Thirty-seventh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Thirty-seventh Series are not otherwise subject to voluntary or optional prepayment.</w:t>
      </w:r>
    </w:p>
    <w:p>
      <w:pPr>
        <w:spacing w:after="0" w:line="171" w:lineRule="exact"/>
        <w:rPr>
          <w:rFonts w:ascii="Arial" w:cs="Arial" w:eastAsia="Arial" w:hAnsi="Arial"/>
          <w:sz w:val="14"/>
          <w:szCs w:val="14"/>
          <w:color w:val="auto"/>
        </w:rPr>
      </w:pPr>
    </w:p>
    <w:p>
      <w:pPr>
        <w:jc w:val="both"/>
        <w:ind w:firstLine="566"/>
        <w:spacing w:after="0" w:line="275" w:lineRule="auto"/>
        <w:tabs>
          <w:tab w:leader="none" w:pos="1215" w:val="left"/>
        </w:tabs>
        <w:numPr>
          <w:ilvl w:val="2"/>
          <w:numId w:val="45"/>
        </w:numPr>
        <w:rPr>
          <w:rFonts w:ascii="Arial" w:cs="Arial" w:eastAsia="Arial" w:hAnsi="Arial"/>
          <w:sz w:val="14"/>
          <w:szCs w:val="14"/>
          <w:color w:val="auto"/>
        </w:rPr>
      </w:pPr>
      <w:r>
        <w:rPr>
          <w:rFonts w:ascii="Arial" w:cs="Arial" w:eastAsia="Arial" w:hAnsi="Arial"/>
          <w:sz w:val="14"/>
          <w:szCs w:val="14"/>
          <w:b w:val="1"/>
          <w:bCs w:val="1"/>
          <w:color w:val="auto"/>
        </w:rPr>
        <w:t xml:space="preserve">Allocation of Partial Prepayments. </w:t>
      </w:r>
      <w:r>
        <w:rPr>
          <w:rFonts w:ascii="Arial" w:cs="Arial" w:eastAsia="Arial" w:hAnsi="Arial"/>
          <w:sz w:val="14"/>
          <w:szCs w:val="14"/>
          <w:color w:val="auto"/>
        </w:rPr>
        <w:t>In the case of each partial prepayment of the bonds of the Thirty-seventh Series, the principal amount of the Bonds of the Thirty-seventh</w:t>
      </w:r>
      <w:r>
        <w:rPr>
          <w:rFonts w:ascii="Arial" w:cs="Arial" w:eastAsia="Arial" w:hAnsi="Arial"/>
          <w:sz w:val="14"/>
          <w:szCs w:val="14"/>
          <w:b w:val="1"/>
          <w:bCs w:val="1"/>
          <w:color w:val="auto"/>
        </w:rPr>
        <w:t xml:space="preserve"> </w:t>
      </w:r>
      <w:r>
        <w:rPr>
          <w:rFonts w:ascii="Arial" w:cs="Arial" w:eastAsia="Arial" w:hAnsi="Arial"/>
          <w:sz w:val="14"/>
          <w:szCs w:val="14"/>
          <w:color w:val="auto"/>
        </w:rPr>
        <w:t>Series to be prepaid shall be allocated by the Company among all of the Bonds of the Thirty-seventh Series at the time outstanding in proportion, as nearly as practicable, to the respective unpaid principal amounts thereof not theretofore called for prepayment.</w:t>
      </w:r>
    </w:p>
    <w:p>
      <w:pPr>
        <w:spacing w:after="0" w:line="158" w:lineRule="exact"/>
        <w:rPr>
          <w:sz w:val="20"/>
          <w:szCs w:val="20"/>
          <w:color w:val="auto"/>
        </w:rPr>
      </w:pPr>
    </w:p>
    <w:p>
      <w:pPr>
        <w:jc w:val="both"/>
        <w:ind w:firstLine="562"/>
        <w:spacing w:after="0" w:line="282" w:lineRule="auto"/>
        <w:tabs>
          <w:tab w:leader="none" w:pos="1220"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Maturity; Surrender, Etc. </w:t>
      </w:r>
      <w:r>
        <w:rPr>
          <w:rFonts w:ascii="Arial" w:cs="Arial" w:eastAsia="Arial" w:hAnsi="Arial"/>
          <w:sz w:val="13"/>
          <w:szCs w:val="13"/>
          <w:color w:val="auto"/>
        </w:rPr>
        <w:t>In the case of each notice of prepayment of bonds of the Thirty-seventh Series pursuant to this section, if cash sufficient to pay the principal amount</w:t>
      </w:r>
      <w:r>
        <w:rPr>
          <w:rFonts w:ascii="Arial" w:cs="Arial" w:eastAsia="Arial" w:hAnsi="Arial"/>
          <w:sz w:val="13"/>
          <w:szCs w:val="13"/>
          <w:b w:val="1"/>
          <w:bCs w:val="1"/>
          <w:color w:val="auto"/>
        </w:rPr>
        <w:t xml:space="preserve"> </w:t>
      </w:r>
      <w:r>
        <w:rPr>
          <w:rFonts w:ascii="Arial" w:cs="Arial" w:eastAsia="Arial" w:hAnsi="Arial"/>
          <w:sz w:val="13"/>
          <w:szCs w:val="13"/>
          <w:color w:val="auto"/>
        </w:rPr>
        <w:t>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Thirty-seventh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55"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4"/>
          <w:szCs w:val="14"/>
          <w:color w:val="auto"/>
        </w:rPr>
        <w:t>(IV)</w:t>
      </w:r>
      <w:r>
        <w:rPr>
          <w:sz w:val="20"/>
          <w:szCs w:val="20"/>
          <w:color w:val="auto"/>
        </w:rPr>
        <w:tab/>
      </w:r>
      <w:r>
        <w:rPr>
          <w:rFonts w:ascii="Arial" w:cs="Arial" w:eastAsia="Arial" w:hAnsi="Arial"/>
          <w:sz w:val="14"/>
          <w:szCs w:val="14"/>
          <w:b w:val="1"/>
          <w:bCs w:val="1"/>
          <w:color w:val="auto"/>
        </w:rPr>
        <w:t>Make-Whole Amount.</w:t>
      </w:r>
    </w:p>
    <w:p>
      <w:pPr>
        <w:spacing w:after="0" w:line="209"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“Make-Whole Amount” means, with respect to any bond of the Thirty-seventh Series, an amount equal to the excess, if any, of the Discounted Value of the Remaining Scheduled Payments with respect to the Called Principal of such bond of the Thirty-seventh Series over the amount of such Called Principal, provided that the Make-Whole Amount may in no event be less than zero. For the purposes of determining the Make-Whole Amount, the following terms have the following meanings: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“Business Day” means any day other than a Saturday, a Sunday or a day on which commercial banks in New York City are required or authorized to be closed.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“Called Principal” means, with respect to any bond of the Thirty-seventh Series, the principal of such bond that is to be prepaid pursuant to subsection (I) of this section.</w:t>
      </w:r>
    </w:p>
    <w:p>
      <w:pPr>
        <w:spacing w:after="0" w:line="205"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“Discounted Value” means, with respect to the Called Principal of any bond of the Thirty-seventh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Thirty-seventh Series is payable) equal to the Reinvestment Yield with respect to such Called Principal.</w:t>
      </w:r>
    </w:p>
    <w:p>
      <w:pPr>
        <w:spacing w:after="0" w:line="147"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3"/>
          <w:szCs w:val="13"/>
          <w:color w:val="auto"/>
        </w:rPr>
        <w:t>“Reinvestment Yield” means, with respect to the Called Principal of any bond of the Thirty-seventh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w:t>
      </w:r>
    </w:p>
    <w:p>
      <w:pPr>
        <w:spacing w:after="0" w:line="4" w:lineRule="exact"/>
        <w:rPr>
          <w:sz w:val="20"/>
          <w:szCs w:val="20"/>
          <w:color w:val="auto"/>
        </w:rPr>
      </w:pPr>
    </w:p>
    <w:p>
      <w:pPr>
        <w:jc w:val="both"/>
        <w:ind w:firstLine="6"/>
        <w:spacing w:after="0" w:line="265" w:lineRule="auto"/>
        <w:tabs>
          <w:tab w:leader="none" w:pos="205"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Thirty-seventh Series.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“Remaining Average Life” means, with respect to any Called Principal, the number of years (calculated to the nearest one-twelfth year) obtained by dividing (i) such Called Principal into</w:t>
      </w:r>
    </w:p>
    <w:p>
      <w:pPr>
        <w:spacing w:after="0" w:line="33" w:lineRule="exact"/>
        <w:rPr>
          <w:sz w:val="20"/>
          <w:szCs w:val="20"/>
          <w:color w:val="auto"/>
        </w:rPr>
      </w:pPr>
    </w:p>
    <w:p>
      <w:pPr>
        <w:ind w:firstLine="6"/>
        <w:spacing w:after="0" w:line="313" w:lineRule="auto"/>
        <w:tabs>
          <w:tab w:leader="none" w:pos="21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3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“Remaining Scheduled Payments” means, with respect to the Called Principal of any Bond of the Thirty-seventh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Thirty-seventh Series, then the amount of the next succeeding scheduled interest payment will be reduced by the amount of interest accrued to such Settlement Date and required to be paid on such Settlement Date pursuant to subsection (I) of this section.</w:t>
      </w:r>
    </w:p>
    <w:p>
      <w:pPr>
        <w:spacing w:after="0" w:line="151"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“Settlement Date” means, with respect to the Called Principal of any Bond of the Thirty-seventh Series, the date on which such Called Principal is to be prepaid pursuant to subsection (I) of this section.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“Senior Financial Officer” means the chief financial officer, principal accounting officer, treasurer or comptroller of the Company.</w:t>
      </w:r>
    </w:p>
    <w:p>
      <w:pPr>
        <w:sectPr>
          <w:pgSz w:w="11900" w:h="16838" w:orient="portrait"/>
          <w:cols w:equalWidth="0" w:num="1">
            <w:col w:w="11460"/>
          </w:cols>
          <w:pgMar w:left="220" w:top="323" w:right="219" w:bottom="0" w:gutter="0" w:footer="0" w:header="0"/>
        </w:sectPr>
      </w:pPr>
    </w:p>
    <w:bookmarkStart w:id="101" w:name="page102"/>
    <w:bookmarkEnd w:id="101"/>
    <w:p>
      <w:pPr>
        <w:jc w:val="both"/>
        <w:ind w:firstLine="565"/>
        <w:spacing w:after="0" w:line="302" w:lineRule="auto"/>
        <w:tabs>
          <w:tab w:leader="none" w:pos="1242" w:val="left"/>
        </w:tabs>
        <w:numPr>
          <w:ilvl w:val="0"/>
          <w:numId w:val="49"/>
        </w:numPr>
        <w:rPr>
          <w:rFonts w:ascii="Arial" w:cs="Arial" w:eastAsia="Arial" w:hAnsi="Arial"/>
          <w:sz w:val="13"/>
          <w:szCs w:val="13"/>
          <w:color w:val="auto"/>
        </w:rPr>
      </w:pPr>
      <w:r>
        <w:rPr>
          <w:rFonts w:ascii="Arial" w:cs="Arial" w:eastAsia="Arial" w:hAnsi="Arial"/>
          <w:sz w:val="13"/>
          <w:szCs w:val="13"/>
          <w:color w:val="auto"/>
        </w:rPr>
        <w:t>At the option of the registered owner, any bonds of the Thirty-seventh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47"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Bonds of the Thirty-seventh Series shall be transferable (subject to the provisions of Section 12 of the Mortgage) at the office or agency of the Company in the Borough of Manhattan, The City of New York. The Company shall not be required to make transfers or exchanges of bonds of the Thirty-seventh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47"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Upon any exchange or transfer of bonds of the Thirty-seventh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Thirty-seventh Series.</w:t>
      </w:r>
    </w:p>
    <w:p>
      <w:pPr>
        <w:spacing w:after="0" w:line="130"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After the delivery of this Thirtieth Supplemental Indenture and upon compliance with the applicable provisions of the Mortgage and receipt of consideration therefor by the Company, there shall be an initial issue of bonds of the Thirty-seventh Series for the aggregate principal amount of $42,000,000.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Reservation of Right to Amend the Mortgage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1.  The Company reserves the right, without any vote, consent or other action by the holders of Bonds of the Thirty-seventh Series or any subsequent series, to amend the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Mortgage, as herein or heretofore supplemented as follows:</w:t>
      </w:r>
    </w:p>
    <w:p>
      <w:pPr>
        <w:spacing w:after="0" w:line="196" w:lineRule="exact"/>
        <w:rPr>
          <w:sz w:val="20"/>
          <w:szCs w:val="20"/>
          <w:color w:val="auto"/>
        </w:rPr>
      </w:pPr>
    </w:p>
    <w:p>
      <w:pPr>
        <w:ind w:firstLine="523"/>
        <w:spacing w:after="0" w:line="288" w:lineRule="auto"/>
        <w:tabs>
          <w:tab w:leader="none" w:pos="756" w:val="left"/>
        </w:tabs>
        <w:numPr>
          <w:ilvl w:val="0"/>
          <w:numId w:val="50"/>
        </w:numPr>
        <w:rPr>
          <w:rFonts w:ascii="Arial" w:cs="Arial" w:eastAsia="Arial" w:hAnsi="Arial"/>
          <w:sz w:val="14"/>
          <w:szCs w:val="14"/>
          <w:color w:val="auto"/>
        </w:rPr>
      </w:pPr>
      <w:r>
        <w:rPr>
          <w:rFonts w:ascii="Arial" w:cs="Arial" w:eastAsia="Arial" w:hAnsi="Arial"/>
          <w:sz w:val="14"/>
          <w:szCs w:val="14"/>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152" w:lineRule="exact"/>
        <w:rPr>
          <w:rFonts w:ascii="Arial" w:cs="Arial" w:eastAsia="Arial" w:hAnsi="Arial"/>
          <w:sz w:val="14"/>
          <w:szCs w:val="14"/>
          <w:color w:val="auto"/>
        </w:rPr>
      </w:pPr>
    </w:p>
    <w:p>
      <w:pPr>
        <w:ind w:left="760" w:hanging="237"/>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By adding the following at the end of the first sentence of Section 101:</w:t>
      </w:r>
    </w:p>
    <w:p>
      <w:pPr>
        <w:spacing w:after="0" w:line="205" w:lineRule="exact"/>
        <w:rPr>
          <w:sz w:val="20"/>
          <w:szCs w:val="20"/>
          <w:color w:val="auto"/>
        </w:rPr>
      </w:pPr>
    </w:p>
    <w:p>
      <w:pPr>
        <w:jc w:val="both"/>
        <w:ind w:left="1040" w:right="1040"/>
        <w:spacing w:after="0" w:line="272" w:lineRule="auto"/>
        <w:rPr>
          <w:sz w:val="20"/>
          <w:szCs w:val="20"/>
          <w:color w:val="auto"/>
        </w:rPr>
      </w:pPr>
      <w:r>
        <w:rPr>
          <w:rFonts w:ascii="Arial" w:cs="Arial" w:eastAsia="Arial" w:hAnsi="Arial"/>
          <w:sz w:val="14"/>
          <w:szCs w:val="14"/>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196"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SECTION 1. Section 126 of the Mortgage, as heretofore amended, is hereby further amended by adding the words “and January 15, 2019 after the words “and January 15, 2014 and January 15, 2016.”</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SECTION 2. Subject to the amendments provided for in this Thirtieth Supplemental Indenture, the terms defined in the Mortgage, as heretofore supplemented, shall, for all purposes of this Thirtieth Supplemental Indenture, have the meanings specified in the Mortgage, as heretofore supplemented.</w:t>
      </w:r>
    </w:p>
    <w:p>
      <w:pPr>
        <w:spacing w:after="0" w:line="152"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SECTION 3. The holders of bonds of the Thirty-seventh Series consent that the Company may, but shall not be obligated to, fix a record date for the purpose of determining the holders of bonds of the Thirty-seventh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4. The Trustees hereby accept the trusts herein declared, provided, created or supplemented and agree to perform the same upon the terms and conditions herein and in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Mortgage set forth and upon the following terms and conditions:</w:t>
      </w:r>
    </w:p>
    <w:p>
      <w:pPr>
        <w:spacing w:after="0" w:line="196"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The Trustees shall not be responsible in any manner whatsoever for or in respect of the validity or sufficiency of this Thirtieth Supplemental Indenture or for or in respect of the recitals contained herein, all of which recitals are made by the Company solely. In general, each and every term and condition contained in Article XVII of the Mortgage shall apply to and form part of this Thirtieth Supplemental Indenture with the same force and effect as if the same were herein set forth in full with such omissions, variations and insertions, if any, as may be appropriate to make the same conform to the provisions of this Thirtieth Supplemental Indenture.</w:t>
      </w:r>
    </w:p>
    <w:p>
      <w:pPr>
        <w:spacing w:after="0" w:line="167"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SECTION 5. Whenever in this Thirtieth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Thirtieth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47"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SECTION 6. Nothing in this Thirtieth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Thirtieth Supplemental Indenture or any covenant, condition, stipulation, promise or agreement hereof, and all the covenants, conditions, stipulations, promises and agreements in this Thirtieth Supplemental Indenture contained by and on behalf of the Company shall be for the sole and exclusive benefit of the parties hereto, and of the holders of the bonds and of the coupons Outstanding under the Mortgage.</w:t>
      </w:r>
    </w:p>
    <w:p>
      <w:pPr>
        <w:spacing w:after="0" w:line="151"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SECTION 7. This Thirtieth Supplemental Indenture shall be executed in several counterparts, each of which shall be an original and all of which shall constitute but one and the same instrument.</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8. The Company, the mortgagor named herein, by its execution hereof acknowledges receipt of a full, true and complete copy of this Thirtieth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728027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02" w:name="page103"/>
    <w:bookmarkEnd w:id="102"/>
    <w:p>
      <w:pPr>
        <w:jc w:val="both"/>
        <w:ind w:firstLine="517"/>
        <w:spacing w:after="0" w:line="264" w:lineRule="auto"/>
        <w:rPr>
          <w:sz w:val="20"/>
          <w:szCs w:val="20"/>
          <w:color w:val="auto"/>
        </w:rPr>
      </w:pPr>
      <w:r>
        <w:rPr>
          <w:rFonts w:ascii="Arial" w:cs="Arial" w:eastAsia="Arial" w:hAnsi="Arial"/>
          <w:sz w:val="14"/>
          <w:szCs w:val="14"/>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has hereunto set his hand and affixed his seal, all in The City of New York, as of the day and year first above written.</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ALLETE, I</w:t>
      </w:r>
      <w:r>
        <w:rPr>
          <w:rFonts w:ascii="Arial" w:cs="Arial" w:eastAsia="Arial" w:hAnsi="Arial"/>
          <w:sz w:val="9"/>
          <w:szCs w:val="9"/>
          <w:color w:val="auto"/>
        </w:rPr>
        <w:t>NC</w:t>
      </w:r>
      <w:r>
        <w:rPr>
          <w:rFonts w:ascii="Arial" w:cs="Arial" w:eastAsia="Arial" w:hAnsi="Arial"/>
          <w:sz w:val="14"/>
          <w:szCs w:val="14"/>
          <w:color w:val="auto"/>
        </w:rPr>
        <w:t>.</w:t>
      </w:r>
    </w:p>
    <w:p>
      <w:pPr>
        <w:spacing w:after="0" w:line="195" w:lineRule="exact"/>
        <w:rPr>
          <w:sz w:val="20"/>
          <w:szCs w:val="20"/>
          <w:color w:val="auto"/>
        </w:rPr>
      </w:pPr>
    </w:p>
    <w:tbl>
      <w:tblPr>
        <w:tblLayout w:type="fixed"/>
        <w:tblInd w:w="362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By</w:t>
            </w: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 Mark Schober</w:t>
            </w:r>
          </w:p>
        </w:tc>
        <w:tc>
          <w:tcPr>
            <w:tcW w:w="440" w:type="dxa"/>
            <w:vAlign w:val="bottom"/>
          </w:tcPr>
          <w:p>
            <w:pPr>
              <w:spacing w:after="0"/>
              <w:rPr>
                <w:sz w:val="14"/>
                <w:szCs w:val="14"/>
                <w:color w:val="auto"/>
              </w:rPr>
            </w:pPr>
          </w:p>
        </w:tc>
      </w:tr>
      <w:tr>
        <w:trPr>
          <w:trHeight w:val="174"/>
        </w:trPr>
        <w:tc>
          <w:tcPr>
            <w:tcW w:w="340" w:type="dxa"/>
            <w:vAlign w:val="bottom"/>
          </w:tcPr>
          <w:p>
            <w:pPr>
              <w:spacing w:after="0"/>
              <w:rPr>
                <w:sz w:val="15"/>
                <w:szCs w:val="15"/>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color w:val="auto"/>
              </w:rPr>
              <w:t>Mark Schober</w:t>
            </w:r>
          </w:p>
        </w:tc>
      </w:tr>
      <w:tr>
        <w:trPr>
          <w:trHeight w:val="172"/>
        </w:trPr>
        <w:tc>
          <w:tcPr>
            <w:tcW w:w="340" w:type="dxa"/>
            <w:vAlign w:val="bottom"/>
          </w:tcPr>
          <w:p>
            <w:pPr>
              <w:spacing w:after="0"/>
              <w:rPr>
                <w:sz w:val="14"/>
                <w:szCs w:val="14"/>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color w:val="auto"/>
                <w:w w:val="90"/>
              </w:rPr>
              <w:t>Senior Vice President and</w:t>
            </w:r>
          </w:p>
        </w:tc>
      </w:tr>
      <w:tr>
        <w:trPr>
          <w:trHeight w:val="182"/>
        </w:trPr>
        <w:tc>
          <w:tcPr>
            <w:tcW w:w="340" w:type="dxa"/>
            <w:vAlign w:val="bottom"/>
          </w:tcPr>
          <w:p>
            <w:pPr>
              <w:spacing w:after="0"/>
              <w:rPr>
                <w:sz w:val="15"/>
                <w:szCs w:val="15"/>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color w:val="auto"/>
              </w:rPr>
              <w:t>Chief Financial Officer</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Attest: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Deborah A. Amberg</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Deborah A. Amberg</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General Counsel</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and Secretary</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Executed, sealed and delivered by ALLETE,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 the presence of:</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Dawn LaPointe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Jodi Nash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Trustees’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28027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03" w:name="page104"/>
    <w:bookmarkEnd w:id="103"/>
    <w:p>
      <w:pPr>
        <w:ind w:left="3620"/>
        <w:spacing w:after="0"/>
        <w:rPr>
          <w:sz w:val="20"/>
          <w:szCs w:val="20"/>
          <w:color w:val="auto"/>
        </w:rPr>
      </w:pPr>
      <w:r>
        <w:rPr>
          <w:rFonts w:ascii="Arial" w:cs="Arial" w:eastAsia="Arial" w:hAnsi="Arial"/>
          <w:sz w:val="14"/>
          <w:szCs w:val="14"/>
          <w:color w:val="auto"/>
        </w:rPr>
        <w:t>THE BANK OF NEW YORK MELLON,</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as Trustee</w:t>
      </w:r>
    </w:p>
    <w:p>
      <w:pPr>
        <w:spacing w:after="0" w:line="186" w:lineRule="exact"/>
        <w:rPr>
          <w:sz w:val="20"/>
          <w:szCs w:val="20"/>
          <w:color w:val="auto"/>
        </w:rPr>
      </w:pPr>
    </w:p>
    <w:tbl>
      <w:tblPr>
        <w:tblLayout w:type="fixed"/>
        <w:tblInd w:w="362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By</w:t>
            </w:r>
          </w:p>
        </w:tc>
        <w:tc>
          <w:tcPr>
            <w:tcW w:w="200" w:type="dxa"/>
            <w:vAlign w:val="bottom"/>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7"/>
              </w:rPr>
              <w:t>/s/ Mary Miselis</w:t>
            </w:r>
          </w:p>
        </w:tc>
      </w:tr>
      <w:tr>
        <w:trPr>
          <w:trHeight w:val="174"/>
        </w:trPr>
        <w:tc>
          <w:tcPr>
            <w:tcW w:w="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color w:val="auto"/>
              </w:rPr>
              <w:t>Mary Miselis</w:t>
            </w:r>
          </w:p>
        </w:tc>
      </w:tr>
      <w:tr>
        <w:trPr>
          <w:trHeight w:val="182"/>
        </w:trPr>
        <w:tc>
          <w:tcPr>
            <w:tcW w:w="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color w:val="auto"/>
              </w:rPr>
              <w:t>Vice President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Attest: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Geovanni Barris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Geovanni Barris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200" w:lineRule="exact"/>
        <w:rPr>
          <w:sz w:val="20"/>
          <w:szCs w:val="20"/>
          <w:color w:val="auto"/>
        </w:rPr>
      </w:pPr>
    </w:p>
    <w:p>
      <w:pPr>
        <w:spacing w:after="0" w:line="378" w:lineRule="exact"/>
        <w:rPr>
          <w:sz w:val="20"/>
          <w:szCs w:val="20"/>
          <w:color w:val="auto"/>
        </w:rPr>
      </w:pPr>
    </w:p>
    <w:p>
      <w:pPr>
        <w:jc w:val="right"/>
        <w:ind w:right="2259"/>
        <w:spacing w:after="0"/>
        <w:rPr>
          <w:sz w:val="20"/>
          <w:szCs w:val="20"/>
          <w:color w:val="auto"/>
        </w:rPr>
      </w:pPr>
      <w:r>
        <w:rPr>
          <w:rFonts w:ascii="Arial" w:cs="Arial" w:eastAsia="Arial" w:hAnsi="Arial"/>
          <w:sz w:val="17"/>
          <w:szCs w:val="17"/>
          <w:color w:val="auto"/>
        </w:rPr>
        <w:t>/s/ Douglas J. Macinnes 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-10160</wp:posOffset>
            </wp:positionV>
            <wp:extent cx="128333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3335" cy="6985"/>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14"/>
          <w:szCs w:val="14"/>
          <w:color w:val="auto"/>
        </w:rPr>
        <w:t>DOUGLAS J. MACINNES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Executed, sealed and delivered by THE BANK OF NEW</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YORK MELLON and DOUGLAS J. MACINNES in the presence of:</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Scott Klein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Kimberly Davidson</w:t>
      </w:r>
    </w:p>
    <w:p>
      <w:pPr>
        <w:spacing w:after="0" w:line="200" w:lineRule="exact"/>
        <w:rPr>
          <w:sz w:val="20"/>
          <w:szCs w:val="20"/>
          <w:color w:val="auto"/>
        </w:rPr>
      </w:pPr>
    </w:p>
    <w:p>
      <w:pPr>
        <w:spacing w:after="0" w:line="387"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Thirtieth Supplemental Indenture dated as of January 1, 2009</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4"/>
          <w:szCs w:val="14"/>
          <w:color w:val="auto"/>
        </w:rPr>
        <w:t>To Mortgage and Deed of Trust dated as of September 1, 1945</w:t>
      </w:r>
    </w:p>
    <w:p>
      <w:pPr>
        <w:spacing w:after="0" w:line="390"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Trustees’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28027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39"/>
          </w:cols>
          <w:pgMar w:left="220" w:top="1023" w:right="1440" w:bottom="1440" w:gutter="0" w:footer="0" w:header="0"/>
        </w:sectPr>
      </w:pPr>
    </w:p>
    <w:bookmarkStart w:id="104" w:name="page105"/>
    <w:bookmarkEnd w:id="104"/>
    <w:p>
      <w:pPr>
        <w:spacing w:after="0"/>
        <w:tabs>
          <w:tab w:leader="none" w:pos="2740" w:val="left"/>
        </w:tabs>
        <w:rPr>
          <w:sz w:val="20"/>
          <w:szCs w:val="20"/>
          <w:color w:val="auto"/>
        </w:rPr>
      </w:pPr>
      <w:r>
        <w:rPr>
          <w:rFonts w:ascii="Arial" w:cs="Arial" w:eastAsia="Arial" w:hAnsi="Arial"/>
          <w:sz w:val="14"/>
          <w:szCs w:val="14"/>
          <w:color w:val="auto"/>
        </w:rPr>
        <w:t>STATE OF MINNESOTA</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left="2200" w:hanging="125"/>
        <w:spacing w:after="0"/>
        <w:tabs>
          <w:tab w:leader="none" w:pos="2200" w:val="left"/>
        </w:tabs>
        <w:numPr>
          <w:ilvl w:val="0"/>
          <w:numId w:val="51"/>
        </w:numPr>
        <w:rPr>
          <w:rFonts w:ascii="Arial" w:cs="Arial" w:eastAsia="Arial" w:hAnsi="Arial"/>
          <w:sz w:val="14"/>
          <w:szCs w:val="14"/>
          <w:color w:val="auto"/>
        </w:rPr>
      </w:pPr>
      <w:r>
        <w:rPr>
          <w:rFonts w:ascii="Arial" w:cs="Arial" w:eastAsia="Arial" w:hAnsi="Arial"/>
          <w:sz w:val="10"/>
          <w:szCs w:val="10"/>
          <w:color w:val="auto"/>
        </w:rPr>
        <w:t>SS</w:t>
      </w:r>
      <w:r>
        <w:rPr>
          <w:rFonts w:ascii="Arial" w:cs="Arial" w:eastAsia="Arial" w:hAnsi="Arial"/>
          <w:sz w:val="14"/>
          <w:szCs w:val="14"/>
          <w:color w:val="auto"/>
        </w:rPr>
        <w:t>.:</w:t>
      </w:r>
    </w:p>
    <w:p>
      <w:pPr>
        <w:spacing w:after="0" w:line="11"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COUNTY OF ST. LOUIS</w:t>
      </w:r>
      <w:r>
        <w:rPr>
          <w:sz w:val="20"/>
          <w:szCs w:val="20"/>
          <w:color w:val="auto"/>
        </w:rPr>
        <w:tab/>
      </w:r>
      <w:r>
        <w:rPr>
          <w:rFonts w:ascii="Arial" w:cs="Arial" w:eastAsia="Arial" w:hAnsi="Arial"/>
          <w:sz w:val="12"/>
          <w:szCs w:val="12"/>
          <w:color w:val="auto"/>
        </w:rPr>
        <w:t>)</w:t>
      </w:r>
    </w:p>
    <w:p>
      <w:pPr>
        <w:spacing w:after="0" w:line="19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On this 6th day of January, 2009, before me, a Notary Public within and for said County, personally appeared Mark Schober and Deborah A. Amberg, to me personally known, who, being each by me duly sworn, did say that they are respectively the Senior Vice President and Chief Financial Officer and the Senior Vice President, General Counsel and Secretary of ALLETE, Inc., the corporation named in the foregoing instrument; that the seal affixed to the foregoing instrument is the corporate seal of said corporation; that said instrument was signed and sealed in behalf of said corporation by authority of its Board of Directors; and said Mark Schober and Deborah A. Amberg acknowledged said instrument to be the free act and deed of said corporation.</w:t>
      </w:r>
    </w:p>
    <w:p>
      <w:pPr>
        <w:spacing w:after="0" w:line="151"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Personally came before me on this 6th day of January, 2009, Mark Schober, to me known to be the Senior Vice President and Chief Financial Officer, and Deborah A. Amberg, to me known to be the Senior Vice President, General Counsel and Secretary,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Chief Financial Officer and the Senior 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Mark Schober and Deborah A. Amberg then and there acknowledged said instrument to be the free act and deed of said corporation and that such corporation executed the same.</w:t>
      </w:r>
    </w:p>
    <w:p>
      <w:pPr>
        <w:spacing w:after="0" w:line="156" w:lineRule="exact"/>
        <w:rPr>
          <w:sz w:val="20"/>
          <w:szCs w:val="20"/>
          <w:color w:val="auto"/>
        </w:rPr>
      </w:pPr>
    </w:p>
    <w:p>
      <w:pPr>
        <w:jc w:val="both"/>
        <w:ind w:right="120" w:firstLine="517"/>
        <w:spacing w:after="0" w:line="294" w:lineRule="auto"/>
        <w:rPr>
          <w:sz w:val="20"/>
          <w:szCs w:val="20"/>
          <w:color w:val="auto"/>
        </w:rPr>
      </w:pPr>
      <w:r>
        <w:rPr>
          <w:rFonts w:ascii="Arial" w:cs="Arial" w:eastAsia="Arial" w:hAnsi="Arial"/>
          <w:sz w:val="13"/>
          <w:szCs w:val="13"/>
          <w:color w:val="auto"/>
        </w:rPr>
        <w:t>On the 6th day of January, 2009, before me personally came Mark Schober and Deborah A. Amberg, to me known, who, being by me duly sworn, did depose and say that they respectively reside at 202 W. Owatonna Street, Duluth, Minnesota, and 2738 Northridge Drive, Duluth, Minnesota; that they are respectively the Senior Vice President and Chief Financial Officer and the Senior Vice President, General Counsel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notarial seal this 6th day of January, 2009.</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/s/ Jodi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-19050</wp:posOffset>
            </wp:positionV>
            <wp:extent cx="5930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3090" cy="698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4"/>
          <w:szCs w:val="14"/>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455295</wp:posOffset>
            </wp:positionV>
            <wp:extent cx="728027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05" w:name="page106"/>
    <w:bookmarkEnd w:id="105"/>
    <w:p>
      <w:pPr>
        <w:spacing w:after="0"/>
        <w:tabs>
          <w:tab w:leader="none" w:pos="2760" w:val="left"/>
        </w:tabs>
        <w:rPr>
          <w:sz w:val="20"/>
          <w:szCs w:val="20"/>
          <w:color w:val="auto"/>
        </w:rPr>
      </w:pPr>
      <w:r>
        <w:rPr>
          <w:rFonts w:ascii="Arial" w:cs="Arial" w:eastAsia="Arial" w:hAnsi="Arial"/>
          <w:sz w:val="14"/>
          <w:szCs w:val="14"/>
          <w:color w:val="auto"/>
        </w:rPr>
        <w:t>STATE OF NEW YORK</w:t>
      </w:r>
      <w:r>
        <w:rPr>
          <w:sz w:val="20"/>
          <w:szCs w:val="20"/>
          <w:color w:val="auto"/>
        </w:rPr>
        <w:tab/>
      </w:r>
      <w:r>
        <w:rPr>
          <w:rFonts w:ascii="Arial" w:cs="Arial" w:eastAsia="Arial" w:hAnsi="Arial"/>
          <w:sz w:val="12"/>
          <w:szCs w:val="12"/>
          <w:color w:val="auto"/>
        </w:rPr>
        <w:t>)</w:t>
      </w:r>
    </w:p>
    <w:p>
      <w:pPr>
        <w:spacing w:after="0" w:line="21" w:lineRule="exact"/>
        <w:rPr>
          <w:sz w:val="20"/>
          <w:szCs w:val="20"/>
          <w:color w:val="auto"/>
        </w:rPr>
      </w:pPr>
    </w:p>
    <w:p>
      <w:pPr>
        <w:ind w:left="2720" w:hanging="127"/>
        <w:spacing w:after="0"/>
        <w:tabs>
          <w:tab w:leader="none" w:pos="2720" w:val="left"/>
        </w:tabs>
        <w:numPr>
          <w:ilvl w:val="0"/>
          <w:numId w:val="52"/>
        </w:numPr>
        <w:rPr>
          <w:rFonts w:ascii="Arial" w:cs="Arial" w:eastAsia="Arial" w:hAnsi="Arial"/>
          <w:sz w:val="14"/>
          <w:szCs w:val="14"/>
          <w:color w:val="auto"/>
        </w:rPr>
      </w:pPr>
      <w:r>
        <w:rPr>
          <w:rFonts w:ascii="Arial" w:cs="Arial" w:eastAsia="Arial" w:hAnsi="Arial"/>
          <w:sz w:val="10"/>
          <w:szCs w:val="10"/>
          <w:color w:val="auto"/>
        </w:rPr>
        <w:t>SS</w:t>
      </w:r>
      <w:r>
        <w:rPr>
          <w:rFonts w:ascii="Arial" w:cs="Arial" w:eastAsia="Arial" w:hAnsi="Arial"/>
          <w:sz w:val="14"/>
          <w:szCs w:val="14"/>
          <w:color w:val="auto"/>
        </w:rPr>
        <w:t>:</w:t>
      </w:r>
    </w:p>
    <w:p>
      <w:pPr>
        <w:spacing w:after="0" w:line="11" w:lineRule="exact"/>
        <w:rPr>
          <w:sz w:val="20"/>
          <w:szCs w:val="20"/>
          <w:color w:val="auto"/>
        </w:rPr>
      </w:pPr>
    </w:p>
    <w:p>
      <w:pPr>
        <w:spacing w:after="0"/>
        <w:tabs>
          <w:tab w:leader="none" w:pos="2780" w:val="left"/>
        </w:tabs>
        <w:rPr>
          <w:sz w:val="20"/>
          <w:szCs w:val="20"/>
          <w:color w:val="auto"/>
        </w:rPr>
      </w:pPr>
      <w:r>
        <w:rPr>
          <w:rFonts w:ascii="Arial" w:cs="Arial" w:eastAsia="Arial" w:hAnsi="Arial"/>
          <w:sz w:val="14"/>
          <w:szCs w:val="14"/>
          <w:color w:val="auto"/>
        </w:rPr>
        <w:t>COUNTY OF NEW YORK</w:t>
      </w:r>
      <w:r>
        <w:rPr>
          <w:sz w:val="20"/>
          <w:szCs w:val="20"/>
          <w:color w:val="auto"/>
        </w:rPr>
        <w:tab/>
      </w:r>
      <w:r>
        <w:rPr>
          <w:rFonts w:ascii="Arial" w:cs="Arial" w:eastAsia="Arial" w:hAnsi="Arial"/>
          <w:sz w:val="12"/>
          <w:szCs w:val="12"/>
          <w:color w:val="auto"/>
        </w:rPr>
        <w:t>)</w:t>
      </w:r>
    </w:p>
    <w:p>
      <w:pPr>
        <w:spacing w:after="0" w:line="196" w:lineRule="exact"/>
        <w:rPr>
          <w:sz w:val="20"/>
          <w:szCs w:val="20"/>
          <w:color w:val="auto"/>
        </w:rPr>
      </w:pPr>
    </w:p>
    <w:p>
      <w:pPr>
        <w:jc w:val="both"/>
        <w:ind w:right="80" w:firstLine="517"/>
        <w:spacing w:after="0" w:line="267" w:lineRule="auto"/>
        <w:rPr>
          <w:sz w:val="20"/>
          <w:szCs w:val="20"/>
          <w:color w:val="auto"/>
        </w:rPr>
      </w:pPr>
      <w:r>
        <w:rPr>
          <w:rFonts w:ascii="Arial" w:cs="Arial" w:eastAsia="Arial" w:hAnsi="Arial"/>
          <w:sz w:val="14"/>
          <w:szCs w:val="14"/>
          <w:color w:val="auto"/>
        </w:rPr>
        <w:t>On this 7th day of January, 2009, before me, a Notary Public within and for said County, personally appeared Mary Miselis and Rafael E. Miranda, to me personally known, who, being each by me duly sworn, did say that they are each a Vice President of THE BANK OF NEW YORK MELLON, the corporation named in the foregoing instrument; that the seal affixed to the foregoing instrument is the corporate seal of said corporation; that said instrument was signed and sealed in behalf of said corporation by authority of its Board of Directors; and said Mary Miselis and Rafael E. Miranda acknowledged said instrument to be the free act and deed of said corporation.</w:t>
      </w:r>
    </w:p>
    <w:p>
      <w:pPr>
        <w:spacing w:after="0" w:line="167" w:lineRule="exact"/>
        <w:rPr>
          <w:sz w:val="20"/>
          <w:szCs w:val="20"/>
          <w:color w:val="auto"/>
        </w:rPr>
      </w:pPr>
    </w:p>
    <w:p>
      <w:pPr>
        <w:jc w:val="both"/>
        <w:ind w:right="80" w:firstLine="517"/>
        <w:spacing w:after="0" w:line="263" w:lineRule="auto"/>
        <w:rPr>
          <w:sz w:val="20"/>
          <w:szCs w:val="20"/>
          <w:color w:val="auto"/>
        </w:rPr>
      </w:pPr>
      <w:r>
        <w:rPr>
          <w:rFonts w:ascii="Arial" w:cs="Arial" w:eastAsia="Arial" w:hAnsi="Arial"/>
          <w:sz w:val="14"/>
          <w:szCs w:val="14"/>
          <w:color w:val="auto"/>
        </w:rPr>
        <w:t>Personally came before me on this 7th day of January, 2009, Mary Miselis, to me known to be a Vice President, and Rafael E. Miranda, known to me to be a Vice President, of the above named THE BANK OF NEW YORK MELLON,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each a Vice President of said corporation; that the seal affixed to said instrument is the corporate seal of said corporation; and that they signed, sealed and delivered said instrument in the name and on behalf of said corporation by authority of its Board of Directors, and said Mary Miselis and Rafael E. Miranda then and there acknowledged said instrument to be the free act and deed of said corporation and that such corporation executed the same.</w:t>
      </w:r>
    </w:p>
    <w:p>
      <w:pPr>
        <w:spacing w:after="0" w:line="170" w:lineRule="exact"/>
        <w:rPr>
          <w:sz w:val="20"/>
          <w:szCs w:val="20"/>
          <w:color w:val="auto"/>
        </w:rPr>
      </w:pPr>
    </w:p>
    <w:p>
      <w:pPr>
        <w:jc w:val="both"/>
        <w:ind w:right="80" w:firstLine="517"/>
        <w:spacing w:after="0" w:line="267" w:lineRule="auto"/>
        <w:rPr>
          <w:sz w:val="20"/>
          <w:szCs w:val="20"/>
          <w:color w:val="auto"/>
        </w:rPr>
      </w:pPr>
      <w:r>
        <w:rPr>
          <w:rFonts w:ascii="Arial" w:cs="Arial" w:eastAsia="Arial" w:hAnsi="Arial"/>
          <w:sz w:val="14"/>
          <w:szCs w:val="14"/>
          <w:color w:val="auto"/>
        </w:rPr>
        <w:t>On the 7th day of January, 2009, before me personally came Mary Miselis and Rafael E. Miranda, to me known, who, being by me duly sworn, did depose and say that they each reside at 101 Barclay Street, 8W, New York, New York 10286; that they are each a Vice President of THE BANK OF NEW YORK MELLON,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notarial seal this 7th day of January, 2009.</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Carlos R. Luciano</w:t>
      </w:r>
    </w:p>
    <w:p>
      <w:pPr>
        <w:ind w:left="3340"/>
        <w:spacing w:after="0"/>
        <w:tabs>
          <w:tab w:leader="none" w:pos="4620" w:val="left"/>
        </w:tabs>
        <w:rPr>
          <w:sz w:val="20"/>
          <w:szCs w:val="20"/>
          <w:color w:val="auto"/>
        </w:rPr>
      </w:pPr>
      <w:r>
        <w:rPr>
          <w:rFonts w:ascii="Arial" w:cs="Arial" w:eastAsia="Arial" w:hAnsi="Arial"/>
          <w:sz w:val="17"/>
          <w:szCs w:val="17"/>
          <w:color w:val="auto"/>
        </w:rPr>
        <w:t>&lt; /font&gt;</w:t>
      </w:r>
      <w:r>
        <w:rPr>
          <w:sz w:val="20"/>
          <w:szCs w:val="20"/>
          <w:color w:val="auto"/>
        </w:rPr>
        <w:tab/>
      </w:r>
      <w:r>
        <w:rPr>
          <w:rFonts w:ascii="Arial" w:cs="Arial" w:eastAsia="Arial" w:hAnsi="Arial"/>
          <w:sz w:val="16"/>
          <w:szCs w:val="16"/>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449580</wp:posOffset>
            </wp:positionV>
            <wp:extent cx="728027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540"/>
          </w:cols>
          <w:pgMar w:left="220" w:top="441" w:right="139" w:bottom="1440" w:gutter="0" w:footer="0" w:header="0"/>
        </w:sectPr>
      </w:pPr>
    </w:p>
    <w:bookmarkStart w:id="106" w:name="page107"/>
    <w:bookmarkEnd w:id="106"/>
    <w:p>
      <w:pPr>
        <w:spacing w:after="0"/>
        <w:tabs>
          <w:tab w:leader="none" w:pos="2760" w:val="left"/>
        </w:tabs>
        <w:rPr>
          <w:sz w:val="20"/>
          <w:szCs w:val="20"/>
          <w:color w:val="auto"/>
        </w:rPr>
      </w:pPr>
      <w:r>
        <w:rPr>
          <w:rFonts w:ascii="Arial" w:cs="Arial" w:eastAsia="Arial" w:hAnsi="Arial"/>
          <w:sz w:val="14"/>
          <w:szCs w:val="14"/>
          <w:color w:val="auto"/>
        </w:rPr>
        <w:t>STATE OF NEW YORK</w:t>
      </w:r>
      <w:r>
        <w:rPr>
          <w:sz w:val="20"/>
          <w:szCs w:val="20"/>
          <w:color w:val="auto"/>
        </w:rPr>
        <w:tab/>
      </w:r>
      <w:r>
        <w:rPr>
          <w:rFonts w:ascii="Arial" w:cs="Arial" w:eastAsia="Arial" w:hAnsi="Arial"/>
          <w:sz w:val="12"/>
          <w:szCs w:val="12"/>
          <w:color w:val="auto"/>
        </w:rPr>
        <w:t>)</w:t>
      </w:r>
    </w:p>
    <w:p>
      <w:pPr>
        <w:spacing w:after="0" w:line="21" w:lineRule="exact"/>
        <w:rPr>
          <w:sz w:val="20"/>
          <w:szCs w:val="20"/>
          <w:color w:val="auto"/>
        </w:rPr>
      </w:pPr>
    </w:p>
    <w:p>
      <w:pPr>
        <w:ind w:left="2720" w:hanging="127"/>
        <w:spacing w:after="0"/>
        <w:tabs>
          <w:tab w:leader="none" w:pos="2720" w:val="left"/>
        </w:tabs>
        <w:numPr>
          <w:ilvl w:val="0"/>
          <w:numId w:val="53"/>
        </w:numPr>
        <w:rPr>
          <w:rFonts w:ascii="Arial" w:cs="Arial" w:eastAsia="Arial" w:hAnsi="Arial"/>
          <w:sz w:val="14"/>
          <w:szCs w:val="14"/>
          <w:color w:val="auto"/>
        </w:rPr>
      </w:pPr>
      <w:r>
        <w:rPr>
          <w:rFonts w:ascii="Arial" w:cs="Arial" w:eastAsia="Arial" w:hAnsi="Arial"/>
          <w:sz w:val="10"/>
          <w:szCs w:val="10"/>
          <w:color w:val="auto"/>
        </w:rPr>
        <w:t>SS</w:t>
      </w:r>
      <w:r>
        <w:rPr>
          <w:rFonts w:ascii="Arial" w:cs="Arial" w:eastAsia="Arial" w:hAnsi="Arial"/>
          <w:sz w:val="14"/>
          <w:szCs w:val="14"/>
          <w:color w:val="auto"/>
        </w:rPr>
        <w:t>:</w:t>
      </w:r>
    </w:p>
    <w:p>
      <w:pPr>
        <w:spacing w:after="0" w:line="11" w:lineRule="exact"/>
        <w:rPr>
          <w:sz w:val="20"/>
          <w:szCs w:val="20"/>
          <w:color w:val="auto"/>
        </w:rPr>
      </w:pPr>
    </w:p>
    <w:p>
      <w:pPr>
        <w:spacing w:after="0"/>
        <w:tabs>
          <w:tab w:leader="none" w:pos="2780" w:val="left"/>
        </w:tabs>
        <w:rPr>
          <w:sz w:val="20"/>
          <w:szCs w:val="20"/>
          <w:color w:val="auto"/>
        </w:rPr>
      </w:pPr>
      <w:r>
        <w:rPr>
          <w:rFonts w:ascii="Arial" w:cs="Arial" w:eastAsia="Arial" w:hAnsi="Arial"/>
          <w:sz w:val="14"/>
          <w:szCs w:val="14"/>
          <w:color w:val="auto"/>
        </w:rPr>
        <w:t>COUNTY OF NEW YORK</w:t>
      </w:r>
      <w:r>
        <w:rPr>
          <w:sz w:val="20"/>
          <w:szCs w:val="20"/>
          <w:color w:val="auto"/>
        </w:rPr>
        <w:tab/>
      </w:r>
      <w:r>
        <w:rPr>
          <w:rFonts w:ascii="Arial" w:cs="Arial" w:eastAsia="Arial" w:hAnsi="Arial"/>
          <w:sz w:val="12"/>
          <w:szCs w:val="12"/>
          <w:color w:val="auto"/>
        </w:rPr>
        <w:t>)</w:t>
      </w:r>
    </w:p>
    <w:p>
      <w:pPr>
        <w:spacing w:after="0" w:line="196"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On this 7th day of January, 2009, before me personally appeared DOUGLAS J. MACINNES, to me known to be the person described in and who executed the foregoing instrument, and acknowledged that he executed the same as his free act and deed.</w:t>
      </w:r>
    </w:p>
    <w:p>
      <w:pPr>
        <w:spacing w:after="0" w:line="152"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Personally came before me this 7th day of January, 2009, the above named DOUGLAS J. MACINNES, to me known to be the person who executed the foregoing instrument, and acknowledged the same.</w:t>
      </w:r>
    </w:p>
    <w:p>
      <w:pPr>
        <w:spacing w:after="0" w:line="152"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On the 7th day of January, 2009, before me personally came DOUGLAS J. MACINNES, to me known to be the person described in and who executed the foregoing instrument, and acknowledged that he executed the same.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notarial seal this 7th day of January, 2009.</w:t>
      </w:r>
    </w:p>
    <w:p>
      <w:pPr>
        <w:spacing w:after="0" w:line="199" w:lineRule="exact"/>
        <w:rPr>
          <w:sz w:val="20"/>
          <w:szCs w:val="20"/>
          <w:color w:val="auto"/>
        </w:rPr>
      </w:pPr>
    </w:p>
    <w:p>
      <w:pPr>
        <w:ind w:left="8420"/>
        <w:spacing w:after="0"/>
        <w:rPr>
          <w:sz w:val="20"/>
          <w:szCs w:val="20"/>
          <w:color w:val="auto"/>
        </w:rPr>
      </w:pPr>
      <w:r>
        <w:rPr>
          <w:rFonts w:ascii="Arial" w:cs="Arial" w:eastAsia="Arial" w:hAnsi="Arial"/>
          <w:sz w:val="17"/>
          <w:szCs w:val="17"/>
          <w:u w:val="single" w:color="auto"/>
          <w:color w:val="auto"/>
        </w:rPr>
        <w:t>/s/ Carlos R. Luciano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1071245</wp:posOffset>
            </wp:positionV>
            <wp:extent cx="728027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07" w:name="page108"/>
    <w:bookmarkEnd w:id="1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4(c)3</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________________________________________________________________ ________</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SUPERIOR WATER, LIGHT AND POWER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2915 Hill Avenue, Superior, WI 54880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(formerly First Bank (N.A.))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Trustee Under Superior Water, Light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 Power Company's Mortgage and Deed of Trust,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Dated as of March 1, 1943</w:t>
      </w:r>
    </w:p>
    <w:p>
      <w:pPr>
        <w:spacing w:after="0" w:line="200" w:lineRule="exact"/>
        <w:rPr>
          <w:sz w:val="20"/>
          <w:szCs w:val="20"/>
          <w:color w:val="auto"/>
        </w:rPr>
      </w:pPr>
    </w:p>
    <w:p>
      <w:pPr>
        <w:spacing w:after="0" w:line="384"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_________________________________________</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ELEVENTH SUPPLEMENTAL INDENTURE</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_________________________________________</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Dated as of December 1, 2008</w:t>
      </w:r>
    </w:p>
    <w:p>
      <w:pPr>
        <w:spacing w:after="0" w:line="205"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________________________________________________________________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This instrument drafted by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Chapman and Cutler LLP</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Chicago,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728027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0" w:type="dxa"/>
            <w:vAlign w:val="bottom"/>
          </w:tcPr>
          <w:p>
            <w:pPr>
              <w:ind w:left="3900"/>
              <w:spacing w:after="0"/>
              <w:rPr>
                <w:sz w:val="20"/>
                <w:szCs w:val="20"/>
                <w:color w:val="auto"/>
              </w:rPr>
            </w:pPr>
            <w:r>
              <w:rPr>
                <w:rFonts w:ascii="Arial" w:cs="Arial" w:eastAsia="Arial" w:hAnsi="Arial"/>
                <w:sz w:val="14"/>
                <w:szCs w:val="14"/>
                <w:b w:val="1"/>
                <w:bCs w:val="1"/>
                <w:color w:val="auto"/>
              </w:rPr>
              <w:t>TABLE OF CONTENTS</w:t>
            </w: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SECTION</w:t>
            </w:r>
          </w:p>
        </w:tc>
        <w:tc>
          <w:tcPr>
            <w:tcW w:w="6800" w:type="dxa"/>
            <w:vAlign w:val="bottom"/>
            <w:shd w:val="clear" w:color="auto" w:fill="CCEEFF"/>
          </w:tcPr>
          <w:p>
            <w:pPr>
              <w:ind w:left="2180"/>
              <w:spacing w:after="0"/>
              <w:rPr>
                <w:sz w:val="20"/>
                <w:szCs w:val="20"/>
                <w:color w:val="auto"/>
              </w:rPr>
            </w:pPr>
            <w:r>
              <w:rPr>
                <w:rFonts w:ascii="Arial" w:cs="Arial" w:eastAsia="Arial" w:hAnsi="Arial"/>
                <w:sz w:val="14"/>
                <w:szCs w:val="14"/>
                <w:b w:val="1"/>
                <w:bCs w:val="1"/>
                <w:color w:val="auto"/>
              </w:rPr>
              <w:t>HEADING</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Parties</w:t>
            </w:r>
          </w:p>
        </w:tc>
        <w:tc>
          <w:tcPr>
            <w:tcW w:w="68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Recitals</w:t>
            </w:r>
          </w:p>
        </w:tc>
        <w:tc>
          <w:tcPr>
            <w:tcW w:w="68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ARTICLE I</w:t>
            </w:r>
          </w:p>
        </w:tc>
        <w:tc>
          <w:tcPr>
            <w:tcW w:w="6800" w:type="dxa"/>
            <w:vAlign w:val="bottom"/>
            <w:shd w:val="clear" w:color="auto" w:fill="CCEEFF"/>
          </w:tcPr>
          <w:p>
            <w:pPr>
              <w:ind w:left="2020"/>
              <w:spacing w:after="0"/>
              <w:rPr>
                <w:sz w:val="20"/>
                <w:szCs w:val="20"/>
                <w:color w:val="auto"/>
              </w:rPr>
            </w:pPr>
            <w:r>
              <w:rPr>
                <w:rFonts w:ascii="Arial" w:cs="Arial" w:eastAsia="Arial" w:hAnsi="Arial"/>
                <w:sz w:val="14"/>
                <w:szCs w:val="14"/>
                <w:color w:val="auto"/>
              </w:rPr>
              <w:t>BONDS OF THE TENTH SERIES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Section 1.1</w:t>
            </w:r>
          </w:p>
        </w:tc>
        <w:tc>
          <w:tcPr>
            <w:tcW w:w="176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ARTICLE II</w:t>
            </w:r>
          </w:p>
        </w:tc>
        <w:tc>
          <w:tcPr>
            <w:tcW w:w="6800" w:type="dxa"/>
            <w:vAlign w:val="bottom"/>
          </w:tcPr>
          <w:p>
            <w:pPr>
              <w:ind w:left="2020"/>
              <w:spacing w:after="0"/>
              <w:rPr>
                <w:sz w:val="20"/>
                <w:szCs w:val="20"/>
                <w:color w:val="auto"/>
              </w:rPr>
            </w:pPr>
            <w:r>
              <w:rPr>
                <w:rFonts w:ascii="Arial" w:cs="Arial" w:eastAsia="Arial" w:hAnsi="Arial"/>
                <w:sz w:val="14"/>
                <w:szCs w:val="14"/>
                <w:color w:val="auto"/>
              </w:rPr>
              <w:t>COVENANTS AND RESTRICTIONS</w:t>
            </w:r>
          </w:p>
        </w:tc>
        <w:tc>
          <w:tcPr>
            <w:tcW w:w="17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Section 2.1</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Section 2.2</w:t>
            </w:r>
          </w:p>
        </w:tc>
        <w:tc>
          <w:tcPr>
            <w:tcW w:w="17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Section 2.3</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Section 2.4</w:t>
            </w:r>
          </w:p>
        </w:tc>
        <w:tc>
          <w:tcPr>
            <w:tcW w:w="17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Section 2.5</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ARTICLE III</w:t>
            </w:r>
          </w:p>
        </w:tc>
        <w:tc>
          <w:tcPr>
            <w:tcW w:w="6800" w:type="dxa"/>
            <w:vAlign w:val="bottom"/>
            <w:shd w:val="clear" w:color="auto" w:fill="CCEEFF"/>
          </w:tcPr>
          <w:p>
            <w:pPr>
              <w:ind w:left="2080"/>
              <w:spacing w:after="0"/>
              <w:rPr>
                <w:sz w:val="20"/>
                <w:szCs w:val="20"/>
                <w:color w:val="auto"/>
              </w:rPr>
            </w:pPr>
            <w:r>
              <w:rPr>
                <w:rFonts w:ascii="Arial" w:cs="Arial" w:eastAsia="Arial" w:hAnsi="Arial"/>
                <w:sz w:val="14"/>
                <w:szCs w:val="14"/>
                <w:color w:val="auto"/>
              </w:rPr>
              <w:t>MISCELLANEOUS PROVISIONS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Section 3.1</w:t>
            </w:r>
          </w:p>
        </w:tc>
        <w:tc>
          <w:tcPr>
            <w:tcW w:w="17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Section 3.2</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Section 3.3</w:t>
            </w:r>
          </w:p>
        </w:tc>
        <w:tc>
          <w:tcPr>
            <w:tcW w:w="176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Section 3.4</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Section 3.5</w:t>
            </w:r>
          </w:p>
        </w:tc>
        <w:tc>
          <w:tcPr>
            <w:tcW w:w="176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Section 3.6</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Section 3.7</w:t>
            </w:r>
          </w:p>
        </w:tc>
        <w:tc>
          <w:tcPr>
            <w:tcW w:w="176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Signature Page</w:t>
            </w:r>
          </w:p>
        </w:tc>
        <w:tc>
          <w:tcPr>
            <w:tcW w:w="68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ATTACHMENTS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104255" cy="1092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04255" cy="1092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EXHIBIT A - Form of Bond of the Tenth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6104255" cy="1092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04255" cy="10922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EXHIBIT B - Assignment and Irrevocable Bond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586105</wp:posOffset>
            </wp:positionV>
            <wp:extent cx="728027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39"/>
          </w:cols>
          <w:pgMar w:left="220" w:top="631" w:right="1440"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14"/>
          <w:szCs w:val="14"/>
          <w:b w:val="1"/>
          <w:bCs w:val="1"/>
          <w:color w:val="auto"/>
        </w:rPr>
        <w:t>ELEVENTH SUPPLEMENTAL INDENTURE</w:t>
      </w:r>
    </w:p>
    <w:p>
      <w:pPr>
        <w:spacing w:after="0" w:line="209"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SUPPLEMENTAL INDENTURE, dated as of the 1st day of December, 2008, made and entered into by and between SUPERIOR WATER, LIGHT AND POWER COMPANY, a corporation of the State of Wisconsin, whose address is 2915 Hill Avenue, Superior, Wisconsin 54880 (the "</w:t>
      </w:r>
      <w:r>
        <w:rPr>
          <w:rFonts w:ascii="Arial" w:cs="Arial" w:eastAsia="Arial" w:hAnsi="Arial"/>
          <w:sz w:val="14"/>
          <w:szCs w:val="14"/>
          <w:i w:val="1"/>
          <w:iCs w:val="1"/>
          <w:color w:val="auto"/>
        </w:rPr>
        <w:t>Company</w:t>
      </w:r>
      <w:r>
        <w:rPr>
          <w:rFonts w:ascii="Arial" w:cs="Arial" w:eastAsia="Arial" w:hAnsi="Arial"/>
          <w:sz w:val="14"/>
          <w:szCs w:val="14"/>
          <w:color w:val="auto"/>
        </w:rPr>
        <w:t>") and U.S. BANK NATIONAL ASSOCIATION (successor to Chemical Bank, as Corporate Trustee, and Peter Morse, as Co-Trustee), a national banking association, whose principal trust office at the date hereof is in St. Paul, Minnesota (the "</w:t>
      </w:r>
      <w:r>
        <w:rPr>
          <w:rFonts w:ascii="Arial" w:cs="Arial" w:eastAsia="Arial" w:hAnsi="Arial"/>
          <w:sz w:val="14"/>
          <w:szCs w:val="14"/>
          <w:i w:val="1"/>
          <w:iCs w:val="1"/>
          <w:color w:val="auto"/>
        </w:rPr>
        <w:t>Trustee</w:t>
      </w:r>
      <w:r>
        <w:rPr>
          <w:rFonts w:ascii="Arial" w:cs="Arial" w:eastAsia="Arial" w:hAnsi="Arial"/>
          <w:sz w:val="14"/>
          <w:szCs w:val="14"/>
          <w:color w:val="auto"/>
        </w:rPr>
        <w:t>"), as Trustee under the Mortgage and Deed of Trust dated as of March 1, 1943 (hereinafter called the "</w:t>
      </w:r>
      <w:r>
        <w:rPr>
          <w:rFonts w:ascii="Arial" w:cs="Arial" w:eastAsia="Arial" w:hAnsi="Arial"/>
          <w:sz w:val="14"/>
          <w:szCs w:val="14"/>
          <w:i w:val="1"/>
          <w:iCs w:val="1"/>
          <w:color w:val="auto"/>
        </w:rPr>
        <w:t>Mortgage</w:t>
      </w:r>
      <w:r>
        <w:rPr>
          <w:rFonts w:ascii="Arial" w:cs="Arial" w:eastAsia="Arial" w:hAnsi="Arial"/>
          <w:sz w:val="14"/>
          <w:szCs w:val="14"/>
          <w:color w:val="auto"/>
        </w:rPr>
        <w:t>"), which Mortgage was executed and delivered by the Company to secure the payment of bonds issued or to be issued under and in accordance with the provisions of the Mortgage, reference to which Mortgage is hereby made, this Eleventh Supplemental Indenture (the "</w:t>
      </w:r>
      <w:r>
        <w:rPr>
          <w:rFonts w:ascii="Arial" w:cs="Arial" w:eastAsia="Arial" w:hAnsi="Arial"/>
          <w:sz w:val="14"/>
          <w:szCs w:val="14"/>
          <w:i w:val="1"/>
          <w:iCs w:val="1"/>
          <w:color w:val="auto"/>
        </w:rPr>
        <w:t>Eleventh Supplemental Indenture</w:t>
      </w:r>
      <w:r>
        <w:rPr>
          <w:rFonts w:ascii="Arial" w:cs="Arial" w:eastAsia="Arial" w:hAnsi="Arial"/>
          <w:sz w:val="14"/>
          <w:szCs w:val="14"/>
          <w:color w:val="auto"/>
        </w:rPr>
        <w:t>") being supplemental thereto;</w:t>
      </w:r>
    </w:p>
    <w:p>
      <w:pPr>
        <w:spacing w:after="0" w:line="170"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said Mortgage was recorded in the office of the Register of Deeds in and for Douglas County, Wisconsin, on May 3, 1943, in Volume 191 of Mortgages at page 1, Document No. 362844; and</w:t>
      </w:r>
    </w:p>
    <w:p>
      <w:pPr>
        <w:spacing w:after="0" w:line="152"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WHEREAS, an instrument dated as of September 15, 1949, was executed by the Company appointing Russell H. Sherman as Co-Trustee in succession to said Howard B. Smith, resigned, under said Mortgage, and by Russell H. Sherman accepting the appointment as Co-Trustee under said Mortgage in succession to the said Howard B. Smith, which instrument was recorded in the office of the Register of Deeds in and for Douglas County, Wisconsin, on October 8, 1949, in Volume 196 of Mortgages at page 510, Document No. 398649; and</w:t>
      </w:r>
    </w:p>
    <w:p>
      <w:pPr>
        <w:spacing w:after="0" w:line="147"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by the Mortgage, the Company covenanted that it would execute and deliver such supplemental indenture or indentures and such further instruments and do such further acts as might be necessary or proper to carry out more effectively the purposes of the Mortgage and to make subject to the lien of the Mortgage any property acquired after the date of the execution of the Mortgage and intended to be subject to the lien thereof; and</w:t>
      </w:r>
    </w:p>
    <w:p>
      <w:pPr>
        <w:spacing w:after="0" w:line="16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First Supplemental Indenture, dated as of March 1, 1951 (hereinafter called its "</w:t>
      </w:r>
      <w:r>
        <w:rPr>
          <w:rFonts w:ascii="Arial" w:cs="Arial" w:eastAsia="Arial" w:hAnsi="Arial"/>
          <w:sz w:val="14"/>
          <w:szCs w:val="14"/>
          <w:i w:val="1"/>
          <w:iCs w:val="1"/>
          <w:color w:val="auto"/>
        </w:rPr>
        <w:t>First Supplemental Indenture</w:t>
      </w:r>
      <w:r>
        <w:rPr>
          <w:rFonts w:ascii="Arial" w:cs="Arial" w:eastAsia="Arial" w:hAnsi="Arial"/>
          <w:sz w:val="14"/>
          <w:szCs w:val="14"/>
          <w:color w:val="auto"/>
        </w:rPr>
        <w:t>"), which was recorded in the office of the Register of Deeds in and for Douglas County, Wisconsin, on March 30, 1951, in Volume 205 of Mortgages at page 73, Document No. 405297; and</w:t>
      </w:r>
    </w:p>
    <w:p>
      <w:pPr>
        <w:spacing w:after="0" w:line="15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an instrument dated as of May 16, 1961, was executed by the Company appointing Richard G. Pintard as Co-Trustee in succession to said Russell H. Sherman, resigned, under said Mortgage and by Richard G. Pintard accepting the appointment as Co-Trustee under said Mortgage in succession to said Russell H. Sherman, which instrument was recorded in the office of the Register of Deeds in and for Douglas County, Wisconsin, on May 31, 1961, in Volume 256 of Mortgages at page 423, Document No. 453857; and</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WHEREAS, the Company executed and delivered its Second Supplemental Indenture, dated as of March 1, 1962 (hereinafter called its "</w:t>
      </w:r>
      <w:r>
        <w:rPr>
          <w:rFonts w:ascii="Arial" w:cs="Arial" w:eastAsia="Arial" w:hAnsi="Arial"/>
          <w:sz w:val="14"/>
          <w:szCs w:val="14"/>
          <w:i w:val="1"/>
          <w:iCs w:val="1"/>
          <w:color w:val="auto"/>
        </w:rPr>
        <w:t>Second Supplemental Indenture</w:t>
      </w:r>
      <w:r>
        <w:rPr>
          <w:rFonts w:ascii="Arial" w:cs="Arial" w:eastAsia="Arial" w:hAnsi="Arial"/>
          <w:sz w:val="14"/>
          <w:szCs w:val="14"/>
          <w:color w:val="auto"/>
        </w:rPr>
        <w:t>"), which was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847" w:right="219" w:bottom="1440" w:gutter="0" w:footer="0" w:header="0"/>
        </w:sectPr>
      </w:pPr>
    </w:p>
    <w:bookmarkStart w:id="111" w:name="page112"/>
    <w:bookmarkEnd w:id="111"/>
    <w:p>
      <w:pPr>
        <w:ind w:left="520"/>
        <w:spacing w:after="0"/>
        <w:rPr>
          <w:sz w:val="20"/>
          <w:szCs w:val="20"/>
          <w:color w:val="auto"/>
        </w:rPr>
      </w:pPr>
      <w:r>
        <w:rPr>
          <w:rFonts w:ascii="Arial" w:cs="Arial" w:eastAsia="Arial" w:hAnsi="Arial"/>
          <w:sz w:val="14"/>
          <w:szCs w:val="14"/>
          <w:color w:val="auto"/>
        </w:rPr>
        <w:t>recorded in the office of the Register of Deeds in and for Douglas County, Wisconsin, on March 26, 1962, in Volume 261 of Mortgages at page 81, Document No. 457662; and</w:t>
      </w:r>
    </w:p>
    <w:p>
      <w:pPr>
        <w:spacing w:after="0" w:line="205"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an instrument dated as of June 23, 1976, was executed by the Company appointing Steven F. Lasher as Co-Trustee in succession to said Richard G. Pintard, resigned, under said Mortgage and by Steven F. Lasher accepting the appointment as Co-Trustee under said Mortgage in succession to said Richard G. Pintard, which instrument was recorded in the office of the Register of Deeds in and for Douglas County, Wisconsin, on July 16, 1976, in Volume 353 of Records at page 274, Document No. 532495; and</w:t>
      </w:r>
    </w:p>
    <w:p>
      <w:pPr>
        <w:spacing w:after="0" w:line="16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Third Supplemental Indenture, dated as of July 1, 1976 (hereinafter called its "</w:t>
      </w:r>
      <w:r>
        <w:rPr>
          <w:rFonts w:ascii="Arial" w:cs="Arial" w:eastAsia="Arial" w:hAnsi="Arial"/>
          <w:sz w:val="14"/>
          <w:szCs w:val="14"/>
          <w:i w:val="1"/>
          <w:iCs w:val="1"/>
          <w:color w:val="auto"/>
        </w:rPr>
        <w:t>Third Supplemental Indenture</w:t>
      </w:r>
      <w:r>
        <w:rPr>
          <w:rFonts w:ascii="Arial" w:cs="Arial" w:eastAsia="Arial" w:hAnsi="Arial"/>
          <w:sz w:val="14"/>
          <w:szCs w:val="14"/>
          <w:color w:val="auto"/>
        </w:rPr>
        <w:t>"), which was recorded in the office of the Register of Deeds in and for Douglas County, Wisconsin, on October 1, 1976, in Volume 355 of Records at page 683, Document No. 534332; and</w:t>
      </w:r>
    </w:p>
    <w:p>
      <w:pPr>
        <w:spacing w:after="0" w:line="15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an instrument dated as of December 30, 1977, was executed by the Company appointing C. G. Martens as Co-Trustee in succession, to said Steven F. Lasher, resigned, under said Mortgage and by C. G. Martens accepting the appointment as Co-Trustee under said Mortgage in succession to said Steven F. Lasher, which instrument was recorded in the office of the Register of Deeds in and for Douglas County, Wisconsin, on February 13, 1985, in Volume 436 of Records at page 264, Document No. 589308; and</w:t>
      </w:r>
    </w:p>
    <w:p>
      <w:pPr>
        <w:spacing w:after="0" w:line="16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Fourth Supplemental Indenture, dated as of March 1, 1985 (hereinafter called its "</w:t>
      </w:r>
      <w:r>
        <w:rPr>
          <w:rFonts w:ascii="Arial" w:cs="Arial" w:eastAsia="Arial" w:hAnsi="Arial"/>
          <w:sz w:val="14"/>
          <w:szCs w:val="14"/>
          <w:i w:val="1"/>
          <w:iCs w:val="1"/>
          <w:color w:val="auto"/>
        </w:rPr>
        <w:t>Fourth Supplemental Indenture</w:t>
      </w:r>
      <w:r>
        <w:rPr>
          <w:rFonts w:ascii="Arial" w:cs="Arial" w:eastAsia="Arial" w:hAnsi="Arial"/>
          <w:sz w:val="14"/>
          <w:szCs w:val="14"/>
          <w:color w:val="auto"/>
        </w:rPr>
        <w:t>"), which was recorded in the office of the Register of Deeds in and for Douglas County, Wisconsin, on March 19, 1985, in Volume 436 of Records at page 910, Document No. 589776; and</w:t>
      </w:r>
    </w:p>
    <w:p>
      <w:pPr>
        <w:spacing w:after="0" w:line="15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WHEREAS, an instrument dated as of October 26, 1992, was executed by the Company appointing Peter Morse as Co-Trustee in succession to said C. G. Martens, resigned, under said Mortgage and by Peter Morse accepting the appointment as Co-Trustee under said Mortgage in succession to said C. G. Martens, which instrument was recorded in the office of the Register of Deeds in and for Douglas County, Wisconsin, on November 13, 1992, in Volume 539 of Records at page 9, Document No. 649056; and</w:t>
      </w:r>
    </w:p>
    <w:p>
      <w:pPr>
        <w:spacing w:after="0" w:line="16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Fifth Supplemental Indenture, dated as of December 1, 1992, (hereinafter called its "</w:t>
      </w:r>
      <w:r>
        <w:rPr>
          <w:rFonts w:ascii="Arial" w:cs="Arial" w:eastAsia="Arial" w:hAnsi="Arial"/>
          <w:sz w:val="14"/>
          <w:szCs w:val="14"/>
          <w:i w:val="1"/>
          <w:iCs w:val="1"/>
          <w:color w:val="auto"/>
        </w:rPr>
        <w:t>Fifth Supplemental Indenture</w:t>
      </w:r>
      <w:r>
        <w:rPr>
          <w:rFonts w:ascii="Arial" w:cs="Arial" w:eastAsia="Arial" w:hAnsi="Arial"/>
          <w:sz w:val="14"/>
          <w:szCs w:val="14"/>
          <w:color w:val="auto"/>
        </w:rPr>
        <w:t>"), which was recorded in the office of the Register of Deeds in and for Douglas County, Wisconsin, on December 28, 1992, in Volume 541 of Records at page 229, Document No. 650104;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Sixth Supplemental Indenture, dated as of March 24, 1994 (hereinafter called its "</w:t>
      </w:r>
      <w:r>
        <w:rPr>
          <w:rFonts w:ascii="Arial" w:cs="Arial" w:eastAsia="Arial" w:hAnsi="Arial"/>
          <w:sz w:val="14"/>
          <w:szCs w:val="14"/>
          <w:i w:val="1"/>
          <w:iCs w:val="1"/>
          <w:color w:val="auto"/>
        </w:rPr>
        <w:t>Sixth Supplemental Indenture</w:t>
      </w:r>
      <w:r>
        <w:rPr>
          <w:rFonts w:ascii="Arial" w:cs="Arial" w:eastAsia="Arial" w:hAnsi="Arial"/>
          <w:sz w:val="14"/>
          <w:szCs w:val="14"/>
          <w:color w:val="auto"/>
        </w:rPr>
        <w:t>"), which was recorded in the office of the Register of Deeds in and for Douglas County, Wisconsin, on March 29, 1994, in Volume 568 of Records at page 757, Document No. 662228; and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35" w:right="219" w:bottom="1440" w:gutter="0" w:footer="0" w:header="0"/>
        </w:sectPr>
      </w:pPr>
    </w:p>
    <w:bookmarkStart w:id="112" w:name="page113"/>
    <w:bookmarkEnd w:id="112"/>
    <w:p>
      <w:pPr>
        <w:jc w:val="both"/>
        <w:ind w:firstLine="517"/>
        <w:spacing w:after="0" w:line="328" w:lineRule="auto"/>
        <w:rPr>
          <w:sz w:val="20"/>
          <w:szCs w:val="20"/>
          <w:color w:val="auto"/>
        </w:rPr>
      </w:pPr>
      <w:r>
        <w:rPr>
          <w:rFonts w:ascii="Arial" w:cs="Arial" w:eastAsia="Arial" w:hAnsi="Arial"/>
          <w:sz w:val="13"/>
          <w:szCs w:val="13"/>
          <w:color w:val="auto"/>
        </w:rPr>
        <w:t>WHEREAS, the Company executed and delivered its Seventh Supplemental Indenture, dated as of November 1, 1994 (hereinafter called its "</w:t>
      </w:r>
      <w:r>
        <w:rPr>
          <w:rFonts w:ascii="Arial" w:cs="Arial" w:eastAsia="Arial" w:hAnsi="Arial"/>
          <w:sz w:val="13"/>
          <w:szCs w:val="13"/>
          <w:i w:val="1"/>
          <w:iCs w:val="1"/>
          <w:color w:val="auto"/>
        </w:rPr>
        <w:t>Seventh Supplemental Indenture</w:t>
      </w:r>
      <w:r>
        <w:rPr>
          <w:rFonts w:ascii="Arial" w:cs="Arial" w:eastAsia="Arial" w:hAnsi="Arial"/>
          <w:sz w:val="13"/>
          <w:szCs w:val="13"/>
          <w:color w:val="auto"/>
        </w:rPr>
        <w:t>"), which was recorded in the office of the Register of Deeds in and for Douglas County, Wisconsin, on January 18, 1995, in Volume 583 of Records at page 242, Document No. 669350; and</w:t>
      </w:r>
    </w:p>
    <w:p>
      <w:pPr>
        <w:spacing w:after="0" w:line="130"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WHEREAS, an instrument dated as of January 20, 1995, was executed by The Prudential Insurance Company pursuant to Section 102 of the Mortgage appointing First Bank (N.A.) as Trustee in succession to Chemical Bank as Corporate Trustee and Peter Morse as Co-Trustee under said Mortgage and by First Bank (N.A.) (U.S. Bank National Association, successor) accepting the appointment as Trustee under such Mortgage in succession to said Chemical Bank and said Peter Morse, which instrument was recorded in the Office of the Register of Deeds in and for Douglas County, Wisconsin on April 6, 1995 in Volume 585 of Records at page 953, Document No. 670717; and</w:t>
      </w:r>
    </w:p>
    <w:p>
      <w:pPr>
        <w:spacing w:after="0" w:line="167"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Eighth Supplemental Indenture, dated as of January 1, 1997 (hereinafter called its "</w:t>
      </w:r>
      <w:r>
        <w:rPr>
          <w:rFonts w:ascii="Arial" w:cs="Arial" w:eastAsia="Arial" w:hAnsi="Arial"/>
          <w:sz w:val="14"/>
          <w:szCs w:val="14"/>
          <w:i w:val="1"/>
          <w:iCs w:val="1"/>
          <w:color w:val="auto"/>
        </w:rPr>
        <w:t>Eighth Supplemental Indenture</w:t>
      </w:r>
      <w:r>
        <w:rPr>
          <w:rFonts w:ascii="Arial" w:cs="Arial" w:eastAsia="Arial" w:hAnsi="Arial"/>
          <w:sz w:val="14"/>
          <w:szCs w:val="14"/>
          <w:color w:val="auto"/>
        </w:rPr>
        <w:t>"), which was recorded in the office of the Register of Deeds in and for Douglas County, Wisconsin, on January 7, 1997, in Volume 617 of Records at page 536, Document No. 685699;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Ninth Supplemental Indenture, dated as of October 1, 2007 (hereinafter called its "</w:t>
      </w:r>
      <w:r>
        <w:rPr>
          <w:rFonts w:ascii="Arial" w:cs="Arial" w:eastAsia="Arial" w:hAnsi="Arial"/>
          <w:sz w:val="14"/>
          <w:szCs w:val="14"/>
          <w:i w:val="1"/>
          <w:iCs w:val="1"/>
          <w:color w:val="auto"/>
        </w:rPr>
        <w:t>Ninth Supplemental Indenture</w:t>
      </w:r>
      <w:r>
        <w:rPr>
          <w:rFonts w:ascii="Arial" w:cs="Arial" w:eastAsia="Arial" w:hAnsi="Arial"/>
          <w:sz w:val="14"/>
          <w:szCs w:val="14"/>
          <w:color w:val="auto"/>
        </w:rPr>
        <w:t>"), which was recorded in the office of the Register of Deeds in and for Douglas County, Wisconsin, on September 27, 2007, as Document No. 810920;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executed and delivered its Tenth Supplemental Indenture, dated as of October 1, 2007 (hereinafter called its "</w:t>
      </w:r>
      <w:r>
        <w:rPr>
          <w:rFonts w:ascii="Arial" w:cs="Arial" w:eastAsia="Arial" w:hAnsi="Arial"/>
          <w:sz w:val="14"/>
          <w:szCs w:val="14"/>
          <w:i w:val="1"/>
          <w:iCs w:val="1"/>
          <w:color w:val="auto"/>
        </w:rPr>
        <w:t>Tenth Supplemental Indenture</w:t>
      </w:r>
      <w:r>
        <w:rPr>
          <w:rFonts w:ascii="Arial" w:cs="Arial" w:eastAsia="Arial" w:hAnsi="Arial"/>
          <w:sz w:val="14"/>
          <w:szCs w:val="14"/>
          <w:color w:val="auto"/>
        </w:rPr>
        <w:t>"), which was recorded in the office of the Register of Deeds in and for Douglas County, Wisconsin, on September 27, 2007, as Document No. 810921; and;</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WHEREAS, in addition to the property described in the Mortgage, as heretofore supplemented, the Company has acquired certain other property, rights and interests in property; and</w:t>
      </w:r>
    </w:p>
    <w:p>
      <w:pPr>
        <w:spacing w:after="0" w:line="21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WHEREAS, the Company has heretofore issued, in accordance with the provisions of the Mortgage, bonds of a series entitled and designated First Mortgage Bonds, 3 3/8% Series due 1973 (the "</w:t>
      </w:r>
      <w:r>
        <w:rPr>
          <w:rFonts w:ascii="Arial" w:cs="Arial" w:eastAsia="Arial" w:hAnsi="Arial"/>
          <w:sz w:val="13"/>
          <w:szCs w:val="13"/>
          <w:i w:val="1"/>
          <w:iCs w:val="1"/>
          <w:color w:val="auto"/>
        </w:rPr>
        <w:t>Bonds of the First Series</w:t>
      </w:r>
      <w:r>
        <w:rPr>
          <w:rFonts w:ascii="Arial" w:cs="Arial" w:eastAsia="Arial" w:hAnsi="Arial"/>
          <w:sz w:val="13"/>
          <w:szCs w:val="13"/>
          <w:color w:val="auto"/>
        </w:rPr>
        <w:t>"), in the aggregate principal amount of Two Million Five Hundred Thousand Dollars ($2,500,000), none of which Bonds of the First Series are now Outstanding; bonds of a series entitled and designated First Mortgage Bonds, 3 1/10% Series due 1981 (the "</w:t>
      </w:r>
      <w:r>
        <w:rPr>
          <w:rFonts w:ascii="Arial" w:cs="Arial" w:eastAsia="Arial" w:hAnsi="Arial"/>
          <w:sz w:val="13"/>
          <w:szCs w:val="13"/>
          <w:i w:val="1"/>
          <w:iCs w:val="1"/>
          <w:color w:val="auto"/>
        </w:rPr>
        <w:t>Bonds of the Second Series</w:t>
      </w:r>
      <w:r>
        <w:rPr>
          <w:rFonts w:ascii="Arial" w:cs="Arial" w:eastAsia="Arial" w:hAnsi="Arial"/>
          <w:sz w:val="13"/>
          <w:szCs w:val="13"/>
          <w:color w:val="auto"/>
        </w:rPr>
        <w:t>"), in the aggregate principal amount of Five Million Dollars ($5,000,000), none of which Bonds of the Second Series are now Outstanding; bonds of a series entitled and designated First Mortgage Bonds, 5% Series due 1992 (the "</w:t>
      </w:r>
      <w:r>
        <w:rPr>
          <w:rFonts w:ascii="Arial" w:cs="Arial" w:eastAsia="Arial" w:hAnsi="Arial"/>
          <w:sz w:val="13"/>
          <w:szCs w:val="13"/>
          <w:i w:val="1"/>
          <w:iCs w:val="1"/>
          <w:color w:val="auto"/>
        </w:rPr>
        <w:t>Bonds of the Third Series</w:t>
      </w:r>
      <w:r>
        <w:rPr>
          <w:rFonts w:ascii="Arial" w:cs="Arial" w:eastAsia="Arial" w:hAnsi="Arial"/>
          <w:sz w:val="13"/>
          <w:szCs w:val="13"/>
          <w:color w:val="auto"/>
        </w:rPr>
        <w:t>"), in the aggregate principal amount of Two Million Seven Hundred Thousand Dollars ($2,700,000), none of which Bonds of the Third Series are now outstanding; bonds of a series entitled and designated First Mortgage Bonds, 9 5/8% Series due 2001 (the "</w:t>
      </w:r>
      <w:r>
        <w:rPr>
          <w:rFonts w:ascii="Arial" w:cs="Arial" w:eastAsia="Arial" w:hAnsi="Arial"/>
          <w:sz w:val="13"/>
          <w:szCs w:val="13"/>
          <w:i w:val="1"/>
          <w:iCs w:val="1"/>
          <w:color w:val="auto"/>
        </w:rPr>
        <w:t>Bonds of the Fourth Series</w:t>
      </w:r>
      <w:r>
        <w:rPr>
          <w:rFonts w:ascii="Arial" w:cs="Arial" w:eastAsia="Arial" w:hAnsi="Arial"/>
          <w:sz w:val="13"/>
          <w:szCs w:val="13"/>
          <w:color w:val="auto"/>
        </w:rPr>
        <w:t>"), the interest rate for which bonds was modified to 6.10% by the Sixth</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35" w:right="219" w:bottom="1440" w:gutter="0" w:footer="0" w:header="0"/>
        </w:sectPr>
      </w:pPr>
    </w:p>
    <w:bookmarkStart w:id="113" w:name="page114"/>
    <w:bookmarkEnd w:id="113"/>
    <w:p>
      <w:pPr>
        <w:jc w:val="both"/>
        <w:spacing w:after="0" w:line="260" w:lineRule="auto"/>
        <w:rPr>
          <w:sz w:val="20"/>
          <w:szCs w:val="20"/>
          <w:color w:val="auto"/>
        </w:rPr>
      </w:pPr>
      <w:r>
        <w:rPr>
          <w:rFonts w:ascii="Arial" w:cs="Arial" w:eastAsia="Arial" w:hAnsi="Arial"/>
          <w:sz w:val="14"/>
          <w:szCs w:val="14"/>
          <w:color w:val="auto"/>
        </w:rPr>
        <w:t>Supplemental Indenture, in the aggregate principal amount of Three Million Dollars ($3,000,000), none of which bonds of the Fourth Series are now outstanding; bonds of a series entitled and designated First Mortgage Bonds, 12 1/2% Series due 1992 (the "</w:t>
      </w:r>
      <w:r>
        <w:rPr>
          <w:rFonts w:ascii="Arial" w:cs="Arial" w:eastAsia="Arial" w:hAnsi="Arial"/>
          <w:sz w:val="14"/>
          <w:szCs w:val="14"/>
          <w:i w:val="1"/>
          <w:iCs w:val="1"/>
          <w:color w:val="auto"/>
        </w:rPr>
        <w:t>Bonds of the Fifth Series</w:t>
      </w:r>
      <w:r>
        <w:rPr>
          <w:rFonts w:ascii="Arial" w:cs="Arial" w:eastAsia="Arial" w:hAnsi="Arial"/>
          <w:sz w:val="14"/>
          <w:szCs w:val="14"/>
          <w:color w:val="auto"/>
        </w:rPr>
        <w:t>"), in the aggregate principal amount of Three Million Five Hundred Thousand Dollars ($3,500,000), none of which Bonds of the Fifth Series are now outstanding; Bonds of a series entitled and designated First Mortgage Bonds, 7.91% Series due 2013 (the "</w:t>
      </w:r>
      <w:r>
        <w:rPr>
          <w:rFonts w:ascii="Arial" w:cs="Arial" w:eastAsia="Arial" w:hAnsi="Arial"/>
          <w:sz w:val="14"/>
          <w:szCs w:val="14"/>
          <w:i w:val="1"/>
          <w:iCs w:val="1"/>
          <w:color w:val="auto"/>
        </w:rPr>
        <w:t>Bonds of the Sixth Series</w:t>
      </w:r>
      <w:r>
        <w:rPr>
          <w:rFonts w:ascii="Arial" w:cs="Arial" w:eastAsia="Arial" w:hAnsi="Arial"/>
          <w:sz w:val="14"/>
          <w:szCs w:val="14"/>
          <w:color w:val="auto"/>
        </w:rPr>
        <w:t>"), in the aggregate principal amount of Five Million Dollars ($5,000,000) of which One Million Two Hundred Fifty Thousand Dollars ($1,250,000) aggregate principal amount is now outstanding; Bonds of a series entitled and designated First Mortgage Bonds, 7.27% Series due 2008 (the "</w:t>
      </w:r>
      <w:r>
        <w:rPr>
          <w:rFonts w:ascii="Arial" w:cs="Arial" w:eastAsia="Arial" w:hAnsi="Arial"/>
          <w:sz w:val="14"/>
          <w:szCs w:val="14"/>
          <w:i w:val="1"/>
          <w:iCs w:val="1"/>
          <w:color w:val="auto"/>
        </w:rPr>
        <w:t>Bonds of the Seventh Series</w:t>
      </w:r>
      <w:r>
        <w:rPr>
          <w:rFonts w:ascii="Arial" w:cs="Arial" w:eastAsia="Arial" w:hAnsi="Arial"/>
          <w:sz w:val="14"/>
          <w:szCs w:val="14"/>
          <w:color w:val="auto"/>
        </w:rPr>
        <w:t>"), in the aggregate principal amount of Six Million Dollars ($6,000,000), the full amount of which remains outstanding; Bonds of a series entitled and designated First Mortgage Bonds, 5.375% Series due 2021 (the "</w:t>
      </w:r>
      <w:r>
        <w:rPr>
          <w:rFonts w:ascii="Arial" w:cs="Arial" w:eastAsia="Arial" w:hAnsi="Arial"/>
          <w:sz w:val="14"/>
          <w:szCs w:val="14"/>
          <w:i w:val="1"/>
          <w:iCs w:val="1"/>
          <w:color w:val="auto"/>
        </w:rPr>
        <w:t>Bonds of the Eighth Series</w:t>
      </w:r>
      <w:r>
        <w:rPr>
          <w:rFonts w:ascii="Arial" w:cs="Arial" w:eastAsia="Arial" w:hAnsi="Arial"/>
          <w:sz w:val="14"/>
          <w:szCs w:val="14"/>
          <w:color w:val="auto"/>
        </w:rPr>
        <w:t>"), in the aggregate principal amount of Six Million Three Hundred Seventy Thousand Dollars ($6,370,000), the full amount of which remains outstanding; and Bonds of a series entitled and designated First Mortgage Bonds, 5.75% Series due November 1, 2037 (the "</w:t>
      </w:r>
      <w:r>
        <w:rPr>
          <w:rFonts w:ascii="Arial" w:cs="Arial" w:eastAsia="Arial" w:hAnsi="Arial"/>
          <w:sz w:val="14"/>
          <w:szCs w:val="14"/>
          <w:i w:val="1"/>
          <w:iCs w:val="1"/>
          <w:color w:val="auto"/>
        </w:rPr>
        <w:t>Bonds of the Ninth Series</w:t>
      </w:r>
      <w:r>
        <w:rPr>
          <w:rFonts w:ascii="Arial" w:cs="Arial" w:eastAsia="Arial" w:hAnsi="Arial"/>
          <w:sz w:val="14"/>
          <w:szCs w:val="14"/>
          <w:color w:val="auto"/>
        </w:rPr>
        <w:t>"), in the aggregate principal amount of Six Million One Hundred Thirty Thousand Dollars ($6,130,000), the full amount of which remains outstanding; and</w:t>
      </w:r>
    </w:p>
    <w:p>
      <w:pPr>
        <w:spacing w:after="0" w:line="176"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WHEREAS, Section 8 of the Mortgage provides that the form of each series of bonds (other than Bonds of the First Series) issued thereunder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and</w:t>
      </w:r>
    </w:p>
    <w:p>
      <w:pPr>
        <w:spacing w:after="0" w:line="147"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WHEREAS, Section 120 of the Mortgage provides, among other things, that the Company may enter into any further covenants, limitations or restrictions for the benefit of any one or more series of bonds issued thereunder, or the Company may establish the terms and provisions of any series of bonds other than said Bonds of the First Series, by an instrument in writing executed and acknowledged by the Company in such manner as would be necessary to entitle a conveyance of real estate to be of record in all of the states in which any property at the time subject to the lien of the Mortgage shall be situated; and</w:t>
      </w:r>
    </w:p>
    <w:p>
      <w:pPr>
        <w:spacing w:after="0" w:line="167"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Company now desires to create a new series of bonds and to add to the covenants, limitations or restrictions contained in the Mortgage certain other covenants, limitations or restrictions to be observed by it and to amend the Mortgage; and</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WHEREAS, the execution and delivery by the Company of this Eleventh Supplemental Indenture, and the terms of the Bonds of the Tenth Series hereinafter referred to, have been duly authorized by the Board of Directors of the Company by appropriate resolutions of said Board of Directors;</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NOW, THEREFORE, THIS INDENTURE WITNESSETH: That Superior Water, Light and Power Company, in consideration of the premises and of One Dollar ($1) to it duly paid by the Trustee at or before the ensealing and delivery of these presents, the receipt whereof is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14" w:name="page115"/>
    <w:bookmarkEnd w:id="114"/>
    <w:p>
      <w:pPr>
        <w:jc w:val="both"/>
        <w:spacing w:after="0" w:line="283" w:lineRule="auto"/>
        <w:rPr>
          <w:sz w:val="20"/>
          <w:szCs w:val="20"/>
          <w:color w:val="auto"/>
        </w:rPr>
      </w:pPr>
      <w:r>
        <w:rPr>
          <w:rFonts w:ascii="Arial" w:cs="Arial" w:eastAsia="Arial" w:hAnsi="Arial"/>
          <w:sz w:val="13"/>
          <w:szCs w:val="13"/>
          <w:color w:val="auto"/>
        </w:rPr>
        <w:t>hereby acknowledged, and in further evidence of assurance of the estate, title and rights of the Trustee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U.S. Bank National Association, as Trustee under the Mortgage, and to its successor or successors in said trust, and to said Trustee and its successors and assigns forever, all and singular the permits, franchises, rights, privileges, grants and property, real, personal and mixed, now owned or which may be hereafter acquired by the Company (except any of the character herein or in the Mortgage expressly excepted), including (but not limited to) its electric light and power works, gas works, water works, buildings, structures, machinery, equipment, mains, pipes, lines, poles, wires, easements, rights of way, permits, franchises, rights, privileges, grants and all property of every kind and description, situated in the City of Superior, Douglas County, Wisconsin, or elsewhere in Douglas County, Wisconsin, in Washburn County, Wisconsin, or in any other place or places now owned by the Company, or that may be hereafter acquired by it, including, but not limited to, the following described properties of the Company--that is to say:</w:t>
      </w:r>
    </w:p>
    <w:p>
      <w:pPr>
        <w:spacing w:after="0" w:line="159"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3"/>
          <w:szCs w:val="13"/>
          <w:color w:val="auto"/>
        </w:rPr>
        <w:t>All property, real, personal and mixed, acquired by the Company after the date of the execution and delivery of the Mortgage (except any herein or in the Mortgage, as heretofore supplemented, expressly excepted), now owned or hereafter acquired by the Company and wheresoever situated, including (without in any wise limiting or impairing by the enumeration of the same the scope and intent of the foregoing or of any general description contained in this Eleventh Supplemental Indenture) all lands, power sites, flowage rights, water rights, water franchises, water locations, water appropriations, ditches, flumes, reservoirs, reservoir sites, canals, raceways, dams, dam sites, aqueducts, and all other rights or means for appropriating, conveying, storing and supplying water; all rights of way and roads; all plants, works, reservoirs and tanks for the pumping and purification of water; all water works; all plants for the generation of electricity by water, steam and/or other power; all power houses, gas plants, street lighting systems, standards and other equipment incidental thereto, telephone, radio and television systems, air-conditioning systems and equipment incidental thereto, water systems, steam heat and hot water plants, substations, lines, service and supply systems, bridges, culverts, tracks, street and interurban railway systems, offices, buildings and other structures and the equipment thereof; all machinery, engines, boilers, dynamos, water, electric, gas and other machines, regulators, meters, transformers, generators, motors, water, electrical, gas and mechanical appliances, conduits, cables, water, steam, heat, gas or other mains and pipes, service pipes, fittings, valves and connections, pole and transmission lines, wires, cables, tools, implements, apparatus, furniture, chattels and choses in action; all municipal and other franchises, consents or permits; all lines for the transmission and distribution of water, electric current, gas, steam heat or hot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15" w:name="page116"/>
    <w:bookmarkEnd w:id="115"/>
    <w:p>
      <w:pPr>
        <w:jc w:val="both"/>
        <w:ind w:firstLine="517"/>
        <w:spacing w:after="0" w:line="267" w:lineRule="auto"/>
        <w:rPr>
          <w:sz w:val="20"/>
          <w:szCs w:val="20"/>
          <w:color w:val="auto"/>
        </w:rPr>
      </w:pPr>
      <w:r>
        <w:rPr>
          <w:rFonts w:ascii="Arial" w:cs="Arial" w:eastAsia="Arial" w:hAnsi="Arial"/>
          <w:sz w:val="14"/>
          <w:szCs w:val="14"/>
          <w:color w:val="auto"/>
        </w:rPr>
        <w:t>Together with all and singular the tenements, hereditaments and appurtenances belonging or in any 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67"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It is hereby agreed by the Company that all the property, rights and franchises acquired by the Company after the date hereof (except any herein or in the Mortgage, as heretofore supplemented, expressly excepted) shall be and are as fully granted and conveyed hereby and as fully embraced within the lien of the Mortgage as if such property, rights and franchises were now owned by the Company and were specifically described herein and conveyed hereby.</w:t>
      </w:r>
    </w:p>
    <w:p>
      <w:pPr>
        <w:spacing w:after="0" w:line="164"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the following are not and are not intended to be now or hereafter granted, bargained, sold, released, conveyed, assigned, transferred, mortgaged, pledged, set over or confirmed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hereunder and are hereby expressly excepted from the lien and operation of the Mortgage, viz: (1) cash, shares of stock, bonds, notes and other obligations and other securities not hereafter specifically pledged, paid, deposited, delivered or held under the Mortgage or covenanted so to be; (2) merchandise, equipment, materials or supplies held for the purpose of sale in the usual course of business and fuel, oil and similar materials and supplies consumable in the operation of any properties of the Company; rolling stock, buses, motor coaches, automobiles and other vehicles; (3) bills, notes and accounts receivable, and all contracts, leases and operating agreements not specifically pledged under the Mortgage or covenanted so to be; the last day of the term of any lease or leasehold which may heretofore have or hereafter may become subject to the lien of the Mortgage; (4) water, electric energy, gas, ice and other materials or products pumped, stored, generated, manufactured, produced or purchased by the Company for sale, distribution or use in the ordinary course of its business; (5) the Company's franchise to be a corporation; and (6) all permits, franchises, rights, privileges, grants and property in the state of Minnesota now owned or hereafter acquired unless such permits, franchises, rights, privileges, grants and property in the state of Minnesota shall have been subjected to the lien of the Mortgage by an indenture or indentures supplemental to the Mortgage, pursuant to authorization of the Board of Directors of the Company, whereupon all the permits, franchises, rights, privileges, grants and property then owned or thereafter acquired by the Company in the state of Minnesota (except property of the character expressly excepted from the lien of the Mortgage in clauses (1) to (5) above, inclusive), shall become and be subject to the lien of the Mortgage as part of the Mortgaged and Pledged Property and may be released, funded and otherwise dealt with on the same terms and subject to the same conditions and restrictions as though not theretofore excepted from the lien of the Mortgage;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property and rights expressly excepted from the lien and operation of the Mortgage in the above subdivisions (2) and (3) shall (to the extent permitted by law) cease to be so excepted in the event and as of the date that the Trustee or a receiver or trustee shall enter upon and take possession of the Mortgaged and Pledged Property in the manner provided in Article XIII of the Mortgage by reason of the occurrence of a Default as defined in Section 65 of the Mortgage.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16" w:name="page117"/>
    <w:bookmarkEnd w:id="116"/>
    <w:p>
      <w:pPr>
        <w:jc w:val="both"/>
        <w:ind w:firstLine="517"/>
        <w:spacing w:after="0" w:line="288" w:lineRule="auto"/>
        <w:rPr>
          <w:sz w:val="20"/>
          <w:szCs w:val="20"/>
          <w:color w:val="auto"/>
        </w:rPr>
      </w:pPr>
      <w:r>
        <w:rPr>
          <w:rFonts w:ascii="Arial" w:cs="Arial" w:eastAsia="Arial" w:hAnsi="Arial"/>
          <w:sz w:val="14"/>
          <w:szCs w:val="14"/>
          <w:color w:val="auto"/>
        </w:rPr>
        <w:t>To have and to hold all such properties, real, personal and mixed, granted, bargained, sold, released, conveyed, assigned, transferred, mortgaged, pledged, set over or confirmed by the Company as aforesaid, or intended so to be, unto U.S. Bank National Association as Trustee, and its successors and assigns forever.</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In trust nevertheless, for the same purposes and upon the same terms, trusts and conditions and subject to and with the same provisos and covenants as are set forth in the Mortgage, as heretofore supplemented, this Eleventh Supplemental Indenture being supplemental thereto.</w:t>
      </w:r>
    </w:p>
    <w:p>
      <w:pPr>
        <w:spacing w:after="0" w:line="152"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the Trustee and the beneficiaries of the trust with respect to said property, and to the Trustee and its successors as Trustee of said property, in the same manner and with the same effect as if said property had been owned by the Company at the time of the execution of the Mortgage, and had been specifically and at length described in and conveyed to the Trustee by the Mortgage as part of the property therein stated to be conveyed.</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further covenants and agrees to and with the Trustee and its successors in said trust under the Mortgage as follows: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BONDS OF THE TENTH SERIES</w:t>
      </w:r>
    </w:p>
    <w:p>
      <w:pPr>
        <w:spacing w:after="0" w:line="209" w:lineRule="exact"/>
        <w:rPr>
          <w:sz w:val="20"/>
          <w:szCs w:val="20"/>
          <w:color w:val="auto"/>
        </w:rPr>
      </w:pPr>
    </w:p>
    <w:p>
      <w:pPr>
        <w:jc w:val="both"/>
        <w:ind w:firstLine="667"/>
        <w:spacing w:after="0" w:line="261" w:lineRule="auto"/>
        <w:rPr>
          <w:sz w:val="20"/>
          <w:szCs w:val="20"/>
          <w:color w:val="auto"/>
        </w:rPr>
      </w:pPr>
      <w:r>
        <w:rPr>
          <w:rFonts w:ascii="Arial" w:cs="Arial" w:eastAsia="Arial" w:hAnsi="Arial"/>
          <w:sz w:val="14"/>
          <w:szCs w:val="14"/>
          <w:i w:val="1"/>
          <w:iCs w:val="1"/>
          <w:color w:val="auto"/>
        </w:rPr>
        <w:t xml:space="preserve">Section 1.1. </w:t>
      </w:r>
      <w:r>
        <w:rPr>
          <w:rFonts w:ascii="Arial" w:cs="Arial" w:eastAsia="Arial" w:hAnsi="Arial"/>
          <w:sz w:val="14"/>
          <w:szCs w:val="14"/>
          <w:color w:val="auto"/>
        </w:rPr>
        <w:t>There shall be a tenth series of bonds designated</w:t>
      </w:r>
      <w:r>
        <w:rPr>
          <w:rFonts w:ascii="Arial" w:cs="Arial" w:eastAsia="Arial" w:hAnsi="Arial"/>
          <w:sz w:val="14"/>
          <w:szCs w:val="14"/>
          <w:i w:val="1"/>
          <w:iCs w:val="1"/>
          <w:color w:val="auto"/>
        </w:rPr>
        <w:t xml:space="preserve"> “First Mortgage Bonds, 7.25% Series due December 15, 2013” </w:t>
      </w:r>
      <w:r>
        <w:rPr>
          <w:rFonts w:ascii="Arial" w:cs="Arial" w:eastAsia="Arial" w:hAnsi="Arial"/>
          <w:sz w:val="14"/>
          <w:szCs w:val="14"/>
          <w:color w:val="auto"/>
        </w:rPr>
        <w:t>(the</w:t>
      </w:r>
      <w:r>
        <w:rPr>
          <w:rFonts w:ascii="Arial" w:cs="Arial" w:eastAsia="Arial" w:hAnsi="Arial"/>
          <w:sz w:val="14"/>
          <w:szCs w:val="14"/>
          <w:i w:val="1"/>
          <w:iCs w:val="1"/>
          <w:color w:val="auto"/>
        </w:rPr>
        <w:t xml:space="preserve"> “Bonds of the Tenth Series”</w:t>
      </w:r>
      <w:r>
        <w:rPr>
          <w:rFonts w:ascii="Arial" w:cs="Arial" w:eastAsia="Arial" w:hAnsi="Arial"/>
          <w:sz w:val="14"/>
          <w:szCs w:val="14"/>
          <w:color w:val="auto"/>
        </w:rPr>
        <w:t>), which shall be limited to</w:t>
      </w:r>
      <w:r>
        <w:rPr>
          <w:rFonts w:ascii="Arial" w:cs="Arial" w:eastAsia="Arial" w:hAnsi="Arial"/>
          <w:sz w:val="14"/>
          <w:szCs w:val="14"/>
          <w:i w:val="1"/>
          <w:iCs w:val="1"/>
          <w:color w:val="auto"/>
        </w:rPr>
        <w:t xml:space="preserve"> </w:t>
      </w:r>
      <w:r>
        <w:rPr>
          <w:rFonts w:ascii="Arial" w:cs="Arial" w:eastAsia="Arial" w:hAnsi="Arial"/>
          <w:sz w:val="14"/>
          <w:szCs w:val="14"/>
          <w:color w:val="auto"/>
        </w:rPr>
        <w:t>$10,000,000 aggregate principal amount, and shall be issued as fully registered bonds without coupons in the denominations of $1,000 or any multiple thereof. The Bonds of the Tenth Series shall be dated on the date of issuance thereof, mature on December 15, 2013 or upon earlier acceleration or redemption, and shall bear interest (computed on the basis of a 360-day year of twelve 30 day months) from their date of issuance, at the rate of 7.25% per annum, payable semiannually on June 15 and December 15 of each year commencing June 15, 2009 and at the rate of 9.25% per annum on any overdue payment of principal or premium, if any, and to the extent enforceable under applicable law, or any overdue payment of interest. The Bonds of the Tenth Series shall be numbered R-1 and upward and otherwise shall be substantially in the form attached hereto as Exhibit A. Except as hereinafter provided, the principal of, and the premium, if any, and the interest on each said bond to be payable at the office of the Company in Superior, Wisconsin or agency of the Company in the City of St. Paul, Minnesota, in such coin or currency of the United States of America as at the time of payment is legal tender for public and private debts.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17" w:name="page118"/>
    <w:bookmarkEnd w:id="117"/>
    <w:p>
      <w:pPr>
        <w:jc w:val="both"/>
        <w:ind w:firstLine="517"/>
        <w:spacing w:after="0" w:line="262" w:lineRule="auto"/>
        <w:rPr>
          <w:sz w:val="20"/>
          <w:szCs w:val="20"/>
          <w:color w:val="auto"/>
        </w:rPr>
      </w:pPr>
      <w:r>
        <w:rPr>
          <w:rFonts w:ascii="Arial" w:cs="Arial" w:eastAsia="Arial" w:hAnsi="Arial"/>
          <w:sz w:val="14"/>
          <w:szCs w:val="14"/>
          <w:color w:val="auto"/>
        </w:rPr>
        <w:t xml:space="preserve">Notwithstanding any provision to the contrary in the Mortgage or the Bonds of the Tenth Series, the first paragraph of Section 9 of the Bond Purchase Agreement shall govern the method of payment of principal, premium, if any, and interest on the Bonds of the Tenth Series to the holders thereof;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Trustee shall have no obligation to comply with the provisions of Section 9 with respect to any transferee of the Purchaser or any other holder of the Bonds of the Tenth Series until such transferee or holder shall have made the agreement described in Section 9. Subject to such proviso, the Trustee hereby consents to the method of payment described in Section 9. The Trustee shall not be liable or responsible to any holder of Bonds of the Tenth Series entitled to the benefits of Section 9 or to any transferee thereof or to the Company for any act or omission to act on the part of the Company or any such holder of Bonds of the Tenth Series in connection with Section 9. The Company hereby indemnifies the Trustee against all liabilities, if any, resulting from acts or omissions on its part or on the part of the Company in connection with Section 9.</w:t>
      </w:r>
    </w:p>
    <w:p>
      <w:pPr>
        <w:spacing w:after="0" w:line="171"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 xml:space="preserve">The Bonds of the Tenth Series shall be dated as of the date of authentication thereof by the Trustee (except that if any Bond of the Tenth Series shall be authenticated on an interest payment date for the Bonds of the Tenth Series to which interest has been paid, such Bond shall be dated as of the day following) and shall bear interest from the fifteenth day of June or December, as the case may be, next preceding the date of such Bond to which interest has been paid;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if any such Bond shall be authenticated before June 15, 2009, such Bond shall bear interest from the date of the original issue of the Bonds of the Tenth Series;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if the Company shall at the time of the authentication of any Bond of the Tenth Series be in default in the payment of interest upon the Bonds of the Tenth Series, such Bond shall be dated as of, and shall bear interest from, the date of the beginning of the period for which such interest is so in default.</w:t>
      </w:r>
    </w:p>
    <w:p>
      <w:pPr>
        <w:spacing w:after="0" w:line="170"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Upon notice as provided in the following paragraph, the Bonds of the Tenth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in any such case at 100% of the principal amount of the Bonds being redeemed plus interest accrued thereon to the date of redemption, together with a premium equal to the Make-Whole Amount, if any, with respect to the Bonds of the Tenth Series being redeemed determined five Business Days prior to the date of such redemption.</w:t>
      </w:r>
    </w:p>
    <w:p>
      <w:pPr>
        <w:spacing w:after="0" w:line="171"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Notice of any redemption of the Bonds of the Tenth Series shall be given by mail, postage prepaid, at least 30 but not more than 60 days prior to the date of redemption, to the registered owners of all Bonds of the Tenth Series to be so redeemed at their respective addresses appearing on the books maintained by the Company pursuant to Section 13 of the Mortgage. Any notice which is mailed as herein provided shall be conclusively presumed to have been properly and sufficiently given on the date of such mailing, whether or not the registered owner receives the notice. In any case, failure to give notice by mail, or any defect in such notice, to the registered owner of any Bond of the Tenth Series designated for redemption in whole or in part shall not affect the validity of the proceedings for the redemption of any other Bond of the Tenth Series. Two Business Days prior to the redemption date specified in such notice, the Company shall provide each registered owner of Bonds of the Tenth Series to be redeemed with written notice of the premium, if any, payable with respect thereto and a reasonably detailed computation of the Make-Whole Amount.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18" w:name="page119"/>
    <w:bookmarkEnd w:id="118"/>
    <w:p>
      <w:pPr>
        <w:jc w:val="both"/>
        <w:ind w:firstLine="517"/>
        <w:spacing w:after="0" w:line="328" w:lineRule="auto"/>
        <w:rPr>
          <w:sz w:val="20"/>
          <w:szCs w:val="20"/>
          <w:color w:val="auto"/>
        </w:rPr>
      </w:pPr>
      <w:r>
        <w:rPr>
          <w:rFonts w:ascii="Arial" w:cs="Arial" w:eastAsia="Arial" w:hAnsi="Arial"/>
          <w:sz w:val="13"/>
          <w:szCs w:val="13"/>
          <w:color w:val="auto"/>
        </w:rPr>
        <w:t>All partial redemptions of Bonds of the Tenth Series shall be made ratably among all registered owners thereof in the proportion which the principal amount of the Bonds held by each registered owner bears to the aggregate principal amount of all Bonds of the Tenth Series then outstanding, computed to the nearest $1,000 principal amount of the Bonds of the Tenth Series.</w:t>
      </w:r>
    </w:p>
    <w:p>
      <w:pPr>
        <w:spacing w:after="0" w:line="130"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3"/>
          <w:szCs w:val="13"/>
          <w:color w:val="auto"/>
        </w:rPr>
        <w:t xml:space="preserve">In the event that the principal amount of the Bonds of the Tenth Series is declared due and payable upon the occurrence of a Default or becomes due and payable pursuant to Section 73 of the Mortgage, there shall then become due and payable, together with the principal amount of the Bonds of the Tenth Series and interest accrued thereon, a premium equal to the amount of the Make-Whole Amount which would have been payable with respect to such Bonds of the Tenth Series, if they had been redeemed at the option of the Company pursuant to Section 1.1 in this Eleventh Supplemental Indenture on the date on which the Bonds of the Tenth Series became due and payable;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premium, if any, with respect to the Bonds of the Tenth Series shall become due and payable only if such Default is, or such sale is made following a Default, other than one specified in subsections (e) or (f) of Section 65 of the Mortgage.</w:t>
      </w:r>
    </w:p>
    <w:p>
      <w:pPr>
        <w:spacing w:after="0" w:line="156"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4"/>
          <w:szCs w:val="14"/>
          <w:color w:val="auto"/>
        </w:rPr>
        <w:t>Any Bonds of the Tenth Series shall be transferable by the registered owner thereof in person, or by its attorney duly authorized in writing, at the office or agency of the Company in the City of St. Paul, Minnesota, or the office of the Company in Superior, Wisconsin, upon surrender thereof for cancellation, together with a written instrument of transfer in form approved by the Company duly executed by such registered owner or by its duly authorized attorney. Upon any such transfer, a new Bond or Bonds of the Tenth Series for the same aggregate principal amount will be issued to the transferee in exchange therefor. Any Bond of the Tenth Series may, at the option of the registered owner thereof and upon surrender thereof for cancellation at such office or agency, be exchanged as prescribed in the Mortgage for another Bond or Bonds of the Tenth Series of other authorized denominations having the same aggregate principal amount. In the event any written instrument of transfer is required in connection with any transfer or exchange of any Bond of the Tenth Series, an instrument in the form attached hereto as Exhibit B is hereby approved by the Company for the purposes of Section 12 of the Mortgage.</w:t>
      </w:r>
    </w:p>
    <w:p>
      <w:pPr>
        <w:spacing w:after="0" w:line="171"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Notwithstanding any provision of Section 12 or Section 16 of the Mortgage, (a) no charge will be made by the Company for any transfer or exchange of any Bond of the Tenth Series or, in the case of any lost, destroyed or mutilated Bond, the issuance, authentication and delivery of a new Bond of the Tenth Series in substitution thereof, whether for any stamp tax or other governmental charge, if any, applicable thereto or otherwise, and the Company shall reimburse the Trustee for all expenses incurred in connection therewith and (b) in the event of any loss, destruction or mutilation of any Bond of the Tenth Series, and a request by the holder for issuance of a new Bond of the Tenth Series in substitution therefor, the holder's unsecured indemnity agreement shall be deemed to be satisfactory to the Company and the Trustee for purposes of Section 16 of the Mortgage.</w:t>
      </w:r>
    </w:p>
    <w:p>
      <w:pPr>
        <w:spacing w:after="0" w:line="165" w:lineRule="exact"/>
        <w:rPr>
          <w:sz w:val="20"/>
          <w:szCs w:val="20"/>
          <w:color w:val="auto"/>
        </w:rPr>
      </w:pPr>
    </w:p>
    <w:p>
      <w:pPr>
        <w:jc w:val="both"/>
        <w:ind w:firstLine="517"/>
        <w:spacing w:after="0" w:line="252" w:lineRule="auto"/>
        <w:rPr>
          <w:sz w:val="20"/>
          <w:szCs w:val="20"/>
          <w:color w:val="auto"/>
        </w:rPr>
      </w:pPr>
      <w:r>
        <w:rPr>
          <w:rFonts w:ascii="Arial" w:cs="Arial" w:eastAsia="Arial" w:hAnsi="Arial"/>
          <w:sz w:val="17"/>
          <w:szCs w:val="17"/>
          <w:color w:val="auto"/>
        </w:rPr>
        <w:t>Notwithstanding any provision of Section 15 of the Mortgage, Bonds of the Tenth Series shall be authenticated, issued and delivered only as definitive bonds. Bonds of the Tenth Series so authenticated, issued and delivered may be in the form of fully engraved bonds, bonds printed or lithographed on engraved borders, bonds printed or bonds typewritten.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4"/>
          <w:szCs w:val="14"/>
          <w:b w:val="1"/>
          <w:bCs w:val="1"/>
          <w:color w:val="auto"/>
        </w:rPr>
        <w:t>ARTICLE 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COVENANTS AND RESTRICTIONS</w:t>
      </w:r>
    </w:p>
    <w:p>
      <w:pPr>
        <w:spacing w:after="0" w:line="209" w:lineRule="exact"/>
        <w:rPr>
          <w:sz w:val="20"/>
          <w:szCs w:val="20"/>
          <w:color w:val="auto"/>
        </w:rPr>
      </w:pPr>
    </w:p>
    <w:p>
      <w:pPr>
        <w:jc w:val="both"/>
        <w:ind w:firstLine="765"/>
        <w:spacing w:after="0" w:line="280" w:lineRule="auto"/>
        <w:rPr>
          <w:sz w:val="20"/>
          <w:szCs w:val="20"/>
          <w:color w:val="auto"/>
        </w:rPr>
      </w:pPr>
      <w:r>
        <w:rPr>
          <w:rFonts w:ascii="Arial" w:cs="Arial" w:eastAsia="Arial" w:hAnsi="Arial"/>
          <w:sz w:val="13"/>
          <w:szCs w:val="13"/>
          <w:i w:val="1"/>
          <w:iCs w:val="1"/>
          <w:color w:val="auto"/>
        </w:rPr>
        <w:t xml:space="preserve">Section 2.1. </w:t>
      </w:r>
      <w:r>
        <w:rPr>
          <w:rFonts w:ascii="Arial" w:cs="Arial" w:eastAsia="Arial" w:hAnsi="Arial"/>
          <w:sz w:val="13"/>
          <w:szCs w:val="13"/>
          <w:color w:val="auto"/>
        </w:rPr>
        <w:t>The Company covenants that, so long as any Bonds of the Tenth Series are outstanding, it will not merge or consolidate with any other Person or sell, lease or transfer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otherwise dispose (a </w:t>
      </w:r>
      <w:r>
        <w:rPr>
          <w:rFonts w:ascii="Arial" w:cs="Arial" w:eastAsia="Arial" w:hAnsi="Arial"/>
          <w:sz w:val="13"/>
          <w:szCs w:val="13"/>
          <w:i w:val="1"/>
          <w:iCs w:val="1"/>
          <w:color w:val="auto"/>
        </w:rPr>
        <w:t>“Disposition”</w:t>
      </w:r>
      <w:r>
        <w:rPr>
          <w:rFonts w:ascii="Arial" w:cs="Arial" w:eastAsia="Arial" w:hAnsi="Arial"/>
          <w:sz w:val="13"/>
          <w:szCs w:val="13"/>
          <w:color w:val="auto"/>
        </w:rPr>
        <w:t xml:space="preserve">) of all or a Substantial Part of its assets, or assets which shall have contributed a Substantial Part of net income of the Company for any of the three fiscal years then most recently ended, to any Person;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Company may merge or consolidate with, or sell or transfer all or substantially all of its assets to, Allete, but only if (a) in the event that Allete is the continuing or surviving corporation or the acquiring corporation, Allete shall be a solvent corporation and shall expressly assume in writing all of the obligations of the Company under the Mortgage, this Eleventh Supplemental Indenture, the Bonds of the Tenth Series and the Bond Purchase Agreement, including all covenants therein and herein contained, and Allete shall succeed to and be substituted for the Company with the same effect as if it had been named herein as a party hereto, and (b) the Company as the continuing or surviving corporation or Allete as the continuing or surviving corporation or acquiring corporation, as the case may be, shall not, immediately after such merger or consolidation, or such sale or other disposition, be in default under any of such obligations. Notwithstanding the foregoing, the Company may make a Disposition and the assets subject to such Disposition shall not be included in the determination of Substantial Part to the extent that an amount equal to the net proceeds from such Disposition are, within 365 days of such Disposition (A) reinvested in assets of a similar nature of at least equivalent value to be used in the existing business of the Company, and/or (B) applied to the payment or prepayment of the Bonds of the Tenth Series. For purposes of foregoing clause (B), used to prepay (not less than 30 or more than 60 days following such offer) the Bonds of the Tenth Series at a price of 100% of the principal amount of the Bonds of the Tenth Series to be prepaid (without any Make-Whole Amount) together with interest accrued to the date of prepayment; provided that if any holder of the Bonds of the Tenth Series declines such offer, the amount that would have been paid to such holder shall be offered pro rata to the other holders of the Bonds of the Tenth Series that have accepted the offer. A failure by a holder of Bonds of the Tenth Series to respond in writing not later than 10 Business Days prior to the proposed prepayment date to an offer to prepay made pursuant to this Section 2.1 shall be deemed to constitute a rejection of such offer by such holder.</w:t>
      </w:r>
    </w:p>
    <w:p>
      <w:pPr>
        <w:spacing w:after="0" w:line="166" w:lineRule="exact"/>
        <w:rPr>
          <w:sz w:val="20"/>
          <w:szCs w:val="20"/>
          <w:color w:val="auto"/>
        </w:rPr>
      </w:pPr>
    </w:p>
    <w:p>
      <w:pPr>
        <w:jc w:val="both"/>
        <w:ind w:firstLine="682"/>
        <w:spacing w:after="0" w:line="288" w:lineRule="auto"/>
        <w:rPr>
          <w:sz w:val="20"/>
          <w:szCs w:val="20"/>
          <w:color w:val="auto"/>
        </w:rPr>
      </w:pPr>
      <w:r>
        <w:rPr>
          <w:rFonts w:ascii="Arial" w:cs="Arial" w:eastAsia="Arial" w:hAnsi="Arial"/>
          <w:sz w:val="14"/>
          <w:szCs w:val="14"/>
          <w:i w:val="1"/>
          <w:iCs w:val="1"/>
          <w:color w:val="auto"/>
        </w:rPr>
        <w:t xml:space="preserve">Section 2.2. </w:t>
      </w:r>
      <w:r>
        <w:rPr>
          <w:rFonts w:ascii="Arial" w:cs="Arial" w:eastAsia="Arial" w:hAnsi="Arial"/>
          <w:sz w:val="14"/>
          <w:szCs w:val="14"/>
          <w:color w:val="auto"/>
        </w:rPr>
        <w:t>The Company covenants that, so long as any Bonds of the Tenth Series shall remain outstanding, the Company will not issue, sell or otherwise dispose of any of its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capital stock to any Person other than Allete.</w:t>
      </w:r>
    </w:p>
    <w:p>
      <w:pPr>
        <w:spacing w:after="0" w:line="152" w:lineRule="exact"/>
        <w:rPr>
          <w:sz w:val="20"/>
          <w:szCs w:val="20"/>
          <w:color w:val="auto"/>
        </w:rPr>
      </w:pPr>
    </w:p>
    <w:p>
      <w:pPr>
        <w:jc w:val="both"/>
        <w:ind w:firstLine="768"/>
        <w:spacing w:after="0" w:line="288" w:lineRule="auto"/>
        <w:rPr>
          <w:sz w:val="20"/>
          <w:szCs w:val="20"/>
          <w:color w:val="auto"/>
        </w:rPr>
      </w:pPr>
      <w:r>
        <w:rPr>
          <w:rFonts w:ascii="Arial" w:cs="Arial" w:eastAsia="Arial" w:hAnsi="Arial"/>
          <w:sz w:val="14"/>
          <w:szCs w:val="14"/>
          <w:i w:val="1"/>
          <w:iCs w:val="1"/>
          <w:color w:val="auto"/>
        </w:rPr>
        <w:t xml:space="preserve">Section 2.3. </w:t>
      </w:r>
      <w:r>
        <w:rPr>
          <w:rFonts w:ascii="Arial" w:cs="Arial" w:eastAsia="Arial" w:hAnsi="Arial"/>
          <w:sz w:val="14"/>
          <w:szCs w:val="14"/>
          <w:color w:val="auto"/>
        </w:rPr>
        <w:t>The Company covenants that, so long as any of the Bonds of the Sixth Series are outstanding, or so long as the Company is subject to any covenant in any other debt</w:t>
      </w:r>
      <w:r>
        <w:rPr>
          <w:rFonts w:ascii="Arial" w:cs="Arial" w:eastAsia="Arial" w:hAnsi="Arial"/>
          <w:sz w:val="14"/>
          <w:szCs w:val="14"/>
          <w:i w:val="1"/>
          <w:iCs w:val="1"/>
          <w:color w:val="auto"/>
        </w:rPr>
        <w:t xml:space="preserve"> </w:t>
      </w:r>
      <w:r>
        <w:rPr>
          <w:rFonts w:ascii="Arial" w:cs="Arial" w:eastAsia="Arial" w:hAnsi="Arial"/>
          <w:sz w:val="14"/>
          <w:szCs w:val="14"/>
          <w:color w:val="auto"/>
        </w:rPr>
        <w:t>instrument prohibiting it from owning Subsidiaries, the Company shall not have any Subsidiaries.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20" w:name="page121"/>
    <w:bookmarkEnd w:id="120"/>
    <w:p>
      <w:pPr>
        <w:ind w:firstLine="639"/>
        <w:spacing w:after="0" w:line="288" w:lineRule="auto"/>
        <w:rPr>
          <w:sz w:val="20"/>
          <w:szCs w:val="20"/>
          <w:color w:val="auto"/>
        </w:rPr>
      </w:pPr>
      <w:r>
        <w:rPr>
          <w:rFonts w:ascii="Arial" w:cs="Arial" w:eastAsia="Arial" w:hAnsi="Arial"/>
          <w:sz w:val="14"/>
          <w:szCs w:val="14"/>
          <w:i w:val="1"/>
          <w:iCs w:val="1"/>
          <w:color w:val="auto"/>
        </w:rPr>
        <w:t xml:space="preserve">Section 2.4. </w:t>
      </w:r>
      <w:r>
        <w:rPr>
          <w:rFonts w:ascii="Arial" w:cs="Arial" w:eastAsia="Arial" w:hAnsi="Arial"/>
          <w:sz w:val="14"/>
          <w:szCs w:val="14"/>
          <w:color w:val="auto"/>
        </w:rPr>
        <w:t>The Company will not at any time permit any Subsidiary to, directly or indirectly, create, incur, assume, guarantee, have outstanding, or otherwise become or remain directly or</w:t>
      </w:r>
      <w:r>
        <w:rPr>
          <w:rFonts w:ascii="Arial" w:cs="Arial" w:eastAsia="Arial" w:hAnsi="Arial"/>
          <w:sz w:val="14"/>
          <w:szCs w:val="14"/>
          <w:i w:val="1"/>
          <w:iCs w:val="1"/>
          <w:color w:val="auto"/>
        </w:rPr>
        <w:t xml:space="preserve"> </w:t>
      </w:r>
      <w:r>
        <w:rPr>
          <w:rFonts w:ascii="Arial" w:cs="Arial" w:eastAsia="Arial" w:hAnsi="Arial"/>
          <w:sz w:val="14"/>
          <w:szCs w:val="14"/>
          <w:color w:val="auto"/>
        </w:rPr>
        <w:t>indirectly liable with respect to, any Debt other than:</w:t>
      </w:r>
    </w:p>
    <w:p>
      <w:pPr>
        <w:spacing w:after="0" w:line="152" w:lineRule="exact"/>
        <w:rPr>
          <w:sz w:val="20"/>
          <w:szCs w:val="20"/>
          <w:color w:val="auto"/>
        </w:rPr>
      </w:pPr>
    </w:p>
    <w:p>
      <w:pPr>
        <w:ind w:left="720" w:hanging="197"/>
        <w:spacing w:after="0"/>
        <w:tabs>
          <w:tab w:leader="none" w:pos="7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Debt of a Subsidiary owed to the Company;</w:t>
      </w:r>
    </w:p>
    <w:p>
      <w:pPr>
        <w:spacing w:after="0" w:line="205" w:lineRule="exact"/>
        <w:rPr>
          <w:rFonts w:ascii="Arial" w:cs="Arial" w:eastAsia="Arial" w:hAnsi="Arial"/>
          <w:sz w:val="14"/>
          <w:szCs w:val="14"/>
          <w:color w:val="auto"/>
        </w:rPr>
      </w:pPr>
    </w:p>
    <w:p>
      <w:pPr>
        <w:jc w:val="both"/>
        <w:ind w:left="520" w:firstLine="3"/>
        <w:spacing w:after="0" w:line="272" w:lineRule="auto"/>
        <w:tabs>
          <w:tab w:leader="none" w:pos="744"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Debt of a Subsidiary outstanding at the time such Subsidiary becomes a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such Debt shall not have been incurred in contemplation of such Subsidiary becoming a Subsidiary and (ii) immediately after such Subsidiary becomes a Subsidiary no Default or Potential Default shall exist, and </w:t>
      </w:r>
      <w:r>
        <w:rPr>
          <w:rFonts w:ascii="Arial" w:cs="Arial" w:eastAsia="Arial" w:hAnsi="Arial"/>
          <w:sz w:val="14"/>
          <w:szCs w:val="14"/>
          <w:i w:val="1"/>
          <w:iCs w:val="1"/>
          <w:color w:val="auto"/>
        </w:rPr>
        <w:t>provided, further</w:t>
      </w:r>
      <w:r>
        <w:rPr>
          <w:rFonts w:ascii="Arial" w:cs="Arial" w:eastAsia="Arial" w:hAnsi="Arial"/>
          <w:sz w:val="14"/>
          <w:szCs w:val="14"/>
          <w:color w:val="auto"/>
        </w:rPr>
        <w:t>, that such Debt may not be extended, renewed or refunded except as otherwise permitted by this Agreement; and</w:t>
      </w:r>
    </w:p>
    <w:p>
      <w:pPr>
        <w:spacing w:after="0" w:line="163" w:lineRule="exact"/>
        <w:rPr>
          <w:rFonts w:ascii="Arial" w:cs="Arial" w:eastAsia="Arial" w:hAnsi="Arial"/>
          <w:sz w:val="14"/>
          <w:szCs w:val="14"/>
          <w:color w:val="auto"/>
        </w:rPr>
      </w:pPr>
    </w:p>
    <w:p>
      <w:pPr>
        <w:ind w:left="520" w:firstLine="3"/>
        <w:spacing w:after="0" w:line="288" w:lineRule="auto"/>
        <w:tabs>
          <w:tab w:leader="none" w:pos="723"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Debt of a Subsidiary in addition to that otherwise permitted by the foregoing provisions of this Section 2.4,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on the date the Subsidiary incurs or otherwise becomes liable with respect to any such additional Debt and immediately after giving effect thereto and the concurrent retirement of any other Debt,</w:t>
      </w:r>
    </w:p>
    <w:p>
      <w:pPr>
        <w:spacing w:after="0" w:line="152" w:lineRule="exact"/>
        <w:rPr>
          <w:rFonts w:ascii="Arial" w:cs="Arial" w:eastAsia="Arial" w:hAnsi="Arial"/>
          <w:sz w:val="14"/>
          <w:szCs w:val="14"/>
          <w:color w:val="auto"/>
        </w:rPr>
      </w:pPr>
    </w:p>
    <w:p>
      <w:pPr>
        <w:ind w:left="1220" w:hanging="179"/>
        <w:spacing w:after="0"/>
        <w:tabs>
          <w:tab w:leader="none" w:pos="12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no Default or Potential Default exists, and</w:t>
      </w:r>
    </w:p>
    <w:p>
      <w:pPr>
        <w:spacing w:after="0" w:line="205" w:lineRule="exact"/>
        <w:rPr>
          <w:rFonts w:ascii="Arial" w:cs="Arial" w:eastAsia="Arial" w:hAnsi="Arial"/>
          <w:sz w:val="14"/>
          <w:szCs w:val="14"/>
          <w:color w:val="auto"/>
        </w:rPr>
      </w:pPr>
    </w:p>
    <w:p>
      <w:pPr>
        <w:ind w:left="1040" w:firstLine="1"/>
        <w:spacing w:after="0" w:line="288" w:lineRule="auto"/>
        <w:tabs>
          <w:tab w:leader="none" w:pos="1257" w:val="left"/>
        </w:tabs>
        <w:numPr>
          <w:ilvl w:val="1"/>
          <w:numId w:val="54"/>
        </w:numPr>
        <w:rPr>
          <w:rFonts w:ascii="Arial" w:cs="Arial" w:eastAsia="Arial" w:hAnsi="Arial"/>
          <w:sz w:val="14"/>
          <w:szCs w:val="14"/>
          <w:color w:val="auto"/>
        </w:rPr>
      </w:pPr>
      <w:r>
        <w:rPr>
          <w:rFonts w:ascii="Arial" w:cs="Arial" w:eastAsia="Arial" w:hAnsi="Arial"/>
          <w:sz w:val="14"/>
          <w:szCs w:val="14"/>
          <w:color w:val="auto"/>
        </w:rPr>
        <w:t>simultaneously with the incurrence thereof, the Company delivers a Net Earnings Certificate showing, on the date of issuance of such Debt by such Subsidiary, the Company’s Adjusted Net Earnings to be as required by Section 27 of the Indenture to issue at least $1.00 of additional bonds under the Indenture.</w:t>
      </w:r>
    </w:p>
    <w:p>
      <w:pPr>
        <w:spacing w:after="0" w:line="152" w:lineRule="exact"/>
        <w:rPr>
          <w:sz w:val="20"/>
          <w:szCs w:val="20"/>
          <w:color w:val="auto"/>
        </w:rPr>
      </w:pPr>
    </w:p>
    <w:p>
      <w:pPr>
        <w:jc w:val="both"/>
        <w:ind w:firstLine="528"/>
        <w:spacing w:after="0" w:line="267" w:lineRule="auto"/>
        <w:rPr>
          <w:sz w:val="20"/>
          <w:szCs w:val="20"/>
          <w:color w:val="auto"/>
        </w:rPr>
      </w:pPr>
      <w:r>
        <w:rPr>
          <w:rFonts w:ascii="Arial" w:cs="Arial" w:eastAsia="Arial" w:hAnsi="Arial"/>
          <w:sz w:val="14"/>
          <w:szCs w:val="14"/>
          <w:i w:val="1"/>
          <w:iCs w:val="1"/>
          <w:color w:val="auto"/>
        </w:rPr>
        <w:t xml:space="preserve">Section 2.5. </w:t>
      </w:r>
      <w:r>
        <w:rPr>
          <w:rFonts w:ascii="Arial" w:cs="Arial" w:eastAsia="Arial" w:hAnsi="Arial"/>
          <w:sz w:val="14"/>
          <w:szCs w:val="14"/>
          <w:color w:val="auto"/>
        </w:rPr>
        <w:t>A default by the Company in the observance of any covenant or agreement contained in Sections 2.1 through 2.4, inclusive, of this Eleventh Supplemental Indenture or the</w:t>
      </w:r>
      <w:r>
        <w:rPr>
          <w:rFonts w:ascii="Arial" w:cs="Arial" w:eastAsia="Arial" w:hAnsi="Arial"/>
          <w:sz w:val="14"/>
          <w:szCs w:val="14"/>
          <w:i w:val="1"/>
          <w:iCs w:val="1"/>
          <w:color w:val="auto"/>
        </w:rPr>
        <w:t xml:space="preserve"> </w:t>
      </w:r>
      <w:r>
        <w:rPr>
          <w:rFonts w:ascii="Arial" w:cs="Arial" w:eastAsia="Arial" w:hAnsi="Arial"/>
          <w:sz w:val="14"/>
          <w:szCs w:val="14"/>
          <w:color w:val="auto"/>
        </w:rPr>
        <w:t>occurrence of an Event of Default (as defined herein) shall be deemed to constitute an additional and independent Default under, and defined in, Section 65 of the Mortgage. None of the additional Defaults provided for pursuant to this Section 2.5 are intended or shall be deemed to limit any of the Defaults currently expressed in the Mortgage and none of the Defaults currently expressed in the Mortgage are intended or shall be deemed to limit any of the additional Defaults provided for pursuant to this Section 2.5.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Section 3.1.</w:t>
      </w:r>
      <w:r>
        <w:rPr>
          <w:rFonts w:ascii="Arial" w:cs="Arial" w:eastAsia="Arial" w:hAnsi="Arial"/>
          <w:sz w:val="14"/>
          <w:szCs w:val="14"/>
          <w:color w:val="auto"/>
        </w:rPr>
        <w:t>For purposes of this Eleventh Supplemental Indenture, the following terms have the following meanings indicated below:</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“Allete” </w:t>
      </w:r>
      <w:r>
        <w:rPr>
          <w:rFonts w:ascii="Arial" w:cs="Arial" w:eastAsia="Arial" w:hAnsi="Arial"/>
          <w:sz w:val="14"/>
          <w:szCs w:val="14"/>
          <w:color w:val="auto"/>
        </w:rPr>
        <w:t>shall mean ALLETE, Inc., a Minnesota corporation, or any successor to Allete, Inc.</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“Bond Purchase Agreement” </w:t>
      </w:r>
      <w:r>
        <w:rPr>
          <w:rFonts w:ascii="Arial" w:cs="Arial" w:eastAsia="Arial" w:hAnsi="Arial"/>
          <w:sz w:val="14"/>
          <w:szCs w:val="14"/>
          <w:color w:val="auto"/>
        </w:rPr>
        <w:t>shall mean the Bond Purchase Agreement dated as of December 15, 2008, between the Company and the Purchaser.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21" w:name="page122"/>
    <w:bookmarkEnd w:id="121"/>
    <w:p>
      <w:pPr>
        <w:ind w:left="520"/>
        <w:spacing w:after="0"/>
        <w:rPr>
          <w:sz w:val="20"/>
          <w:szCs w:val="20"/>
          <w:color w:val="auto"/>
        </w:rPr>
      </w:pPr>
      <w:r>
        <w:rPr>
          <w:rFonts w:ascii="Arial" w:cs="Arial" w:eastAsia="Arial" w:hAnsi="Arial"/>
          <w:sz w:val="13"/>
          <w:szCs w:val="13"/>
          <w:i w:val="1"/>
          <w:iCs w:val="1"/>
          <w:color w:val="auto"/>
        </w:rPr>
        <w:t xml:space="preserve">“Business Day” </w:t>
      </w:r>
      <w:r>
        <w:rPr>
          <w:rFonts w:ascii="Arial" w:cs="Arial" w:eastAsia="Arial" w:hAnsi="Arial"/>
          <w:sz w:val="13"/>
          <w:szCs w:val="13"/>
          <w:color w:val="auto"/>
        </w:rPr>
        <w:t>shall mean any day other than a Saturday, Sunday or a day on which commercial banks in Chicago, Illinois, or Milwaukee, Wisconsin, are required or authorized to be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closed.</w:t>
      </w:r>
    </w:p>
    <w:p>
      <w:pPr>
        <w:spacing w:after="0" w:line="196"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i w:val="1"/>
          <w:iCs w:val="1"/>
          <w:color w:val="auto"/>
        </w:rPr>
        <w:t xml:space="preserve">“Capitalized Lease Obligation” </w:t>
      </w:r>
      <w:r>
        <w:rPr>
          <w:rFonts w:ascii="Arial" w:cs="Arial" w:eastAsia="Arial" w:hAnsi="Arial"/>
          <w:sz w:val="14"/>
          <w:szCs w:val="14"/>
          <w:color w:val="auto"/>
        </w:rPr>
        <w:t>shall mean with respect to any Person any rental obligation which, under generally accepted accounting principles, would be required to be capitalized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books of such Person, taken at the amount thereof accounted for as indebtedness (net of interest expense) in accordance with such principles.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“Consolidated Net Worth” </w:t>
      </w:r>
      <w:r>
        <w:rPr>
          <w:rFonts w:ascii="Arial" w:cs="Arial" w:eastAsia="Arial" w:hAnsi="Arial"/>
          <w:sz w:val="14"/>
          <w:szCs w:val="14"/>
          <w:color w:val="auto"/>
        </w:rPr>
        <w:t>shall mean the net worth of the Company and its Subsidiaries determined on a consolidated basis in accordance with GAAP.</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“Debt” </w:t>
      </w:r>
      <w:r>
        <w:rPr>
          <w:rFonts w:ascii="Arial" w:cs="Arial" w:eastAsia="Arial" w:hAnsi="Arial"/>
          <w:sz w:val="14"/>
          <w:szCs w:val="14"/>
          <w:color w:val="auto"/>
        </w:rPr>
        <w:t>means, with respect to any Person, without duplication,</w:t>
      </w:r>
    </w:p>
    <w:p>
      <w:pPr>
        <w:spacing w:after="0" w:line="205" w:lineRule="exact"/>
        <w:rPr>
          <w:sz w:val="20"/>
          <w:szCs w:val="20"/>
          <w:color w:val="auto"/>
        </w:rPr>
      </w:pPr>
    </w:p>
    <w:p>
      <w:pPr>
        <w:ind w:left="1260" w:hanging="205"/>
        <w:spacing w:after="0"/>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its liabilities for borrowed money;</w:t>
      </w:r>
    </w:p>
    <w:p>
      <w:pPr>
        <w:spacing w:after="0" w:line="205" w:lineRule="exact"/>
        <w:rPr>
          <w:rFonts w:ascii="Arial" w:cs="Arial" w:eastAsia="Arial" w:hAnsi="Arial"/>
          <w:sz w:val="14"/>
          <w:szCs w:val="14"/>
          <w:color w:val="auto"/>
        </w:rPr>
      </w:pPr>
    </w:p>
    <w:p>
      <w:pPr>
        <w:ind w:left="1280" w:hanging="207"/>
        <w:spacing w:after="0"/>
        <w:tabs>
          <w:tab w:leader="none" w:pos="1280" w:val="left"/>
        </w:tabs>
        <w:numPr>
          <w:ilvl w:val="1"/>
          <w:numId w:val="55"/>
        </w:numPr>
        <w:rPr>
          <w:rFonts w:ascii="Arial" w:cs="Arial" w:eastAsia="Arial" w:hAnsi="Arial"/>
          <w:sz w:val="13"/>
          <w:szCs w:val="13"/>
          <w:color w:val="auto"/>
        </w:rPr>
      </w:pPr>
      <w:r>
        <w:rPr>
          <w:rFonts w:ascii="Arial" w:cs="Arial" w:eastAsia="Arial" w:hAnsi="Arial"/>
          <w:sz w:val="13"/>
          <w:szCs w:val="13"/>
          <w:color w:val="auto"/>
        </w:rPr>
        <w:t>its liabilities for the deferred purchase price of property acquired by such Person (excluding accounts payable arising in the ordinary course of business but including, without</w:t>
      </w:r>
    </w:p>
    <w:p>
      <w:pPr>
        <w:spacing w:after="0" w:line="32" w:lineRule="exact"/>
        <w:rPr>
          <w:sz w:val="20"/>
          <w:szCs w:val="20"/>
          <w:color w:val="auto"/>
        </w:rPr>
      </w:pPr>
    </w:p>
    <w:p>
      <w:pPr>
        <w:ind w:left="520"/>
        <w:spacing w:after="0"/>
        <w:tabs>
          <w:tab w:leader="none" w:pos="3220" w:val="left"/>
        </w:tabs>
        <w:rPr>
          <w:sz w:val="20"/>
          <w:szCs w:val="20"/>
          <w:color w:val="auto"/>
        </w:rPr>
      </w:pPr>
      <w:r>
        <w:rPr>
          <w:rFonts w:ascii="Arial" w:cs="Arial" w:eastAsia="Arial" w:hAnsi="Arial"/>
          <w:sz w:val="14"/>
          <w:szCs w:val="14"/>
          <w:color w:val="auto"/>
        </w:rPr>
        <w:t>limitation, all liabilities created or aris</w:t>
      </w:r>
      <w:r>
        <w:rPr>
          <w:sz w:val="20"/>
          <w:szCs w:val="20"/>
          <w:color w:val="auto"/>
        </w:rPr>
        <w:tab/>
      </w:r>
      <w:r>
        <w:rPr>
          <w:rFonts w:ascii="Arial" w:cs="Arial" w:eastAsia="Arial" w:hAnsi="Arial"/>
          <w:sz w:val="13"/>
          <w:szCs w:val="13"/>
          <w:color w:val="auto"/>
        </w:rPr>
        <w:t>ing under any conditional sale or other title retention agreement with respect to any such property);</w:t>
      </w:r>
    </w:p>
    <w:p>
      <w:pPr>
        <w:spacing w:after="0" w:line="196" w:lineRule="exact"/>
        <w:rPr>
          <w:sz w:val="20"/>
          <w:szCs w:val="20"/>
          <w:color w:val="auto"/>
        </w:rPr>
      </w:pPr>
    </w:p>
    <w:p>
      <w:pPr>
        <w:ind w:left="1260" w:hanging="205"/>
        <w:spacing w:after="0"/>
        <w:tabs>
          <w:tab w:leader="none" w:pos="1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its Capital Lease Obligations;</w:t>
      </w:r>
    </w:p>
    <w:p>
      <w:pPr>
        <w:spacing w:after="0" w:line="205" w:lineRule="exact"/>
        <w:rPr>
          <w:rFonts w:ascii="Arial" w:cs="Arial" w:eastAsia="Arial" w:hAnsi="Arial"/>
          <w:sz w:val="14"/>
          <w:szCs w:val="14"/>
          <w:color w:val="auto"/>
        </w:rPr>
      </w:pPr>
    </w:p>
    <w:p>
      <w:pPr>
        <w:ind w:left="520" w:firstLine="564"/>
        <w:spacing w:after="0" w:line="288" w:lineRule="auto"/>
        <w:tabs>
          <w:tab w:leader="none" w:pos="1292" w:val="left"/>
        </w:tabs>
        <w:numPr>
          <w:ilvl w:val="1"/>
          <w:numId w:val="56"/>
        </w:numPr>
        <w:rPr>
          <w:rFonts w:ascii="Arial" w:cs="Arial" w:eastAsia="Arial" w:hAnsi="Arial"/>
          <w:sz w:val="14"/>
          <w:szCs w:val="14"/>
          <w:color w:val="auto"/>
        </w:rPr>
      </w:pPr>
      <w:r>
        <w:rPr>
          <w:rFonts w:ascii="Arial" w:cs="Arial" w:eastAsia="Arial" w:hAnsi="Arial"/>
          <w:sz w:val="14"/>
          <w:szCs w:val="14"/>
          <w:color w:val="auto"/>
        </w:rPr>
        <w:t>all liabilities for borrowed money secured by any lien with respect to any property owned by such Person (whether or not it has assumed or otherwise become liable for such liabilities); and</w:t>
      </w:r>
    </w:p>
    <w:p>
      <w:pPr>
        <w:spacing w:after="0" w:line="15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(e) any guaranty of such Person with respect to liabilities of a type described in any of clauses (a) through (d) hereof.</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Debt of any Person shall include all obligations of such Person of the character described in clauses (a) through (e) to the extent such Person remains legally liable in respect thereof notwithstanding that any such obligation is deemed to be extinguished under GAAP.</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4"/>
          <w:szCs w:val="14"/>
          <w:i w:val="1"/>
          <w:iCs w:val="1"/>
          <w:color w:val="auto"/>
        </w:rPr>
        <w:t xml:space="preserve">“Disposition” </w:t>
      </w:r>
      <w:r>
        <w:rPr>
          <w:rFonts w:ascii="Arial" w:cs="Arial" w:eastAsia="Arial" w:hAnsi="Arial"/>
          <w:sz w:val="14"/>
          <w:szCs w:val="14"/>
          <w:color w:val="auto"/>
        </w:rPr>
        <w:t>shall have the meaning set forth for such term in Section 2.1.</w:t>
      </w:r>
    </w:p>
    <w:p>
      <w:pPr>
        <w:spacing w:after="0" w:line="205"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i w:val="1"/>
          <w:iCs w:val="1"/>
          <w:color w:val="auto"/>
        </w:rPr>
        <w:t xml:space="preserve">“Event of Default” </w:t>
      </w:r>
      <w:r>
        <w:rPr>
          <w:rFonts w:ascii="Arial" w:cs="Arial" w:eastAsia="Arial" w:hAnsi="Arial"/>
          <w:sz w:val="14"/>
          <w:szCs w:val="14"/>
          <w:color w:val="auto"/>
        </w:rPr>
        <w:t>shall mean any of the following events which shall occur and be continuing for any reason whatsoever at any time when any of the Bonds of the Tenth Series shall be</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(and whether such occurrence shall be voluntary or involuntary or come about or be effected by operation of law or otherwise):</w:t>
      </w:r>
    </w:p>
    <w:p>
      <w:pPr>
        <w:spacing w:after="0" w:line="152" w:lineRule="exact"/>
        <w:rPr>
          <w:sz w:val="20"/>
          <w:szCs w:val="20"/>
          <w:color w:val="auto"/>
        </w:rPr>
      </w:pPr>
    </w:p>
    <w:p>
      <w:pPr>
        <w:ind w:left="520" w:firstLine="3"/>
        <w:spacing w:after="0" w:line="288" w:lineRule="auto"/>
        <w:tabs>
          <w:tab w:leader="none" w:pos="703"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Company defaults in the payment of any principal or premium, if any, payable with respect to any Bond of the Tenth Series when the same shall become due, either by the terms thereof or otherwise as provided in the Mortgage, this Eleventh Supplemental Indenture or the Bond Purchase Agreement; or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22" w:name="page123"/>
    <w:bookmarkEnd w:id="122"/>
    <w:p>
      <w:pPr>
        <w:ind w:left="220" w:hanging="217"/>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Company defaults in the payment of any interest on any Bond of the Tenth Series for more than 5 days after the due date; or</w:t>
      </w:r>
    </w:p>
    <w:p>
      <w:pPr>
        <w:spacing w:after="0" w:line="205" w:lineRule="exact"/>
        <w:rPr>
          <w:rFonts w:ascii="Arial" w:cs="Arial" w:eastAsia="Arial" w:hAnsi="Arial"/>
          <w:sz w:val="14"/>
          <w:szCs w:val="14"/>
          <w:color w:val="auto"/>
        </w:rPr>
      </w:pPr>
    </w:p>
    <w:p>
      <w:pPr>
        <w:jc w:val="both"/>
        <w:ind w:firstLine="3"/>
        <w:spacing w:after="0" w:line="285" w:lineRule="auto"/>
        <w:tabs>
          <w:tab w:leader="none" w:pos="269"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defaults (whether as primary obligor or as guarantor or other surety) in any payment of principal of or interest on any other obligation for money borrowed (or any Capitalized Lease Obligation, any obligation under a conditional sale or other title retention agreement, any obligation issued or assumed as full or partial payment for property whether or not secured by a purchase money mortgage or any obligation under notes payable or drafts accepted representing extensions of credit) beyond any period of grace provided with respect thereto and as a result, the aggregate principal amount of all such defaulted obligations exceeds $100,000 or the Company fails to perform or observe any other agreement, term or condition contained in any agreement under which any such obligations are created (or if any other event thereunder or under any such agreement shall occur and be continuing) and the effect of such failure or other event is to cause, or to permit the holder or holders of such obligations (or a trustee on behalf of such holder or holders) to cause, such obligations in the aggregate principal amount in excess of $100,000 to become due (or to be repurchased by the Company) prior to any stated maturity; or</w:t>
      </w:r>
    </w:p>
    <w:p>
      <w:pPr>
        <w:spacing w:after="0" w:line="158" w:lineRule="exact"/>
        <w:rPr>
          <w:rFonts w:ascii="Arial" w:cs="Arial" w:eastAsia="Arial" w:hAnsi="Arial"/>
          <w:sz w:val="13"/>
          <w:szCs w:val="13"/>
          <w:color w:val="auto"/>
        </w:rPr>
      </w:pPr>
    </w:p>
    <w:p>
      <w:pPr>
        <w:ind w:firstLine="3"/>
        <w:spacing w:after="0" w:line="328" w:lineRule="auto"/>
        <w:tabs>
          <w:tab w:leader="none" w:pos="248" w:val="left"/>
        </w:tabs>
        <w:numPr>
          <w:ilvl w:val="0"/>
          <w:numId w:val="58"/>
        </w:numPr>
        <w:rPr>
          <w:rFonts w:ascii="Arial" w:cs="Arial" w:eastAsia="Arial" w:hAnsi="Arial"/>
          <w:sz w:val="13"/>
          <w:szCs w:val="13"/>
          <w:color w:val="auto"/>
        </w:rPr>
      </w:pPr>
      <w:r>
        <w:rPr>
          <w:rFonts w:ascii="Arial" w:cs="Arial" w:eastAsia="Arial" w:hAnsi="Arial"/>
          <w:sz w:val="13"/>
          <w:szCs w:val="13"/>
          <w:color w:val="auto"/>
        </w:rPr>
        <w:t>any representation or warranty made by the Company in this Eleventh Supplemental Indenture or the Bond Purchase Agreement or by the Company or any of its officers in any writing furnished in connection with or pursuant to this Eleventh Supplemental Indenture or the Bond Purchase Agreement shall be false in any material respect on the date as of which made; or</w:t>
      </w:r>
    </w:p>
    <w:p>
      <w:pPr>
        <w:spacing w:after="0" w:line="130" w:lineRule="exact"/>
        <w:rPr>
          <w:rFonts w:ascii="Arial" w:cs="Arial" w:eastAsia="Arial" w:hAnsi="Arial"/>
          <w:sz w:val="13"/>
          <w:szCs w:val="13"/>
          <w:color w:val="auto"/>
        </w:rPr>
      </w:pPr>
    </w:p>
    <w:p>
      <w:pPr>
        <w:ind w:left="200" w:hanging="197"/>
        <w:spacing w:after="0"/>
        <w:tabs>
          <w:tab w:leader="none" w:pos="2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fails to perform or observe any agreement, term or condition contained in the Mortgage, this Eleventh Supplemental Indenture or the Bond Purchase Agreement; or</w:t>
      </w:r>
    </w:p>
    <w:p>
      <w:pPr>
        <w:spacing w:after="0" w:line="216" w:lineRule="exact"/>
        <w:rPr>
          <w:rFonts w:ascii="Arial" w:cs="Arial" w:eastAsia="Arial" w:hAnsi="Arial"/>
          <w:sz w:val="13"/>
          <w:szCs w:val="13"/>
          <w:color w:val="auto"/>
        </w:rPr>
      </w:pPr>
    </w:p>
    <w:p>
      <w:pPr>
        <w:ind w:left="240" w:hanging="237"/>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Company makes an assignment for the benefit of creditors or is generally not paying its debts as such debts become due; or</w:t>
      </w:r>
    </w:p>
    <w:p>
      <w:pPr>
        <w:spacing w:after="0" w:line="205" w:lineRule="exact"/>
        <w:rPr>
          <w:rFonts w:ascii="Arial" w:cs="Arial" w:eastAsia="Arial" w:hAnsi="Arial"/>
          <w:sz w:val="14"/>
          <w:szCs w:val="14"/>
          <w:color w:val="auto"/>
        </w:rPr>
      </w:pPr>
    </w:p>
    <w:p>
      <w:pPr>
        <w:ind w:firstLine="3"/>
        <w:spacing w:after="0" w:line="288" w:lineRule="auto"/>
        <w:tabs>
          <w:tab w:leader="none" w:pos="296"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any decree or order for relief in respect of the Company is entered under any bankruptcy, reorganization, compromise, arrangement, insolvency, readjustment of debt, dissolution or liquidation or similar law, whether now or hereafter in effect (herein called the Bankruptcy Law), of any jurisdiction; or</w:t>
      </w:r>
    </w:p>
    <w:p>
      <w:pPr>
        <w:spacing w:after="0" w:line="152" w:lineRule="exact"/>
        <w:rPr>
          <w:rFonts w:ascii="Arial" w:cs="Arial" w:eastAsia="Arial" w:hAnsi="Arial"/>
          <w:sz w:val="14"/>
          <w:szCs w:val="14"/>
          <w:color w:val="auto"/>
        </w:rPr>
      </w:pPr>
    </w:p>
    <w:p>
      <w:pPr>
        <w:jc w:val="both"/>
        <w:ind w:firstLine="3"/>
        <w:spacing w:after="0" w:line="272" w:lineRule="auto"/>
        <w:tabs>
          <w:tab w:leader="none" w:pos="339"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Company petitions or applies to any tribunal for, or consents to, the appointment of, or taking possession by, a trustee, receiver, custodian, liquidator or similar official of the Company or of any Substantial Part of the assets of the Company or commences a voluntary case under the Bankruptcy Law of the United States or any proceedings relating to the Company under the Bankruptcy Law of any other jurisdiction; or</w:t>
      </w:r>
    </w:p>
    <w:p>
      <w:pPr>
        <w:spacing w:after="0" w:line="163" w:lineRule="exact"/>
        <w:rPr>
          <w:rFonts w:ascii="Arial" w:cs="Arial" w:eastAsia="Arial" w:hAnsi="Arial"/>
          <w:sz w:val="14"/>
          <w:szCs w:val="14"/>
          <w:color w:val="auto"/>
        </w:rPr>
      </w:pPr>
    </w:p>
    <w:p>
      <w:pPr>
        <w:jc w:val="both"/>
        <w:ind w:firstLine="3"/>
        <w:spacing w:after="0" w:line="272" w:lineRule="auto"/>
        <w:tabs>
          <w:tab w:leader="none" w:pos="252"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any such petition or application is filed, or any such proceedings are commenced, against the Company, and the Company by any act indicates its approval thereof, consent thereto or acquiescence therein, or an order, judgment or decree is entered appointing any such trustee, receiver, custodian, liquidator or similar official, or approving the petition in any such proceedings; 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40"/>
          </w:cols>
          <w:pgMar w:left="740" w:top="247" w:right="219" w:bottom="1440" w:gutter="0" w:footer="0" w:header="0"/>
        </w:sectPr>
      </w:pPr>
    </w:p>
    <w:bookmarkStart w:id="123" w:name="page124"/>
    <w:bookmarkEnd w:id="123"/>
    <w:p>
      <w:pPr>
        <w:ind w:left="520" w:firstLine="3"/>
        <w:spacing w:after="0" w:line="288" w:lineRule="auto"/>
        <w:tabs>
          <w:tab w:leader="none" w:pos="728"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order, judgment or decree is entered in any proceedings against the Company decreeing the dissolution of the Company and such order, judgment or decree remains unstayed and in effect for more than 60 days; or</w:t>
      </w:r>
    </w:p>
    <w:p>
      <w:pPr>
        <w:spacing w:after="0" w:line="152" w:lineRule="exact"/>
        <w:rPr>
          <w:rFonts w:ascii="Arial" w:cs="Arial" w:eastAsia="Arial" w:hAnsi="Arial"/>
          <w:sz w:val="14"/>
          <w:szCs w:val="14"/>
          <w:color w:val="auto"/>
        </w:rPr>
      </w:pPr>
    </w:p>
    <w:p>
      <w:pPr>
        <w:jc w:val="both"/>
        <w:ind w:left="520" w:firstLine="3"/>
        <w:spacing w:after="0" w:line="272" w:lineRule="auto"/>
        <w:tabs>
          <w:tab w:leader="none" w:pos="767"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order, judgment or decree is entered in any proceedings against the Company decreeing a split-up of the Company which requires the divestiture of assets representing a Substantial Part of the assets of the Company or which requires the divestiture of assets which shall have contributed a Substantial Part of the net income of the Company for any of the three fiscal years then most recently ended, and such order, judgment or decree remains unstayed and in effect for more than 60 days; or</w:t>
      </w:r>
    </w:p>
    <w:p>
      <w:pPr>
        <w:spacing w:after="0" w:line="163" w:lineRule="exact"/>
        <w:rPr>
          <w:rFonts w:ascii="Arial" w:cs="Arial" w:eastAsia="Arial" w:hAnsi="Arial"/>
          <w:sz w:val="14"/>
          <w:szCs w:val="14"/>
          <w:color w:val="auto"/>
        </w:rPr>
      </w:pPr>
    </w:p>
    <w:p>
      <w:pPr>
        <w:ind w:left="520" w:firstLine="3"/>
        <w:spacing w:after="0" w:line="288" w:lineRule="auto"/>
        <w:tabs>
          <w:tab w:leader="none" w:pos="816"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final judgment in an amount in excess of $100,000 is rendered against the Company and, within 60 days after entry thereof, such judgment is not discharged or execution thereof stayed pending appeal, or within 60 days after the expiration of any such stay, such judgment is not discharged; or</w:t>
      </w:r>
    </w:p>
    <w:p>
      <w:pPr>
        <w:spacing w:after="0" w:line="152" w:lineRule="exact"/>
        <w:rPr>
          <w:rFonts w:ascii="Arial" w:cs="Arial" w:eastAsia="Arial" w:hAnsi="Arial"/>
          <w:sz w:val="14"/>
          <w:szCs w:val="14"/>
          <w:color w:val="auto"/>
        </w:rPr>
      </w:pPr>
    </w:p>
    <w:p>
      <w:pPr>
        <w:ind w:left="840" w:hanging="317"/>
        <w:spacing w:after="0"/>
        <w:tabs>
          <w:tab w:leader="none" w:pos="8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Allete shall cease to own of record and beneficially 100% of the outstanding shares of capital stock of the Company.</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color w:val="auto"/>
        </w:rPr>
        <w:t>GAAP” means generally accepted accounting principles as in effect from time to time in the United States of America.</w:t>
      </w:r>
    </w:p>
    <w:p>
      <w:pPr>
        <w:spacing w:after="0" w:line="205"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i w:val="1"/>
          <w:iCs w:val="1"/>
          <w:color w:val="auto"/>
        </w:rPr>
        <w:t xml:space="preserve">“Make-Whole Amount” </w:t>
      </w:r>
      <w:r>
        <w:rPr>
          <w:rFonts w:ascii="Arial" w:cs="Arial" w:eastAsia="Arial" w:hAnsi="Arial"/>
          <w:sz w:val="14"/>
          <w:szCs w:val="14"/>
          <w:color w:val="auto"/>
        </w:rPr>
        <w:t>means, with respect to any Bond of the Tenth Series, an amount equal to the excess, if any, of the Discounted Value of the Remaining Scheduled Payments with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respect to the Called Principal of such Bond of the Tenth Series over the amount of such Called Principal,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Make-Whole Amount may in no event be less than zero. For the purposes of determining the Make-Whole Amount, the following terms have the following meanings:</w:t>
      </w:r>
    </w:p>
    <w:p>
      <w:pPr>
        <w:spacing w:after="0" w:line="16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 xml:space="preserve">“Called Principal” </w:t>
      </w:r>
      <w:r>
        <w:rPr>
          <w:rFonts w:ascii="Arial" w:cs="Arial" w:eastAsia="Arial" w:hAnsi="Arial"/>
          <w:sz w:val="14"/>
          <w:szCs w:val="14"/>
          <w:color w:val="auto"/>
        </w:rPr>
        <w:t>means, with respect to any Bond of the Tenth Series, the principal of such Bond of the Tenth Series that is to be prepaid or has become or is declared to be immediately</w:t>
      </w:r>
      <w:r>
        <w:rPr>
          <w:rFonts w:ascii="Arial" w:cs="Arial" w:eastAsia="Arial" w:hAnsi="Arial"/>
          <w:sz w:val="14"/>
          <w:szCs w:val="14"/>
          <w:i w:val="1"/>
          <w:iCs w:val="1"/>
          <w:color w:val="auto"/>
        </w:rPr>
        <w:t xml:space="preserve"> </w:t>
      </w:r>
      <w:r>
        <w:rPr>
          <w:rFonts w:ascii="Arial" w:cs="Arial" w:eastAsia="Arial" w:hAnsi="Arial"/>
          <w:sz w:val="14"/>
          <w:szCs w:val="14"/>
          <w:color w:val="auto"/>
        </w:rPr>
        <w:t>due and payable, as the context requires.</w:t>
      </w:r>
    </w:p>
    <w:p>
      <w:pPr>
        <w:spacing w:after="0" w:line="152"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i w:val="1"/>
          <w:iCs w:val="1"/>
          <w:color w:val="auto"/>
        </w:rPr>
        <w:t xml:space="preserve">“Discounted Value” </w:t>
      </w:r>
      <w:r>
        <w:rPr>
          <w:rFonts w:ascii="Arial" w:cs="Arial" w:eastAsia="Arial" w:hAnsi="Arial"/>
          <w:sz w:val="13"/>
          <w:szCs w:val="13"/>
          <w:color w:val="auto"/>
        </w:rPr>
        <w:t>means, with respect to the Called Principal of any Bond of the Tenth Series, the amount obtained by discounting all Remaining Scheduled Payments with respect to such</w:t>
      </w:r>
      <w:r>
        <w:rPr>
          <w:rFonts w:ascii="Arial" w:cs="Arial" w:eastAsia="Arial" w:hAnsi="Arial"/>
          <w:sz w:val="13"/>
          <w:szCs w:val="13"/>
          <w:i w:val="1"/>
          <w:iCs w:val="1"/>
          <w:color w:val="auto"/>
        </w:rPr>
        <w:t xml:space="preserve"> </w:t>
      </w:r>
      <w:r>
        <w:rPr>
          <w:rFonts w:ascii="Arial" w:cs="Arial" w:eastAsia="Arial" w:hAnsi="Arial"/>
          <w:sz w:val="13"/>
          <w:szCs w:val="13"/>
          <w:color w:val="auto"/>
        </w:rPr>
        <w:t>Called Principal from their respective scheduled due dates to the Settlement Date with respect to such Called Principal, in accordance with accepted financial practice and at a discount factor (applied on the same periodic basis as that on which interest on the Bond of the Tenth Series is payable) equal to the Reinvestment Yield with respect to such Called Principal.</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24" w:name="page125"/>
    <w:bookmarkEnd w:id="124"/>
    <w:p>
      <w:pPr>
        <w:jc w:val="both"/>
        <w:ind w:firstLine="517"/>
        <w:spacing w:after="0" w:line="262" w:lineRule="auto"/>
        <w:rPr>
          <w:sz w:val="20"/>
          <w:szCs w:val="20"/>
          <w:color w:val="auto"/>
        </w:rPr>
      </w:pPr>
      <w:r>
        <w:rPr>
          <w:rFonts w:ascii="Arial" w:cs="Arial" w:eastAsia="Arial" w:hAnsi="Arial"/>
          <w:sz w:val="14"/>
          <w:szCs w:val="14"/>
          <w:i w:val="1"/>
          <w:iCs w:val="1"/>
          <w:color w:val="auto"/>
        </w:rPr>
        <w:t xml:space="preserve">“Reinvestment Yield” </w:t>
      </w:r>
      <w:r>
        <w:rPr>
          <w:rFonts w:ascii="Arial" w:cs="Arial" w:eastAsia="Arial" w:hAnsi="Arial"/>
          <w:sz w:val="14"/>
          <w:szCs w:val="14"/>
          <w:color w:val="auto"/>
        </w:rPr>
        <w:t>means, with respect to the Called Principal of any Bond of the Tenth Series, the yield to maturity implied by (i) the yields reported as of 10:00 a.m. (New York</w:t>
      </w:r>
      <w:r>
        <w:rPr>
          <w:rFonts w:ascii="Arial" w:cs="Arial" w:eastAsia="Arial" w:hAnsi="Arial"/>
          <w:sz w:val="14"/>
          <w:szCs w:val="14"/>
          <w:i w:val="1"/>
          <w:iCs w:val="1"/>
          <w:color w:val="auto"/>
        </w:rPr>
        <w:t xml:space="preserve"> </w:t>
      </w:r>
      <w:r>
        <w:rPr>
          <w:rFonts w:ascii="Arial" w:cs="Arial" w:eastAsia="Arial" w:hAnsi="Arial"/>
          <w:sz w:val="14"/>
          <w:szCs w:val="14"/>
          <w:color w:val="auto"/>
        </w:rPr>
        <w:t>City time) on the second Business Day preceding the Settlement Date with respect to such Called Principal, on the display designated as “Page PX1” (or such other display as may replace Page PX1) on Bloomberg Financial Markets for the most recently issued actively traded on the run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(or any comparable successor publication) for U.S. Treasury securities having a constant maturity equal to the Remaining Average Life of such Called Principal as of such Settlement Date.</w:t>
      </w:r>
    </w:p>
    <w:p>
      <w:pPr>
        <w:spacing w:after="0" w:line="171"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In the case of each determination under clause (i) or clause (ii), as the case may be, of the preceding paragraph, such implied yield will be determined, if necessary, by (a) converting U.S. Treasury bill quotations to bond equivalent yields in accordance with accepted financial practice and (b) interpolating linearly between (1) the applicable U.S. Treasury security with the maturity closest to and greater than such Remaining Average Life and (2) the applicable U.S. Treasury security with the maturity closest to and less than such Remaining Average Life. The Reinvestment Yield shall be rounded to the number of decimal places as appears in the interest rate of the applicable Bond of the Tenth Series.</w:t>
      </w:r>
    </w:p>
    <w:p>
      <w:pPr>
        <w:spacing w:after="0" w:line="151"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i w:val="1"/>
          <w:iCs w:val="1"/>
          <w:color w:val="auto"/>
        </w:rPr>
        <w:t xml:space="preserve">“Remaining Average Life” </w:t>
      </w:r>
      <w:r>
        <w:rPr>
          <w:rFonts w:ascii="Arial" w:cs="Arial" w:eastAsia="Arial" w:hAnsi="Arial"/>
          <w:sz w:val="14"/>
          <w:szCs w:val="14"/>
          <w:color w:val="auto"/>
        </w:rPr>
        <w:t>means, with respect to any Called Principal, the number of years (calculated to the nearest one-twelfth year) obtained by dividing (i) such Called</w:t>
      </w:r>
      <w:r>
        <w:rPr>
          <w:rFonts w:ascii="Arial" w:cs="Arial" w:eastAsia="Arial" w:hAnsi="Arial"/>
          <w:sz w:val="14"/>
          <w:szCs w:val="14"/>
          <w:i w:val="1"/>
          <w:iCs w:val="1"/>
          <w:color w:val="auto"/>
        </w:rPr>
        <w:t xml:space="preserve"> </w:t>
      </w:r>
      <w:r>
        <w:rPr>
          <w:rFonts w:ascii="Arial" w:cs="Arial" w:eastAsia="Arial" w:hAnsi="Arial"/>
          <w:sz w:val="14"/>
          <w:szCs w:val="14"/>
          <w:color w:val="auto"/>
        </w:rPr>
        <w:t>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67"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i w:val="1"/>
          <w:iCs w:val="1"/>
          <w:color w:val="auto"/>
        </w:rPr>
        <w:t xml:space="preserve">“Remaining Scheduled Payments” </w:t>
      </w:r>
      <w:r>
        <w:rPr>
          <w:rFonts w:ascii="Arial" w:cs="Arial" w:eastAsia="Arial" w:hAnsi="Arial"/>
          <w:sz w:val="14"/>
          <w:szCs w:val="14"/>
          <w:color w:val="auto"/>
        </w:rPr>
        <w:t>means, with respect to the Called Principal of any Bond of the Tenth Series, all payments of such Called Principal and interest thereon that would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be due after the Settlement Date with respect to such Called Principal if no payment of such Called Principal were made prior to its scheduled due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such Settlement Date is not a date on which interest payments are due to be made under the terms of the Bond of the Tenth Series, then the amount of the next succeeding scheduled interest payment will be reduced by the amount of interest accrued to such Settlement Date and required to be paid on such Settlement Date.</w:t>
      </w:r>
    </w:p>
    <w:p>
      <w:pPr>
        <w:spacing w:after="0" w:line="167" w:lineRule="exact"/>
        <w:rPr>
          <w:sz w:val="20"/>
          <w:szCs w:val="20"/>
          <w:color w:val="auto"/>
        </w:rPr>
      </w:pPr>
    </w:p>
    <w:p>
      <w:pPr>
        <w:jc w:val="both"/>
        <w:ind w:firstLine="742"/>
        <w:spacing w:after="0" w:line="288" w:lineRule="auto"/>
        <w:rPr>
          <w:sz w:val="20"/>
          <w:szCs w:val="20"/>
          <w:color w:val="auto"/>
        </w:rPr>
      </w:pPr>
      <w:r>
        <w:rPr>
          <w:rFonts w:ascii="Arial" w:cs="Arial" w:eastAsia="Arial" w:hAnsi="Arial"/>
          <w:sz w:val="14"/>
          <w:szCs w:val="14"/>
          <w:i w:val="1"/>
          <w:iCs w:val="1"/>
          <w:color w:val="auto"/>
        </w:rPr>
        <w:t xml:space="preserve">“Settlement Date” </w:t>
      </w:r>
      <w:r>
        <w:rPr>
          <w:rFonts w:ascii="Arial" w:cs="Arial" w:eastAsia="Arial" w:hAnsi="Arial"/>
          <w:sz w:val="14"/>
          <w:szCs w:val="14"/>
          <w:color w:val="auto"/>
        </w:rPr>
        <w:t>means, with respect to the Called Principal of any Bond of the Tenth Series, the date on which such Called Principal is to be prepaid or has become or is</w:t>
      </w:r>
      <w:r>
        <w:rPr>
          <w:rFonts w:ascii="Arial" w:cs="Arial" w:eastAsia="Arial" w:hAnsi="Arial"/>
          <w:sz w:val="14"/>
          <w:szCs w:val="14"/>
          <w:i w:val="1"/>
          <w:iCs w:val="1"/>
          <w:color w:val="auto"/>
        </w:rPr>
        <w:t xml:space="preserve"> </w:t>
      </w:r>
      <w:r>
        <w:rPr>
          <w:rFonts w:ascii="Arial" w:cs="Arial" w:eastAsia="Arial" w:hAnsi="Arial"/>
          <w:sz w:val="14"/>
          <w:szCs w:val="14"/>
          <w:color w:val="auto"/>
        </w:rPr>
        <w:t>declared to be immediately due and payable, as the context requires.</w:t>
      </w:r>
    </w:p>
    <w:p>
      <w:pPr>
        <w:spacing w:after="0" w:line="27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40"/>
          </w:cols>
          <w:pgMar w:left="740" w:top="441" w:right="219" w:bottom="1440" w:gutter="0" w:footer="0" w:header="0"/>
        </w:sectPr>
      </w:pPr>
    </w:p>
    <w:bookmarkStart w:id="125" w:name="page126"/>
    <w:bookmarkEnd w:id="125"/>
    <w:p>
      <w:pPr>
        <w:jc w:val="both"/>
        <w:ind w:firstLine="517"/>
        <w:spacing w:after="0" w:line="288" w:lineRule="auto"/>
        <w:rPr>
          <w:sz w:val="20"/>
          <w:szCs w:val="20"/>
          <w:color w:val="auto"/>
        </w:rPr>
      </w:pPr>
      <w:r>
        <w:rPr>
          <w:rFonts w:ascii="Arial" w:cs="Arial" w:eastAsia="Arial" w:hAnsi="Arial"/>
          <w:sz w:val="14"/>
          <w:szCs w:val="14"/>
          <w:i w:val="1"/>
          <w:iCs w:val="1"/>
          <w:color w:val="auto"/>
        </w:rPr>
        <w:t xml:space="preserve">“Person” </w:t>
      </w:r>
      <w:r>
        <w:rPr>
          <w:rFonts w:ascii="Arial" w:cs="Arial" w:eastAsia="Arial" w:hAnsi="Arial"/>
          <w:sz w:val="14"/>
          <w:szCs w:val="14"/>
          <w:color w:val="auto"/>
        </w:rPr>
        <w:t>shall mean and include an individual, a partnership, a joint venture, a corporation, a limited liability company, a trust, an unincorporated organization and a government or any</w:t>
      </w:r>
      <w:r>
        <w:rPr>
          <w:rFonts w:ascii="Arial" w:cs="Arial" w:eastAsia="Arial" w:hAnsi="Arial"/>
          <w:sz w:val="14"/>
          <w:szCs w:val="14"/>
          <w:i w:val="1"/>
          <w:iCs w:val="1"/>
          <w:color w:val="auto"/>
        </w:rPr>
        <w:t xml:space="preserve"> </w:t>
      </w:r>
      <w:r>
        <w:rPr>
          <w:rFonts w:ascii="Arial" w:cs="Arial" w:eastAsia="Arial" w:hAnsi="Arial"/>
          <w:sz w:val="14"/>
          <w:szCs w:val="14"/>
          <w:color w:val="auto"/>
        </w:rPr>
        <w:t>department or agency thereof.</w:t>
      </w:r>
    </w:p>
    <w:p>
      <w:pPr>
        <w:spacing w:after="0" w:line="15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 xml:space="preserve">“Proceeds of Released Property” </w:t>
      </w:r>
      <w:r>
        <w:rPr>
          <w:rFonts w:ascii="Arial" w:cs="Arial" w:eastAsia="Arial" w:hAnsi="Arial"/>
          <w:sz w:val="14"/>
          <w:szCs w:val="14"/>
          <w:color w:val="auto"/>
        </w:rPr>
        <w:t>shall mean the aggregate of the cash deposited with or received by the Corporate Trustee pursuant to the provisions of Section 59, Section 60, Section 61</w:t>
      </w:r>
      <w:r>
        <w:rPr>
          <w:rFonts w:ascii="Arial" w:cs="Arial" w:eastAsia="Arial" w:hAnsi="Arial"/>
          <w:sz w:val="14"/>
          <w:szCs w:val="14"/>
          <w:i w:val="1"/>
          <w:iCs w:val="1"/>
          <w:color w:val="auto"/>
        </w:rPr>
        <w:t xml:space="preserve"> </w:t>
      </w:r>
      <w:r>
        <w:rPr>
          <w:rFonts w:ascii="Arial" w:cs="Arial" w:eastAsia="Arial" w:hAnsi="Arial"/>
          <w:sz w:val="14"/>
          <w:szCs w:val="14"/>
          <w:color w:val="auto"/>
        </w:rPr>
        <w:t>(except such cash as is to be paid over to the Company under the provisions of Section 61), or Section 62 of the Mortgage.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“Purchaser” </w:t>
      </w:r>
      <w:r>
        <w:rPr>
          <w:rFonts w:ascii="Arial" w:cs="Arial" w:eastAsia="Arial" w:hAnsi="Arial"/>
          <w:sz w:val="14"/>
          <w:szCs w:val="14"/>
          <w:color w:val="auto"/>
        </w:rPr>
        <w:t>means Modern Woodmen of America.</w:t>
      </w:r>
    </w:p>
    <w:p>
      <w:pPr>
        <w:spacing w:after="0" w:line="205"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i w:val="1"/>
          <w:iCs w:val="1"/>
          <w:color w:val="auto"/>
        </w:rPr>
        <w:t xml:space="preserve">“Subsidiary” </w:t>
      </w:r>
      <w:r>
        <w:rPr>
          <w:rFonts w:ascii="Arial" w:cs="Arial" w:eastAsia="Arial" w:hAnsi="Arial"/>
          <w:sz w:val="14"/>
          <w:szCs w:val="14"/>
          <w:color w:val="auto"/>
        </w:rPr>
        <w:t>means, as to any Person, any other Person in which such first Person or one or more of its Subsidiaries or such first Person and one or more of its Subsidiaries owns sufficient</w:t>
      </w:r>
      <w:r>
        <w:rPr>
          <w:rFonts w:ascii="Arial" w:cs="Arial" w:eastAsia="Arial" w:hAnsi="Arial"/>
          <w:sz w:val="14"/>
          <w:szCs w:val="14"/>
          <w:i w:val="1"/>
          <w:iCs w:val="1"/>
          <w:color w:val="auto"/>
        </w:rPr>
        <w:t xml:space="preserve"> </w:t>
      </w:r>
      <w:r>
        <w:rPr>
          <w:rFonts w:ascii="Arial" w:cs="Arial" w:eastAsia="Arial" w:hAnsi="Arial"/>
          <w:sz w:val="14"/>
          <w:szCs w:val="14"/>
          <w:color w:val="auto"/>
        </w:rPr>
        <w:t>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“Substantial Part” </w:t>
      </w:r>
      <w:r>
        <w:rPr>
          <w:rFonts w:ascii="Arial" w:cs="Arial" w:eastAsia="Arial" w:hAnsi="Arial"/>
          <w:sz w:val="14"/>
          <w:szCs w:val="14"/>
          <w:color w:val="auto"/>
        </w:rPr>
        <w:t>shall mean when used with respect to assets or net income 15% or more of such assets or net income, respectively.</w:t>
      </w:r>
    </w:p>
    <w:p>
      <w:pPr>
        <w:spacing w:after="0" w:line="205" w:lineRule="exact"/>
        <w:rPr>
          <w:sz w:val="20"/>
          <w:szCs w:val="20"/>
          <w:color w:val="auto"/>
        </w:rPr>
      </w:pPr>
    </w:p>
    <w:p>
      <w:pPr>
        <w:jc w:val="both"/>
        <w:ind w:firstLine="729"/>
        <w:spacing w:after="0" w:line="288" w:lineRule="auto"/>
        <w:rPr>
          <w:sz w:val="20"/>
          <w:szCs w:val="20"/>
          <w:color w:val="auto"/>
        </w:rPr>
      </w:pPr>
      <w:r>
        <w:rPr>
          <w:rFonts w:ascii="Arial" w:cs="Arial" w:eastAsia="Arial" w:hAnsi="Arial"/>
          <w:sz w:val="14"/>
          <w:szCs w:val="14"/>
          <w:i w:val="1"/>
          <w:iCs w:val="1"/>
          <w:color w:val="auto"/>
        </w:rPr>
        <w:t xml:space="preserve">Section 3.2. </w:t>
      </w:r>
      <w:r>
        <w:rPr>
          <w:rFonts w:ascii="Arial" w:cs="Arial" w:eastAsia="Arial" w:hAnsi="Arial"/>
          <w:sz w:val="14"/>
          <w:szCs w:val="14"/>
          <w:color w:val="auto"/>
        </w:rPr>
        <w:t>The terms defined in the Mortgage, as heretofore supplemented, shall for all purposes of this Eleventh Supplemental Indenture have the meanings specified in the Mortgage,</w:t>
      </w:r>
      <w:r>
        <w:rPr>
          <w:rFonts w:ascii="Arial" w:cs="Arial" w:eastAsia="Arial" w:hAnsi="Arial"/>
          <w:sz w:val="14"/>
          <w:szCs w:val="14"/>
          <w:i w:val="1"/>
          <w:iCs w:val="1"/>
          <w:color w:val="auto"/>
        </w:rPr>
        <w:t xml:space="preserve"> </w:t>
      </w:r>
      <w:r>
        <w:rPr>
          <w:rFonts w:ascii="Arial" w:cs="Arial" w:eastAsia="Arial" w:hAnsi="Arial"/>
          <w:sz w:val="14"/>
          <w:szCs w:val="14"/>
          <w:color w:val="auto"/>
        </w:rPr>
        <w:t>as heretofore supplemented.</w:t>
      </w:r>
    </w:p>
    <w:p>
      <w:pPr>
        <w:spacing w:after="0" w:line="152" w:lineRule="exact"/>
        <w:rPr>
          <w:sz w:val="20"/>
          <w:szCs w:val="20"/>
          <w:color w:val="auto"/>
        </w:rPr>
      </w:pPr>
    </w:p>
    <w:p>
      <w:pPr>
        <w:jc w:val="both"/>
        <w:ind w:firstLine="788"/>
        <w:spacing w:after="0" w:line="288" w:lineRule="auto"/>
        <w:rPr>
          <w:sz w:val="20"/>
          <w:szCs w:val="20"/>
          <w:color w:val="auto"/>
        </w:rPr>
      </w:pPr>
      <w:r>
        <w:rPr>
          <w:rFonts w:ascii="Arial" w:cs="Arial" w:eastAsia="Arial" w:hAnsi="Arial"/>
          <w:sz w:val="14"/>
          <w:szCs w:val="14"/>
          <w:i w:val="1"/>
          <w:iCs w:val="1"/>
          <w:color w:val="auto"/>
        </w:rPr>
        <w:t xml:space="preserve">Section 3.3. </w:t>
      </w:r>
      <w:r>
        <w:rPr>
          <w:rFonts w:ascii="Arial" w:cs="Arial" w:eastAsia="Arial" w:hAnsi="Arial"/>
          <w:sz w:val="14"/>
          <w:szCs w:val="14"/>
          <w:color w:val="auto"/>
        </w:rPr>
        <w:t>The Trustee hereby accepts the trust herein declared, provided and created and agrees to perform the same upon the terms and conditions herein and in the Mortgage, as</w:t>
      </w:r>
      <w:r>
        <w:rPr>
          <w:rFonts w:ascii="Arial" w:cs="Arial" w:eastAsia="Arial" w:hAnsi="Arial"/>
          <w:sz w:val="14"/>
          <w:szCs w:val="14"/>
          <w:i w:val="1"/>
          <w:iCs w:val="1"/>
          <w:color w:val="auto"/>
        </w:rPr>
        <w:t xml:space="preserve"> </w:t>
      </w:r>
      <w:r>
        <w:rPr>
          <w:rFonts w:ascii="Arial" w:cs="Arial" w:eastAsia="Arial" w:hAnsi="Arial"/>
          <w:sz w:val="14"/>
          <w:szCs w:val="14"/>
          <w:color w:val="auto"/>
        </w:rPr>
        <w:t>heretofore supplemented, set forth and upon the following terms and conditions.</w:t>
      </w:r>
    </w:p>
    <w:p>
      <w:pPr>
        <w:spacing w:after="0" w:line="152" w:lineRule="exact"/>
        <w:rPr>
          <w:sz w:val="20"/>
          <w:szCs w:val="20"/>
          <w:color w:val="auto"/>
        </w:rPr>
      </w:pPr>
    </w:p>
    <w:p>
      <w:pPr>
        <w:jc w:val="both"/>
        <w:ind w:firstLine="675"/>
        <w:spacing w:after="0" w:line="267" w:lineRule="auto"/>
        <w:rPr>
          <w:sz w:val="20"/>
          <w:szCs w:val="20"/>
          <w:color w:val="auto"/>
        </w:rPr>
      </w:pPr>
      <w:r>
        <w:rPr>
          <w:rFonts w:ascii="Arial" w:cs="Arial" w:eastAsia="Arial" w:hAnsi="Arial"/>
          <w:sz w:val="14"/>
          <w:szCs w:val="14"/>
          <w:i w:val="1"/>
          <w:iCs w:val="1"/>
          <w:color w:val="auto"/>
        </w:rPr>
        <w:t xml:space="preserve">Section 3.4. </w:t>
      </w:r>
      <w:r>
        <w:rPr>
          <w:rFonts w:ascii="Arial" w:cs="Arial" w:eastAsia="Arial" w:hAnsi="Arial"/>
          <w:sz w:val="14"/>
          <w:szCs w:val="14"/>
          <w:color w:val="auto"/>
        </w:rPr>
        <w:t>The Trustee shall not be responsible in any manner whatsoever for or in respect of the validity or sufficiency of this Eleventh Supplemental Indenture or for or in respect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recitals contained herein, all of which recitals are made by the Company solely. In general, each and every term and condition contained in Article XVII of the Mortgage shall apply to and form part of this Eleventh Supplemental Indenture with the same force and effect as if the same were herein set forth in full, with such omissions, variations and insertions, if any, as may be appropriate to make the same conform to the provisions of this Eleventh Supplemental Indenture.</w:t>
      </w:r>
    </w:p>
    <w:p>
      <w:pPr>
        <w:spacing w:after="0" w:line="167" w:lineRule="exact"/>
        <w:rPr>
          <w:sz w:val="20"/>
          <w:szCs w:val="20"/>
          <w:color w:val="auto"/>
        </w:rPr>
      </w:pPr>
    </w:p>
    <w:p>
      <w:pPr>
        <w:jc w:val="both"/>
        <w:ind w:firstLine="675"/>
        <w:spacing w:after="0" w:line="272" w:lineRule="auto"/>
        <w:rPr>
          <w:sz w:val="20"/>
          <w:szCs w:val="20"/>
          <w:color w:val="auto"/>
        </w:rPr>
      </w:pPr>
      <w:r>
        <w:rPr>
          <w:rFonts w:ascii="Arial" w:cs="Arial" w:eastAsia="Arial" w:hAnsi="Arial"/>
          <w:sz w:val="14"/>
          <w:szCs w:val="14"/>
          <w:i w:val="1"/>
          <w:iCs w:val="1"/>
          <w:color w:val="auto"/>
        </w:rPr>
        <w:t xml:space="preserve">Section 3.5. </w:t>
      </w:r>
      <w:r>
        <w:rPr>
          <w:rFonts w:ascii="Arial" w:cs="Arial" w:eastAsia="Arial" w:hAnsi="Arial"/>
          <w:sz w:val="14"/>
          <w:szCs w:val="14"/>
          <w:color w:val="auto"/>
        </w:rPr>
        <w:t>Subject to the provisions of Article XVI and Article XVII of the Mortgage, whenever in this Eleventh Supplemental Indenture any of the parties hereto is named or referred to,</w:t>
      </w:r>
      <w:r>
        <w:rPr>
          <w:rFonts w:ascii="Arial" w:cs="Arial" w:eastAsia="Arial" w:hAnsi="Arial"/>
          <w:sz w:val="14"/>
          <w:szCs w:val="14"/>
          <w:i w:val="1"/>
          <w:iCs w:val="1"/>
          <w:color w:val="auto"/>
        </w:rPr>
        <w:t xml:space="preserve"> </w:t>
      </w:r>
      <w:r>
        <w:rPr>
          <w:rFonts w:ascii="Arial" w:cs="Arial" w:eastAsia="Arial" w:hAnsi="Arial"/>
          <w:sz w:val="14"/>
          <w:szCs w:val="14"/>
          <w:color w:val="auto"/>
        </w:rPr>
        <w:t>this shall be deemed to include the successors or assigns of such party, and all the covenants and agreements in this Eleventh Supplemental Indenture contained by or on behalf of the Company or by or on behalf of the Trustee shall bind and inure to the benefit of the respective successors and assigns of such parties whether so expressed or not.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26" w:name="page127"/>
    <w:bookmarkEnd w:id="126"/>
    <w:p>
      <w:pPr>
        <w:jc w:val="both"/>
        <w:ind w:firstLine="603"/>
        <w:spacing w:after="0" w:line="294" w:lineRule="auto"/>
        <w:rPr>
          <w:sz w:val="20"/>
          <w:szCs w:val="20"/>
          <w:color w:val="auto"/>
        </w:rPr>
      </w:pPr>
      <w:r>
        <w:rPr>
          <w:rFonts w:ascii="Arial" w:cs="Arial" w:eastAsia="Arial" w:hAnsi="Arial"/>
          <w:sz w:val="13"/>
          <w:szCs w:val="13"/>
          <w:i w:val="1"/>
          <w:iCs w:val="1"/>
          <w:color w:val="auto"/>
        </w:rPr>
        <w:t xml:space="preserve">Section 3.6. </w:t>
      </w:r>
      <w:r>
        <w:rPr>
          <w:rFonts w:ascii="Arial" w:cs="Arial" w:eastAsia="Arial" w:hAnsi="Arial"/>
          <w:sz w:val="13"/>
          <w:szCs w:val="13"/>
          <w:color w:val="auto"/>
        </w:rPr>
        <w:t>Nothing in this Eleventh Supplemental Indenture, express or implied, is intended, or shall be construed, to confer upon, or to give to, any person, firm or corporation, other than</w:t>
      </w:r>
      <w:r>
        <w:rPr>
          <w:rFonts w:ascii="Arial" w:cs="Arial" w:eastAsia="Arial" w:hAnsi="Arial"/>
          <w:sz w:val="13"/>
          <w:szCs w:val="13"/>
          <w:i w:val="1"/>
          <w:iCs w:val="1"/>
          <w:color w:val="auto"/>
        </w:rPr>
        <w:t xml:space="preserve"> </w:t>
      </w:r>
      <w:r>
        <w:rPr>
          <w:rFonts w:ascii="Arial" w:cs="Arial" w:eastAsia="Arial" w:hAnsi="Arial"/>
          <w:sz w:val="13"/>
          <w:szCs w:val="13"/>
          <w:color w:val="auto"/>
        </w:rPr>
        <w:t>the parties hereto and the holders of the bonds Outstanding under the Mortgage, any right, remedy or claim under or by reason of this Eleventh Supplemental Indenture or any covenant, condition, stipulation, promise or agreement hereof, and all the covenants, conditions, stipulations, promises and agreements of this Eleventh Supplemental Indenture contained by or on behalf of the Company shall be for the sole and exclusive benefit of the parties hereto, and of the holders of the bonds and of the coupons Outstanding under the Mortgage.</w:t>
      </w:r>
    </w:p>
    <w:p>
      <w:pPr>
        <w:spacing w:after="0" w:line="151" w:lineRule="exact"/>
        <w:rPr>
          <w:sz w:val="20"/>
          <w:szCs w:val="20"/>
          <w:color w:val="auto"/>
        </w:rPr>
      </w:pPr>
    </w:p>
    <w:p>
      <w:pPr>
        <w:jc w:val="both"/>
        <w:ind w:firstLine="639"/>
        <w:spacing w:after="0" w:line="288" w:lineRule="auto"/>
        <w:rPr>
          <w:sz w:val="20"/>
          <w:szCs w:val="20"/>
          <w:color w:val="auto"/>
        </w:rPr>
      </w:pPr>
      <w:r>
        <w:rPr>
          <w:rFonts w:ascii="Arial" w:cs="Arial" w:eastAsia="Arial" w:hAnsi="Arial"/>
          <w:sz w:val="14"/>
          <w:szCs w:val="14"/>
          <w:i w:val="1"/>
          <w:iCs w:val="1"/>
          <w:color w:val="auto"/>
        </w:rPr>
        <w:t xml:space="preserve">Section 3.7. </w:t>
      </w:r>
      <w:r>
        <w:rPr>
          <w:rFonts w:ascii="Arial" w:cs="Arial" w:eastAsia="Arial" w:hAnsi="Arial"/>
          <w:sz w:val="14"/>
          <w:szCs w:val="14"/>
          <w:color w:val="auto"/>
        </w:rPr>
        <w:t>This Eleventh Supplemental Indenture may be executed in several counterparts, each of which shall be an original and all of which shall constitute but one and the same</w:t>
      </w:r>
      <w:r>
        <w:rPr>
          <w:rFonts w:ascii="Arial" w:cs="Arial" w:eastAsia="Arial" w:hAnsi="Arial"/>
          <w:sz w:val="14"/>
          <w:szCs w:val="14"/>
          <w:i w:val="1"/>
          <w:iCs w:val="1"/>
          <w:color w:val="auto"/>
        </w:rPr>
        <w:t xml:space="preserve"> </w:t>
      </w:r>
      <w:r>
        <w:rPr>
          <w:rFonts w:ascii="Arial" w:cs="Arial" w:eastAsia="Arial" w:hAnsi="Arial"/>
          <w:sz w:val="14"/>
          <w:szCs w:val="14"/>
          <w:color w:val="auto"/>
        </w:rPr>
        <w:t>instrument.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27" w:name="page128"/>
    <w:bookmarkEnd w:id="127"/>
    <w:p>
      <w:pPr>
        <w:jc w:val="both"/>
        <w:ind w:firstLine="517"/>
        <w:spacing w:after="0" w:line="272" w:lineRule="auto"/>
        <w:rPr>
          <w:sz w:val="20"/>
          <w:szCs w:val="20"/>
          <w:color w:val="auto"/>
        </w:rPr>
      </w:pPr>
      <w:r>
        <w:rPr>
          <w:rFonts w:ascii="Arial" w:cs="Arial" w:eastAsia="Arial" w:hAnsi="Arial"/>
          <w:sz w:val="14"/>
          <w:szCs w:val="14"/>
          <w:color w:val="auto"/>
        </w:rPr>
        <w:t>IN WITNESS WHEREOF, Superior Water, Light and Power Company has caused its corporate name to be hereunto affixed, and this instrument to be signed and sealed by its President or one of its Vice Presidents, and its corporate seal to be attested by its Secretary or one of its Assistant Secretaries for and in its behalf, and U.S. Bank National Association has caused its corporate name to be hereunto affixed, and this instrument to be signed by its President and to be attested by its Secretary, all as of the 1st day of December, 2008.</w:t>
      </w:r>
    </w:p>
    <w:p>
      <w:pPr>
        <w:spacing w:after="0" w:line="164"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SUPERIOR WATER, LIGHT AND POWER</w:t>
      </w:r>
    </w:p>
    <w:p>
      <w:pPr>
        <w:spacing w:after="0" w:line="21"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COMPANY</w:t>
      </w:r>
    </w:p>
    <w:p>
      <w:pPr>
        <w:spacing w:after="0" w:line="390" w:lineRule="exact"/>
        <w:rPr>
          <w:sz w:val="20"/>
          <w:szCs w:val="20"/>
          <w:color w:val="auto"/>
        </w:rPr>
      </w:pPr>
    </w:p>
    <w:p>
      <w:pPr>
        <w:ind w:left="87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Chris E. Fleege</w:t>
      </w:r>
    </w:p>
    <w:p>
      <w:pPr>
        <w:spacing w:after="0" w:line="21"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President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ATTEST:</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Janet A. Blake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Secretary</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Executed, sealed and delivered by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Superior Water, Light and Power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Company in the presence of:</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William S. Bombich</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Nancy A. Venne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35"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8020" w:type="dxa"/>
            <w:vAlign w:val="bottom"/>
            <w:gridSpan w:val="4"/>
          </w:tcPr>
          <w:p>
            <w:pPr>
              <w:ind w:left="5260"/>
              <w:spacing w:after="0"/>
              <w:rPr>
                <w:sz w:val="20"/>
                <w:szCs w:val="20"/>
                <w:color w:val="auto"/>
              </w:rPr>
            </w:pPr>
            <w:r>
              <w:rPr>
                <w:rFonts w:ascii="Arial" w:cs="Arial" w:eastAsia="Arial" w:hAnsi="Arial"/>
                <w:sz w:val="14"/>
                <w:szCs w:val="14"/>
                <w:color w:val="auto"/>
              </w:rPr>
              <w:t>U.S. BANK NATIONAL ASSOCIATION, as</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8020" w:type="dxa"/>
            <w:vAlign w:val="bottom"/>
            <w:gridSpan w:val="4"/>
          </w:tcPr>
          <w:p>
            <w:pPr>
              <w:ind w:left="5260"/>
              <w:spacing w:after="0"/>
              <w:rPr>
                <w:sz w:val="20"/>
                <w:szCs w:val="20"/>
                <w:color w:val="auto"/>
              </w:rPr>
            </w:pPr>
            <w:r>
              <w:rPr>
                <w:rFonts w:ascii="Arial" w:cs="Arial" w:eastAsia="Arial" w:hAnsi="Arial"/>
                <w:sz w:val="14"/>
                <w:szCs w:val="14"/>
                <w:color w:val="auto"/>
              </w:rPr>
              <w:t>Trustee</w:t>
            </w:r>
          </w:p>
        </w:tc>
        <w:tc>
          <w:tcPr>
            <w:tcW w:w="0" w:type="dxa"/>
            <w:vAlign w:val="bottom"/>
          </w:tcPr>
          <w:p>
            <w:pPr>
              <w:spacing w:after="0"/>
              <w:rPr>
                <w:sz w:val="1"/>
                <w:szCs w:val="1"/>
                <w:color w:val="auto"/>
              </w:rPr>
            </w:pPr>
          </w:p>
        </w:tc>
      </w:tr>
      <w:tr>
        <w:trPr>
          <w:trHeight w:val="529"/>
        </w:trPr>
        <w:tc>
          <w:tcPr>
            <w:tcW w:w="3440" w:type="dxa"/>
            <w:vAlign w:val="bottom"/>
          </w:tcPr>
          <w:p>
            <w:pPr>
              <w:spacing w:after="0"/>
              <w:rPr>
                <w:sz w:val="24"/>
                <w:szCs w:val="24"/>
                <w:color w:val="auto"/>
              </w:rPr>
            </w:pPr>
          </w:p>
        </w:tc>
        <w:tc>
          <w:tcPr>
            <w:tcW w:w="8020" w:type="dxa"/>
            <w:vAlign w:val="bottom"/>
            <w:gridSpan w:val="4"/>
          </w:tcPr>
          <w:p>
            <w:pPr>
              <w:ind w:left="5320"/>
              <w:spacing w:after="0"/>
              <w:rPr>
                <w:sz w:val="20"/>
                <w:szCs w:val="20"/>
                <w:color w:val="auto"/>
              </w:rPr>
            </w:pPr>
            <w:r>
              <w:rPr>
                <w:rFonts w:ascii="Arial" w:cs="Arial" w:eastAsia="Arial" w:hAnsi="Arial"/>
                <w:sz w:val="14"/>
                <w:szCs w:val="14"/>
                <w:color w:val="auto"/>
              </w:rPr>
              <w:t>By: /s/ Richard Prokosch</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40" w:type="dxa"/>
            <w:vAlign w:val="bottom"/>
          </w:tcPr>
          <w:p>
            <w:pPr>
              <w:spacing w:after="0"/>
              <w:rPr>
                <w:sz w:val="15"/>
                <w:szCs w:val="15"/>
                <w:color w:val="auto"/>
              </w:rPr>
            </w:pPr>
          </w:p>
        </w:tc>
        <w:tc>
          <w:tcPr>
            <w:tcW w:w="8020" w:type="dxa"/>
            <w:vAlign w:val="bottom"/>
            <w:gridSpan w:val="4"/>
          </w:tcPr>
          <w:p>
            <w:pPr>
              <w:ind w:left="5540"/>
              <w:spacing w:after="0"/>
              <w:rPr>
                <w:sz w:val="20"/>
                <w:szCs w:val="20"/>
                <w:color w:val="auto"/>
              </w:rPr>
            </w:pPr>
            <w:r>
              <w:rPr>
                <w:rFonts w:ascii="Arial" w:cs="Arial" w:eastAsia="Arial" w:hAnsi="Arial"/>
                <w:sz w:val="14"/>
                <w:szCs w:val="14"/>
                <w:color w:val="auto"/>
              </w:rPr>
              <w:t>Vice President</w:t>
            </w:r>
          </w:p>
        </w:tc>
        <w:tc>
          <w:tcPr>
            <w:tcW w:w="0" w:type="dxa"/>
            <w:vAlign w:val="bottom"/>
          </w:tcPr>
          <w:p>
            <w:pPr>
              <w:spacing w:after="0"/>
              <w:rPr>
                <w:sz w:val="1"/>
                <w:szCs w:val="1"/>
                <w:color w:val="auto"/>
              </w:rPr>
            </w:pPr>
          </w:p>
        </w:tc>
      </w:tr>
      <w:tr>
        <w:trPr>
          <w:trHeight w:val="366"/>
        </w:trPr>
        <w:tc>
          <w:tcPr>
            <w:tcW w:w="3440" w:type="dxa"/>
            <w:vAlign w:val="bottom"/>
          </w:tcPr>
          <w:p>
            <w:pPr>
              <w:spacing w:after="0"/>
              <w:rPr>
                <w:sz w:val="20"/>
                <w:szCs w:val="20"/>
                <w:color w:val="auto"/>
              </w:rPr>
            </w:pPr>
            <w:r>
              <w:rPr>
                <w:rFonts w:ascii="Arial" w:cs="Arial" w:eastAsia="Arial" w:hAnsi="Arial"/>
                <w:sz w:val="14"/>
                <w:szCs w:val="14"/>
                <w:color w:val="auto"/>
              </w:rPr>
              <w:t>ATTEST:</w:t>
            </w:r>
          </w:p>
        </w:tc>
        <w:tc>
          <w:tcPr>
            <w:tcW w:w="5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3440" w:type="dxa"/>
            <w:vAlign w:val="bottom"/>
          </w:tcPr>
          <w:p>
            <w:pPr>
              <w:spacing w:after="0"/>
              <w:rPr>
                <w:sz w:val="24"/>
                <w:szCs w:val="24"/>
                <w:color w:val="auto"/>
              </w:rPr>
            </w:pPr>
          </w:p>
        </w:tc>
        <w:tc>
          <w:tcPr>
            <w:tcW w:w="5580" w:type="dxa"/>
            <w:vAlign w:val="bottom"/>
            <w:vMerge w:val="restart"/>
          </w:tcPr>
          <w:p>
            <w:pPr>
              <w:ind w:left="2580"/>
              <w:spacing w:after="0"/>
              <w:rPr>
                <w:sz w:val="20"/>
                <w:szCs w:val="20"/>
                <w:color w:val="auto"/>
              </w:rPr>
            </w:pPr>
            <w:r>
              <w:rPr>
                <w:rFonts w:ascii="Arial" w:cs="Arial" w:eastAsia="Arial" w:hAnsi="Arial"/>
                <w:sz w:val="14"/>
                <w:szCs w:val="14"/>
                <w:color w:val="auto"/>
              </w:rPr>
              <w:t>&amp;</w:t>
            </w:r>
          </w:p>
        </w:tc>
        <w:tc>
          <w:tcPr>
            <w:tcW w:w="2440" w:type="dxa"/>
            <w:vAlign w:val="bottom"/>
            <w:gridSpan w:val="3"/>
          </w:tcPr>
          <w:p>
            <w:pPr>
              <w:ind w:left="740"/>
              <w:spacing w:after="0"/>
              <w:rPr>
                <w:sz w:val="20"/>
                <w:szCs w:val="20"/>
                <w:color w:val="auto"/>
              </w:rPr>
            </w:pPr>
            <w:r>
              <w:rPr>
                <w:rFonts w:ascii="Arial" w:cs="Arial" w:eastAsia="Arial" w:hAnsi="Arial"/>
                <w:sz w:val="17"/>
                <w:szCs w:val="17"/>
                <w:color w:val="auto"/>
                <w:w w:val="90"/>
              </w:rPr>
              <w:t>/s/ Raymond Haverstock</w:t>
            </w:r>
          </w:p>
        </w:tc>
        <w:tc>
          <w:tcPr>
            <w:tcW w:w="0" w:type="dxa"/>
            <w:vAlign w:val="bottom"/>
          </w:tcPr>
          <w:p>
            <w:pPr>
              <w:spacing w:after="0"/>
              <w:rPr>
                <w:sz w:val="1"/>
                <w:szCs w:val="1"/>
                <w:color w:val="auto"/>
              </w:rPr>
            </w:pPr>
          </w:p>
        </w:tc>
      </w:tr>
      <w:tr>
        <w:trPr>
          <w:trHeight w:val="184"/>
        </w:trPr>
        <w:tc>
          <w:tcPr>
            <w:tcW w:w="3440" w:type="dxa"/>
            <w:vAlign w:val="bottom"/>
            <w:vMerge w:val="restart"/>
          </w:tcPr>
          <w:p>
            <w:pPr>
              <w:spacing w:after="0"/>
              <w:rPr>
                <w:sz w:val="20"/>
                <w:szCs w:val="20"/>
                <w:color w:val="auto"/>
              </w:rPr>
            </w:pPr>
            <w:r>
              <w:rPr>
                <w:rFonts w:ascii="Arial" w:cs="Arial" w:eastAsia="Arial" w:hAnsi="Arial"/>
                <w:sz w:val="14"/>
                <w:szCs w:val="14"/>
                <w:color w:val="auto"/>
              </w:rPr>
              <w:t>#  1  6  0  ;</w:t>
            </w:r>
          </w:p>
        </w:tc>
        <w:tc>
          <w:tcPr>
            <w:tcW w:w="55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vMerge w:val="restart"/>
          </w:tcPr>
          <w:p>
            <w:pPr>
              <w:ind w:left="680"/>
              <w:spacing w:after="0"/>
              <w:rPr>
                <w:sz w:val="20"/>
                <w:szCs w:val="20"/>
                <w:color w:val="auto"/>
              </w:rPr>
            </w:pPr>
            <w:r>
              <w:rPr>
                <w:rFonts w:ascii="Arial" w:cs="Arial" w:eastAsia="Arial" w:hAnsi="Arial"/>
                <w:sz w:val="14"/>
                <w:szCs w:val="14"/>
                <w:color w:val="auto"/>
              </w:rPr>
              <w:t>Vice</w:t>
            </w:r>
          </w:p>
        </w:tc>
        <w:tc>
          <w:tcPr>
            <w:tcW w:w="0" w:type="dxa"/>
            <w:vAlign w:val="bottom"/>
          </w:tcPr>
          <w:p>
            <w:pPr>
              <w:spacing w:after="0"/>
              <w:rPr>
                <w:sz w:val="1"/>
                <w:szCs w:val="1"/>
                <w:color w:val="auto"/>
              </w:rPr>
            </w:pPr>
          </w:p>
        </w:tc>
      </w:tr>
      <w:tr>
        <w:trPr>
          <w:trHeight w:val="163"/>
        </w:trPr>
        <w:tc>
          <w:tcPr>
            <w:tcW w:w="3440" w:type="dxa"/>
            <w:vAlign w:val="bottom"/>
            <w:vMerge w:val="continue"/>
          </w:tcPr>
          <w:p>
            <w:pPr>
              <w:spacing w:after="0"/>
              <w:rPr>
                <w:sz w:val="14"/>
                <w:szCs w:val="14"/>
                <w:color w:val="auto"/>
              </w:rPr>
            </w:pPr>
          </w:p>
        </w:tc>
        <w:tc>
          <w:tcPr>
            <w:tcW w:w="5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President</w:t>
            </w:r>
          </w:p>
        </w:tc>
        <w:tc>
          <w:tcPr>
            <w:tcW w:w="5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Executed and delivered by U.S. Bank National</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Association in the presence of:</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Diane Johnson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Joshua Hahn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29" w:name="page130"/>
    <w:bookmarkEnd w:id="129"/>
    <w:p>
      <w:pPr>
        <w:spacing w:after="0"/>
        <w:tabs>
          <w:tab w:leader="none" w:pos="1600" w:val="left"/>
        </w:tabs>
        <w:rPr>
          <w:sz w:val="20"/>
          <w:szCs w:val="20"/>
          <w:color w:val="auto"/>
        </w:rPr>
      </w:pPr>
      <w:r>
        <w:rPr>
          <w:rFonts w:ascii="Arial" w:cs="Arial" w:eastAsia="Arial" w:hAnsi="Arial"/>
          <w:sz w:val="14"/>
          <w:szCs w:val="14"/>
          <w:color w:val="auto"/>
        </w:rPr>
        <w:t>STATE OF WISCONSIN</w:t>
      </w:r>
      <w:r>
        <w:rPr>
          <w:sz w:val="20"/>
          <w:szCs w:val="20"/>
          <w:color w:val="auto"/>
        </w:rPr>
        <w:tab/>
      </w:r>
      <w:r>
        <w:rPr>
          <w:rFonts w:ascii="Arial" w:cs="Arial" w:eastAsia="Arial" w:hAnsi="Arial"/>
          <w:sz w:val="12"/>
          <w:szCs w:val="12"/>
          <w:color w:val="auto"/>
        </w:rPr>
        <w:t>)</w:t>
      </w:r>
    </w:p>
    <w:p>
      <w:pPr>
        <w:spacing w:after="0" w:line="21" w:lineRule="exact"/>
        <w:rPr>
          <w:sz w:val="20"/>
          <w:szCs w:val="20"/>
          <w:color w:val="auto"/>
        </w:rPr>
      </w:pPr>
    </w:p>
    <w:p>
      <w:pPr>
        <w:ind w:left="1120" w:hanging="79"/>
        <w:spacing w:after="0"/>
        <w:tabs>
          <w:tab w:leader="none" w:pos="11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SS.</w:t>
      </w:r>
    </w:p>
    <w:p>
      <w:pPr>
        <w:spacing w:after="0" w:line="1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COUNTY OF DOUGLAS  )</w:t>
      </w:r>
    </w:p>
    <w:p>
      <w:pPr>
        <w:spacing w:after="0" w:line="196"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Personally came before me this 1stday of December 2008 , Christopher E. Fleege, to me known to be the President, and Janet A. Black, to me known to be the Secretary, of the above-named SUPERIOR WATER, LIGHT AND POWER COMPANY,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President and Secretary of said corporation, that the seal affixed to said instrument is the corporate seal of said corporation, and that they signed, sealed and delivered said instrument in the name and on behalf of said corporation by authority of its Board of Directors, and said President and Secretary, then and there acknowledged said instrument to be the free act and deed of said corporation and that such corporation executed the same.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notarial seal this 1st day of December, 2008.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20"/>
        <w:spacing w:after="0"/>
        <w:rPr>
          <w:sz w:val="20"/>
          <w:szCs w:val="20"/>
          <w:color w:val="auto"/>
        </w:rPr>
      </w:pPr>
      <w:r>
        <w:rPr>
          <w:rFonts w:ascii="Arial" w:cs="Arial" w:eastAsia="Arial" w:hAnsi="Arial"/>
          <w:sz w:val="14"/>
          <w:szCs w:val="14"/>
          <w:u w:val="single" w:color="auto"/>
          <w:color w:val="auto"/>
        </w:rPr>
        <w:t>/s/ Nancy A. Venne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Notary Public, State of Wisconsin</w:t>
      </w:r>
    </w:p>
    <w:p>
      <w:pPr>
        <w:spacing w:after="0" w:line="11"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My Commission expires July 1, 2012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35" w:right="21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auto"/>
        </w:rPr>
        <w:t>STATE OF MINNESOTA</w:t>
      </w:r>
    </w:p>
    <w:p>
      <w:pPr>
        <w:spacing w:after="0" w:line="20" w:lineRule="exact"/>
        <w:rPr>
          <w:sz w:val="20"/>
          <w:szCs w:val="20"/>
          <w:color w:val="auto"/>
        </w:rPr>
      </w:pPr>
      <w:r>
        <w:rPr>
          <w:sz w:val="20"/>
          <w:szCs w:val="20"/>
          <w:color w:val="auto"/>
        </w:rPr>
        <w:br w:type="column"/>
      </w:r>
    </w:p>
    <w:p>
      <w:pPr>
        <w:jc w:val="right"/>
        <w:ind w:right="9140"/>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jc w:val="right"/>
        <w:ind w:right="9100"/>
        <w:spacing w:after="0"/>
        <w:rPr>
          <w:sz w:val="20"/>
          <w:szCs w:val="20"/>
          <w:color w:val="auto"/>
        </w:rPr>
      </w:pPr>
      <w:r>
        <w:rPr>
          <w:rFonts w:ascii="Arial" w:cs="Arial" w:eastAsia="Arial" w:hAnsi="Arial"/>
          <w:sz w:val="12"/>
          <w:szCs w:val="12"/>
          <w:color w:val="auto"/>
        </w:rPr>
        <w:t>) SS.</w:t>
      </w:r>
    </w:p>
    <w:p>
      <w:pPr>
        <w:spacing w:after="0" w:line="34" w:lineRule="exact"/>
        <w:rPr>
          <w:sz w:val="20"/>
          <w:szCs w:val="20"/>
          <w:color w:val="auto"/>
        </w:rPr>
      </w:pPr>
    </w:p>
    <w:p>
      <w:pPr>
        <w:sectPr>
          <w:pgSz w:w="11900" w:h="16838" w:orient="portrait"/>
          <w:cols w:equalWidth="0" w:num="2">
            <w:col w:w="1520" w:space="560"/>
            <w:col w:w="9380"/>
          </w:cols>
          <w:pgMar w:left="220" w:top="441" w:right="219" w:bottom="1440" w:gutter="0" w:footer="0" w:header="0"/>
        </w:sectPr>
      </w:pPr>
    </w:p>
    <w:p>
      <w:pPr>
        <w:spacing w:after="0"/>
        <w:rPr>
          <w:sz w:val="20"/>
          <w:szCs w:val="20"/>
          <w:color w:val="auto"/>
        </w:rPr>
      </w:pPr>
      <w:r>
        <w:rPr>
          <w:rFonts w:ascii="Arial" w:cs="Arial" w:eastAsia="Arial" w:hAnsi="Arial"/>
          <w:sz w:val="14"/>
          <w:szCs w:val="14"/>
          <w:color w:val="auto"/>
        </w:rPr>
        <w:t>COUNTY OF RAMSEY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19" w:lineRule="exact"/>
        <w:rPr>
          <w:sz w:val="20"/>
          <w:szCs w:val="20"/>
          <w:color w:val="auto"/>
        </w:rPr>
      </w:pPr>
    </w:p>
    <w:p>
      <w:pPr>
        <w:sectPr>
          <w:pgSz w:w="11900" w:h="16838" w:orient="portrait"/>
          <w:cols w:equalWidth="0" w:num="2">
            <w:col w:w="1800" w:space="720"/>
            <w:col w:w="8940"/>
          </w:cols>
          <w:pgMar w:left="220" w:top="441" w:right="219" w:bottom="1440" w:gutter="0" w:footer="0" w:header="0"/>
          <w:type w:val="continuous"/>
        </w:sectPr>
      </w:pPr>
    </w:p>
    <w:p>
      <w:pPr>
        <w:jc w:val="both"/>
        <w:ind w:firstLine="517"/>
        <w:spacing w:after="0" w:line="289" w:lineRule="auto"/>
        <w:rPr>
          <w:sz w:val="20"/>
          <w:szCs w:val="20"/>
          <w:color w:val="auto"/>
        </w:rPr>
      </w:pPr>
      <w:r>
        <w:rPr>
          <w:rFonts w:ascii="Arial" w:cs="Arial" w:eastAsia="Arial" w:hAnsi="Arial"/>
          <w:sz w:val="13"/>
          <w:szCs w:val="13"/>
          <w:color w:val="auto"/>
        </w:rPr>
        <w:t>Personally came before me this 3rd day of December, 2008, Richard Prokosch, to me known to be the Vice President and Raymond Haverstock, to me known to be the Vice President of the above-named U.S. BANK NATIONAL ASSOCIATION,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Vice President and Vice President of said corporation, and that they signed and delivered said instrument in the name and on behalf of said corporation by authority of its Board of Directors, and said Vice President and Vice President then and there acknowledged said instrument to be the free act and deed of said corporation and that such corporation executed the same.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Given under my hand and notarial seal this 3rd day of December, 2008.</w:t>
      </w:r>
    </w:p>
    <w:p>
      <w:pPr>
        <w:spacing w:after="0" w:line="399"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/s/ Denise R. Landeen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-5715</wp:posOffset>
            </wp:positionV>
            <wp:extent cx="82804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8040" cy="6985"/>
                    </a:xfrm>
                    <a:prstGeom prst="rect">
                      <a:avLst/>
                    </a:prstGeom>
                    <a:noFill/>
                  </pic:spPr>
                </pic:pic>
              </a:graphicData>
            </a:graphic>
          </wp:anchor>
        </w:drawing>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Notary Public, State of Minnesota</w:t>
      </w:r>
    </w:p>
    <w:p>
      <w:pPr>
        <w:spacing w:after="0" w:line="11"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My Commission expires January 31, 2012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type w:val="continuous"/>
        </w:sectPr>
      </w:pPr>
    </w:p>
    <w:bookmarkStart w:id="131" w:name="page132"/>
    <w:bookmarkEnd w:id="131"/>
    <w:p>
      <w:pPr>
        <w:ind w:left="10720"/>
        <w:spacing w:after="0"/>
        <w:rPr>
          <w:sz w:val="20"/>
          <w:szCs w:val="20"/>
          <w:color w:val="auto"/>
        </w:rPr>
      </w:pPr>
      <w:r>
        <w:rPr>
          <w:rFonts w:ascii="Arial" w:cs="Arial" w:eastAsia="Arial" w:hAnsi="Arial"/>
          <w:sz w:val="14"/>
          <w:szCs w:val="14"/>
          <w:b w:val="1"/>
          <w:bCs w:val="1"/>
          <w:color w:val="auto"/>
        </w:rPr>
        <w:t>EXHIBIT 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BOND OF THE TENTH SERIES]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SUPERIOR WATER, LIGHT AND POWER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MORTGAGE BOND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7.25% Series due December 15, 2013</w:t>
      </w:r>
    </w:p>
    <w:p>
      <w:pPr>
        <w:sectPr>
          <w:pgSz w:w="11900" w:h="16838" w:orient="portrait"/>
          <w:cols w:equalWidth="0" w:num="1">
            <w:col w:w="11460"/>
          </w:cols>
          <w:pgMar w:left="220" w:top="437" w:right="21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No. 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&amp;</w:t>
        <w:tab/>
        <w:t>#</w:t>
      </w:r>
    </w:p>
    <w:p>
      <w:pPr>
        <w:spacing w:after="0" w:line="21" w:lineRule="exact"/>
        <w:rPr>
          <w:sz w:val="20"/>
          <w:szCs w:val="20"/>
          <w:color w:val="auto"/>
        </w:rPr>
      </w:pPr>
    </w:p>
    <w:p>
      <w:pPr>
        <w:sectPr>
          <w:pgSz w:w="11900" w:h="16838" w:orient="portrait"/>
          <w:cols w:equalWidth="0" w:num="2">
            <w:col w:w="6580" w:space="720"/>
            <w:col w:w="4160"/>
          </w:cols>
          <w:pgMar w:left="220" w:top="437" w:right="219" w:bottom="1440" w:gutter="0" w:footer="0" w:header="0"/>
          <w:type w:val="continuous"/>
        </w:sectPr>
      </w:pPr>
    </w:p>
    <w:p>
      <w:pPr>
        <w:spacing w:after="0"/>
        <w:tabs>
          <w:tab w:leader="none" w:pos="180" w:val="left"/>
        </w:tabs>
        <w:rPr>
          <w:sz w:val="20"/>
          <w:szCs w:val="20"/>
          <w:color w:val="auto"/>
        </w:rPr>
      </w:pPr>
      <w:r>
        <w:rPr>
          <w:rFonts w:ascii="Arial" w:cs="Arial" w:eastAsia="Arial" w:hAnsi="Arial"/>
          <w:sz w:val="14"/>
          <w:szCs w:val="14"/>
          <w:color w:val="auto"/>
        </w:rPr>
        <w:t>1</w:t>
        <w:tab/>
        <w:t>6</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4"/>
          <w:szCs w:val="14"/>
          <w:color w:val="auto"/>
        </w:rPr>
        <w:t>0</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$___</w:t>
      </w:r>
    </w:p>
    <w:p>
      <w:pPr>
        <w:spacing w:after="0" w:line="219" w:lineRule="exact"/>
        <w:rPr>
          <w:sz w:val="20"/>
          <w:szCs w:val="20"/>
          <w:color w:val="auto"/>
        </w:rPr>
      </w:pPr>
    </w:p>
    <w:p>
      <w:pPr>
        <w:sectPr>
          <w:pgSz w:w="11900" w:h="16838" w:orient="portrait"/>
          <w:cols w:equalWidth="0" w:num="3">
            <w:col w:w="280" w:space="120"/>
            <w:col w:w="9340" w:space="720"/>
            <w:col w:w="1000"/>
          </w:cols>
          <w:pgMar w:left="220" w:top="437" w:right="219" w:bottom="1440" w:gutter="0" w:footer="0" w:header="0"/>
          <w:type w:val="continuous"/>
        </w:sectPr>
      </w:pPr>
    </w:p>
    <w:p>
      <w:pPr>
        <w:ind w:left="520"/>
        <w:spacing w:after="0"/>
        <w:rPr>
          <w:sz w:val="20"/>
          <w:szCs w:val="20"/>
          <w:color w:val="auto"/>
        </w:rPr>
      </w:pPr>
      <w:r>
        <w:rPr>
          <w:rFonts w:ascii="Arial" w:cs="Arial" w:eastAsia="Arial" w:hAnsi="Arial"/>
          <w:sz w:val="13"/>
          <w:szCs w:val="13"/>
          <w:color w:val="auto"/>
        </w:rPr>
        <w:t>SUPERIOR WATER, LIGHT AND POWER COMPANY, a corporation of the State of Wisconsin (hereinafter called the "</w:t>
      </w:r>
      <w:r>
        <w:rPr>
          <w:rFonts w:ascii="Arial" w:cs="Arial" w:eastAsia="Arial" w:hAnsi="Arial"/>
          <w:sz w:val="13"/>
          <w:szCs w:val="13"/>
          <w:i w:val="1"/>
          <w:iCs w:val="1"/>
          <w:color w:val="auto"/>
        </w:rPr>
        <w:t>Company</w:t>
      </w:r>
      <w:r>
        <w:rPr>
          <w:rFonts w:ascii="Arial" w:cs="Arial" w:eastAsia="Arial" w:hAnsi="Arial"/>
          <w:sz w:val="13"/>
          <w:szCs w:val="13"/>
          <w:color w:val="auto"/>
        </w:rPr>
        <w:t>"), for value received, hereby promises to pay to</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____________________________</w:t>
      </w:r>
      <w:r>
        <w:rPr>
          <w:rFonts w:ascii="Arial" w:cs="Arial" w:eastAsia="Arial" w:hAnsi="Arial"/>
          <w:sz w:val="13"/>
          <w:szCs w:val="13"/>
          <w:color w:val="auto"/>
        </w:rPr>
        <w:t>, or registered assigns, on December 15, 2013, ___________ DOLLARS ($) in such coin or currency of the United States of America as at the time of payment is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legal tender for public and private debts, and to pay to the registered owner hereof interest thereon in like coin or currency (computed on the basis of a 360-day year of twelve 30-day months) at the rate of seven and twenty-five hundredths percent (7.25%) per annum semiannually on June 15 and December 15 of each year commencing June 15, 2009 until the principal thereof shall have become due and payable and at the rate of 9.25% per annum on any overdue payment of principal or premium, if any, and, to the extent enforceable under applicable law, on any overdue payment of interest. The principal hereof (and premium, if any) and interest hereon shall be paid at the office or agency of the Company in the City of St. Paul, Minnesota, or the office of the Company in Superior, Wisconsin or as shall be otherwise agreed to pursuant to the provisions of the Eleventh Supplemental Indenture hereinafter referred to.</w:t>
      </w:r>
    </w:p>
    <w:p>
      <w:pPr>
        <w:spacing w:after="0" w:line="156" w:lineRule="exact"/>
        <w:rPr>
          <w:sz w:val="20"/>
          <w:szCs w:val="20"/>
          <w:color w:val="auto"/>
        </w:rPr>
      </w:pPr>
    </w:p>
    <w:p>
      <w:pPr>
        <w:jc w:val="both"/>
        <w:ind w:firstLine="517"/>
        <w:spacing w:after="0" w:line="315" w:lineRule="auto"/>
        <w:rPr>
          <w:sz w:val="20"/>
          <w:szCs w:val="20"/>
          <w:color w:val="auto"/>
        </w:rPr>
      </w:pPr>
      <w:r>
        <w:rPr>
          <w:rFonts w:ascii="Arial" w:cs="Arial" w:eastAsia="Arial" w:hAnsi="Arial"/>
          <w:sz w:val="12"/>
          <w:szCs w:val="12"/>
          <w:color w:val="auto"/>
        </w:rPr>
        <w:t>This bond is one of an issue of bonds of the Company issuable in series and is one of a series designated the First Mortgage Bonds, 7.25% Series due December 15, 2013 (the "</w:t>
      </w:r>
      <w:r>
        <w:rPr>
          <w:rFonts w:ascii="Arial" w:cs="Arial" w:eastAsia="Arial" w:hAnsi="Arial"/>
          <w:sz w:val="12"/>
          <w:szCs w:val="12"/>
          <w:i w:val="1"/>
          <w:iCs w:val="1"/>
          <w:color w:val="auto"/>
        </w:rPr>
        <w:t>Bonds of the</w:t>
      </w:r>
      <w:r>
        <w:rPr>
          <w:rFonts w:ascii="Arial" w:cs="Arial" w:eastAsia="Arial" w:hAnsi="Arial"/>
          <w:sz w:val="12"/>
          <w:szCs w:val="12"/>
          <w:color w:val="auto"/>
        </w:rPr>
        <w:t xml:space="preserve"> </w:t>
      </w:r>
      <w:r>
        <w:rPr>
          <w:rFonts w:ascii="Arial" w:cs="Arial" w:eastAsia="Arial" w:hAnsi="Arial"/>
          <w:sz w:val="12"/>
          <w:szCs w:val="12"/>
          <w:i w:val="1"/>
          <w:iCs w:val="1"/>
          <w:color w:val="auto"/>
        </w:rPr>
        <w:t>Tenth Series</w:t>
      </w:r>
      <w:r>
        <w:rPr>
          <w:rFonts w:ascii="Arial" w:cs="Arial" w:eastAsia="Arial" w:hAnsi="Arial"/>
          <w:sz w:val="12"/>
          <w:szCs w:val="12"/>
          <w:color w:val="auto"/>
        </w:rPr>
        <w:t>") created by the Eleventh Supplemental Indenture dated as of December 15, 2008 executed by the Company to U.S. Bank National Association (successor Trustee to Chemical Bank and</w:t>
      </w:r>
      <w:r>
        <w:rPr>
          <w:rFonts w:ascii="Arial" w:cs="Arial" w:eastAsia="Arial" w:hAnsi="Arial"/>
          <w:sz w:val="12"/>
          <w:szCs w:val="12"/>
          <w:i w:val="1"/>
          <w:iCs w:val="1"/>
          <w:color w:val="auto"/>
        </w:rPr>
        <w:t xml:space="preserve"> </w:t>
      </w:r>
      <w:r>
        <w:rPr>
          <w:rFonts w:ascii="Arial" w:cs="Arial" w:eastAsia="Arial" w:hAnsi="Arial"/>
          <w:sz w:val="12"/>
          <w:szCs w:val="12"/>
          <w:color w:val="auto"/>
        </w:rPr>
        <w:t>Peter Morse), as Trustee, all bonds of all series being issued and to be issued under and equally secured by a Mortgage and Deed of Trust (herein, together with any indentures supplemental thereto, called the "</w:t>
      </w:r>
      <w:r>
        <w:rPr>
          <w:rFonts w:ascii="Arial" w:cs="Arial" w:eastAsia="Arial" w:hAnsi="Arial"/>
          <w:sz w:val="12"/>
          <w:szCs w:val="12"/>
          <w:i w:val="1"/>
          <w:iCs w:val="1"/>
          <w:color w:val="auto"/>
        </w:rPr>
        <w:t>Mortgage</w:t>
      </w:r>
      <w:r>
        <w:rPr>
          <w:rFonts w:ascii="Arial" w:cs="Arial" w:eastAsia="Arial" w:hAnsi="Arial"/>
          <w:sz w:val="12"/>
          <w:szCs w:val="12"/>
          <w:color w:val="auto"/>
        </w:rPr>
        <w:t>"), dated as of March 1, 1943, executed by the Company to Chemical Bank &amp; Trust Company and Howard B. Smith, as Trustees (U.S. Bank National Association, successor Trustee). Reference is made to the Mortgage for a description of the property mortgaged and pledged, the nature and extent of the security, the rights of the holders of the bonds and of the Trustee in respect thereof, the duties and immunities of the Trustee and terms and conditions upon which the bonds are and are to be secured and the circumstances under which additional bonds may be issued.</w:t>
      </w:r>
    </w:p>
    <w:p>
      <w:pPr>
        <w:spacing w:after="0" w:line="14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With the consent of the Company and to the extent permitted by and as provided in the Mortgage, the rights and obligations of the Company and/or the rights of the holders of the bonds and/or coupons and/or the terms and provisions of the Mortgage may be modified or altered by affirmative vote of the holders of at least seventy per centum (70%) in principal amount of the bonds then outstanding under the Mortgage and, if the rights of the holders of one or more, but</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728027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type w:val="continuous"/>
        </w:sectPr>
      </w:pPr>
    </w:p>
    <w:bookmarkStart w:id="132" w:name="page133"/>
    <w:bookmarkEnd w:id="132"/>
    <w:p>
      <w:pPr>
        <w:jc w:val="both"/>
        <w:spacing w:after="0" w:line="287" w:lineRule="auto"/>
        <w:rPr>
          <w:sz w:val="20"/>
          <w:szCs w:val="20"/>
          <w:color w:val="auto"/>
        </w:rPr>
      </w:pPr>
      <w:r>
        <w:rPr>
          <w:rFonts w:ascii="Arial" w:cs="Arial" w:eastAsia="Arial" w:hAnsi="Arial"/>
          <w:sz w:val="13"/>
          <w:szCs w:val="13"/>
          <w:color w:val="auto"/>
        </w:rPr>
        <w:t>less than all, series of bonds then outstanding are to be affected, then also by affirmative vote of the holders of at least seventy per centum (70%) in principal amount of the bonds then outstanding of each series of bonds so to be affected (excluding in any case bonds disqualified from voting by reason of the Company's interest therein as provided in the Mortgage); provided that, without the consent of the holder hereof, no such modification or alteration shall, among other things, impair or affect the right of the holder to receive payment of the principal of (and premium, if any) and interest on this bond, on or after the respective due dates and at the places and in the respective amounts expressed herein, or permit the creation of any lien equal or prior to the lien of the Mortgage or deprive the holder of the benefit of a lien on the mortgaged and pledged property, or give any bond or bonds secured by the Mortgage any preference over any other bond or bonds so secured, or reduce the percentage in principal amount of the bonds required to authorize or consent to any such modification or alteration of the Mortgage.</w:t>
      </w:r>
    </w:p>
    <w:p>
      <w:pPr>
        <w:spacing w:after="0" w:line="156"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Bonds of the Tenth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(as defined in said Eleventh Supplemental Indenture), in any such case at 100% of the principal amount to be so redeemed, plus accrued interest thereon to the redemption date together with a premium equal to the Make-Whole Amount (as defined in said Eleventh Supplemental Indenture), if any, with respect to the Bonds of the Tenth Series, being redeemed.</w:t>
      </w:r>
    </w:p>
    <w:p>
      <w:pPr>
        <w:spacing w:after="0" w:line="171"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Notice of any redemption of the Bonds of the Tenth Series shall be given by mail at least 30 days prior to the redemption date, all as more fully provided in said Eleventh Supplemental Indenture and the Mortgage. Notice of redemption having been duly given, the Bonds of the Tenth Series called for redemption shall become due and payable upon the redemption date, and if the redemption price shall have been deposited with the Trustee, interest thereon shall cease to accrue on and after the redemption date (unless such bonds shall have been properly presented for payment on, or within one year after, the redemption date and shall not have been paid) and on the redemption date or whenever thereafter the redemption price thereof shall have been deposited with the Trustee such bonds shall no longer be entitled to the lien of the Mortgage.</w:t>
      </w:r>
    </w:p>
    <w:p>
      <w:pPr>
        <w:spacing w:after="0" w:line="171"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The principal hereof may be declared or may become due prior to the maturity date hereinbefore named on the conditions, in the manner and at the time set forth in the Mortgage, upon the occurrence of a default as in the Mortgage provided.</w:t>
      </w:r>
    </w:p>
    <w:p>
      <w:pPr>
        <w:spacing w:after="0" w:line="152"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This bond is transferable as prescribed in the Mortgage by the registered owner hereof in person, or by its duly authorized attorney, at the office or agency of the Company in the City of St. Paul, Minnesota or the office of the Company in Superior, Wisconsin upon surrender hereof for cancellation, together with a written instrument of transfer in form approved by the Company duly executed by the registered owner hereof or by its duly authorized attorney, and thereupon a new fully registered bond or bonds of the same series for a like principal amount will be issued to the transferee in exchange herefor as provided in the Mortgage. This bond may, at the option</w:t>
      </w:r>
    </w:p>
    <w:p>
      <w:pPr>
        <w:spacing w:after="0" w:line="167"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8027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33" w:name="page134"/>
    <w:bookmarkEnd w:id="133"/>
    <w:p>
      <w:pPr>
        <w:jc w:val="both"/>
        <w:spacing w:after="0" w:line="294" w:lineRule="auto"/>
        <w:rPr>
          <w:sz w:val="20"/>
          <w:szCs w:val="20"/>
          <w:color w:val="auto"/>
        </w:rPr>
      </w:pPr>
      <w:r>
        <w:rPr>
          <w:rFonts w:ascii="Arial" w:cs="Arial" w:eastAsia="Arial" w:hAnsi="Arial"/>
          <w:sz w:val="13"/>
          <w:szCs w:val="13"/>
          <w:color w:val="auto"/>
        </w:rPr>
        <w:t>of the registered owner hereof and upon surrender hereof for cancellation at such office or agency, be exchanged as prescribed in the Mortgage for other registered bonds of the same series of other authorized denominations having a like aggregate principal amount. No charge will be made by the Company for any transfer or exchange of this bond or, in case this bond shall be lost, destroyed or mutilated, the issuance, authentication and delivery of a new bond in substitution hereof. The Company and the Trustee may deem and treat the person in whose name this bond is registered as the absolute owner hereof for the purpose of receiving payment and for all other purposes and neither the Company nor the Trustee shall be affected by any notice to the contrary.</w:t>
      </w:r>
    </w:p>
    <w:p>
      <w:pPr>
        <w:spacing w:after="0" w:line="151"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As provided in the Mortgage, the Company shall not be required to make transfers or exchanges of bonds of any series for a period of ten (10) days next preceding any interest payment date for bonds of said series, or next preceding any designation of bonds of said series to be redeemed, and the Company shall not be required to make transfers or exchanges of any bonds designated in whole or in part for redemption.</w:t>
      </w:r>
    </w:p>
    <w:p>
      <w:pPr>
        <w:spacing w:after="0" w:line="164"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No recourse shall be had for the payment of the principal of or interest on this bond against any incorporator or any past, present or future subscriber to the capital stock, stockholder, officer, or director of the Company or of any predecessor or successor corporation, as such, either directly or through the Company or any predecessor of successor 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167"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This bond shall not become obligatory until U.S. Bank National Association, the Trustee under the Mortgage, or its successor thereunder, shall have signed the form of authentication certificate endorsed hereon.</w:t>
      </w:r>
    </w:p>
    <w:p>
      <w:pPr>
        <w:spacing w:after="0" w:line="15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8027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134" w:name="page135"/>
    <w:bookmarkEnd w:id="134"/>
    <w:p>
      <w:pPr>
        <w:ind w:firstLine="517"/>
        <w:spacing w:after="0" w:line="288" w:lineRule="auto"/>
        <w:rPr>
          <w:sz w:val="20"/>
          <w:szCs w:val="20"/>
          <w:color w:val="auto"/>
        </w:rPr>
      </w:pPr>
      <w:r>
        <w:rPr>
          <w:rFonts w:ascii="Arial" w:cs="Arial" w:eastAsia="Arial" w:hAnsi="Arial"/>
          <w:sz w:val="14"/>
          <w:szCs w:val="14"/>
          <w:color w:val="auto"/>
        </w:rPr>
        <w:t>IN WITNESS WHEREOF, SUPERIOR WATER, LIGHT AND POWER COMPANY has caused this bond to be signed in its corporate name by its President or one of its Vice-Presidents and its Treasurer and its corporate seal to be impressed or imprinted hereon and attested by its Secretary or one of its Assistant Secretaries on, 20____.</w:t>
      </w:r>
    </w:p>
    <w:p>
      <w:pPr>
        <w:spacing w:after="0" w:line="152"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SUPERIOR WATER, LIGHT AND POWER</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COMPANY</w:t>
      </w:r>
    </w:p>
    <w:p>
      <w:pPr>
        <w:spacing w:after="0" w:line="390"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-5715</wp:posOffset>
            </wp:positionV>
            <wp:extent cx="168719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87195" cy="6985"/>
                    </a:xfrm>
                    <a:prstGeom prst="rect">
                      <a:avLst/>
                    </a:prstGeom>
                    <a:noFill/>
                  </pic:spPr>
                </pic:pic>
              </a:graphicData>
            </a:graphic>
          </wp:anchor>
        </w:drawing>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Christopher E. Fleege</w:t>
      </w:r>
    </w:p>
    <w:p>
      <w:pPr>
        <w:spacing w:after="0" w:line="11"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President</w:t>
      </w:r>
    </w:p>
    <w:p>
      <w:pPr>
        <w:spacing w:after="0" w:line="390"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-5715</wp:posOffset>
            </wp:positionV>
            <wp:extent cx="168719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87195" cy="6985"/>
                    </a:xfrm>
                    <a:prstGeom prst="rect">
                      <a:avLst/>
                    </a:prstGeom>
                    <a:noFill/>
                  </pic:spPr>
                </pic:pic>
              </a:graphicData>
            </a:graphic>
          </wp:anchor>
        </w:drawing>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William S. Bombich</w:t>
      </w:r>
    </w:p>
    <w:p>
      <w:pPr>
        <w:spacing w:after="0" w:line="11"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Treasurer</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ATTEST: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Janet A. Blake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8027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35" w:right="219" w:bottom="1440" w:gutter="0" w:footer="0" w:header="0"/>
        </w:sectPr>
      </w:pPr>
    </w:p>
    <w:bookmarkStart w:id="135" w:name="page136"/>
    <w:bookmarkEnd w:id="135"/>
    <w:p>
      <w:pPr>
        <w:ind w:left="3740"/>
        <w:spacing w:after="0"/>
        <w:rPr>
          <w:sz w:val="20"/>
          <w:szCs w:val="20"/>
          <w:color w:val="auto"/>
        </w:rPr>
      </w:pPr>
      <w:r>
        <w:rPr>
          <w:rFonts w:ascii="Arial" w:cs="Arial" w:eastAsia="Arial" w:hAnsi="Arial"/>
          <w:sz w:val="14"/>
          <w:szCs w:val="14"/>
          <w:b w:val="1"/>
          <w:bCs w:val="1"/>
          <w:color w:val="auto"/>
        </w:rPr>
        <w:t>[FORM OF TRUSTEE'S AUTHENTICATION CERTIFICATE]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This bond is one of the bonds, of the series herein designated, described or provided for in the within-mentioned Mortgage.</w:t>
      </w:r>
    </w:p>
    <w:p>
      <w:pPr>
        <w:spacing w:after="0" w:line="399"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U.S. BANK NATIONAL ASSOCIATION,</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as Trustee</w:t>
      </w:r>
    </w:p>
    <w:p>
      <w:pPr>
        <w:spacing w:after="0" w:line="196"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-5715</wp:posOffset>
            </wp:positionV>
            <wp:extent cx="202501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Authorized Officer</w:t>
      </w:r>
    </w:p>
    <w:p>
      <w:pPr>
        <w:spacing w:after="0" w:line="31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39"/>
          </w:cols>
          <w:pgMar w:left="220" w:top="437" w:right="1440" w:bottom="1440" w:gutter="0" w:footer="0" w:header="0"/>
        </w:sectPr>
      </w:pPr>
    </w:p>
    <w:bookmarkStart w:id="136" w:name="page137"/>
    <w:bookmarkEnd w:id="136"/>
    <w:p>
      <w:pPr>
        <w:ind w:left="10720"/>
        <w:spacing w:after="0"/>
        <w:rPr>
          <w:sz w:val="20"/>
          <w:szCs w:val="20"/>
          <w:color w:val="auto"/>
        </w:rPr>
      </w:pPr>
      <w:r>
        <w:rPr>
          <w:rFonts w:ascii="Arial" w:cs="Arial" w:eastAsia="Arial" w:hAnsi="Arial"/>
          <w:sz w:val="14"/>
          <w:szCs w:val="14"/>
          <w:b w:val="1"/>
          <w:bCs w:val="1"/>
          <w:color w:val="auto"/>
        </w:rPr>
        <w:t>EXHIBIT B</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ASSIGNMENT AND IRREVOCABLE BOND POWER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SUPERIOR WATER, LIGHT AND POWER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MORTGAGE BOND</w:t>
      </w:r>
    </w:p>
    <w:p>
      <w:pPr>
        <w:spacing w:after="0" w:line="1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_______% SERIES DUE ______________</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FOR VALUE RECEIVED, ___________________________________ do___ hereby sell, assign and transfer unto _________________________ one First Mortgage Bond, ____% Series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due  ________________  of  Superior  Water,  Light  and  Power  Company  (the  “Company”)  for  __________________________  dollars  ($____________),  No.  ________,  standing  in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 name __________ on the books of the Company and do___ hereby irrevocably constitute and appoint __________________________________ attorney to transfer the said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bond on the books of the Company, with full power of substitution in the premises.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WITNESS WHEREOF, _________________________ ha___ hereunto set ____ hand ___________ [and seal ___________] at ________________________________ this ____ day of</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 20_____.</w:t>
      </w:r>
    </w:p>
    <w:p>
      <w:pPr>
        <w:spacing w:after="0" w:line="390" w:lineRule="exact"/>
        <w:rPr>
          <w:sz w:val="20"/>
          <w:szCs w:val="20"/>
          <w:color w:val="auto"/>
        </w:rPr>
      </w:pPr>
    </w:p>
    <w:p>
      <w:pPr>
        <w:spacing w:after="0"/>
        <w:tabs>
          <w:tab w:leader="none" w:pos="4700" w:val="left"/>
        </w:tabs>
        <w:rPr>
          <w:sz w:val="20"/>
          <w:szCs w:val="20"/>
          <w:color w:val="auto"/>
        </w:rPr>
      </w:pPr>
      <w:r>
        <w:rPr>
          <w:rFonts w:ascii="Arial" w:cs="Arial" w:eastAsia="Arial" w:hAnsi="Arial"/>
          <w:sz w:val="14"/>
          <w:szCs w:val="14"/>
          <w:u w:val="single" w:color="auto"/>
          <w:color w:val="auto"/>
        </w:rPr>
        <w:t>____________________________________________________________</w:t>
      </w:r>
      <w:r>
        <w:rPr>
          <w:sz w:val="20"/>
          <w:szCs w:val="20"/>
          <w:color w:val="auto"/>
        </w:rPr>
        <w:tab/>
      </w:r>
      <w:r>
        <w:rPr>
          <w:rFonts w:ascii="Arial" w:cs="Arial" w:eastAsia="Arial" w:hAnsi="Arial"/>
          <w:sz w:val="14"/>
          <w:szCs w:val="14"/>
          <w:color w:val="auto"/>
        </w:rPr>
        <w:t>[SEAL]</w:t>
      </w:r>
    </w:p>
    <w:p>
      <w:pPr>
        <w:spacing w:after="0" w:line="399" w:lineRule="exact"/>
        <w:rPr>
          <w:sz w:val="20"/>
          <w:szCs w:val="20"/>
          <w:color w:val="auto"/>
        </w:rPr>
      </w:pPr>
    </w:p>
    <w:p>
      <w:pPr>
        <w:spacing w:after="0"/>
        <w:tabs>
          <w:tab w:leader="none" w:pos="4700" w:val="left"/>
        </w:tabs>
        <w:rPr>
          <w:sz w:val="20"/>
          <w:szCs w:val="20"/>
          <w:color w:val="auto"/>
        </w:rPr>
      </w:pPr>
      <w:r>
        <w:rPr>
          <w:rFonts w:ascii="Arial" w:cs="Arial" w:eastAsia="Arial" w:hAnsi="Arial"/>
          <w:sz w:val="14"/>
          <w:szCs w:val="14"/>
          <w:u w:val="single" w:color="auto"/>
          <w:color w:val="auto"/>
        </w:rPr>
        <w:t>____________________________________________________________</w:t>
      </w:r>
      <w:r>
        <w:rPr>
          <w:sz w:val="20"/>
          <w:szCs w:val="20"/>
          <w:color w:val="auto"/>
        </w:rPr>
        <w:tab/>
      </w:r>
      <w:r>
        <w:rPr>
          <w:rFonts w:ascii="Arial" w:cs="Arial" w:eastAsia="Arial" w:hAnsi="Arial"/>
          <w:sz w:val="14"/>
          <w:szCs w:val="14"/>
          <w:color w:val="auto"/>
        </w:rPr>
        <w:t>[SEAL]</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STATE OF 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COUNTY OF ______________)</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I, _____________________________, a notary public in and for said County, in the State aforesaid, do hereby certify, that </w:t>
      </w:r>
      <w:r>
        <w:rPr>
          <w:rFonts w:ascii="Arial" w:cs="Arial" w:eastAsia="Arial" w:hAnsi="Arial"/>
          <w:sz w:val="13"/>
          <w:szCs w:val="13"/>
          <w:u w:val="single" w:color="auto"/>
          <w:color w:val="auto"/>
        </w:rPr>
        <w:t>____________________________________________________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______________________________________________________________________________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who _____ personally known to me to be the same person__ whose name__ _____ subscribed to the foregoing instrument, appeared before me this day in person and acknowledged that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 signed, sealed and delivered the said instrument as _______ free and voluntary act for the use and purposes therein set forth.</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Given under my hand and official seal this ____ day of _______________, 20_____.</w:t>
      </w:r>
    </w:p>
    <w:p>
      <w:pPr>
        <w:spacing w:after="0" w:line="399"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-5715</wp:posOffset>
            </wp:positionV>
            <wp:extent cx="168719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7195" cy="698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My Commission Expires _______________</w:t>
      </w:r>
    </w:p>
    <w:p>
      <w:pPr>
        <w:spacing w:after="0" w:line="200" w:lineRule="exact"/>
        <w:rPr>
          <w:sz w:val="20"/>
          <w:szCs w:val="20"/>
          <w:color w:val="auto"/>
        </w:rPr>
      </w:pPr>
    </w:p>
    <w:p>
      <w:pPr>
        <w:spacing w:after="0" w:line="38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8027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37" w:name="page138"/>
    <w:bookmarkEnd w:id="1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Exhibit 10(h)7</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60" w:type="dxa"/>
            <w:vAlign w:val="bottom"/>
            <w:gridSpan w:val="10"/>
          </w:tcPr>
          <w:p>
            <w:pPr>
              <w:jc w:val="center"/>
              <w:ind w:right="1008"/>
              <w:spacing w:after="0"/>
              <w:rPr>
                <w:sz w:val="20"/>
                <w:szCs w:val="20"/>
                <w:color w:val="auto"/>
              </w:rPr>
            </w:pPr>
            <w:r>
              <w:rPr>
                <w:rFonts w:ascii="Arial" w:cs="Arial" w:eastAsia="Arial" w:hAnsi="Arial"/>
                <w:sz w:val="14"/>
                <w:szCs w:val="14"/>
                <w:b w:val="1"/>
                <w:bCs w:val="1"/>
                <w:color w:val="auto"/>
                <w:w w:val="95"/>
              </w:rPr>
              <w:t>ALLETE Executive Annual Incentive Plan</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5"/>
              </w:rPr>
              <w:t>Form of Award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Effective 2009</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7"/>
          </w:tcPr>
          <w:p>
            <w:pPr>
              <w:jc w:val="center"/>
              <w:ind w:left="128"/>
              <w:spacing w:after="0"/>
              <w:rPr>
                <w:sz w:val="20"/>
                <w:szCs w:val="20"/>
                <w:color w:val="auto"/>
              </w:rPr>
            </w:pPr>
            <w:r>
              <w:rPr>
                <w:rFonts w:ascii="Arial" w:cs="Arial" w:eastAsia="Arial" w:hAnsi="Arial"/>
                <w:sz w:val="14"/>
                <w:szCs w:val="14"/>
                <w:b w:val="1"/>
                <w:bCs w:val="1"/>
                <w:color w:val="auto"/>
                <w:w w:val="92"/>
              </w:rPr>
              <w:t>[Eligible Executive Employees]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7"/>
          </w:tcPr>
          <w:p>
            <w:pPr>
              <w:jc w:val="center"/>
              <w:ind w:left="128"/>
              <w:spacing w:after="0"/>
              <w:rPr>
                <w:sz w:val="20"/>
                <w:szCs w:val="20"/>
                <w:color w:val="auto"/>
              </w:rPr>
            </w:pPr>
            <w:r>
              <w:rPr>
                <w:rFonts w:ascii="Arial" w:cs="Arial" w:eastAsia="Arial" w:hAnsi="Arial"/>
                <w:sz w:val="14"/>
                <w:szCs w:val="14"/>
                <w:b w:val="1"/>
                <w:bCs w:val="1"/>
                <w:color w:val="auto"/>
                <w:w w:val="95"/>
              </w:rPr>
              <w:t>Target Award Opportunity</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vMerge w:val="restart"/>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Base Salary</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4"/>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Times</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62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Award Opportunity (percent of base salary)</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4"/>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66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Equals</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Target Award</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4"/>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9"/>
          </w:tcPr>
          <w:p>
            <w:pPr>
              <w:jc w:val="center"/>
              <w:ind w:right="1128"/>
              <w:spacing w:after="0"/>
              <w:rPr>
                <w:sz w:val="20"/>
                <w:szCs w:val="20"/>
                <w:color w:val="auto"/>
              </w:rPr>
            </w:pPr>
            <w:r>
              <w:rPr>
                <w:rFonts w:ascii="Arial" w:cs="Arial" w:eastAsia="Arial" w:hAnsi="Arial"/>
                <w:sz w:val="14"/>
                <w:szCs w:val="14"/>
                <w:b w:val="1"/>
                <w:bCs w:val="1"/>
                <w:color w:val="auto"/>
                <w:w w:val="92"/>
              </w:rPr>
              <w:t>Performance Levels and Award Amounts</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gridSpan w:val="4"/>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If Threshold Net Income</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If Threshold Net Income</w:t>
            </w: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center"/>
              <w:ind w:left="568"/>
              <w:spacing w:after="0"/>
              <w:rPr>
                <w:sz w:val="20"/>
                <w:szCs w:val="20"/>
                <w:color w:val="auto"/>
              </w:rPr>
            </w:pPr>
            <w:r>
              <w:rPr>
                <w:rFonts w:ascii="Arial" w:cs="Arial" w:eastAsia="Arial" w:hAnsi="Arial"/>
                <w:sz w:val="14"/>
                <w:szCs w:val="14"/>
                <w:b w:val="1"/>
                <w:bCs w:val="1"/>
                <w:color w:val="auto"/>
                <w:w w:val="93"/>
              </w:rPr>
              <w:t>Achieved</w:t>
            </w:r>
          </w:p>
        </w:tc>
        <w:tc>
          <w:tcPr>
            <w:tcW w:w="1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center"/>
              <w:ind w:left="308"/>
              <w:spacing w:after="0"/>
              <w:rPr>
                <w:sz w:val="20"/>
                <w:szCs w:val="20"/>
                <w:color w:val="auto"/>
              </w:rPr>
            </w:pPr>
            <w:r>
              <w:rPr>
                <w:rFonts w:ascii="Arial" w:cs="Arial" w:eastAsia="Arial" w:hAnsi="Arial"/>
                <w:sz w:val="14"/>
                <w:szCs w:val="14"/>
                <w:b w:val="1"/>
                <w:bCs w:val="1"/>
                <w:color w:val="auto"/>
                <w:w w:val="91"/>
              </w:rPr>
              <w:t>Not Achieved</w:t>
            </w:r>
          </w:p>
        </w:tc>
        <w:tc>
          <w:tcPr>
            <w:tcW w:w="7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color w:val="auto"/>
                <w:w w:val="95"/>
              </w:rPr>
              <w:t>Below Threshold</w:t>
            </w: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Threshold</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Target</w:t>
            </w:r>
          </w:p>
        </w:tc>
        <w:tc>
          <w:tcPr>
            <w:tcW w:w="15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color w:val="auto"/>
                <w:w w:val="94"/>
              </w:rPr>
              <w:t>Superior</w:t>
            </w:r>
          </w:p>
        </w:tc>
        <w:tc>
          <w:tcPr>
            <w:tcW w:w="142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color w:val="auto"/>
                <w:w w:val="95"/>
              </w:rPr>
              <w:t>Below Threshold</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Threshold</w:t>
            </w: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Target</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Superior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gridSpan w:val="2"/>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8"/>
              </w:rPr>
              <w:t>0%</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25%</w:t>
            </w:r>
          </w:p>
        </w:tc>
        <w:tc>
          <w:tcPr>
            <w:tcW w:w="56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2"/>
              </w:rPr>
              <w:t>50%</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color w:val="auto"/>
                <w:w w:val="94"/>
              </w:rPr>
              <w:t>100%</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color w:val="auto"/>
                <w:w w:val="98"/>
              </w:rPr>
              <w:t>0%</w:t>
            </w:r>
          </w:p>
        </w:tc>
        <w:tc>
          <w:tcPr>
            <w:tcW w:w="6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8"/>
              </w:rPr>
              <w:t>0%</w:t>
            </w:r>
          </w:p>
        </w:tc>
        <w:tc>
          <w:tcPr>
            <w:tcW w:w="6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8"/>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 Flow</w:t>
            </w:r>
          </w:p>
        </w:tc>
        <w:tc>
          <w:tcPr>
            <w:tcW w:w="960" w:type="dxa"/>
            <w:vAlign w:val="bottom"/>
            <w:tcBorders>
              <w:bottom w:val="single" w:sz="8" w:color="auto"/>
            </w:tcBorders>
            <w:shd w:val="clear" w:color="auto" w:fill="CCEEFF"/>
          </w:tcPr>
          <w:p>
            <w:pPr>
              <w:jc w:val="center"/>
              <w:ind w:left="128"/>
              <w:spacing w:after="0"/>
              <w:rPr>
                <w:sz w:val="20"/>
                <w:szCs w:val="20"/>
                <w:color w:val="auto"/>
              </w:rPr>
            </w:pPr>
            <w:r>
              <w:rPr>
                <w:rFonts w:ascii="Arial" w:cs="Arial" w:eastAsia="Arial" w:hAnsi="Arial"/>
                <w:sz w:val="14"/>
                <w:szCs w:val="14"/>
                <w:color w:val="auto"/>
                <w:w w:val="98"/>
              </w:rPr>
              <w:t>0%</w:t>
            </w:r>
          </w:p>
        </w:tc>
        <w:tc>
          <w:tcPr>
            <w:tcW w:w="3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5"/>
              </w:rPr>
              <w:t>12.5%</w:t>
            </w:r>
          </w:p>
        </w:tc>
        <w:tc>
          <w:tcPr>
            <w:tcW w:w="560" w:type="dxa"/>
            <w:vAlign w:val="bottom"/>
            <w:tcBorders>
              <w:bottom w:val="single" w:sz="8" w:color="auto"/>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2"/>
              </w:rPr>
              <w:t>25%</w:t>
            </w:r>
          </w:p>
        </w:tc>
        <w:tc>
          <w:tcPr>
            <w:tcW w:w="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3"/>
            <w:shd w:val="clear" w:color="auto" w:fill="CCEEFF"/>
          </w:tcPr>
          <w:p>
            <w:pPr>
              <w:jc w:val="center"/>
              <w:ind w:left="328"/>
              <w:spacing w:after="0"/>
              <w:rPr>
                <w:sz w:val="20"/>
                <w:szCs w:val="20"/>
                <w:color w:val="auto"/>
              </w:rPr>
            </w:pPr>
            <w:r>
              <w:rPr>
                <w:rFonts w:ascii="Arial" w:cs="Arial" w:eastAsia="Arial" w:hAnsi="Arial"/>
                <w:sz w:val="14"/>
                <w:szCs w:val="14"/>
                <w:color w:val="auto"/>
                <w:w w:val="92"/>
              </w:rPr>
              <w:t>50%</w:t>
            </w: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gridSpan w:val="2"/>
            <w:shd w:val="clear" w:color="auto" w:fill="CCEEFF"/>
          </w:tcPr>
          <w:p>
            <w:pPr>
              <w:jc w:val="center"/>
              <w:ind w:right="308"/>
              <w:spacing w:after="0"/>
              <w:rPr>
                <w:sz w:val="20"/>
                <w:szCs w:val="20"/>
                <w:color w:val="auto"/>
              </w:rPr>
            </w:pPr>
            <w:r>
              <w:rPr>
                <w:rFonts w:ascii="Arial" w:cs="Arial" w:eastAsia="Arial" w:hAnsi="Arial"/>
                <w:sz w:val="14"/>
                <w:szCs w:val="14"/>
                <w:color w:val="auto"/>
                <w:w w:val="98"/>
              </w:rPr>
              <w:t>0%</w:t>
            </w:r>
          </w:p>
        </w:tc>
        <w:tc>
          <w:tcPr>
            <w:tcW w:w="640" w:type="dxa"/>
            <w:vAlign w:val="bottom"/>
            <w:tcBorders>
              <w:bottom w:val="single" w:sz="8" w:color="auto"/>
            </w:tcBorders>
            <w:shd w:val="clear" w:color="auto" w:fill="CCEEFF"/>
          </w:tcPr>
          <w:p>
            <w:pPr>
              <w:jc w:val="center"/>
              <w:ind w:left="168"/>
              <w:spacing w:after="0"/>
              <w:rPr>
                <w:sz w:val="20"/>
                <w:szCs w:val="20"/>
                <w:color w:val="auto"/>
              </w:rPr>
            </w:pPr>
            <w:r>
              <w:rPr>
                <w:rFonts w:ascii="Arial" w:cs="Arial" w:eastAsia="Arial" w:hAnsi="Arial"/>
                <w:sz w:val="14"/>
                <w:szCs w:val="14"/>
                <w:color w:val="auto"/>
                <w:w w:val="90"/>
              </w:rPr>
              <w:t>12.5%</w:t>
            </w:r>
          </w:p>
        </w:tc>
        <w:tc>
          <w:tcPr>
            <w:tcW w:w="6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center"/>
              <w:ind w:right="188"/>
              <w:spacing w:after="0"/>
              <w:rPr>
                <w:sz w:val="20"/>
                <w:szCs w:val="20"/>
                <w:color w:val="auto"/>
              </w:rPr>
            </w:pPr>
            <w:r>
              <w:rPr>
                <w:rFonts w:ascii="Arial" w:cs="Arial" w:eastAsia="Arial" w:hAnsi="Arial"/>
                <w:sz w:val="14"/>
                <w:szCs w:val="14"/>
                <w:color w:val="auto"/>
                <w:w w:val="92"/>
              </w:rPr>
              <w:t>25%</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Strategic Goals</w:t>
            </w:r>
          </w:p>
        </w:tc>
        <w:tc>
          <w:tcPr>
            <w:tcW w:w="9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8"/>
              </w:rPr>
              <w:t>0%</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8"/>
              </w:rPr>
              <w:t>0%</w:t>
            </w:r>
          </w:p>
        </w:tc>
        <w:tc>
          <w:tcPr>
            <w:tcW w:w="56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2"/>
              </w:rPr>
              <w:t>25%</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left="328"/>
              <w:spacing w:after="0"/>
              <w:rPr>
                <w:sz w:val="20"/>
                <w:szCs w:val="20"/>
                <w:color w:val="auto"/>
              </w:rPr>
            </w:pPr>
            <w:r>
              <w:rPr>
                <w:rFonts w:ascii="Arial" w:cs="Arial" w:eastAsia="Arial" w:hAnsi="Arial"/>
                <w:sz w:val="14"/>
                <w:szCs w:val="14"/>
                <w:color w:val="auto"/>
                <w:w w:val="92"/>
              </w:rPr>
              <w:t>50%</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color w:val="auto"/>
                <w:w w:val="98"/>
              </w:rPr>
              <w:t>0%</w:t>
            </w:r>
          </w:p>
        </w:tc>
        <w:tc>
          <w:tcPr>
            <w:tcW w:w="6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8"/>
              </w:rPr>
              <w:t>0%</w:t>
            </w:r>
          </w:p>
        </w:tc>
        <w:tc>
          <w:tcPr>
            <w:tcW w:w="6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8"/>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w w:val="94"/>
              </w:rPr>
              <w:t>Payout as Percent of Target</w:t>
            </w:r>
          </w:p>
        </w:tc>
        <w:tc>
          <w:tcPr>
            <w:tcW w:w="96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8"/>
              </w:rPr>
              <w:t>0%</w:t>
            </w: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5"/>
              </w:rPr>
              <w:t>37.5%</w:t>
            </w:r>
          </w:p>
        </w:tc>
        <w:tc>
          <w:tcPr>
            <w:tcW w:w="5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4"/>
              </w:rPr>
              <w:t>100%</w:t>
            </w:r>
          </w:p>
        </w:tc>
        <w:tc>
          <w:tcPr>
            <w:tcW w:w="340" w:type="dxa"/>
            <w:vAlign w:val="bottom"/>
            <w:shd w:val="clear" w:color="auto" w:fill="CCEEFF"/>
          </w:tcPr>
          <w:p>
            <w:pPr>
              <w:spacing w:after="0"/>
              <w:rPr>
                <w:sz w:val="14"/>
                <w:szCs w:val="14"/>
                <w:color w:val="auto"/>
              </w:rPr>
            </w:pPr>
          </w:p>
        </w:tc>
        <w:tc>
          <w:tcPr>
            <w:tcW w:w="1320" w:type="dxa"/>
            <w:vAlign w:val="bottom"/>
            <w:gridSpan w:val="4"/>
            <w:shd w:val="clear" w:color="auto" w:fill="CCEEFF"/>
          </w:tcPr>
          <w:p>
            <w:pPr>
              <w:jc w:val="center"/>
              <w:ind w:right="260"/>
              <w:spacing w:after="0"/>
              <w:rPr>
                <w:sz w:val="20"/>
                <w:szCs w:val="20"/>
                <w:color w:val="auto"/>
              </w:rPr>
            </w:pPr>
            <w:r>
              <w:rPr>
                <w:rFonts w:ascii="Arial" w:cs="Arial" w:eastAsia="Arial" w:hAnsi="Arial"/>
                <w:sz w:val="14"/>
                <w:szCs w:val="14"/>
                <w:color w:val="auto"/>
                <w:w w:val="94"/>
              </w:rPr>
              <w:t>200%</w:t>
            </w:r>
          </w:p>
        </w:tc>
        <w:tc>
          <w:tcPr>
            <w:tcW w:w="2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308"/>
              <w:spacing w:after="0"/>
              <w:rPr>
                <w:sz w:val="20"/>
                <w:szCs w:val="20"/>
                <w:color w:val="auto"/>
              </w:rPr>
            </w:pPr>
            <w:r>
              <w:rPr>
                <w:rFonts w:ascii="Arial" w:cs="Arial" w:eastAsia="Arial" w:hAnsi="Arial"/>
                <w:sz w:val="14"/>
                <w:szCs w:val="14"/>
                <w:color w:val="auto"/>
                <w:w w:val="98"/>
              </w:rPr>
              <w:t>0%</w:t>
            </w:r>
          </w:p>
        </w:tc>
        <w:tc>
          <w:tcPr>
            <w:tcW w:w="64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0"/>
              </w:rPr>
              <w:t>12.5%</w:t>
            </w: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2"/>
              </w:rPr>
              <w:t>25%</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Award Opportunity</w:t>
            </w:r>
          </w:p>
        </w:tc>
        <w:tc>
          <w:tcPr>
            <w:tcW w:w="9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7"/>
              </w:rPr>
              <w:t>Goals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328"/>
              <w:spacing w:after="0"/>
              <w:rPr>
                <w:sz w:val="20"/>
                <w:szCs w:val="20"/>
                <w:color w:val="auto"/>
              </w:rPr>
            </w:pPr>
            <w:r>
              <w:rPr>
                <w:rFonts w:ascii="Arial" w:cs="Arial" w:eastAsia="Arial" w:hAnsi="Arial"/>
                <w:sz w:val="14"/>
                <w:szCs w:val="14"/>
                <w:b w:val="1"/>
                <w:bCs w:val="1"/>
                <w:color w:val="auto"/>
                <w:w w:val="89"/>
              </w:rPr>
              <w:t>Goal</w:t>
            </w:r>
          </w:p>
        </w:tc>
        <w:tc>
          <w:tcPr>
            <w:tcW w:w="64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Weighting</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Goals</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9"/>
              </w:rPr>
              <w:t>50%</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40" w:type="dxa"/>
            <w:vAlign w:val="bottom"/>
            <w:gridSpan w:val="4"/>
            <w:shd w:val="clear" w:color="auto" w:fill="CCEEFF"/>
          </w:tcPr>
          <w:p>
            <w:pPr>
              <w:ind w:left="400"/>
              <w:spacing w:after="0"/>
              <w:rPr>
                <w:sz w:val="20"/>
                <w:szCs w:val="20"/>
                <w:color w:val="auto"/>
              </w:rPr>
            </w:pPr>
            <w:r>
              <w:rPr>
                <w:rFonts w:ascii="Arial" w:cs="Arial" w:eastAsia="Arial" w:hAnsi="Arial"/>
                <w:sz w:val="14"/>
                <w:szCs w:val="14"/>
                <w:color w:val="auto"/>
                <w:w w:val="96"/>
              </w:rPr>
              <w:t>Cash from Operating Activities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left="548"/>
              <w:spacing w:after="0"/>
              <w:rPr>
                <w:sz w:val="20"/>
                <w:szCs w:val="20"/>
                <w:color w:val="auto"/>
              </w:rPr>
            </w:pPr>
            <w:r>
              <w:rPr>
                <w:rFonts w:ascii="Arial" w:cs="Arial" w:eastAsia="Arial" w:hAnsi="Arial"/>
                <w:sz w:val="14"/>
                <w:szCs w:val="14"/>
                <w:b w:val="1"/>
                <w:bCs w:val="1"/>
                <w:color w:val="auto"/>
                <w:w w:val="99"/>
              </w:rPr>
              <w:t>25%</w:t>
            </w:r>
          </w:p>
        </w:tc>
        <w:tc>
          <w:tcPr>
            <w:tcW w:w="64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Strategic Goals</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99"/>
              </w:rPr>
              <w:t>25%</w:t>
            </w:r>
          </w:p>
        </w:tc>
        <w:tc>
          <w:tcPr>
            <w:tcW w:w="6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left="548"/>
              <w:spacing w:after="0"/>
              <w:rPr>
                <w:sz w:val="20"/>
                <w:szCs w:val="20"/>
                <w:color w:val="auto"/>
              </w:rPr>
            </w:pPr>
            <w:r>
              <w:rPr>
                <w:rFonts w:ascii="Arial" w:cs="Arial" w:eastAsia="Arial" w:hAnsi="Arial"/>
                <w:sz w:val="14"/>
                <w:szCs w:val="14"/>
                <w:b w:val="1"/>
                <w:bCs w:val="1"/>
                <w:color w:val="auto"/>
              </w:rPr>
              <w:t>100%</w:t>
            </w:r>
          </w:p>
        </w:tc>
        <w:tc>
          <w:tcPr>
            <w:tcW w:w="64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7"/>
        </w:trPr>
        <w:tc>
          <w:tcPr>
            <w:tcW w:w="20" w:type="dxa"/>
            <w:vAlign w:val="bottom"/>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39" w:name="page140"/>
    <w:bookmarkEnd w:id="1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10(i)4</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auto"/>
        </w:rPr>
        <w:t>ALLETE AND AFFILIATED COMPANIES</w:t>
      </w:r>
    </w:p>
    <w:p>
      <w:pPr>
        <w:spacing w:after="0" w:line="200" w:lineRule="exact"/>
        <w:rPr>
          <w:sz w:val="20"/>
          <w:szCs w:val="20"/>
          <w:color w:val="auto"/>
        </w:rPr>
      </w:pPr>
    </w:p>
    <w:p>
      <w:pPr>
        <w:spacing w:after="0" w:line="393"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SUPPLEMENTAL EXECUTIVE RETIREMENT PLAN</w:t>
      </w:r>
    </w:p>
    <w:p>
      <w:pPr>
        <w:spacing w:after="0" w:line="399"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(As Amended and Restated 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1204595</wp:posOffset>
            </wp:positionV>
            <wp:extent cx="728027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300" w:type="dxa"/>
            <w:vAlign w:val="bottom"/>
          </w:tcPr>
          <w:p>
            <w:pPr>
              <w:ind w:left="3740"/>
              <w:spacing w:after="0"/>
              <w:rPr>
                <w:sz w:val="20"/>
                <w:szCs w:val="20"/>
                <w:color w:val="auto"/>
              </w:rPr>
            </w:pPr>
            <w:r>
              <w:rPr>
                <w:rFonts w:ascii="Arial" w:cs="Arial" w:eastAsia="Arial" w:hAnsi="Arial"/>
                <w:sz w:val="14"/>
                <w:szCs w:val="14"/>
                <w:b w:val="1"/>
                <w:bCs w:val="1"/>
                <w:color w:val="auto"/>
              </w:rPr>
              <w:t>TABLE OF CONTENTS</w:t>
            </w:r>
          </w:p>
        </w:tc>
        <w:tc>
          <w:tcPr>
            <w:tcW w:w="2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300" w:type="dxa"/>
            <w:vAlign w:val="bottom"/>
            <w:shd w:val="clear" w:color="auto" w:fill="CCEEFF"/>
          </w:tcPr>
          <w:p>
            <w:pPr>
              <w:spacing w:after="0"/>
              <w:rPr>
                <w:sz w:val="14"/>
                <w:szCs w:val="14"/>
                <w:color w:val="auto"/>
              </w:rPr>
            </w:pPr>
          </w:p>
        </w:tc>
        <w:tc>
          <w:tcPr>
            <w:tcW w:w="294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PAGE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SECTION 1  ESTABLISHMENT AND PURPOSE</w:t>
            </w:r>
          </w:p>
        </w:tc>
        <w:tc>
          <w:tcPr>
            <w:tcW w:w="29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Establishment of Plan</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1.2</w:t>
            </w:r>
          </w:p>
        </w:tc>
        <w:tc>
          <w:tcPr>
            <w:tcW w:w="7300" w:type="dxa"/>
            <w:vAlign w:val="bottom"/>
          </w:tcPr>
          <w:p>
            <w:pPr>
              <w:ind w:left="160"/>
              <w:spacing w:after="0"/>
              <w:rPr>
                <w:sz w:val="20"/>
                <w:szCs w:val="20"/>
                <w:color w:val="auto"/>
              </w:rPr>
            </w:pPr>
            <w:r>
              <w:rPr>
                <w:rFonts w:ascii="Arial" w:cs="Arial" w:eastAsia="Arial" w:hAnsi="Arial"/>
                <w:sz w:val="14"/>
                <w:szCs w:val="14"/>
                <w:color w:val="auto"/>
              </w:rPr>
              <w:t>Purpose of the Plan</w:t>
            </w:r>
          </w:p>
        </w:tc>
        <w:tc>
          <w:tcPr>
            <w:tcW w:w="294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w w:val="97"/>
              </w:rPr>
              <w:t>SECTION 2</w:t>
            </w:r>
          </w:p>
        </w:tc>
        <w:tc>
          <w:tcPr>
            <w:tcW w:w="7760" w:type="dxa"/>
            <w:vAlign w:val="bottom"/>
            <w:gridSpan w:val="2"/>
          </w:tcPr>
          <w:p>
            <w:pPr>
              <w:ind w:left="60"/>
              <w:spacing w:after="0"/>
              <w:rPr>
                <w:sz w:val="20"/>
                <w:szCs w:val="20"/>
                <w:color w:val="auto"/>
              </w:rPr>
            </w:pPr>
            <w:r>
              <w:rPr>
                <w:rFonts w:ascii="Arial" w:cs="Arial" w:eastAsia="Arial" w:hAnsi="Arial"/>
                <w:sz w:val="14"/>
                <w:szCs w:val="14"/>
                <w:color w:val="auto"/>
              </w:rPr>
              <w:t>DEFINITIONS</w:t>
            </w:r>
          </w:p>
        </w:tc>
        <w:tc>
          <w:tcPr>
            <w:tcW w:w="294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2.1</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Definitions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2.2</w:t>
            </w:r>
          </w:p>
        </w:tc>
        <w:tc>
          <w:tcPr>
            <w:tcW w:w="7300" w:type="dxa"/>
            <w:vAlign w:val="bottom"/>
          </w:tcPr>
          <w:p>
            <w:pPr>
              <w:ind w:left="160"/>
              <w:spacing w:after="0"/>
              <w:rPr>
                <w:sz w:val="20"/>
                <w:szCs w:val="20"/>
                <w:color w:val="auto"/>
              </w:rPr>
            </w:pPr>
            <w:r>
              <w:rPr>
                <w:rFonts w:ascii="Arial" w:cs="Arial" w:eastAsia="Arial" w:hAnsi="Arial"/>
                <w:sz w:val="14"/>
                <w:szCs w:val="14"/>
                <w:color w:val="auto"/>
              </w:rPr>
              <w:t>Gender and Number</w:t>
            </w:r>
          </w:p>
        </w:tc>
        <w:tc>
          <w:tcPr>
            <w:tcW w:w="294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500" w:type="dxa"/>
            <w:vAlign w:val="bottom"/>
            <w:gridSpan w:val="3"/>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SECTION 3  ELIGIBILITY AND PARTICIPATION</w:t>
            </w:r>
          </w:p>
        </w:tc>
        <w:tc>
          <w:tcPr>
            <w:tcW w:w="294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3.1</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Eligibility</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3.2</w:t>
            </w:r>
          </w:p>
        </w:tc>
        <w:tc>
          <w:tcPr>
            <w:tcW w:w="7300" w:type="dxa"/>
            <w:vAlign w:val="bottom"/>
          </w:tcPr>
          <w:p>
            <w:pPr>
              <w:ind w:left="160"/>
              <w:spacing w:after="0"/>
              <w:rPr>
                <w:sz w:val="20"/>
                <w:szCs w:val="20"/>
                <w:color w:val="auto"/>
              </w:rPr>
            </w:pPr>
            <w:r>
              <w:rPr>
                <w:rFonts w:ascii="Arial" w:cs="Arial" w:eastAsia="Arial" w:hAnsi="Arial"/>
                <w:sz w:val="14"/>
                <w:szCs w:val="14"/>
                <w:color w:val="auto"/>
              </w:rPr>
              <w:t>Participation</w:t>
            </w:r>
          </w:p>
        </w:tc>
        <w:tc>
          <w:tcPr>
            <w:tcW w:w="294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3.3</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 Guarantee of Employment</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760" w:type="dxa"/>
            <w:vAlign w:val="bottom"/>
            <w:gridSpan w:val="2"/>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4"/>
                <w:szCs w:val="14"/>
                <w:color w:val="auto"/>
                <w:w w:val="97"/>
              </w:rPr>
              <w:t>SECTION 4</w:t>
            </w:r>
          </w:p>
        </w:tc>
        <w:tc>
          <w:tcPr>
            <w:tcW w:w="7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BENEFITS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4.1</w:t>
            </w:r>
          </w:p>
        </w:tc>
        <w:tc>
          <w:tcPr>
            <w:tcW w:w="7300" w:type="dxa"/>
            <w:vAlign w:val="bottom"/>
          </w:tcPr>
          <w:p>
            <w:pPr>
              <w:ind w:left="160"/>
              <w:spacing w:after="0"/>
              <w:rPr>
                <w:sz w:val="20"/>
                <w:szCs w:val="20"/>
                <w:color w:val="auto"/>
              </w:rPr>
            </w:pPr>
            <w:r>
              <w:rPr>
                <w:rFonts w:ascii="Arial" w:cs="Arial" w:eastAsia="Arial" w:hAnsi="Arial"/>
                <w:sz w:val="14"/>
                <w:szCs w:val="14"/>
                <w:color w:val="auto"/>
              </w:rPr>
              <w:t>Annual Makeup Award</w:t>
            </w:r>
          </w:p>
        </w:tc>
        <w:tc>
          <w:tcPr>
            <w:tcW w:w="29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4.2</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Salary Deferral</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4.3</w:t>
            </w:r>
          </w:p>
        </w:tc>
        <w:tc>
          <w:tcPr>
            <w:tcW w:w="7300" w:type="dxa"/>
            <w:vAlign w:val="bottom"/>
          </w:tcPr>
          <w:p>
            <w:pPr>
              <w:ind w:left="160"/>
              <w:spacing w:after="0"/>
              <w:rPr>
                <w:sz w:val="20"/>
                <w:szCs w:val="20"/>
                <w:color w:val="auto"/>
              </w:rPr>
            </w:pPr>
            <w:r>
              <w:rPr>
                <w:rFonts w:ascii="Arial" w:cs="Arial" w:eastAsia="Arial" w:hAnsi="Arial"/>
                <w:sz w:val="14"/>
                <w:szCs w:val="14"/>
                <w:color w:val="auto"/>
              </w:rPr>
              <w:t>Bonus Deferral</w:t>
            </w:r>
          </w:p>
        </w:tc>
        <w:tc>
          <w:tcPr>
            <w:tcW w:w="294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4.4</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Deferral</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4.5</w:t>
            </w:r>
          </w:p>
        </w:tc>
        <w:tc>
          <w:tcPr>
            <w:tcW w:w="7300" w:type="dxa"/>
            <w:vAlign w:val="bottom"/>
          </w:tcPr>
          <w:p>
            <w:pPr>
              <w:ind w:left="160"/>
              <w:spacing w:after="0"/>
              <w:rPr>
                <w:sz w:val="20"/>
                <w:szCs w:val="20"/>
                <w:color w:val="auto"/>
              </w:rPr>
            </w:pPr>
            <w:r>
              <w:rPr>
                <w:rFonts w:ascii="Arial" w:cs="Arial" w:eastAsia="Arial" w:hAnsi="Arial"/>
                <w:sz w:val="14"/>
                <w:szCs w:val="14"/>
                <w:color w:val="auto"/>
              </w:rPr>
              <w:t>Non-Qualified Stock Option Gain Deferral</w:t>
            </w:r>
          </w:p>
        </w:tc>
        <w:tc>
          <w:tcPr>
            <w:tcW w:w="294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4.6</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Retirement Benefit</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4.7</w:t>
            </w:r>
          </w:p>
        </w:tc>
        <w:tc>
          <w:tcPr>
            <w:tcW w:w="7300" w:type="dxa"/>
            <w:vAlign w:val="bottom"/>
          </w:tcPr>
          <w:p>
            <w:pPr>
              <w:ind w:left="160"/>
              <w:spacing w:after="0"/>
              <w:rPr>
                <w:sz w:val="20"/>
                <w:szCs w:val="20"/>
                <w:color w:val="auto"/>
              </w:rPr>
            </w:pPr>
            <w:r>
              <w:rPr>
                <w:rFonts w:ascii="Arial" w:cs="Arial" w:eastAsia="Arial" w:hAnsi="Arial"/>
                <w:sz w:val="14"/>
                <w:szCs w:val="14"/>
                <w:color w:val="auto"/>
              </w:rPr>
              <w:t>Benefit Allocations and Maintenance of Accounts</w:t>
            </w:r>
          </w:p>
        </w:tc>
        <w:tc>
          <w:tcPr>
            <w:tcW w:w="294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4.8</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Date of Benefit Commencement</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4.9</w:t>
            </w:r>
          </w:p>
        </w:tc>
        <w:tc>
          <w:tcPr>
            <w:tcW w:w="7300" w:type="dxa"/>
            <w:vAlign w:val="bottom"/>
          </w:tcPr>
          <w:p>
            <w:pPr>
              <w:ind w:left="160"/>
              <w:spacing w:after="0"/>
              <w:rPr>
                <w:sz w:val="20"/>
                <w:szCs w:val="20"/>
                <w:color w:val="auto"/>
              </w:rPr>
            </w:pPr>
            <w:r>
              <w:rPr>
                <w:rFonts w:ascii="Arial" w:cs="Arial" w:eastAsia="Arial" w:hAnsi="Arial"/>
                <w:sz w:val="14"/>
                <w:szCs w:val="14"/>
                <w:color w:val="auto"/>
              </w:rPr>
              <w:t>Form of Benefit Payment - Executive Deferral Account</w:t>
            </w:r>
          </w:p>
        </w:tc>
        <w:tc>
          <w:tcPr>
            <w:tcW w:w="294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4.10</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Form of Payment - Retirement Benefits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4.11</w:t>
            </w:r>
          </w:p>
        </w:tc>
        <w:tc>
          <w:tcPr>
            <w:tcW w:w="7300" w:type="dxa"/>
            <w:vAlign w:val="bottom"/>
          </w:tcPr>
          <w:p>
            <w:pPr>
              <w:ind w:left="160"/>
              <w:spacing w:after="0"/>
              <w:rPr>
                <w:sz w:val="20"/>
                <w:szCs w:val="20"/>
                <w:color w:val="auto"/>
              </w:rPr>
            </w:pPr>
            <w:r>
              <w:rPr>
                <w:rFonts w:ascii="Arial" w:cs="Arial" w:eastAsia="Arial" w:hAnsi="Arial"/>
                <w:sz w:val="14"/>
                <w:szCs w:val="14"/>
                <w:color w:val="auto"/>
              </w:rPr>
              <w:t>Benefit Payments Upon Participant’s Death</w:t>
            </w:r>
          </w:p>
        </w:tc>
        <w:tc>
          <w:tcPr>
            <w:tcW w:w="294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4.12</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Benefit Payment Upon Disability</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4.13</w:t>
            </w:r>
          </w:p>
        </w:tc>
        <w:tc>
          <w:tcPr>
            <w:tcW w:w="7300" w:type="dxa"/>
            <w:vAlign w:val="bottom"/>
          </w:tcPr>
          <w:p>
            <w:pPr>
              <w:ind w:left="160"/>
              <w:spacing w:after="0"/>
              <w:rPr>
                <w:sz w:val="20"/>
                <w:szCs w:val="20"/>
                <w:color w:val="auto"/>
              </w:rPr>
            </w:pPr>
            <w:r>
              <w:rPr>
                <w:rFonts w:ascii="Arial" w:cs="Arial" w:eastAsia="Arial" w:hAnsi="Arial"/>
                <w:sz w:val="14"/>
                <w:szCs w:val="14"/>
                <w:color w:val="auto"/>
              </w:rPr>
              <w:t>Benefit Payments Upon Termination Other Than Retirement, Death or Disability</w:t>
            </w:r>
          </w:p>
        </w:tc>
        <w:tc>
          <w:tcPr>
            <w:tcW w:w="294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4.14</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Hardship and Unscheduled Benefit Payments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4.15</w:t>
            </w:r>
          </w:p>
        </w:tc>
        <w:tc>
          <w:tcPr>
            <w:tcW w:w="7300" w:type="dxa"/>
            <w:vAlign w:val="bottom"/>
          </w:tcPr>
          <w:p>
            <w:pPr>
              <w:ind w:left="160"/>
              <w:spacing w:after="0"/>
              <w:rPr>
                <w:sz w:val="20"/>
                <w:szCs w:val="20"/>
                <w:color w:val="auto"/>
              </w:rPr>
            </w:pPr>
            <w:r>
              <w:rPr>
                <w:rFonts w:ascii="Arial" w:cs="Arial" w:eastAsia="Arial" w:hAnsi="Arial"/>
                <w:sz w:val="14"/>
                <w:szCs w:val="14"/>
                <w:color w:val="auto"/>
              </w:rPr>
              <w:t>Cessation of Deferrals Permitted by IRS Notice 2005-1</w:t>
            </w:r>
          </w:p>
        </w:tc>
        <w:tc>
          <w:tcPr>
            <w:tcW w:w="294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4.16</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Elections Permitted by IRS Notice 2005-1</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760" w:type="dxa"/>
            <w:vAlign w:val="bottom"/>
            <w:gridSpan w:val="2"/>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4"/>
                <w:szCs w:val="14"/>
                <w:color w:val="auto"/>
                <w:w w:val="97"/>
              </w:rPr>
              <w:t>SECTION 5</w:t>
            </w:r>
          </w:p>
        </w:tc>
        <w:tc>
          <w:tcPr>
            <w:tcW w:w="7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ADMINISTRATION</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5.1</w:t>
            </w:r>
          </w:p>
        </w:tc>
        <w:tc>
          <w:tcPr>
            <w:tcW w:w="7300" w:type="dxa"/>
            <w:vAlign w:val="bottom"/>
          </w:tcPr>
          <w:p>
            <w:pPr>
              <w:ind w:left="160"/>
              <w:spacing w:after="0"/>
              <w:rPr>
                <w:sz w:val="20"/>
                <w:szCs w:val="20"/>
                <w:color w:val="auto"/>
              </w:rPr>
            </w:pPr>
            <w:r>
              <w:rPr>
                <w:rFonts w:ascii="Arial" w:cs="Arial" w:eastAsia="Arial" w:hAnsi="Arial"/>
                <w:sz w:val="14"/>
                <w:szCs w:val="14"/>
                <w:color w:val="auto"/>
              </w:rPr>
              <w:t>Administration of Plan</w:t>
            </w:r>
          </w:p>
        </w:tc>
        <w:tc>
          <w:tcPr>
            <w:tcW w:w="294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5.2</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Uniform Rules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5.3</w:t>
            </w:r>
          </w:p>
        </w:tc>
        <w:tc>
          <w:tcPr>
            <w:tcW w:w="7300" w:type="dxa"/>
            <w:vAlign w:val="bottom"/>
          </w:tcPr>
          <w:p>
            <w:pPr>
              <w:ind w:left="160"/>
              <w:spacing w:after="0"/>
              <w:rPr>
                <w:sz w:val="20"/>
                <w:szCs w:val="20"/>
                <w:color w:val="auto"/>
              </w:rPr>
            </w:pPr>
            <w:r>
              <w:rPr>
                <w:rFonts w:ascii="Arial" w:cs="Arial" w:eastAsia="Arial" w:hAnsi="Arial"/>
                <w:sz w:val="14"/>
                <w:szCs w:val="14"/>
                <w:color w:val="auto"/>
              </w:rPr>
              <w:t>Notice of Address</w:t>
            </w:r>
          </w:p>
        </w:tc>
        <w:tc>
          <w:tcPr>
            <w:tcW w:w="294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5.4</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Correction of Errors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5.5</w:t>
            </w:r>
          </w:p>
        </w:tc>
        <w:tc>
          <w:tcPr>
            <w:tcW w:w="7300" w:type="dxa"/>
            <w:vAlign w:val="bottom"/>
          </w:tcPr>
          <w:p>
            <w:pPr>
              <w:ind w:left="160"/>
              <w:spacing w:after="0"/>
              <w:rPr>
                <w:sz w:val="20"/>
                <w:szCs w:val="20"/>
                <w:color w:val="auto"/>
              </w:rPr>
            </w:pPr>
            <w:r>
              <w:rPr>
                <w:rFonts w:ascii="Arial" w:cs="Arial" w:eastAsia="Arial" w:hAnsi="Arial"/>
                <w:sz w:val="14"/>
                <w:szCs w:val="14"/>
                <w:color w:val="auto"/>
              </w:rPr>
              <w:t>Claims Procedure</w:t>
            </w:r>
          </w:p>
        </w:tc>
        <w:tc>
          <w:tcPr>
            <w:tcW w:w="294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5.6</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of Law</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5.7</w:t>
            </w:r>
          </w:p>
        </w:tc>
        <w:tc>
          <w:tcPr>
            <w:tcW w:w="7300" w:type="dxa"/>
            <w:vAlign w:val="bottom"/>
          </w:tcPr>
          <w:p>
            <w:pPr>
              <w:ind w:left="160"/>
              <w:spacing w:after="0"/>
              <w:rPr>
                <w:sz w:val="20"/>
                <w:szCs w:val="20"/>
                <w:color w:val="auto"/>
              </w:rPr>
            </w:pPr>
            <w:r>
              <w:rPr>
                <w:rFonts w:ascii="Arial" w:cs="Arial" w:eastAsia="Arial" w:hAnsi="Arial"/>
                <w:sz w:val="14"/>
                <w:szCs w:val="14"/>
                <w:color w:val="auto"/>
              </w:rPr>
              <w:t>Tax Withholding</w:t>
            </w:r>
          </w:p>
        </w:tc>
        <w:tc>
          <w:tcPr>
            <w:tcW w:w="294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5.8</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Generation-Skipping Tax</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500" w:type="dxa"/>
            <w:vAlign w:val="bottom"/>
            <w:gridSpan w:val="3"/>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SECTION 6  GENERAL PROVISIONS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6.1</w:t>
            </w:r>
          </w:p>
        </w:tc>
        <w:tc>
          <w:tcPr>
            <w:tcW w:w="7300" w:type="dxa"/>
            <w:vAlign w:val="bottom"/>
          </w:tcPr>
          <w:p>
            <w:pPr>
              <w:ind w:left="160"/>
              <w:spacing w:after="0"/>
              <w:rPr>
                <w:sz w:val="20"/>
                <w:szCs w:val="20"/>
                <w:color w:val="auto"/>
              </w:rPr>
            </w:pPr>
            <w:r>
              <w:rPr>
                <w:rFonts w:ascii="Arial" w:cs="Arial" w:eastAsia="Arial" w:hAnsi="Arial"/>
                <w:sz w:val="14"/>
                <w:szCs w:val="14"/>
                <w:color w:val="auto"/>
              </w:rPr>
              <w:t>Nonassignability</w:t>
            </w:r>
          </w:p>
        </w:tc>
        <w:tc>
          <w:tcPr>
            <w:tcW w:w="294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6.2</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Incompetency</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6.3</w:t>
            </w:r>
          </w:p>
        </w:tc>
        <w:tc>
          <w:tcPr>
            <w:tcW w:w="7300" w:type="dxa"/>
            <w:vAlign w:val="bottom"/>
          </w:tcPr>
          <w:p>
            <w:pPr>
              <w:ind w:left="160"/>
              <w:spacing w:after="0"/>
              <w:rPr>
                <w:sz w:val="20"/>
                <w:szCs w:val="20"/>
                <w:color w:val="auto"/>
              </w:rPr>
            </w:pPr>
            <w:r>
              <w:rPr>
                <w:rFonts w:ascii="Arial" w:cs="Arial" w:eastAsia="Arial" w:hAnsi="Arial"/>
                <w:sz w:val="14"/>
                <w:szCs w:val="14"/>
                <w:color w:val="auto"/>
              </w:rPr>
              <w:t>Employment Rights</w:t>
            </w:r>
          </w:p>
        </w:tc>
        <w:tc>
          <w:tcPr>
            <w:tcW w:w="294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6.4</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 Individual Liability</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6.5</w:t>
            </w:r>
          </w:p>
        </w:tc>
        <w:tc>
          <w:tcPr>
            <w:tcW w:w="7300" w:type="dxa"/>
            <w:vAlign w:val="bottom"/>
          </w:tcPr>
          <w:p>
            <w:pPr>
              <w:ind w:left="160"/>
              <w:spacing w:after="0"/>
              <w:rPr>
                <w:sz w:val="20"/>
                <w:szCs w:val="20"/>
                <w:color w:val="auto"/>
              </w:rPr>
            </w:pPr>
            <w:r>
              <w:rPr>
                <w:rFonts w:ascii="Arial" w:cs="Arial" w:eastAsia="Arial" w:hAnsi="Arial"/>
                <w:sz w:val="14"/>
                <w:szCs w:val="14"/>
                <w:color w:val="auto"/>
              </w:rPr>
              <w:t>Illegality of Particular Provision</w:t>
            </w:r>
          </w:p>
        </w:tc>
        <w:tc>
          <w:tcPr>
            <w:tcW w:w="294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6.6</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Contractual Obligations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6.7</w:t>
            </w:r>
          </w:p>
        </w:tc>
        <w:tc>
          <w:tcPr>
            <w:tcW w:w="7300" w:type="dxa"/>
            <w:vAlign w:val="bottom"/>
          </w:tcPr>
          <w:p>
            <w:pPr>
              <w:ind w:left="160"/>
              <w:spacing w:after="0"/>
              <w:rPr>
                <w:sz w:val="20"/>
                <w:szCs w:val="20"/>
                <w:color w:val="auto"/>
              </w:rPr>
            </w:pPr>
            <w:r>
              <w:rPr>
                <w:rFonts w:ascii="Arial" w:cs="Arial" w:eastAsia="Arial" w:hAnsi="Arial"/>
                <w:sz w:val="14"/>
                <w:szCs w:val="14"/>
                <w:color w:val="auto"/>
              </w:rPr>
              <w:t>Counterparts</w:t>
            </w:r>
          </w:p>
        </w:tc>
        <w:tc>
          <w:tcPr>
            <w:tcW w:w="2940" w:type="dxa"/>
            <w:vAlign w:val="bottom"/>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6.8</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Evidence</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6.9</w:t>
            </w:r>
          </w:p>
        </w:tc>
        <w:tc>
          <w:tcPr>
            <w:tcW w:w="7300" w:type="dxa"/>
            <w:vAlign w:val="bottom"/>
          </w:tcPr>
          <w:p>
            <w:pPr>
              <w:ind w:left="160"/>
              <w:spacing w:after="0"/>
              <w:rPr>
                <w:sz w:val="20"/>
                <w:szCs w:val="20"/>
                <w:color w:val="auto"/>
              </w:rPr>
            </w:pPr>
            <w:r>
              <w:rPr>
                <w:rFonts w:ascii="Arial" w:cs="Arial" w:eastAsia="Arial" w:hAnsi="Arial"/>
                <w:sz w:val="14"/>
                <w:szCs w:val="14"/>
                <w:color w:val="auto"/>
              </w:rPr>
              <w:t>Action by Company</w:t>
            </w:r>
          </w:p>
        </w:tc>
        <w:tc>
          <w:tcPr>
            <w:tcW w:w="2940" w:type="dxa"/>
            <w:vAlign w:val="bottom"/>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6.10</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Notice</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500" w:type="dxa"/>
            <w:vAlign w:val="bottom"/>
            <w:gridSpan w:val="3"/>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SECTION 7  AMENDMENT AND TERMINATION</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7.1</w:t>
            </w:r>
          </w:p>
        </w:tc>
        <w:tc>
          <w:tcPr>
            <w:tcW w:w="7300" w:type="dxa"/>
            <w:vAlign w:val="bottom"/>
          </w:tcPr>
          <w:p>
            <w:pPr>
              <w:ind w:left="160"/>
              <w:spacing w:after="0"/>
              <w:rPr>
                <w:sz w:val="20"/>
                <w:szCs w:val="20"/>
                <w:color w:val="auto"/>
              </w:rPr>
            </w:pPr>
            <w:r>
              <w:rPr>
                <w:rFonts w:ascii="Arial" w:cs="Arial" w:eastAsia="Arial" w:hAnsi="Arial"/>
                <w:sz w:val="14"/>
                <w:szCs w:val="14"/>
                <w:color w:val="auto"/>
              </w:rPr>
              <w:t>Amendment and Termination</w:t>
            </w:r>
          </w:p>
        </w:tc>
        <w:tc>
          <w:tcPr>
            <w:tcW w:w="2940" w:type="dxa"/>
            <w:vAlign w:val="bottom"/>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7.2</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Reorganization of the Company</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7.3</w:t>
            </w:r>
          </w:p>
        </w:tc>
        <w:tc>
          <w:tcPr>
            <w:tcW w:w="7300" w:type="dxa"/>
            <w:vAlign w:val="bottom"/>
          </w:tcPr>
          <w:p>
            <w:pPr>
              <w:ind w:left="160"/>
              <w:spacing w:after="0"/>
              <w:rPr>
                <w:sz w:val="20"/>
                <w:szCs w:val="20"/>
                <w:color w:val="auto"/>
              </w:rPr>
            </w:pPr>
            <w:r>
              <w:rPr>
                <w:rFonts w:ascii="Arial" w:cs="Arial" w:eastAsia="Arial" w:hAnsi="Arial"/>
                <w:sz w:val="14"/>
                <w:szCs w:val="14"/>
                <w:color w:val="auto"/>
              </w:rPr>
              <w:t>Prohibition on Material Modifications</w:t>
            </w:r>
          </w:p>
        </w:tc>
        <w:tc>
          <w:tcPr>
            <w:tcW w:w="294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500" w:type="dxa"/>
            <w:vAlign w:val="bottom"/>
            <w:gridSpan w:val="3"/>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SECTION 8  APPLICABLE LAWS</w:t>
            </w:r>
          </w:p>
        </w:tc>
        <w:tc>
          <w:tcPr>
            <w:tcW w:w="294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8.1</w:t>
            </w:r>
          </w:p>
        </w:tc>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Applicable Laws</w:t>
            </w:r>
          </w:p>
        </w:tc>
        <w:tc>
          <w:tcPr>
            <w:tcW w:w="2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42" w:name="page143"/>
    <w:bookmarkEnd w:id="142"/>
    <w:p>
      <w:pPr>
        <w:jc w:val="center"/>
        <w:ind w:right="260"/>
        <w:spacing w:after="0"/>
        <w:rPr>
          <w:sz w:val="20"/>
          <w:szCs w:val="20"/>
          <w:color w:val="auto"/>
        </w:rPr>
      </w:pPr>
      <w:r>
        <w:rPr>
          <w:rFonts w:ascii="Arial" w:cs="Arial" w:eastAsia="Arial" w:hAnsi="Arial"/>
          <w:sz w:val="14"/>
          <w:szCs w:val="14"/>
          <w:b w:val="1"/>
          <w:bCs w:val="1"/>
          <w:color w:val="auto"/>
        </w:rPr>
        <w:t>ALLETE AND AFFILIATED COMPANIES</w:t>
      </w: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SUPPLEMENTAL EXECUTIVE RETIREMENT PLAN</w:t>
      </w: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(As Amended and Restated</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Effective January 1, 2009)</w:t>
      </w:r>
    </w:p>
    <w:p>
      <w:pPr>
        <w:spacing w:after="0" w:line="201"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14"/>
          <w:szCs w:val="14"/>
          <w:b w:val="1"/>
          <w:bCs w:val="1"/>
          <w:color w:val="auto"/>
        </w:rPr>
        <w:t>SECTION 1.</w:t>
      </w:r>
      <w:r>
        <w:rPr>
          <w:sz w:val="20"/>
          <w:szCs w:val="20"/>
          <w:color w:val="auto"/>
        </w:rPr>
        <w:tab/>
      </w:r>
      <w:r>
        <w:rPr>
          <w:rFonts w:ascii="Arial" w:cs="Arial" w:eastAsia="Arial" w:hAnsi="Arial"/>
          <w:sz w:val="14"/>
          <w:szCs w:val="14"/>
          <w:b w:val="1"/>
          <w:bCs w:val="1"/>
          <w:color w:val="auto"/>
        </w:rPr>
        <w:t>ESTABLISHMENT AND PURPOSE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Establishment of Plan</w:t>
      </w:r>
    </w:p>
    <w:p>
      <w:pPr>
        <w:spacing w:after="0" w:line="209" w:lineRule="exact"/>
        <w:rPr>
          <w:sz w:val="20"/>
          <w:szCs w:val="20"/>
          <w:color w:val="auto"/>
        </w:rPr>
      </w:pPr>
    </w:p>
    <w:p>
      <w:pPr>
        <w:jc w:val="both"/>
        <w:ind w:left="240"/>
        <w:spacing w:after="0" w:line="267" w:lineRule="auto"/>
        <w:rPr>
          <w:sz w:val="20"/>
          <w:szCs w:val="20"/>
          <w:color w:val="auto"/>
        </w:rPr>
      </w:pPr>
      <w:r>
        <w:rPr>
          <w:rFonts w:ascii="Arial" w:cs="Arial" w:eastAsia="Arial" w:hAnsi="Arial"/>
          <w:sz w:val="14"/>
          <w:szCs w:val="14"/>
          <w:color w:val="auto"/>
        </w:rPr>
        <w:t>ALLETE, Inc., formerly MINNESOTA POWER &amp; LIGHT COMPANY (the “Company” and also sometimes “ALLETE”) established, effective as of July 1, 1980, a Supplemental Retirement Plan for eligible executives of the Company, such Plan to be known as the SUPPLEMENTAL EXECUTIVE RETIREMENT PLAN (THE “PLAN”). The Plan was established in order to provide supplemental current or retirement benefits payable as provided hereafter solely from the general assets of the Company. The Plan is intended to be exempt from the participation, vesting, funding, and fiduciary requirements of Title 1 of the Employee Retirement Income Security Act of 1974.</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Effective as of January 1, 1981, the Plan was amended to include compensation attributable to the Company’s Incentive Compensation Plan in determining benefits under this Plan.</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Effective as of January 1, 1982, the Plan was amended to change the manner in which Incentive Awards are accounted for when determining benefits payable at retirement under Section 4.6.</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Effective December 1, 1982, the Plan was amended to change the deferral and cash payment options of the Plan.</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631" w:right="219" w:bottom="1440" w:gutter="0" w:footer="0" w:header="0"/>
        </w:sectPr>
      </w:pPr>
    </w:p>
    <w:bookmarkStart w:id="143" w:name="page144"/>
    <w:bookmarkEnd w:id="143"/>
    <w:p>
      <w:pPr>
        <w:jc w:val="both"/>
        <w:spacing w:after="0" w:line="288" w:lineRule="auto"/>
        <w:rPr>
          <w:sz w:val="20"/>
          <w:szCs w:val="20"/>
          <w:color w:val="auto"/>
        </w:rPr>
      </w:pPr>
      <w:r>
        <w:rPr>
          <w:rFonts w:ascii="Arial" w:cs="Arial" w:eastAsia="Arial" w:hAnsi="Arial"/>
          <w:sz w:val="14"/>
          <w:szCs w:val="14"/>
          <w:color w:val="auto"/>
        </w:rPr>
        <w:t>The Plan was amended including revisions through and including May 10, 1983, and restated in its entirety as of January 1, 1983. The revisions included a provision to provide benefits that are above the limitations under Section 415 of the Internal Revenue Code.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Effective January 1, 1984, the Plan was amended to provide for a predetermined interest rate of 10.5% to be used in determining the value of certain benefits under the Plan.</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Effective January 1, 1987, the Plan was amended to provide for two additional investment choices for monies deferred under the Plan and to make other minor changes to the Plan.</w:t>
      </w:r>
    </w:p>
    <w:p>
      <w:pPr>
        <w:spacing w:after="0" w:line="21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Effective August 1, 1987, the Plan has been amended to provide for a fixed rate of return of 8% under Section 4.15 for deferral elections made after that date rather than a return that is the greater of 10.5% or the Company’s actual overall percentage return on capital, and to make a minor change in the Plan name.</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Effective May 1, 1988, the Plan was amended so that benefits under Subsections 4.1(c) and (d) of the 1988 Plan document are available only to active Participants who were age 60 or older as of said date.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Effective November 1, 1988, the Plan has been amended to make revisions in certain discretions available to the Company and to eligible Participants.</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Effective January 1, 1990, the Plan has been amended to remove Participant choice with respect to the payment of benefits under Subsection 4.1(b). The Plan has also been amended to eliminate the makeup of the 2% CORE benefits, which were eliminated under the Supplemental Retirement Plan (SRP) to account for the Employee Stock Ownership Plan (ESOP), and to provide for a makeup of the Employee Stock Ownership Plan Partnership account allocation contribution. The Plan was also amended to eliminate the benefits previously described in Subsections 4.1(c) and (d) of the 1988 legal plan document.</w:t>
      </w:r>
    </w:p>
    <w:p>
      <w:pPr>
        <w:spacing w:after="0" w:line="167"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40"/>
          </w:cols>
          <w:pgMar w:left="740" w:top="323" w:right="2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auto"/>
        </w:rPr>
        <w:t>Effective August 1, 1992, the Plan was amended to change the date Retirement Benefits are due and payable from the last day of the month to the first day of the month.</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Effective March 1, 1994, the Plan was amended to calculate the monthly benefit provided under Section 4.6 using a final average earnings calculation which combines Results Sharing with Incentive Compensation.</w:t>
      </w:r>
    </w:p>
    <w:p>
      <w:pPr>
        <w:spacing w:after="0" w:line="152"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Effective August 1, 1994, the Plan was amended at Section 3.1 to eliminate the eligibility option of annual compensation in excess of $100,000, to increase voluntary deferrals, to provide for a present value calculation at Subsection 4.1(d), to change options for measuring indexes for monies deferred under the Plan, and to make other minor administrative changes.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Effective January 1, 1995, the Plan was amended to suspend benefit payments when a Participant is re-employed by the Company in a regular, full-time position.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Effective January 1, 1997, the Plan was amended to allow for Participants to change the duration of the distribution period.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Effective June 17, 1997, the Plan was amended to credit accounts during distribution of benefits with the Company’s return on capital fixed rate of 8%.</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Effective July 1, 1998, the Plan was amended to combine deferred amounts into a single Executive Deferral Account.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Effective January 1, 1999, the Plan was amended to allow participation by those employees who receive a management salary.</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Effective January 1, 2001, the Plan was amended to provide that the Executive Deferral Account be distributed pursuant to the Participant’s election in the event of death, to distribute account balances of less than $10,000 in a lump sum, and to change the name of the Plan to the ALLETE Supplemental Executive Retirement Plan.</w:t>
      </w:r>
    </w:p>
    <w:p>
      <w:pPr>
        <w:spacing w:after="0" w:line="152"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40"/>
          </w:cols>
          <w:pgMar w:left="740" w:top="323" w:right="219" w:bottom="1440" w:gutter="0" w:footer="0" w:header="0"/>
        </w:sectPr>
      </w:pPr>
    </w:p>
    <w:bookmarkStart w:id="145" w:name="page146"/>
    <w:bookmarkEnd w:id="145"/>
    <w:p>
      <w:pPr>
        <w:jc w:val="both"/>
        <w:spacing w:after="0" w:line="267" w:lineRule="auto"/>
        <w:rPr>
          <w:sz w:val="20"/>
          <w:szCs w:val="20"/>
          <w:color w:val="auto"/>
        </w:rPr>
      </w:pPr>
      <w:r>
        <w:rPr>
          <w:rFonts w:ascii="Arial" w:cs="Arial" w:eastAsia="Arial" w:hAnsi="Arial"/>
          <w:sz w:val="14"/>
          <w:szCs w:val="14"/>
          <w:color w:val="auto"/>
        </w:rPr>
        <w:t>Effective January 1, 2002 the Plan was amended to allow the choice of a life or joint and survivor annuity for Retirement Benefits, to eliminate deferrals which exceeded limitations imposed by Code Section 415, to allow unscheduled in-service withdrawals, to remove the limitation on deferrals of annual salary, and to provide a supplemental tax benefit for participants in the event that they are terminated due to a change in control, and to reflect the merger of the Supplemental Retirement Plan and the Employee Stock Ownership Plan into the Retirement Savings and Stock Ownership Plan.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Effective January 20, 2003, deferrals of stock option gains were eliminated.</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Effective December 1, 2003, the termination of a Participant is clarified to include the sale of a Participant’s employer, but not the separation of a Participant’s employer from the Company through a stock dividend.</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Effective January 1, 2005, the Plan was amended (1) to reflect the cessation of further deferrals thereunder after 2004; (2) to provide Plan Participants with the opportunity to revoke their deferral elections for their 2004 bonuses and 2005 salary and make new deferral elections for their 2005 bonuses; and (3) to the extent that any such deferral elections are not so revoked, to redirect the deferral of 2004 deferred bonuses, 2005 deferred salary, and 2005 deferred bonuses to the ALLETE and Affiliated Companies Supplemental Executive Retirement Plan II.</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Effective October 1, 2006, the Plan was amended to eliminate the supplemental tax benefit for Participants in the event that they are terminated due to a change in control.</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Effective January 1, 2007, the Plan was amended to identify the interest rate(s) applicable to the calculation of a monthly annuity with respect to Executive Deferral Account distributions. The Plan was further amended to establish the 15-year monthly annuity as the default form of Retirement Benefit and the life annuity as the optional form of Retirement Benefit. In addition, a Participant who was eligible for a retirement benefit under both this Plan and SERP II was required to elect the same form of retirement benefit under both this Plan and SERP II.</w:t>
      </w:r>
    </w:p>
    <w:p>
      <w:pPr>
        <w:spacing w:after="0" w:line="36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40"/>
          </w:cols>
          <w:pgMar w:left="740" w:top="323" w:right="219" w:bottom="1440" w:gutter="0" w:footer="0" w:header="0"/>
        </w:sectPr>
      </w:pPr>
    </w:p>
    <w:bookmarkStart w:id="146" w:name="page147"/>
    <w:bookmarkEnd w:id="146"/>
    <w:p>
      <w:pPr>
        <w:jc w:val="both"/>
        <w:ind w:left="240"/>
        <w:spacing w:after="0" w:line="328" w:lineRule="auto"/>
        <w:rPr>
          <w:sz w:val="20"/>
          <w:szCs w:val="20"/>
          <w:color w:val="auto"/>
        </w:rPr>
      </w:pPr>
      <w:r>
        <w:rPr>
          <w:rFonts w:ascii="Arial" w:cs="Arial" w:eastAsia="Arial" w:hAnsi="Arial"/>
          <w:sz w:val="13"/>
          <w:szCs w:val="13"/>
          <w:color w:val="auto"/>
        </w:rPr>
        <w:t>Effective January 1, 2009, the Plan was amended (1) to eliminate the requirement that a Participant who was eligible for a Retirement Benefit under both this Plan and SERP II was required to elect the same form of Retirement Benefit under both this Plan and SERP II and (2) to conform certain administrative provisions in this Plan to the administrative provisions in SERP II.</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Purpose of the Plan</w:t>
      </w:r>
    </w:p>
    <w:p>
      <w:pPr>
        <w:spacing w:after="0" w:line="209" w:lineRule="exact"/>
        <w:rPr>
          <w:sz w:val="20"/>
          <w:szCs w:val="20"/>
          <w:color w:val="auto"/>
        </w:rPr>
      </w:pPr>
    </w:p>
    <w:p>
      <w:pPr>
        <w:jc w:val="both"/>
        <w:ind w:left="240"/>
        <w:spacing w:after="0" w:line="264" w:lineRule="auto"/>
        <w:rPr>
          <w:sz w:val="20"/>
          <w:szCs w:val="20"/>
          <w:color w:val="auto"/>
        </w:rPr>
      </w:pPr>
      <w:r>
        <w:rPr>
          <w:rFonts w:ascii="Arial" w:cs="Arial" w:eastAsia="Arial" w:hAnsi="Arial"/>
          <w:sz w:val="14"/>
          <w:szCs w:val="14"/>
          <w:color w:val="auto"/>
        </w:rPr>
        <w:t>It is the purpose of this Plan to provide eligible executives with benefits that will compensate them for limitations which apply to the Minnesota Power and Affiliated Companies Flexible Compensation Plan, Minnesota Power and Affiliated Companies Retirement Savings and Stock Ownership Plan (sometimes hereinafter the “Retirement Savings and Stock Ownership Plan” or “RSOP”), Minnesota Power and Affiliated Companies Retirement Plan A and to provide a benefit which includes compensation attributable to the ALLETE Executive Annual Incentive Plan (sometimes hereinafter the “Annual Incentive Plan”) and Other Awards as though such awards were eligible for benefit plans which are qualified under Section 401(a) and (k) of the Code. The Plan also provides for deferral of salary and annual and long-term incentive compensation awards.</w:t>
      </w:r>
    </w:p>
    <w:p>
      <w:pPr>
        <w:spacing w:after="0" w:line="167"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14"/>
          <w:szCs w:val="14"/>
          <w:b w:val="1"/>
          <w:bCs w:val="1"/>
          <w:color w:val="auto"/>
        </w:rPr>
        <w:t>SECTION 2.</w:t>
      </w:r>
      <w:r>
        <w:rPr>
          <w:sz w:val="20"/>
          <w:szCs w:val="20"/>
          <w:color w:val="auto"/>
        </w:rPr>
        <w:tab/>
      </w:r>
      <w:r>
        <w:rPr>
          <w:rFonts w:ascii="Arial" w:cs="Arial" w:eastAsia="Arial" w:hAnsi="Arial"/>
          <w:sz w:val="14"/>
          <w:szCs w:val="14"/>
          <w:b w:val="1"/>
          <w:bCs w:val="1"/>
          <w:color w:val="auto"/>
        </w:rPr>
        <w:t>DEFINITIONS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Definitions</w:t>
      </w:r>
    </w:p>
    <w:p>
      <w:pPr>
        <w:spacing w:after="0" w:line="209"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Whenever used in the Plan, the following terms shall have the respective meanings set forth below, unless otherwise expressly provided herein, and when the defined meaning is intended, the term is capitalized:</w:t>
      </w:r>
    </w:p>
    <w:p>
      <w:pPr>
        <w:spacing w:after="0" w:line="148" w:lineRule="exact"/>
        <w:rPr>
          <w:sz w:val="20"/>
          <w:szCs w:val="20"/>
          <w:color w:val="auto"/>
        </w:rPr>
      </w:pPr>
    </w:p>
    <w:p>
      <w:pPr>
        <w:jc w:val="center"/>
        <w:ind w:left="5420" w:right="1360" w:hanging="4930"/>
        <w:spacing w:after="0" w:line="872" w:lineRule="auto"/>
        <w:tabs>
          <w:tab w:leader="none" w:pos="763" w:val="left"/>
        </w:tabs>
        <w:numPr>
          <w:ilvl w:val="0"/>
          <w:numId w:val="6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Annual Incentive Award</w:t>
      </w:r>
      <w:r>
        <w:rPr>
          <w:rFonts w:ascii="Arial" w:cs="Arial" w:eastAsia="Arial" w:hAnsi="Arial"/>
          <w:sz w:val="14"/>
          <w:szCs w:val="14"/>
          <w:color w:val="auto"/>
        </w:rPr>
        <w:t>” means the annual award received by a Participant under the ALLETE Executive Annual Incentive Plan or any predecessor plan.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-215900</wp:posOffset>
            </wp:positionV>
            <wp:extent cx="728027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3" w:right="219" w:bottom="1440" w:gutter="0" w:footer="0" w:header="0"/>
        </w:sectPr>
      </w:pPr>
    </w:p>
    <w:bookmarkStart w:id="147" w:name="page148"/>
    <w:bookmarkEnd w:id="147"/>
    <w:p>
      <w:pPr>
        <w:ind w:left="270" w:hanging="262"/>
        <w:spacing w:after="0"/>
        <w:tabs>
          <w:tab w:leader="none" w:pos="27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“Change in Control” </w:t>
      </w:r>
      <w:r>
        <w:rPr>
          <w:rFonts w:ascii="Arial" w:cs="Arial" w:eastAsia="Arial" w:hAnsi="Arial"/>
          <w:sz w:val="14"/>
          <w:szCs w:val="14"/>
          <w:color w:val="auto"/>
        </w:rPr>
        <w:t>means change of control of ALLETE, Inc. as defined in the ALLETE Executive Long Term Incentive Compensation Plan.</w:t>
      </w:r>
    </w:p>
    <w:p>
      <w:pPr>
        <w:spacing w:after="0" w:line="205" w:lineRule="exact"/>
        <w:rPr>
          <w:rFonts w:ascii="Arial" w:cs="Arial" w:eastAsia="Arial" w:hAnsi="Arial"/>
          <w:sz w:val="14"/>
          <w:szCs w:val="14"/>
          <w:color w:val="auto"/>
        </w:rPr>
      </w:pPr>
    </w:p>
    <w:p>
      <w:pPr>
        <w:ind w:left="270" w:hanging="262"/>
        <w:spacing w:after="0" w:line="294" w:lineRule="auto"/>
        <w:tabs>
          <w:tab w:leader="none" w:pos="27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“Committee” </w:t>
      </w:r>
      <w:r>
        <w:rPr>
          <w:rFonts w:ascii="Arial" w:cs="Arial" w:eastAsia="Arial" w:hAnsi="Arial"/>
          <w:sz w:val="14"/>
          <w:szCs w:val="14"/>
          <w:color w:val="auto"/>
        </w:rPr>
        <w:t>means the the Employee Benefit Plans Committee appointed by the Board or delegates of the Employee Benefit Plans Committee with authority to administer the</w:t>
      </w:r>
      <w:r>
        <w:rPr>
          <w:rFonts w:ascii="Arial" w:cs="Arial" w:eastAsia="Arial" w:hAnsi="Arial"/>
          <w:sz w:val="14"/>
          <w:szCs w:val="14"/>
          <w:b w:val="1"/>
          <w:bCs w:val="1"/>
          <w:color w:val="auto"/>
        </w:rPr>
        <w:t xml:space="preserve"> </w:t>
      </w:r>
      <w:r>
        <w:rPr>
          <w:rFonts w:ascii="Arial" w:cs="Arial" w:eastAsia="Arial" w:hAnsi="Arial"/>
          <w:sz w:val="14"/>
          <w:szCs w:val="14"/>
          <w:color w:val="auto"/>
        </w:rPr>
        <w:t>Plan as provided under Section 5.1.</w:t>
      </w:r>
    </w:p>
    <w:p>
      <w:pPr>
        <w:spacing w:after="0" w:line="144" w:lineRule="exact"/>
        <w:rPr>
          <w:rFonts w:ascii="Arial" w:cs="Arial" w:eastAsia="Arial" w:hAnsi="Arial"/>
          <w:sz w:val="14"/>
          <w:szCs w:val="14"/>
          <w:color w:val="auto"/>
        </w:rPr>
      </w:pPr>
    </w:p>
    <w:p>
      <w:pPr>
        <w:ind w:left="270" w:hanging="270"/>
        <w:spacing w:after="0" w:line="294" w:lineRule="auto"/>
        <w:tabs>
          <w:tab w:leader="none" w:pos="27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“Company” </w:t>
      </w:r>
      <w:r>
        <w:rPr>
          <w:rFonts w:ascii="Arial" w:cs="Arial" w:eastAsia="Arial" w:hAnsi="Arial"/>
          <w:sz w:val="14"/>
          <w:szCs w:val="14"/>
          <w:color w:val="auto"/>
        </w:rPr>
        <w:t>means ALLETE, Inc., and any other affiliated company which adopts this Plan by action of its Board of Directors and is consented to by the Compensation Committee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ALLETE Board of Directors. A list of such companies shall be maintained by ALLETE.</w:t>
      </w:r>
    </w:p>
    <w:p>
      <w:pPr>
        <w:spacing w:after="0" w:line="144" w:lineRule="exact"/>
        <w:rPr>
          <w:rFonts w:ascii="Arial" w:cs="Arial" w:eastAsia="Arial" w:hAnsi="Arial"/>
          <w:sz w:val="14"/>
          <w:szCs w:val="14"/>
          <w:color w:val="auto"/>
        </w:rPr>
      </w:pPr>
    </w:p>
    <w:p>
      <w:pPr>
        <w:jc w:val="both"/>
        <w:ind w:left="270" w:hanging="254"/>
        <w:spacing w:after="0" w:line="288" w:lineRule="auto"/>
        <w:tabs>
          <w:tab w:leader="none" w:pos="270" w:val="left"/>
        </w:tabs>
        <w:numPr>
          <w:ilvl w:val="0"/>
          <w:numId w:val="62"/>
        </w:numPr>
        <w:rPr>
          <w:rFonts w:ascii="Arial" w:cs="Arial" w:eastAsia="Arial" w:hAnsi="Arial"/>
          <w:sz w:val="13"/>
          <w:szCs w:val="13"/>
          <w:color w:val="auto"/>
        </w:rPr>
      </w:pPr>
      <w:r>
        <w:rPr>
          <w:rFonts w:ascii="Arial" w:cs="Arial" w:eastAsia="Arial" w:hAnsi="Arial"/>
          <w:sz w:val="13"/>
          <w:szCs w:val="13"/>
          <w:b w:val="1"/>
          <w:bCs w:val="1"/>
          <w:color w:val="auto"/>
        </w:rPr>
        <w:t xml:space="preserve">“Compensation” </w:t>
      </w:r>
      <w:r>
        <w:rPr>
          <w:rFonts w:ascii="Arial" w:cs="Arial" w:eastAsia="Arial" w:hAnsi="Arial"/>
          <w:sz w:val="13"/>
          <w:szCs w:val="13"/>
          <w:color w:val="auto"/>
        </w:rPr>
        <w:t>means the Participant’s earnings during a calendar year, before any reduction pursuant to Code Sections 125, 132(f)(4), or 401(k). It does not include overtime</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if any, bonuses, Annual Incentive Awards and Other Awards, expenses, allowances, commission payments (except when regular compensation consists wholly or in part of commissions, in which case commission payments are included), employer contributions or awards under this Plan or other employee benefit plans, imputed income (whether such imputed income is from 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employed jointly by the Company and an affiliated company (as defined in the RSOP), Compensation as defined herein shall include amounts received from all such companies.</w:t>
      </w:r>
    </w:p>
    <w:p>
      <w:pPr>
        <w:spacing w:after="0" w:line="152" w:lineRule="exact"/>
        <w:rPr>
          <w:rFonts w:ascii="Arial" w:cs="Arial" w:eastAsia="Arial" w:hAnsi="Arial"/>
          <w:sz w:val="13"/>
          <w:szCs w:val="13"/>
          <w:color w:val="auto"/>
        </w:rPr>
      </w:pPr>
    </w:p>
    <w:p>
      <w:pPr>
        <w:ind w:left="270" w:hanging="247"/>
        <w:spacing w:after="0"/>
        <w:tabs>
          <w:tab w:leader="none" w:pos="27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Deferred Stock Unit</w:t>
      </w:r>
      <w:r>
        <w:rPr>
          <w:rFonts w:ascii="Arial" w:cs="Arial" w:eastAsia="Arial" w:hAnsi="Arial"/>
          <w:sz w:val="14"/>
          <w:szCs w:val="14"/>
          <w:color w:val="auto"/>
        </w:rPr>
        <w:t>” means the units credited to a Participant which correspond to the number of shares the Participant deferred in accordance with Section 4.5.</w:t>
      </w:r>
    </w:p>
    <w:p>
      <w:pPr>
        <w:spacing w:after="0" w:line="200" w:lineRule="exact"/>
        <w:rPr>
          <w:sz w:val="20"/>
          <w:szCs w:val="20"/>
          <w:color w:val="auto"/>
        </w:rPr>
      </w:pPr>
    </w:p>
    <w:p>
      <w:pPr>
        <w:spacing w:after="0" w:line="203" w:lineRule="exact"/>
        <w:rPr>
          <w:sz w:val="20"/>
          <w:szCs w:val="20"/>
          <w:color w:val="auto"/>
        </w:rPr>
      </w:pPr>
    </w:p>
    <w:p>
      <w:pPr>
        <w:ind w:left="493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66040</wp:posOffset>
            </wp:positionV>
            <wp:extent cx="7280275" cy="196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690"/>
          </w:cols>
          <w:pgMar w:left="990" w:top="319" w:right="219" w:bottom="1440" w:gutter="0" w:footer="0" w:header="0"/>
        </w:sectPr>
      </w:pPr>
    </w:p>
    <w:bookmarkStart w:id="148" w:name="page149"/>
    <w:bookmarkEnd w:id="148"/>
    <w:p>
      <w:pPr>
        <w:ind w:left="294" w:hanging="270"/>
        <w:spacing w:after="0"/>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“Eligible Surviving Spouse” </w:t>
      </w:r>
      <w:r>
        <w:rPr>
          <w:rFonts w:ascii="Arial" w:cs="Arial" w:eastAsia="Arial" w:hAnsi="Arial"/>
          <w:sz w:val="14"/>
          <w:szCs w:val="14"/>
          <w:color w:val="auto"/>
        </w:rPr>
        <w:t>means surviving spouse as defined in the Company’s Retirement Plan A.</w:t>
      </w:r>
    </w:p>
    <w:p>
      <w:pPr>
        <w:spacing w:after="0" w:line="205" w:lineRule="exact"/>
        <w:rPr>
          <w:rFonts w:ascii="Arial" w:cs="Arial" w:eastAsia="Arial" w:hAnsi="Arial"/>
          <w:sz w:val="14"/>
          <w:szCs w:val="14"/>
          <w:color w:val="auto"/>
        </w:rPr>
      </w:pPr>
    </w:p>
    <w:p>
      <w:pPr>
        <w:ind w:left="294" w:hanging="270"/>
        <w:spacing w:after="0"/>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“Executive Deferral Account” or “EDA” or “Account” </w:t>
      </w:r>
      <w:r>
        <w:rPr>
          <w:rFonts w:ascii="Arial" w:cs="Arial" w:eastAsia="Arial" w:hAnsi="Arial"/>
          <w:sz w:val="14"/>
          <w:szCs w:val="14"/>
          <w:color w:val="auto"/>
        </w:rPr>
        <w:t>means the account where deferrals pursuant to Sections 4.1, 4.2, 4.3, 4.4 and 4.5 are credited.</w:t>
      </w:r>
    </w:p>
    <w:p>
      <w:pPr>
        <w:spacing w:after="0" w:line="205" w:lineRule="exact"/>
        <w:rPr>
          <w:rFonts w:ascii="Arial" w:cs="Arial" w:eastAsia="Arial" w:hAnsi="Arial"/>
          <w:sz w:val="14"/>
          <w:szCs w:val="14"/>
          <w:color w:val="auto"/>
        </w:rPr>
      </w:pPr>
    </w:p>
    <w:p>
      <w:pPr>
        <w:ind w:left="294" w:hanging="214"/>
        <w:spacing w:after="0" w:line="294" w:lineRule="auto"/>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“Other Award” </w:t>
      </w:r>
      <w:r>
        <w:rPr>
          <w:rFonts w:ascii="Arial" w:cs="Arial" w:eastAsia="Arial" w:hAnsi="Arial"/>
          <w:sz w:val="14"/>
          <w:szCs w:val="14"/>
          <w:color w:val="auto"/>
        </w:rPr>
        <w:t>means an annual award received by the Participant as approved by the Committee and which is not the Annual Incentive Award described in Subsection 2.1(A),</w:t>
      </w:r>
      <w:r>
        <w:rPr>
          <w:rFonts w:ascii="Arial" w:cs="Arial" w:eastAsia="Arial" w:hAnsi="Arial"/>
          <w:sz w:val="14"/>
          <w:szCs w:val="14"/>
          <w:b w:val="1"/>
          <w:bCs w:val="1"/>
          <w:color w:val="auto"/>
        </w:rPr>
        <w:t xml:space="preserve"> </w:t>
      </w:r>
      <w:r>
        <w:rPr>
          <w:rFonts w:ascii="Arial" w:cs="Arial" w:eastAsia="Arial" w:hAnsi="Arial"/>
          <w:sz w:val="14"/>
          <w:szCs w:val="14"/>
          <w:color w:val="auto"/>
        </w:rPr>
        <w:t>and does not include a severance benefit.</w:t>
      </w:r>
    </w:p>
    <w:p>
      <w:pPr>
        <w:spacing w:after="0" w:line="144" w:lineRule="exact"/>
        <w:rPr>
          <w:rFonts w:ascii="Arial" w:cs="Arial" w:eastAsia="Arial" w:hAnsi="Arial"/>
          <w:sz w:val="14"/>
          <w:szCs w:val="14"/>
          <w:color w:val="auto"/>
        </w:rPr>
      </w:pPr>
    </w:p>
    <w:p>
      <w:pPr>
        <w:ind w:left="294" w:hanging="223"/>
        <w:spacing w:after="0"/>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“Pay” </w:t>
      </w:r>
      <w:r>
        <w:rPr>
          <w:rFonts w:ascii="Arial" w:cs="Arial" w:eastAsia="Arial" w:hAnsi="Arial"/>
          <w:sz w:val="14"/>
          <w:szCs w:val="14"/>
          <w:color w:val="auto"/>
        </w:rPr>
        <w:t>means the annual salary as of October 1 of the year prior to the year for which the allocation is attributed to under Section 4.1 of this Plan.</w:t>
      </w:r>
    </w:p>
    <w:p>
      <w:pPr>
        <w:spacing w:after="0" w:line="205" w:lineRule="exact"/>
        <w:rPr>
          <w:rFonts w:ascii="Arial" w:cs="Arial" w:eastAsia="Arial" w:hAnsi="Arial"/>
          <w:sz w:val="14"/>
          <w:szCs w:val="14"/>
          <w:color w:val="auto"/>
        </w:rPr>
      </w:pPr>
    </w:p>
    <w:p>
      <w:pPr>
        <w:ind w:left="294" w:hanging="270"/>
        <w:spacing w:after="0"/>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“Participant” </w:t>
      </w:r>
      <w:r>
        <w:rPr>
          <w:rFonts w:ascii="Arial" w:cs="Arial" w:eastAsia="Arial" w:hAnsi="Arial"/>
          <w:sz w:val="14"/>
          <w:szCs w:val="14"/>
          <w:color w:val="auto"/>
        </w:rPr>
        <w:t>is defined in Section 3.</w:t>
      </w:r>
    </w:p>
    <w:p>
      <w:pPr>
        <w:spacing w:after="0" w:line="205" w:lineRule="exact"/>
        <w:rPr>
          <w:rFonts w:ascii="Arial" w:cs="Arial" w:eastAsia="Arial" w:hAnsi="Arial"/>
          <w:sz w:val="14"/>
          <w:szCs w:val="14"/>
          <w:color w:val="auto"/>
        </w:rPr>
      </w:pPr>
    </w:p>
    <w:p>
      <w:pPr>
        <w:ind w:left="294" w:hanging="254"/>
        <w:spacing w:after="0" w:line="294" w:lineRule="auto"/>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“Retire” or “Retirement” </w:t>
      </w:r>
      <w:r>
        <w:rPr>
          <w:rFonts w:ascii="Arial" w:cs="Arial" w:eastAsia="Arial" w:hAnsi="Arial"/>
          <w:sz w:val="14"/>
          <w:szCs w:val="14"/>
          <w:color w:val="auto"/>
        </w:rPr>
        <w:t>means a Participant’s termination of employment after attaining “Early Retirement Age” or “Normal Retirement Age” defined as the earliest date under</w:t>
      </w:r>
      <w:r>
        <w:rPr>
          <w:rFonts w:ascii="Arial" w:cs="Arial" w:eastAsia="Arial" w:hAnsi="Arial"/>
          <w:sz w:val="14"/>
          <w:szCs w:val="14"/>
          <w:b w:val="1"/>
          <w:bCs w:val="1"/>
          <w:color w:val="auto"/>
        </w:rPr>
        <w:t xml:space="preserve"> </w:t>
      </w:r>
      <w:r>
        <w:rPr>
          <w:rFonts w:ascii="Arial" w:cs="Arial" w:eastAsia="Arial" w:hAnsi="Arial"/>
          <w:sz w:val="14"/>
          <w:szCs w:val="14"/>
          <w:color w:val="auto"/>
        </w:rPr>
        <w:t>any qualified retirement plan of the Participant’s employer.</w:t>
      </w:r>
    </w:p>
    <w:p>
      <w:pPr>
        <w:spacing w:after="0" w:line="144" w:lineRule="exact"/>
        <w:rPr>
          <w:rFonts w:ascii="Arial" w:cs="Arial" w:eastAsia="Arial" w:hAnsi="Arial"/>
          <w:sz w:val="14"/>
          <w:szCs w:val="14"/>
          <w:color w:val="auto"/>
        </w:rPr>
      </w:pPr>
    </w:p>
    <w:p>
      <w:pPr>
        <w:ind w:left="294" w:hanging="294"/>
        <w:spacing w:after="0"/>
        <w:tabs>
          <w:tab w:leader="none" w:pos="294" w:val="left"/>
        </w:tabs>
        <w:numPr>
          <w:ilvl w:val="0"/>
          <w:numId w:val="63"/>
        </w:numPr>
        <w:rPr>
          <w:rFonts w:ascii="Arial" w:cs="Arial" w:eastAsia="Arial" w:hAnsi="Arial"/>
          <w:sz w:val="13"/>
          <w:szCs w:val="13"/>
          <w:color w:val="auto"/>
        </w:rPr>
      </w:pPr>
      <w:r>
        <w:rPr>
          <w:rFonts w:ascii="Arial" w:cs="Arial" w:eastAsia="Arial" w:hAnsi="Arial"/>
          <w:sz w:val="13"/>
          <w:szCs w:val="13"/>
          <w:b w:val="1"/>
          <w:bCs w:val="1"/>
          <w:color w:val="auto"/>
        </w:rPr>
        <w:t xml:space="preserve">“Retirement Benefit” </w:t>
      </w:r>
      <w:r>
        <w:rPr>
          <w:rFonts w:ascii="Arial" w:cs="Arial" w:eastAsia="Arial" w:hAnsi="Arial"/>
          <w:sz w:val="13"/>
          <w:szCs w:val="13"/>
          <w:color w:val="auto"/>
        </w:rPr>
        <w:t>means the benefit payable to a Participant pursuant to the Plan by reason of the Participant’s Retirement with the Company described in Section 4.6.</w:t>
      </w:r>
    </w:p>
    <w:p>
      <w:pPr>
        <w:spacing w:after="0" w:line="216" w:lineRule="exact"/>
        <w:rPr>
          <w:rFonts w:ascii="Arial" w:cs="Arial" w:eastAsia="Arial" w:hAnsi="Arial"/>
          <w:sz w:val="13"/>
          <w:szCs w:val="13"/>
          <w:color w:val="auto"/>
        </w:rPr>
      </w:pPr>
    </w:p>
    <w:p>
      <w:pPr>
        <w:ind w:left="294" w:hanging="270"/>
        <w:spacing w:after="0"/>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“Retirement Plan A” </w:t>
      </w:r>
      <w:r>
        <w:rPr>
          <w:rFonts w:ascii="Arial" w:cs="Arial" w:eastAsia="Arial" w:hAnsi="Arial"/>
          <w:sz w:val="14"/>
          <w:szCs w:val="14"/>
          <w:color w:val="auto"/>
        </w:rPr>
        <w:t>means the Minnesota Power and Affiliated Companies Retirement Plan A.</w:t>
      </w:r>
    </w:p>
    <w:p>
      <w:pPr>
        <w:spacing w:after="0" w:line="205" w:lineRule="exact"/>
        <w:rPr>
          <w:rFonts w:ascii="Arial" w:cs="Arial" w:eastAsia="Arial" w:hAnsi="Arial"/>
          <w:sz w:val="14"/>
          <w:szCs w:val="14"/>
          <w:color w:val="auto"/>
        </w:rPr>
      </w:pPr>
    </w:p>
    <w:p>
      <w:pPr>
        <w:ind w:left="294" w:hanging="270"/>
        <w:spacing w:after="0"/>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“Retirement Savings and Stock Ownership Plan” or “RSOP” </w:t>
      </w:r>
      <w:r>
        <w:rPr>
          <w:rFonts w:ascii="Arial" w:cs="Arial" w:eastAsia="Arial" w:hAnsi="Arial"/>
          <w:sz w:val="14"/>
          <w:szCs w:val="14"/>
          <w:color w:val="auto"/>
        </w:rPr>
        <w:t>means the Minnesota Power and Affiliated Companies Retirement Savings and Stock Ownership Plan.</w:t>
      </w:r>
    </w:p>
    <w:p>
      <w:pPr>
        <w:spacing w:after="0" w:line="205" w:lineRule="exact"/>
        <w:rPr>
          <w:rFonts w:ascii="Arial" w:cs="Arial" w:eastAsia="Arial" w:hAnsi="Arial"/>
          <w:sz w:val="14"/>
          <w:szCs w:val="14"/>
          <w:color w:val="auto"/>
        </w:rPr>
      </w:pPr>
    </w:p>
    <w:p>
      <w:pPr>
        <w:ind w:left="294" w:hanging="247"/>
        <w:spacing w:after="0"/>
        <w:tabs>
          <w:tab w:leader="none" w:pos="294"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“SERP II” </w:t>
      </w:r>
      <w:r>
        <w:rPr>
          <w:rFonts w:ascii="Arial" w:cs="Arial" w:eastAsia="Arial" w:hAnsi="Arial"/>
          <w:sz w:val="14"/>
          <w:szCs w:val="14"/>
          <w:color w:val="auto"/>
        </w:rPr>
        <w:t>means the ALLETE and Affiliated Companies Supplemental Executive Retirement Plan II.</w:t>
      </w:r>
    </w:p>
    <w:p>
      <w:pPr>
        <w:spacing w:after="0" w:line="200" w:lineRule="exact"/>
        <w:rPr>
          <w:sz w:val="20"/>
          <w:szCs w:val="20"/>
          <w:color w:val="auto"/>
        </w:rPr>
      </w:pPr>
    </w:p>
    <w:p>
      <w:pPr>
        <w:spacing w:after="0" w:line="203" w:lineRule="exact"/>
        <w:rPr>
          <w:sz w:val="20"/>
          <w:szCs w:val="20"/>
          <w:color w:val="auto"/>
        </w:rPr>
      </w:pPr>
    </w:p>
    <w:p>
      <w:pPr>
        <w:ind w:left="4954"/>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66040</wp:posOffset>
            </wp:positionV>
            <wp:extent cx="728027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714"/>
          </w:cols>
          <w:pgMar w:left="966" w:top="319" w:right="219" w:bottom="1440" w:gutter="0" w:footer="0" w:header="0"/>
        </w:sectPr>
      </w:pPr>
    </w:p>
    <w:bookmarkStart w:id="149" w:name="page150"/>
    <w:bookmarkEnd w:id="149"/>
    <w:p>
      <w:pPr>
        <w:ind w:left="760" w:hanging="270"/>
        <w:spacing w:after="0"/>
        <w:tabs>
          <w:tab w:leader="none" w:pos="76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“Stock Option Gain Shares Deferral Election” </w:t>
      </w:r>
      <w:r>
        <w:rPr>
          <w:rFonts w:ascii="Arial" w:cs="Arial" w:eastAsia="Arial" w:hAnsi="Arial"/>
          <w:sz w:val="14"/>
          <w:szCs w:val="14"/>
          <w:color w:val="auto"/>
        </w:rPr>
        <w:t>means the annual election made by the Participant in accordance with Section 4.5.</w:t>
      </w:r>
    </w:p>
    <w:p>
      <w:pPr>
        <w:spacing w:after="0" w:line="205" w:lineRule="exact"/>
        <w:rPr>
          <w:rFonts w:ascii="Arial" w:cs="Arial" w:eastAsia="Arial" w:hAnsi="Arial"/>
          <w:sz w:val="14"/>
          <w:szCs w:val="14"/>
          <w:color w:val="auto"/>
        </w:rPr>
      </w:pPr>
    </w:p>
    <w:p>
      <w:pPr>
        <w:ind w:left="760" w:hanging="262"/>
        <w:spacing w:after="0" w:line="294" w:lineRule="auto"/>
        <w:tabs>
          <w:tab w:leader="none" w:pos="76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“Supplemental Salary Reduction Agreement” </w:t>
      </w:r>
      <w:r>
        <w:rPr>
          <w:rFonts w:ascii="Arial" w:cs="Arial" w:eastAsia="Arial" w:hAnsi="Arial"/>
          <w:sz w:val="14"/>
          <w:szCs w:val="14"/>
          <w:color w:val="auto"/>
        </w:rPr>
        <w:t>means an agreement entered into by a Participant and the Company in December of a fiscal year under which the Participant</w:t>
      </w:r>
      <w:r>
        <w:rPr>
          <w:rFonts w:ascii="Arial" w:cs="Arial" w:eastAsia="Arial" w:hAnsi="Arial"/>
          <w:sz w:val="14"/>
          <w:szCs w:val="14"/>
          <w:b w:val="1"/>
          <w:bCs w:val="1"/>
          <w:color w:val="auto"/>
        </w:rPr>
        <w:t xml:space="preserve"> </w:t>
      </w:r>
      <w:r>
        <w:rPr>
          <w:rFonts w:ascii="Arial" w:cs="Arial" w:eastAsia="Arial" w:hAnsi="Arial"/>
          <w:sz w:val="14"/>
          <w:szCs w:val="14"/>
          <w:color w:val="auto"/>
        </w:rPr>
        <w:t>irrevocably agrees to forego compensation that would otherwise be paid to the Participant during the next fiscal year.</w:t>
      </w:r>
    </w:p>
    <w:p>
      <w:pPr>
        <w:spacing w:after="0" w:line="144" w:lineRule="exact"/>
        <w:rPr>
          <w:rFonts w:ascii="Arial" w:cs="Arial" w:eastAsia="Arial" w:hAnsi="Arial"/>
          <w:sz w:val="14"/>
          <w:szCs w:val="14"/>
          <w:color w:val="auto"/>
        </w:rPr>
      </w:pPr>
    </w:p>
    <w:p>
      <w:pPr>
        <w:ind w:left="760" w:hanging="247"/>
        <w:spacing w:after="0"/>
        <w:tabs>
          <w:tab w:leader="none" w:pos="76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“Valuation Date” </w:t>
      </w:r>
      <w:r>
        <w:rPr>
          <w:rFonts w:ascii="Arial" w:cs="Arial" w:eastAsia="Arial" w:hAnsi="Arial"/>
          <w:sz w:val="14"/>
          <w:szCs w:val="14"/>
          <w:color w:val="auto"/>
        </w:rPr>
        <w:t>means each date on which the Accounts are valued as provided in Subsection 4.7(C).</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Gender and Number</w:t>
      </w:r>
    </w:p>
    <w:p>
      <w:pPr>
        <w:spacing w:after="0" w:line="209" w:lineRule="exact"/>
        <w:rPr>
          <w:sz w:val="20"/>
          <w:szCs w:val="20"/>
          <w:color w:val="auto"/>
        </w:rPr>
      </w:pPr>
    </w:p>
    <w:p>
      <w:pPr>
        <w:ind w:left="240"/>
        <w:spacing w:after="0" w:line="288" w:lineRule="auto"/>
        <w:rPr>
          <w:sz w:val="20"/>
          <w:szCs w:val="20"/>
          <w:color w:val="auto"/>
        </w:rPr>
      </w:pPr>
      <w:r>
        <w:rPr>
          <w:rFonts w:ascii="Arial" w:cs="Arial" w:eastAsia="Arial" w:hAnsi="Arial"/>
          <w:sz w:val="14"/>
          <w:szCs w:val="14"/>
          <w:color w:val="auto"/>
        </w:rPr>
        <w:t>Except when otherwise indicated by the context, any masculine terminology used herein shall also include the feminine, and the use of any term herein in the singular may also include the plural.</w:t>
      </w:r>
    </w:p>
    <w:p>
      <w:pPr>
        <w:spacing w:after="0" w:line="148" w:lineRule="exact"/>
        <w:rPr>
          <w:sz w:val="20"/>
          <w:szCs w:val="20"/>
          <w:color w:val="auto"/>
        </w:rPr>
      </w:pPr>
    </w:p>
    <w:p>
      <w:pPr>
        <w:ind w:left="780"/>
        <w:spacing w:after="0"/>
        <w:tabs>
          <w:tab w:leader="none" w:pos="1960" w:val="left"/>
        </w:tabs>
        <w:rPr>
          <w:sz w:val="20"/>
          <w:szCs w:val="20"/>
          <w:color w:val="auto"/>
        </w:rPr>
      </w:pPr>
      <w:r>
        <w:rPr>
          <w:rFonts w:ascii="Arial" w:cs="Arial" w:eastAsia="Arial" w:hAnsi="Arial"/>
          <w:sz w:val="14"/>
          <w:szCs w:val="14"/>
          <w:b w:val="1"/>
          <w:bCs w:val="1"/>
          <w:color w:val="auto"/>
        </w:rPr>
        <w:t>SECTION 3.</w:t>
      </w:r>
      <w:r>
        <w:rPr>
          <w:sz w:val="20"/>
          <w:szCs w:val="20"/>
          <w:color w:val="auto"/>
        </w:rPr>
        <w:tab/>
      </w:r>
      <w:r>
        <w:rPr>
          <w:rFonts w:ascii="Arial" w:cs="Arial" w:eastAsia="Arial" w:hAnsi="Arial"/>
          <w:sz w:val="14"/>
          <w:szCs w:val="14"/>
          <w:b w:val="1"/>
          <w:bCs w:val="1"/>
          <w:color w:val="auto"/>
        </w:rPr>
        <w:t>ELIGIBILITY AND PARTICIPATION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 Eligibility</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Any employee of the Company shall become a Participant as follows:</w:t>
      </w:r>
    </w:p>
    <w:p>
      <w:pPr>
        <w:spacing w:after="0" w:line="205" w:lineRule="exact"/>
        <w:rPr>
          <w:sz w:val="20"/>
          <w:szCs w:val="20"/>
          <w:color w:val="auto"/>
        </w:rPr>
      </w:pPr>
    </w:p>
    <w:p>
      <w:pPr>
        <w:jc w:val="both"/>
        <w:ind w:left="760" w:hanging="270"/>
        <w:spacing w:after="0" w:line="272" w:lineRule="auto"/>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benefits under Section 4.1, 4.2, 4.3 and 4.4, an employee in management salary grade or other employees as approved by the Committee, who participates in the ALLETE Executive Annual Incentive Plan or is eligible to receive an Other Award, shall be eligible to participate in this Plan beginning with the first calendar year in which such employee becomes eligible to receive Annual Incentive Awards or Other Awards.</w:t>
      </w:r>
    </w:p>
    <w:p>
      <w:pPr>
        <w:spacing w:after="0" w:line="16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50" w:name="page151"/>
    <w:bookmarkEnd w:id="150"/>
    <w:p>
      <w:pPr>
        <w:ind w:left="760"/>
        <w:spacing w:after="0"/>
        <w:rPr>
          <w:sz w:val="20"/>
          <w:szCs w:val="20"/>
          <w:color w:val="auto"/>
        </w:rPr>
      </w:pPr>
      <w:r>
        <w:rPr>
          <w:rFonts w:ascii="Arial" w:cs="Arial" w:eastAsia="Arial" w:hAnsi="Arial"/>
          <w:sz w:val="14"/>
          <w:szCs w:val="14"/>
          <w:color w:val="auto"/>
        </w:rPr>
        <w:t>The following conditions must also be satisfied:</w:t>
      </w:r>
    </w:p>
    <w:p>
      <w:pPr>
        <w:spacing w:after="0" w:line="205" w:lineRule="exact"/>
        <w:rPr>
          <w:sz w:val="20"/>
          <w:szCs w:val="20"/>
          <w:color w:val="auto"/>
        </w:rPr>
      </w:pPr>
    </w:p>
    <w:p>
      <w:pPr>
        <w:ind w:left="1280" w:hanging="149"/>
        <w:spacing w:after="0"/>
        <w:tabs>
          <w:tab w:leader="none" w:pos="12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Participant is in the employment of the Company on the last day of the calendar year;</w:t>
      </w:r>
    </w:p>
    <w:p>
      <w:pPr>
        <w:spacing w:after="0" w:line="205" w:lineRule="exact"/>
        <w:rPr>
          <w:rFonts w:ascii="Arial" w:cs="Arial" w:eastAsia="Arial" w:hAnsi="Arial"/>
          <w:sz w:val="14"/>
          <w:szCs w:val="14"/>
          <w:color w:val="auto"/>
        </w:rPr>
      </w:pPr>
    </w:p>
    <w:p>
      <w:pPr>
        <w:ind w:left="1280" w:hanging="189"/>
        <w:spacing w:after="0"/>
        <w:tabs>
          <w:tab w:leader="none" w:pos="12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Participant died while employed by the Company during such calendar year;</w:t>
      </w:r>
    </w:p>
    <w:p>
      <w:pPr>
        <w:spacing w:after="0" w:line="205" w:lineRule="exact"/>
        <w:rPr>
          <w:rFonts w:ascii="Arial" w:cs="Arial" w:eastAsia="Arial" w:hAnsi="Arial"/>
          <w:sz w:val="14"/>
          <w:szCs w:val="14"/>
          <w:color w:val="auto"/>
        </w:rPr>
      </w:pPr>
    </w:p>
    <w:p>
      <w:pPr>
        <w:ind w:left="1280" w:hanging="229"/>
        <w:spacing w:after="0"/>
        <w:tabs>
          <w:tab w:leader="none" w:pos="12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Participant Retired during such calendar year;</w:t>
      </w:r>
    </w:p>
    <w:p>
      <w:pPr>
        <w:spacing w:after="0" w:line="205" w:lineRule="exact"/>
        <w:rPr>
          <w:rFonts w:ascii="Arial" w:cs="Arial" w:eastAsia="Arial" w:hAnsi="Arial"/>
          <w:sz w:val="14"/>
          <w:szCs w:val="14"/>
          <w:color w:val="auto"/>
        </w:rPr>
      </w:pPr>
    </w:p>
    <w:p>
      <w:pPr>
        <w:ind w:left="1280" w:hanging="212"/>
        <w:spacing w:after="0"/>
        <w:tabs>
          <w:tab w:leader="none" w:pos="12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Participant is disabled and is receiving benefit payments under the Company’s Long-Term Disability Benefit Plan during such calendar year; or</w:t>
      </w:r>
    </w:p>
    <w:p>
      <w:pPr>
        <w:spacing w:after="0" w:line="205" w:lineRule="exact"/>
        <w:rPr>
          <w:rFonts w:ascii="Arial" w:cs="Arial" w:eastAsia="Arial" w:hAnsi="Arial"/>
          <w:sz w:val="14"/>
          <w:szCs w:val="14"/>
          <w:color w:val="auto"/>
        </w:rPr>
      </w:pPr>
    </w:p>
    <w:p>
      <w:pPr>
        <w:ind w:left="1280" w:hanging="172"/>
        <w:spacing w:after="0"/>
        <w:tabs>
          <w:tab w:leader="none" w:pos="12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Participant was on leave of absence at the close of such calendar year and received Compensation from the Company during such year.</w:t>
      </w:r>
    </w:p>
    <w:p>
      <w:pPr>
        <w:spacing w:after="0" w:line="205" w:lineRule="exact"/>
        <w:rPr>
          <w:rFonts w:ascii="Arial" w:cs="Arial" w:eastAsia="Arial" w:hAnsi="Arial"/>
          <w:sz w:val="14"/>
          <w:szCs w:val="14"/>
          <w:color w:val="auto"/>
        </w:rPr>
      </w:pPr>
    </w:p>
    <w:p>
      <w:pPr>
        <w:ind w:left="760" w:hanging="262"/>
        <w:spacing w:after="0" w:line="288" w:lineRule="auto"/>
        <w:tabs>
          <w:tab w:leader="none" w:pos="7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benefits under Section 4.5, senior executive employees are eligible as approved by the Company’s Board of Directors. Effective January 20, 2003, no additional employees are eligible for the benefits provided under Section 4.5.</w:t>
      </w:r>
    </w:p>
    <w:p>
      <w:pPr>
        <w:spacing w:after="0" w:line="152" w:lineRule="exact"/>
        <w:rPr>
          <w:rFonts w:ascii="Arial" w:cs="Arial" w:eastAsia="Arial" w:hAnsi="Arial"/>
          <w:sz w:val="14"/>
          <w:szCs w:val="14"/>
          <w:color w:val="auto"/>
        </w:rPr>
      </w:pPr>
    </w:p>
    <w:p>
      <w:pPr>
        <w:ind w:left="760" w:hanging="262"/>
        <w:spacing w:after="0"/>
        <w:tabs>
          <w:tab w:leader="none" w:pos="7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benefits under Section 4.6, employees who received an Annual Incentive Award or Other Awards while in ALLETE management salary grades SA – SM.</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 Participation</w:t>
      </w:r>
    </w:p>
    <w:p>
      <w:pPr>
        <w:spacing w:after="0" w:line="209" w:lineRule="exact"/>
        <w:rPr>
          <w:sz w:val="20"/>
          <w:szCs w:val="20"/>
          <w:color w:val="auto"/>
        </w:rPr>
      </w:pPr>
    </w:p>
    <w:p>
      <w:pPr>
        <w:jc w:val="both"/>
        <w:ind w:left="240"/>
        <w:spacing w:after="0" w:line="263" w:lineRule="auto"/>
        <w:rPr>
          <w:sz w:val="20"/>
          <w:szCs w:val="20"/>
          <w:color w:val="auto"/>
        </w:rPr>
      </w:pPr>
      <w:r>
        <w:rPr>
          <w:rFonts w:ascii="Arial" w:cs="Arial" w:eastAsia="Arial" w:hAnsi="Arial"/>
          <w:sz w:val="14"/>
          <w:szCs w:val="14"/>
          <w:color w:val="auto"/>
        </w:rPr>
        <w:t>An employee who becomes a Participant shall remain eligible to have an account in the Plan as a Participant hereunder, without regard to Compensation and Annual Incentive Awards or Other Awards received in subsequent years, until the last to occur of (i) the employee’s Retirement or termination from service for any reason or (ii) the date all benefits, if any, to which he or she is entitled hereunder have been distributed. Employees, who were former Participants, who become employed by an ALLETE wholly or partially owned company, shall not be considered as retired or terminated until such time as they become retired or terminated from the new company. If a Participant is employed by a subsidiary of the Company, and such subsidiary is no longer at least 50% owned by the Company, then such Participant will be considered to be terminated or Retired (as defined in Section 2.1(L)) on such date. Distribution of the Participant’s benefits under Sections 4.9, 4.10 or 4.13 shall occur as provided therein.</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2" w:right="219" w:bottom="1440" w:gutter="0" w:footer="0" w:header="0"/>
        </w:sectPr>
      </w:pPr>
    </w:p>
    <w:bookmarkStart w:id="151" w:name="page152"/>
    <w:bookmarkEnd w:id="151"/>
    <w:p>
      <w:pPr>
        <w:jc w:val="both"/>
        <w:ind w:left="240"/>
        <w:spacing w:after="0" w:line="243" w:lineRule="auto"/>
        <w:rPr>
          <w:sz w:val="20"/>
          <w:szCs w:val="20"/>
          <w:color w:val="auto"/>
        </w:rPr>
      </w:pPr>
      <w:r>
        <w:rPr>
          <w:rFonts w:ascii="Arial" w:cs="Arial" w:eastAsia="Arial" w:hAnsi="Arial"/>
          <w:sz w:val="14"/>
          <w:szCs w:val="14"/>
          <w:color w:val="auto"/>
        </w:rPr>
        <w:t>Notwithstanding the preceding sentence of this Paragraph, in the event that a Participant is employed by a subisidary of the Company which is distributed to shareholders through a stock spin off to shareholders of ALLETE, then the Participant will not be considered to be terminated or Retired (as defined in Section 2.1(L)) for purposes of Section 4.9, 4.10 or 4.13 until their employment at such distributed company terminates for any reason, including Retirement. For purposes of Section 4.6, the Participant will be considered Retired (as set forth in Section 2.1(L)) if the Participant continues employment at such distributed company until the Participant’s 50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birthday. Any employment period, salary or other amount earned while employed at such distributed company, however, will not be included in the calculation of the benefit provided under Section 4.6.</w:t>
      </w:r>
    </w:p>
    <w:p>
      <w:pPr>
        <w:spacing w:after="0" w:line="182"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An employee who was a Participant, but is not currently eligible for benefits under Sections 4.1, 4.2, 4.3, 4.4, and 4.5, will not receive account additions as described herein. However, the employee may be eligible for benefits under Section 4.6 if they qualify under the terms provided in that Section.</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An employee who is a Participant who dies prior to Retirement is no longer entitled to the benefit described under Section 4.6.</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 No Guarantee of Employment</w:t>
      </w:r>
    </w:p>
    <w:p>
      <w:pPr>
        <w:spacing w:after="0" w:line="209"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Participation in the Plan does not constitute a guarantee or contract of employment with the Company. Such participation shall in no way interfere with any rights the Company would have in the absence of such participation to determine the duration of the employee’s employment with the Company.</w:t>
      </w:r>
    </w:p>
    <w:p>
      <w:pPr>
        <w:spacing w:after="0" w:line="140"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6"/>
          <w:szCs w:val="16"/>
          <w:b w:val="1"/>
          <w:bCs w:val="1"/>
          <w:color w:val="auto"/>
        </w:rPr>
        <w:t>BENEFITS</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3" w:right="2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b w:val="1"/>
          <w:bCs w:val="1"/>
          <w:color w:val="auto"/>
        </w:rPr>
        <w:t>4.1 Annual Makeup Award</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each calendar year ending on or after December 31, 1980, and except as hereinafter specifically provided in this Section 4, the Company shall credit each Participant who qualifies:</w:t>
      </w:r>
    </w:p>
    <w:p>
      <w:pPr>
        <w:spacing w:after="0" w:line="213" w:lineRule="exact"/>
        <w:rPr>
          <w:sz w:val="20"/>
          <w:szCs w:val="20"/>
          <w:color w:val="auto"/>
        </w:rPr>
      </w:pPr>
    </w:p>
    <w:p>
      <w:pPr>
        <w:jc w:val="both"/>
        <w:ind w:left="760" w:hanging="270"/>
        <w:spacing w:after="0" w:line="269" w:lineRule="auto"/>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 xml:space="preserve">Flexible Dollar Makeup. </w:t>
      </w:r>
      <w:r>
        <w:rPr>
          <w:rFonts w:ascii="Arial" w:cs="Arial" w:eastAsia="Arial" w:hAnsi="Arial"/>
          <w:sz w:val="14"/>
          <w:szCs w:val="14"/>
          <w:color w:val="auto"/>
        </w:rPr>
        <w:t>An amount equal to the sum of (a) 2% plus (b) the Participant’s life insurance percentage under the Minnesota Power and Affiliated Companies Flexible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Program for nonunion employees, multiplied by the following: (i) the total of the Participant’s Annual Incentive Award and Other Awards for such year, plus (ii) any amount of the Participant’s annual Pay not included in calculating benefits under the Minnesota Power and Affiliated Companies Flexible Compensation Program for nonunion employees for such year due to limitations under Internal Revenue Service (IRS) Code Section 404(l).</w:t>
      </w:r>
    </w:p>
    <w:p>
      <w:pPr>
        <w:spacing w:after="0" w:line="161" w:lineRule="exact"/>
        <w:rPr>
          <w:rFonts w:ascii="Arial" w:cs="Arial" w:eastAsia="Arial" w:hAnsi="Arial"/>
          <w:sz w:val="14"/>
          <w:szCs w:val="14"/>
          <w:color w:val="auto"/>
        </w:rPr>
      </w:pPr>
    </w:p>
    <w:p>
      <w:pPr>
        <w:ind w:left="760" w:hanging="262"/>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 xml:space="preserve">RSOP Allocation Makeup. </w:t>
      </w:r>
      <w:r>
        <w:rPr>
          <w:rFonts w:ascii="Arial" w:cs="Arial" w:eastAsia="Arial" w:hAnsi="Arial"/>
          <w:sz w:val="14"/>
          <w:szCs w:val="14"/>
          <w:color w:val="auto"/>
        </w:rPr>
        <w:t>An amount equal to the applicable Partnership allocation percent being contributed under Section 4.4(c) of the RSOP of the following:</w:t>
      </w:r>
    </w:p>
    <w:p>
      <w:pPr>
        <w:spacing w:after="0" w:line="209" w:lineRule="exact"/>
        <w:rPr>
          <w:rFonts w:ascii="Arial" w:cs="Arial" w:eastAsia="Arial" w:hAnsi="Arial"/>
          <w:sz w:val="14"/>
          <w:szCs w:val="14"/>
          <w:color w:val="auto"/>
        </w:rPr>
      </w:pPr>
    </w:p>
    <w:p>
      <w:pPr>
        <w:ind w:left="1280" w:hanging="233"/>
        <w:spacing w:after="0"/>
        <w:tabs>
          <w:tab w:leader="none" w:pos="1280" w:val="left"/>
        </w:tabs>
        <w:numPr>
          <w:ilvl w:val="1"/>
          <w:numId w:val="68"/>
        </w:numPr>
        <w:rPr>
          <w:rFonts w:ascii="Arial" w:cs="Arial" w:eastAsia="Arial" w:hAnsi="Arial"/>
          <w:sz w:val="14"/>
          <w:szCs w:val="14"/>
          <w:color w:val="auto"/>
        </w:rPr>
      </w:pPr>
      <w:r>
        <w:rPr>
          <w:rFonts w:ascii="Arial" w:cs="Arial" w:eastAsia="Arial" w:hAnsi="Arial"/>
          <w:sz w:val="14"/>
          <w:szCs w:val="14"/>
          <w:color w:val="auto"/>
        </w:rPr>
        <w:t>the total of the Participant’s Annual Incentive Award and Other Award for such year, plus</w:t>
      </w:r>
    </w:p>
    <w:p>
      <w:pPr>
        <w:spacing w:after="0" w:line="205" w:lineRule="exact"/>
        <w:rPr>
          <w:rFonts w:ascii="Arial" w:cs="Arial" w:eastAsia="Arial" w:hAnsi="Arial"/>
          <w:sz w:val="14"/>
          <w:szCs w:val="14"/>
          <w:color w:val="auto"/>
        </w:rPr>
      </w:pPr>
    </w:p>
    <w:p>
      <w:pPr>
        <w:ind w:left="1280" w:hanging="241"/>
        <w:spacing w:after="0"/>
        <w:tabs>
          <w:tab w:leader="none" w:pos="1280" w:val="left"/>
        </w:tabs>
        <w:numPr>
          <w:ilvl w:val="1"/>
          <w:numId w:val="68"/>
        </w:numPr>
        <w:rPr>
          <w:rFonts w:ascii="Arial" w:cs="Arial" w:eastAsia="Arial" w:hAnsi="Arial"/>
          <w:sz w:val="14"/>
          <w:szCs w:val="14"/>
          <w:color w:val="auto"/>
        </w:rPr>
      </w:pPr>
      <w:r>
        <w:rPr>
          <w:rFonts w:ascii="Arial" w:cs="Arial" w:eastAsia="Arial" w:hAnsi="Arial"/>
          <w:sz w:val="14"/>
          <w:szCs w:val="14"/>
          <w:color w:val="auto"/>
        </w:rPr>
        <w:t>the amount of the Participant’s Compensation not included in calculating benefits under the RSOP due to limitations under IRS Code Section 404(l).</w:t>
      </w:r>
    </w:p>
    <w:p>
      <w:pPr>
        <w:spacing w:after="0" w:line="205" w:lineRule="exact"/>
        <w:rPr>
          <w:sz w:val="20"/>
          <w:szCs w:val="20"/>
          <w:color w:val="auto"/>
        </w:rPr>
      </w:pPr>
    </w:p>
    <w:p>
      <w:pPr>
        <w:ind w:left="240"/>
        <w:spacing w:after="0" w:line="328" w:lineRule="auto"/>
        <w:rPr>
          <w:sz w:val="20"/>
          <w:szCs w:val="20"/>
          <w:color w:val="auto"/>
        </w:rPr>
      </w:pPr>
      <w:r>
        <w:rPr>
          <w:rFonts w:ascii="Arial" w:cs="Arial" w:eastAsia="Arial" w:hAnsi="Arial"/>
          <w:sz w:val="13"/>
          <w:szCs w:val="13"/>
          <w:color w:val="auto"/>
        </w:rPr>
        <w:t>If a Participant transfers to an ineligible status, dies or Retires during the year, this calculation will be based on the full Annual Incentive Award and Other Award. If a Participant’s annual Pay exceeds that amount allowed under IRS qualified plan’s compensation limit, the amount of Participant’s annual Pay will be prorated for the number of months in an eligible status.</w:t>
      </w:r>
    </w:p>
    <w:p>
      <w:pPr>
        <w:spacing w:after="0" w:line="13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298" w:right="219" w:bottom="1440" w:gutter="0" w:footer="0" w:header="0"/>
        </w:sectPr>
      </w:pPr>
    </w:p>
    <w:bookmarkStart w:id="153" w:name="page154"/>
    <w:bookmarkEnd w:id="153"/>
    <w:p>
      <w:pPr>
        <w:jc w:val="both"/>
        <w:ind w:left="760" w:hanging="262"/>
        <w:spacing w:after="0" w:line="269" w:lineRule="auto"/>
        <w:tabs>
          <w:tab w:leader="none" w:pos="760"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RSOP Match Allocation Makeup</w:t>
      </w:r>
      <w:r>
        <w:rPr>
          <w:rFonts w:ascii="Arial" w:cs="Arial" w:eastAsia="Arial" w:hAnsi="Arial"/>
          <w:sz w:val="14"/>
          <w:szCs w:val="14"/>
          <w:color w:val="auto"/>
        </w:rPr>
        <w:t>. An amount equal to 50% of the amount deferred by the Participant under Section 4.2 of this Plan plus any amount deferred under Section 5.1 of</w:t>
      </w:r>
      <w:r>
        <w:rPr>
          <w:rFonts w:ascii="Arial" w:cs="Arial" w:eastAsia="Arial" w:hAnsi="Arial"/>
          <w:sz w:val="14"/>
          <w:szCs w:val="14"/>
          <w:b w:val="1"/>
          <w:bCs w:val="1"/>
          <w:color w:val="auto"/>
        </w:rPr>
        <w:t xml:space="preserve"> </w:t>
      </w:r>
      <w:r>
        <w:rPr>
          <w:rFonts w:ascii="Arial" w:cs="Arial" w:eastAsia="Arial" w:hAnsi="Arial"/>
          <w:sz w:val="14"/>
          <w:szCs w:val="14"/>
          <w:color w:val="auto"/>
        </w:rPr>
        <w:t>the RSOP, provided, however, that for any calendar year, such match shall not apply to any amount deferred by a Participant in excess of the amount specified in Subsection 4.4(e) of the RSOP of the Participant’s Compensation plus Annual Incentive Award and Other Award. Such amount shall be reduced by any amount being contributed by the Company under Subsection 4.4(e) of the RSOP.</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 Salary Deferral</w:t>
      </w:r>
    </w:p>
    <w:p>
      <w:pPr>
        <w:spacing w:after="0" w:line="209" w:lineRule="exact"/>
        <w:rPr>
          <w:sz w:val="20"/>
          <w:szCs w:val="20"/>
          <w:color w:val="auto"/>
        </w:rPr>
      </w:pPr>
    </w:p>
    <w:p>
      <w:pPr>
        <w:jc w:val="both"/>
        <w:ind w:left="240"/>
        <w:spacing w:after="0" w:line="267" w:lineRule="auto"/>
        <w:rPr>
          <w:sz w:val="20"/>
          <w:szCs w:val="20"/>
          <w:color w:val="auto"/>
        </w:rPr>
      </w:pPr>
      <w:r>
        <w:rPr>
          <w:rFonts w:ascii="Arial" w:cs="Arial" w:eastAsia="Arial" w:hAnsi="Arial"/>
          <w:sz w:val="14"/>
          <w:szCs w:val="14"/>
          <w:color w:val="auto"/>
        </w:rPr>
        <w:t>Effective through December 31, 2002, the Company shall credit each Participant who qualifies an amount equal to the amount for which a Participant has elected to reduce his or her annual salary pursuant to a Supplemental Salary Reduction Agreement, not to exceed 25% of the Participant’s annual salary less the amount allowable to be deferred under the RSOP. Effective January 1, 2003, the Company shall credit each Participant who qualifies an amount equal to the amount for which a Participant has elected to reduce his or her annual salary pursuant to a Supplemental Salary Reduction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4.3 Bonus Deferral</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shall credit each Participant who qualifies an amount equal to the amount for which a Participant has elected to defer his or her Annual Incentive Award or Other Award.</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 Severance Deferral</w:t>
      </w:r>
    </w:p>
    <w:p>
      <w:pPr>
        <w:spacing w:after="0" w:line="209"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The Company shall credit each Participant who qualifies an amount equal to the amount for which a Participant has elected to defer his or her severance benefit as approved for deferral by the Committee.</w:t>
      </w:r>
    </w:p>
    <w:p>
      <w:pPr>
        <w:spacing w:after="0" w:line="15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b w:val="1"/>
          <w:bCs w:val="1"/>
          <w:color w:val="auto"/>
        </w:rPr>
        <w:t>4.5 Non-Qualified Stock Option Gain Deferral</w:t>
      </w:r>
    </w:p>
    <w:p>
      <w:pPr>
        <w:spacing w:after="0" w:line="209" w:lineRule="exact"/>
        <w:rPr>
          <w:sz w:val="20"/>
          <w:szCs w:val="20"/>
          <w:color w:val="auto"/>
        </w:rPr>
      </w:pPr>
    </w:p>
    <w:p>
      <w:pPr>
        <w:jc w:val="both"/>
        <w:ind w:left="240"/>
        <w:spacing w:after="0" w:line="272" w:lineRule="auto"/>
        <w:rPr>
          <w:sz w:val="20"/>
          <w:szCs w:val="20"/>
          <w:color w:val="auto"/>
        </w:rPr>
      </w:pPr>
      <w:r>
        <w:rPr>
          <w:rFonts w:ascii="Arial" w:cs="Arial" w:eastAsia="Arial" w:hAnsi="Arial"/>
          <w:sz w:val="14"/>
          <w:szCs w:val="14"/>
          <w:color w:val="auto"/>
        </w:rPr>
        <w:t>Effective July 1, 1999 through January 20, 2003, the Company shall credit each Participant who qualifies an amount, equal to the amount for which a Participant has elected to defer receipt of his or her shares of ALLETE stock acquired through an Ownership Retention Option Program provided in the Long Term Incentive Compensation Plan and pursuant to the Stock Option Gain Shares Deferral Election.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 Retirement Benefit</w:t>
      </w:r>
    </w:p>
    <w:p>
      <w:pPr>
        <w:spacing w:after="0" w:line="209"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At the Retirement of a Participant, the Company shall credit each Participant who qualifies under Subsection 3.1(C) with a Retirement Benefit. The Retirement Benefit shall be calculated as follows:</w:t>
      </w:r>
    </w:p>
    <w:p>
      <w:pPr>
        <w:spacing w:after="0" w:line="152" w:lineRule="exact"/>
        <w:rPr>
          <w:sz w:val="20"/>
          <w:szCs w:val="20"/>
          <w:color w:val="auto"/>
        </w:rPr>
      </w:pPr>
    </w:p>
    <w:p>
      <w:pPr>
        <w:ind w:left="760" w:hanging="270"/>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monthly Retirement Benefit that would be provided by Retirement Plan A if:</w:t>
      </w:r>
    </w:p>
    <w:p>
      <w:pPr>
        <w:spacing w:after="0" w:line="205" w:lineRule="exact"/>
        <w:rPr>
          <w:rFonts w:ascii="Arial" w:cs="Arial" w:eastAsia="Arial" w:hAnsi="Arial"/>
          <w:sz w:val="14"/>
          <w:szCs w:val="14"/>
          <w:color w:val="auto"/>
        </w:rPr>
      </w:pPr>
    </w:p>
    <w:p>
      <w:pPr>
        <w:ind w:left="1280" w:hanging="241"/>
        <w:spacing w:after="0" w:line="288" w:lineRule="auto"/>
        <w:tabs>
          <w:tab w:leader="none" w:pos="12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any annual salary limitation in calculating benefits under Retirement Plan A due to the limitation imposed by any provision of the Code Section 404(l) did not exist, and the limitation on annual benefits contained in Code Section 415 did not exist.</w:t>
      </w:r>
    </w:p>
    <w:p>
      <w:pPr>
        <w:spacing w:after="0" w:line="152" w:lineRule="exact"/>
        <w:rPr>
          <w:rFonts w:ascii="Arial" w:cs="Arial" w:eastAsia="Arial" w:hAnsi="Arial"/>
          <w:sz w:val="14"/>
          <w:szCs w:val="14"/>
          <w:color w:val="auto"/>
        </w:rPr>
      </w:pPr>
    </w:p>
    <w:p>
      <w:pPr>
        <w:jc w:val="both"/>
        <w:ind w:left="1280" w:hanging="241"/>
        <w:spacing w:after="0" w:line="294" w:lineRule="auto"/>
        <w:tabs>
          <w:tab w:leader="none" w:pos="1280" w:val="left"/>
        </w:tabs>
        <w:numPr>
          <w:ilvl w:val="1"/>
          <w:numId w:val="70"/>
        </w:numPr>
        <w:rPr>
          <w:rFonts w:ascii="Arial" w:cs="Arial" w:eastAsia="Arial" w:hAnsi="Arial"/>
          <w:sz w:val="13"/>
          <w:szCs w:val="13"/>
          <w:color w:val="auto"/>
        </w:rPr>
      </w:pPr>
      <w:r>
        <w:rPr>
          <w:rFonts w:ascii="Arial" w:cs="Arial" w:eastAsia="Arial" w:hAnsi="Arial"/>
          <w:sz w:val="13"/>
          <w:szCs w:val="13"/>
          <w:color w:val="auto"/>
        </w:rPr>
        <w:t>Effective through December 31, 2003, the largest sum of four Annual Incentive Awards and Other Awards plus Results Sharing (if any) during any consecutive 48-month period in the most recent 15-year period had been added to the final average earning calculation in Subsection 2.1(q) of Retirement Plan A and such calculation was then reduced by any Results Sharing and Other Awards included in the calculation of final average earnings in Subsection 2.1(q) of Retirement Plan A. The periods covering final average earnings and the four consecutive Annual Incentive Awards and Other Awards plus Results Sharing need not cover the same 48-month period.</w:t>
      </w:r>
    </w:p>
    <w:p>
      <w:pPr>
        <w:spacing w:after="0" w:line="151" w:lineRule="exact"/>
        <w:rPr>
          <w:rFonts w:ascii="Arial" w:cs="Arial" w:eastAsia="Arial" w:hAnsi="Arial"/>
          <w:sz w:val="13"/>
          <w:szCs w:val="13"/>
          <w:color w:val="auto"/>
        </w:rPr>
      </w:pPr>
    </w:p>
    <w:p>
      <w:pPr>
        <w:jc w:val="both"/>
        <w:ind w:left="1280"/>
        <w:spacing w:after="0" w:line="267" w:lineRule="auto"/>
        <w:rPr>
          <w:rFonts w:ascii="Arial" w:cs="Arial" w:eastAsia="Arial" w:hAnsi="Arial"/>
          <w:sz w:val="13"/>
          <w:szCs w:val="13"/>
          <w:color w:val="auto"/>
        </w:rPr>
      </w:pPr>
      <w:r>
        <w:rPr>
          <w:rFonts w:ascii="Arial" w:cs="Arial" w:eastAsia="Arial" w:hAnsi="Arial"/>
          <w:sz w:val="14"/>
          <w:szCs w:val="14"/>
          <w:color w:val="auto"/>
        </w:rPr>
        <w:t>Effective January 1, 2004, the largest sum of four Annual Incentive Awards or Other Awards (if any) during any consecutive 48-month period in the most recent 15-year period had been added to the total of the final average earning computation in Subsection 2.1(q) of Retirement Plan A. The periods covering final average earnings and the four consecutive Annual Incentive Awards and/or Other Awards need not cover the same 48-month period. Notwithstanding the foregoing, any Other Award(s) included in Retirement Plan A final average earnings, shall be reduced from the amount herein.</w:t>
      </w:r>
    </w:p>
    <w:p>
      <w:pPr>
        <w:spacing w:after="0" w:line="167"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55" w:name="page156"/>
    <w:bookmarkEnd w:id="155"/>
    <w:p>
      <w:pPr>
        <w:ind w:left="760" w:hanging="262"/>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Less the actual monthly retirement benefit provided by Retirement Plan A.</w:t>
      </w:r>
    </w:p>
    <w:p>
      <w:pPr>
        <w:spacing w:after="0" w:line="205" w:lineRule="exact"/>
        <w:rPr>
          <w:rFonts w:ascii="Arial" w:cs="Arial" w:eastAsia="Arial" w:hAnsi="Arial"/>
          <w:sz w:val="14"/>
          <w:szCs w:val="14"/>
          <w:color w:val="auto"/>
        </w:rPr>
      </w:pPr>
    </w:p>
    <w:p>
      <w:pPr>
        <w:jc w:val="both"/>
        <w:ind w:left="760" w:hanging="262"/>
        <w:spacing w:after="0" w:line="263" w:lineRule="auto"/>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To determine the amount to be credited to the Participants, the resulting difference of (A) less (B) (provided the difference is greater than zero) is multiplied by 12, and the result is multiplied by a factor. Such factor is calculated by first determining a 60% joint and survivor benefit using the respective employee and spouse ages; second, by adjusting for cost of living as described in Section 4.8 of Retirement Plan A and each of the components is multiplied by 50% and the results are added together. The change in the consumer price index shall be assumed to change after the Participant’s Retirement at the same average annual rate as the change in the consumer price index for the five-year period ending on the later of the June 30 or the December 31 immediately preceding Retirement. The interest rate to be used in determining the present value and the monthly annuity shall be an annual percentage rate of 8% or such other rate as determined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4.7 Benefit Allocations and Maintenance of Accounts</w:t>
      </w:r>
    </w:p>
    <w:p>
      <w:pPr>
        <w:spacing w:after="0" w:line="209" w:lineRule="exact"/>
        <w:rPr>
          <w:sz w:val="20"/>
          <w:szCs w:val="20"/>
          <w:color w:val="auto"/>
        </w:rPr>
      </w:pPr>
    </w:p>
    <w:p>
      <w:pPr>
        <w:ind w:left="5380" w:right="1700" w:hanging="4890"/>
        <w:spacing w:after="0" w:line="577" w:lineRule="auto"/>
        <w:tabs>
          <w:tab w:leader="none" w:pos="759"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specified in Sections 4.1 and 4.3 shall be allocated to the Participant as soon as administratively practicable after the end of the Plan Year.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-90170</wp:posOffset>
            </wp:positionV>
            <wp:extent cx="728027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7" w:right="219" w:bottom="1440" w:gutter="0" w:footer="0" w:header="0"/>
        </w:sectPr>
      </w:pPr>
    </w:p>
    <w:bookmarkStart w:id="156" w:name="page157"/>
    <w:bookmarkEnd w:id="156"/>
    <w:p>
      <w:pPr>
        <w:ind w:left="760" w:hanging="262"/>
        <w:spacing w:after="0" w:line="288" w:lineRule="auto"/>
        <w:tabs>
          <w:tab w:leader="none" w:pos="7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specified in Sections 4.2, 4.4 and 4.5 shall be allocated as soon as administratively practicable, but no later than the month following the end of the month in which the benefit was earned by the Participant.</w:t>
      </w:r>
    </w:p>
    <w:p>
      <w:pPr>
        <w:spacing w:after="0" w:line="152" w:lineRule="exact"/>
        <w:rPr>
          <w:rFonts w:ascii="Arial" w:cs="Arial" w:eastAsia="Arial" w:hAnsi="Arial"/>
          <w:sz w:val="14"/>
          <w:szCs w:val="14"/>
          <w:color w:val="auto"/>
        </w:rPr>
      </w:pPr>
    </w:p>
    <w:p>
      <w:pPr>
        <w:jc w:val="both"/>
        <w:ind w:left="760" w:hanging="262"/>
        <w:spacing w:after="0" w:line="294" w:lineRule="auto"/>
        <w:tabs>
          <w:tab w:leader="none" w:pos="7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Company shall establish and maintain, in the name of each Participant, an individual account to be known as the Executive Deferral Account (herein referred to as “EDA” or “Account”). The Committee shall determine the investment funds (known as Investment Funds) available under the Plan and may add or delete Investment Funds from time to time. Account contributions under Sections 4.1, 4.2, 4.3, and 4.4 may be credited in the same manner as if actually invested in the manner identified by the Participant’s election among Investment Funds as directed by the Participant. Account additions under Section 4.5 shall be credited to the Participant’s Deferred Stock Unit account within the EDA.</w:t>
      </w:r>
    </w:p>
    <w:p>
      <w:pPr>
        <w:spacing w:after="0" w:line="151" w:lineRule="exact"/>
        <w:rPr>
          <w:rFonts w:ascii="Arial" w:cs="Arial" w:eastAsia="Arial" w:hAnsi="Arial"/>
          <w:sz w:val="13"/>
          <w:szCs w:val="13"/>
          <w:color w:val="auto"/>
        </w:rPr>
      </w:pPr>
    </w:p>
    <w:p>
      <w:pPr>
        <w:ind w:left="760"/>
        <w:spacing w:after="0" w:line="288" w:lineRule="auto"/>
        <w:rPr>
          <w:rFonts w:ascii="Arial" w:cs="Arial" w:eastAsia="Arial" w:hAnsi="Arial"/>
          <w:sz w:val="13"/>
          <w:szCs w:val="13"/>
          <w:color w:val="auto"/>
        </w:rPr>
      </w:pPr>
      <w:r>
        <w:rPr>
          <w:rFonts w:ascii="Arial" w:cs="Arial" w:eastAsia="Arial" w:hAnsi="Arial"/>
          <w:sz w:val="14"/>
          <w:szCs w:val="14"/>
          <w:color w:val="auto"/>
        </w:rPr>
        <w:t>As of each Valuation Date, each Account shall be adjusted to reflect the effect of investment gains or losses, income contributions, distributions, transfers and all other transactions with respect to that Account since the previous Valuation Date.</w:t>
      </w:r>
    </w:p>
    <w:p>
      <w:pPr>
        <w:spacing w:after="0" w:line="152" w:lineRule="exact"/>
        <w:rPr>
          <w:rFonts w:ascii="Arial" w:cs="Arial" w:eastAsia="Arial" w:hAnsi="Arial"/>
          <w:sz w:val="13"/>
          <w:szCs w:val="13"/>
          <w:color w:val="auto"/>
        </w:rPr>
      </w:pPr>
    </w:p>
    <w:p>
      <w:pPr>
        <w:jc w:val="both"/>
        <w:ind w:left="760" w:hanging="270"/>
        <w:spacing w:after="0" w:line="272" w:lineRule="auto"/>
        <w:tabs>
          <w:tab w:leader="none" w:pos="7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Account of each Participant shall be entered on the books of the Company and shall represent a liability, payable when due under this Plan, out of the general assets of the Company. Prior to benefits becoming due hereunder, the Company shall expense the liability for payment of such accounts in accordance with policies determined appropriate by the Company’s auditors.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 Date of Benefit Commencement</w:t>
      </w:r>
    </w:p>
    <w:p>
      <w:pPr>
        <w:spacing w:after="0" w:line="209" w:lineRule="exact"/>
        <w:rPr>
          <w:sz w:val="20"/>
          <w:szCs w:val="20"/>
          <w:color w:val="auto"/>
        </w:rPr>
      </w:pPr>
    </w:p>
    <w:p>
      <w:pPr>
        <w:ind w:left="760" w:hanging="270"/>
        <w:spacing w:after="0"/>
        <w:tabs>
          <w:tab w:leader="none" w:pos="7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Executive Deferal Account Election</w:t>
      </w:r>
    </w:p>
    <w:p>
      <w:pPr>
        <w:spacing w:after="0" w:line="205" w:lineRule="exact"/>
        <w:rPr>
          <w:rFonts w:ascii="Arial" w:cs="Arial" w:eastAsia="Arial" w:hAnsi="Arial"/>
          <w:sz w:val="14"/>
          <w:szCs w:val="14"/>
          <w:color w:val="auto"/>
        </w:rPr>
      </w:pPr>
    </w:p>
    <w:p>
      <w:pPr>
        <w:jc w:val="both"/>
        <w:ind w:left="1280" w:hanging="241"/>
        <w:spacing w:after="0" w:line="264" w:lineRule="auto"/>
        <w:tabs>
          <w:tab w:leader="none" w:pos="1280" w:val="left"/>
        </w:tabs>
        <w:numPr>
          <w:ilvl w:val="1"/>
          <w:numId w:val="74"/>
        </w:numPr>
        <w:rPr>
          <w:rFonts w:ascii="Arial" w:cs="Arial" w:eastAsia="Arial" w:hAnsi="Arial"/>
          <w:sz w:val="14"/>
          <w:szCs w:val="14"/>
          <w:color w:val="auto"/>
        </w:rPr>
      </w:pPr>
      <w:r>
        <w:rPr>
          <w:rFonts w:ascii="Arial" w:cs="Arial" w:eastAsia="Arial" w:hAnsi="Arial"/>
          <w:sz w:val="14"/>
          <w:szCs w:val="14"/>
          <w:color w:val="auto"/>
        </w:rPr>
        <w:t>All amounts credited to a Participant’s Account under Section 4.1, 4.2, 4.3, 4.4, and Deferred Stock Units under Section 4.5, shall be distributed pursuant to an election submitted by the Participant. Elections under this 4.8 must be made in writing to the Committee prior to the end of the calendar year preceding the year in which benefits are earned. Participants who become eligible during the Plan Year shall make their election upon becoming eligible. If no election has been received herein, or the Participant Retires or dies prior to the benefit allocation, the allocation for such Plan Year shall be paid in cash. If a Participant transfers to an ineligible status during the calendar year, any such award specified in Section 4.1 and or 4.3 shall be paid in cash.</w:t>
      </w:r>
    </w:p>
    <w:p>
      <w:pPr>
        <w:spacing w:after="0" w:line="36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3" w:right="219" w:bottom="1440" w:gutter="0" w:footer="0" w:header="0"/>
        </w:sectPr>
      </w:pPr>
    </w:p>
    <w:bookmarkStart w:id="157" w:name="page158"/>
    <w:bookmarkEnd w:id="157"/>
    <w:p>
      <w:pPr>
        <w:ind w:left="340"/>
        <w:spacing w:after="0" w:line="288" w:lineRule="auto"/>
        <w:rPr>
          <w:sz w:val="20"/>
          <w:szCs w:val="20"/>
          <w:color w:val="auto"/>
        </w:rPr>
      </w:pPr>
      <w:r>
        <w:rPr>
          <w:rFonts w:ascii="Arial" w:cs="Arial" w:eastAsia="Arial" w:hAnsi="Arial"/>
          <w:sz w:val="14"/>
          <w:szCs w:val="14"/>
          <w:color w:val="auto"/>
        </w:rPr>
        <w:t>Each Participant shall have the right to elect to have all or any portion of the benefit amounts allocated to said Participant for a calendar year paid under one of the following options:</w:t>
      </w:r>
    </w:p>
    <w:p>
      <w:pPr>
        <w:spacing w:after="0" w:line="152" w:lineRule="exact"/>
        <w:rPr>
          <w:sz w:val="20"/>
          <w:szCs w:val="20"/>
          <w:color w:val="auto"/>
        </w:rPr>
      </w:pPr>
    </w:p>
    <w:p>
      <w:pPr>
        <w:ind w:left="860" w:hanging="236"/>
        <w:spacing w:after="0"/>
        <w:tabs>
          <w:tab w:leader="none" w:pos="8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cash (either partially or totally);</w:t>
      </w:r>
    </w:p>
    <w:p>
      <w:pPr>
        <w:spacing w:after="0" w:line="205" w:lineRule="exact"/>
        <w:rPr>
          <w:rFonts w:ascii="Arial" w:cs="Arial" w:eastAsia="Arial" w:hAnsi="Arial"/>
          <w:sz w:val="14"/>
          <w:szCs w:val="14"/>
          <w:color w:val="auto"/>
        </w:rPr>
      </w:pPr>
    </w:p>
    <w:p>
      <w:pPr>
        <w:ind w:left="860" w:hanging="244"/>
        <w:spacing w:after="0" w:line="288" w:lineRule="auto"/>
        <w:tabs>
          <w:tab w:leader="none" w:pos="8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deferred to a date specified by the Participant (at which time such benefit amounts shall be paid as a lump sum, with the latest deferral date to be no later than April 1 following a Participant attaining age 70 ½); or</w:t>
      </w:r>
    </w:p>
    <w:p>
      <w:pPr>
        <w:spacing w:after="0" w:line="152" w:lineRule="exact"/>
        <w:rPr>
          <w:rFonts w:ascii="Arial" w:cs="Arial" w:eastAsia="Arial" w:hAnsi="Arial"/>
          <w:sz w:val="14"/>
          <w:szCs w:val="14"/>
          <w:color w:val="auto"/>
        </w:rPr>
      </w:pPr>
    </w:p>
    <w:p>
      <w:pPr>
        <w:ind w:left="860" w:hanging="236"/>
        <w:spacing w:after="0"/>
        <w:tabs>
          <w:tab w:leader="none" w:pos="8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deferred to the earlier to occur of the following events:</w:t>
      </w:r>
    </w:p>
    <w:p>
      <w:pPr>
        <w:spacing w:after="0" w:line="205" w:lineRule="exact"/>
        <w:rPr>
          <w:rFonts w:ascii="Arial" w:cs="Arial" w:eastAsia="Arial" w:hAnsi="Arial"/>
          <w:sz w:val="14"/>
          <w:szCs w:val="14"/>
          <w:color w:val="auto"/>
        </w:rPr>
      </w:pPr>
    </w:p>
    <w:p>
      <w:pPr>
        <w:ind w:left="1380" w:hanging="215"/>
        <w:spacing w:after="0" w:line="288" w:lineRule="auto"/>
        <w:tabs>
          <w:tab w:leader="none" w:pos="13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Retirement or at the time when a disabled Participant is no longer eligible to receive benefits under the applicable employer’s long-term disability benefit plan or, if elected, up to five years after Retirement but in no event later than April 1 following a Participant attaining age 70 ½.</w:t>
      </w:r>
    </w:p>
    <w:p>
      <w:pPr>
        <w:spacing w:after="0" w:line="152" w:lineRule="exact"/>
        <w:rPr>
          <w:rFonts w:ascii="Arial" w:cs="Arial" w:eastAsia="Arial" w:hAnsi="Arial"/>
          <w:sz w:val="14"/>
          <w:szCs w:val="14"/>
          <w:color w:val="auto"/>
        </w:rPr>
      </w:pPr>
    </w:p>
    <w:p>
      <w:pPr>
        <w:ind w:left="1380" w:hanging="255"/>
        <w:spacing w:after="0"/>
        <w:tabs>
          <w:tab w:leader="none" w:pos="13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Death of the Participant.</w:t>
      </w:r>
    </w:p>
    <w:p>
      <w:pPr>
        <w:spacing w:after="0" w:line="205" w:lineRule="exact"/>
        <w:rPr>
          <w:rFonts w:ascii="Arial" w:cs="Arial" w:eastAsia="Arial" w:hAnsi="Arial"/>
          <w:sz w:val="14"/>
          <w:szCs w:val="14"/>
          <w:color w:val="auto"/>
        </w:rPr>
      </w:pPr>
    </w:p>
    <w:p>
      <w:pPr>
        <w:ind w:left="1380" w:hanging="294"/>
        <w:spacing w:after="0"/>
        <w:tabs>
          <w:tab w:leader="none" w:pos="13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Termination of the Participant’s employment other than at Retirement or long-term disability.</w:t>
      </w:r>
    </w:p>
    <w:p>
      <w:pPr>
        <w:spacing w:after="0" w:line="39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66040</wp:posOffset>
            </wp:positionV>
            <wp:extent cx="728027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323" w:right="219" w:bottom="1440" w:gutter="0" w:footer="0" w:header="0"/>
        </w:sectPr>
      </w:pPr>
    </w:p>
    <w:bookmarkStart w:id="158" w:name="page159"/>
    <w:bookmarkEnd w:id="158"/>
    <w:p>
      <w:pPr>
        <w:ind w:left="760" w:hanging="262"/>
        <w:spacing w:after="0"/>
        <w:tabs>
          <w:tab w:leader="none" w:pos="7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Commencement of Retirement Benefits.</w:t>
      </w:r>
    </w:p>
    <w:p>
      <w:pPr>
        <w:spacing w:after="0" w:line="205" w:lineRule="exact"/>
        <w:rPr>
          <w:rFonts w:ascii="Arial" w:cs="Arial" w:eastAsia="Arial" w:hAnsi="Arial"/>
          <w:sz w:val="14"/>
          <w:szCs w:val="14"/>
          <w:color w:val="auto"/>
        </w:rPr>
      </w:pPr>
    </w:p>
    <w:p>
      <w:pPr>
        <w:ind w:left="760"/>
        <w:spacing w:after="0" w:line="288" w:lineRule="auto"/>
        <w:rPr>
          <w:rFonts w:ascii="Arial" w:cs="Arial" w:eastAsia="Arial" w:hAnsi="Arial"/>
          <w:sz w:val="14"/>
          <w:szCs w:val="14"/>
          <w:color w:val="auto"/>
        </w:rPr>
      </w:pPr>
      <w:r>
        <w:rPr>
          <w:rFonts w:ascii="Arial" w:cs="Arial" w:eastAsia="Arial" w:hAnsi="Arial"/>
          <w:sz w:val="14"/>
          <w:szCs w:val="14"/>
          <w:color w:val="auto"/>
        </w:rPr>
        <w:t>Pursuant to Section 4.6, this benefit shall commence on the last day of the month following the date of the Participant’s Retirement. If a Participant dies or terminates employment prior to Retirement, the Retirement Benefit described in Section 4.6 shall be forfeited and will not be payable.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4.9 Form of Benefit Payment - Executive Deferral Account</w:t>
      </w:r>
    </w:p>
    <w:p>
      <w:pPr>
        <w:spacing w:after="0" w:line="209" w:lineRule="exact"/>
        <w:rPr>
          <w:sz w:val="20"/>
          <w:szCs w:val="20"/>
          <w:color w:val="auto"/>
        </w:rPr>
      </w:pPr>
    </w:p>
    <w:p>
      <w:pPr>
        <w:jc w:val="both"/>
        <w:ind w:left="240"/>
        <w:spacing w:after="0" w:line="258" w:lineRule="auto"/>
        <w:rPr>
          <w:sz w:val="20"/>
          <w:szCs w:val="20"/>
          <w:color w:val="auto"/>
        </w:rPr>
      </w:pPr>
      <w:r>
        <w:rPr>
          <w:rFonts w:ascii="Arial" w:cs="Arial" w:eastAsia="Arial" w:hAnsi="Arial"/>
          <w:sz w:val="14"/>
          <w:szCs w:val="14"/>
          <w:color w:val="auto"/>
        </w:rPr>
        <w:t>Subject to the provisions of Sections 4.11, 4.12 and 4.13 hereof, and in accordance with Subsection 4.8(A)(1)(c), a Participant may elect distribution of the Executive Deferral Account as a lump sum, five (5)</w:t>
      </w:r>
      <w:r>
        <w:rPr>
          <w:rFonts w:ascii="Arial" w:cs="Arial" w:eastAsia="Arial" w:hAnsi="Arial"/>
          <w:sz w:val="17"/>
          <w:szCs w:val="17"/>
          <w:color w:val="auto"/>
        </w:rPr>
        <w:t>,</w:t>
      </w:r>
      <w:r>
        <w:rPr>
          <w:rFonts w:ascii="Arial" w:cs="Arial" w:eastAsia="Arial" w:hAnsi="Arial"/>
          <w:sz w:val="14"/>
          <w:szCs w:val="14"/>
          <w:color w:val="auto"/>
        </w:rPr>
        <w:t xml:space="preserve"> ten (10), or fifteen (15) year monthly annuity, or partial lump sum with the remainder paid in a five (5), ten (10), fifteen (15) year monthly annuity. Any monthly annuity provided under this section shall be calculated using a 7.5% interest rate, or other rate as approved by the Committee. Notwithstanding the foregoing, monthly annuities under this section shall be calculated using an 8% interest rate in any circumstance in which one of the following conditions applies: (i) the Participant left service prior to January 1, 2007; or (ii) the Participant provided official notice of retirement to the Company prior to January 1, 2007 with an effective retirement date on or before April 1, 2007. Deferred Stock Units shall be distributed in equal annual installments, during the elected payout period. If a Participant has not elected a payout period, the balance will be paid in a lump sum. The Participant may change the length of the payment period, if such change is received by the Committee more than 12 months prior to commencement of the payment period. Notwithstanding the above, if the sum of Sections 4.1, 4.2, 4.3, 4.4 and 4.5 is less than $10,000, the EDA is paid as a lump sum.</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EDA distributions (except Deferred Stock Units) will be paid in cash, in equal monthly installments commencing on the last day of the month pursuant to Participants election in Subsection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4.8(A)(1)(c), except that Deferred Stock Units will be distributed in shares of stock commencing within the first 60 days of the Plan Year pursuant to the Participant’s election in Subsection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4.8(A)(1)(c).</w:t>
      </w:r>
    </w:p>
    <w:p>
      <w:pPr>
        <w:spacing w:after="0" w:line="39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3" w:right="219" w:bottom="1440" w:gutter="0" w:footer="0" w:header="0"/>
        </w:sectPr>
      </w:pPr>
    </w:p>
    <w:bookmarkStart w:id="159" w:name="page160"/>
    <w:bookmarkEnd w:id="159"/>
    <w:p>
      <w:pPr>
        <w:jc w:val="both"/>
        <w:ind w:left="320"/>
        <w:spacing w:after="0" w:line="288" w:lineRule="auto"/>
        <w:rPr>
          <w:sz w:val="20"/>
          <w:szCs w:val="20"/>
          <w:color w:val="auto"/>
        </w:rPr>
      </w:pPr>
      <w:r>
        <w:rPr>
          <w:rFonts w:ascii="Arial" w:cs="Arial" w:eastAsia="Arial" w:hAnsi="Arial"/>
          <w:sz w:val="14"/>
          <w:szCs w:val="14"/>
          <w:color w:val="auto"/>
        </w:rPr>
        <w:t>If a Participant has commenced receipt of benefits under this Plan, and is re-employed by the Company, payments shall be suspended until the Participant again becomes eligible to receive payments under the Plan.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4.10 Form of Payment - Retirement Benefits</w:t>
      </w:r>
    </w:p>
    <w:p>
      <w:pPr>
        <w:spacing w:after="0" w:line="209" w:lineRule="exact"/>
        <w:rPr>
          <w:sz w:val="20"/>
          <w:szCs w:val="20"/>
          <w:color w:val="auto"/>
        </w:rPr>
      </w:pPr>
    </w:p>
    <w:p>
      <w:pPr>
        <w:jc w:val="both"/>
        <w:ind w:left="320"/>
        <w:spacing w:after="0" w:line="302" w:lineRule="auto"/>
        <w:rPr>
          <w:sz w:val="20"/>
          <w:szCs w:val="20"/>
          <w:color w:val="auto"/>
        </w:rPr>
      </w:pPr>
      <w:r>
        <w:rPr>
          <w:rFonts w:ascii="Arial" w:cs="Arial" w:eastAsia="Arial" w:hAnsi="Arial"/>
          <w:sz w:val="13"/>
          <w:szCs w:val="13"/>
          <w:color w:val="auto"/>
        </w:rPr>
        <w:t>The normal, or default, form of the Retirement Benefits provided for in Section 4.6 will be a 15-year monthly annuity (calculated using the interest rate applicable for determining actuarial equivalence or other rate as approved by the Committee). The Participant may elect to receive the Retirement Benefits in the optional form of a monthly life annuity (calculated using the factor described in Section 4.6), such amount to be adjusted (i.e., cost-of-living adjustments) in the same manner as provided in Section 5.11 of Retirement Plan A.</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If the actuarial present value of the Retirement Benefits under Section 4.6 is less than $10,000, the benefit will be paid out in a lump sum payment.</w:t>
      </w:r>
    </w:p>
    <w:p>
      <w:pPr>
        <w:spacing w:after="0" w:line="205" w:lineRule="exact"/>
        <w:rPr>
          <w:sz w:val="20"/>
          <w:szCs w:val="20"/>
          <w:color w:val="auto"/>
        </w:rPr>
      </w:pPr>
    </w:p>
    <w:p>
      <w:pPr>
        <w:jc w:val="both"/>
        <w:ind w:left="320"/>
        <w:spacing w:after="0" w:line="288" w:lineRule="auto"/>
        <w:rPr>
          <w:sz w:val="20"/>
          <w:szCs w:val="20"/>
          <w:color w:val="auto"/>
        </w:rPr>
      </w:pPr>
      <w:r>
        <w:rPr>
          <w:rFonts w:ascii="Arial" w:cs="Arial" w:eastAsia="Arial" w:hAnsi="Arial"/>
          <w:sz w:val="14"/>
          <w:szCs w:val="14"/>
          <w:color w:val="auto"/>
        </w:rPr>
        <w:t>If a Participant has commenced receipt of Retirement Benefits under this Plan and is re-employed by the Company, Retirement Benefit payments under this Plan shall be suspended upon such re-employment until the Participant again becomes eligible to receive Retirement Benefit payments under the Plan.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4.11 Benefit Payments Upon Participant’s Death</w:t>
      </w:r>
    </w:p>
    <w:p>
      <w:pPr>
        <w:spacing w:after="0" w:line="209" w:lineRule="exact"/>
        <w:rPr>
          <w:sz w:val="20"/>
          <w:szCs w:val="20"/>
          <w:color w:val="auto"/>
        </w:rPr>
      </w:pPr>
    </w:p>
    <w:p>
      <w:pPr>
        <w:jc w:val="both"/>
        <w:ind w:left="320"/>
        <w:spacing w:after="0" w:line="264" w:lineRule="auto"/>
        <w:rPr>
          <w:sz w:val="20"/>
          <w:szCs w:val="20"/>
          <w:color w:val="auto"/>
        </w:rPr>
      </w:pPr>
      <w:r>
        <w:rPr>
          <w:rFonts w:ascii="Arial" w:cs="Arial" w:eastAsia="Arial" w:hAnsi="Arial"/>
          <w:sz w:val="14"/>
          <w:szCs w:val="14"/>
          <w:color w:val="auto"/>
        </w:rPr>
        <w:t>Each Participant shall have the right, in accordance with procedures established from time to time by the Committee, to designate a Beneficiary(ies) (both primary as well as contingent) to whom Plan benefits shall, if permitted by the Plan, be paid if a Participant dies prior to complete distribution of benefits. Each Beneficiary designation shall be in a written form prescribed by the Committee, and will be effective only when filed with the Committee during the Participant’s lifetime. Any Beneficiary designation may be changed by a Participant without the consent of the previously named Beneficiary by filing a new Beneficiary designation with the Committee. The most recent Beneficiary designation received by the Committee shall control the payment of all benefits under the Plan in the event of the Participant’s death.</w:t>
      </w:r>
    </w:p>
    <w:p>
      <w:pPr>
        <w:spacing w:after="0" w:line="171"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323" w:right="219" w:bottom="1440" w:gutter="0" w:footer="0" w:header="0"/>
        </w:sectPr>
      </w:pPr>
    </w:p>
    <w:bookmarkStart w:id="160" w:name="page161"/>
    <w:bookmarkEnd w:id="160"/>
    <w:p>
      <w:pPr>
        <w:jc w:val="both"/>
        <w:spacing w:after="0" w:line="272" w:lineRule="auto"/>
        <w:rPr>
          <w:sz w:val="20"/>
          <w:szCs w:val="20"/>
          <w:color w:val="auto"/>
        </w:rPr>
      </w:pPr>
      <w:r>
        <w:rPr>
          <w:rFonts w:ascii="Arial" w:cs="Arial" w:eastAsia="Arial" w:hAnsi="Arial"/>
          <w:sz w:val="14"/>
          <w:szCs w:val="14"/>
          <w:color w:val="auto"/>
        </w:rPr>
        <w:t>In the absence of an effective Beneficiary designation, or if all designated Beneficiaries predecease the Participant or die prior to the complete distribution of the Participant’s benefits, benefits shall be paid in the following order of precedence: (1) the Participant’s surviving spouse; (2) the Participant’s children (including adopted children), per stirpes; or (3) the Participant’s estate.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benefits shall be paid under the circumstances as described in (a) or (b) below:</w:t>
      </w:r>
    </w:p>
    <w:p>
      <w:pPr>
        <w:spacing w:after="0" w:line="205" w:lineRule="exact"/>
        <w:rPr>
          <w:sz w:val="20"/>
          <w:szCs w:val="20"/>
          <w:color w:val="auto"/>
        </w:rPr>
      </w:pPr>
    </w:p>
    <w:p>
      <w:pPr>
        <w:jc w:val="both"/>
        <w:ind w:left="1040" w:hanging="233"/>
        <w:spacing w:after="0" w:line="264" w:lineRule="auto"/>
        <w:tabs>
          <w:tab w:leader="none" w:pos="10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If the designated beneficiary is the Eligible Surviving Spouse, the payment as elected by the Participant pursuant to Section 4.9 &amp; 4.10 will be paid to the beneficiary beginning the month following the date of death of the Participant, except if the benefit elected under Section 4.10 is a life annuity, the surviving spouse will receive 60% of the Participant’s life annuity benefit for the remainder of the beneficiary’s life. If the Participant has elected a distribution to commence prior to Retirement, the Company shall pay the remaining payments to the Participant’s beneficiary in the same manner and at the same time as if the Participant had lived to receive such payments, subject to the conditions set forth in this Section.</w:t>
      </w:r>
    </w:p>
    <w:p>
      <w:pPr>
        <w:spacing w:after="0" w:line="170" w:lineRule="exact"/>
        <w:rPr>
          <w:rFonts w:ascii="Arial" w:cs="Arial" w:eastAsia="Arial" w:hAnsi="Arial"/>
          <w:sz w:val="14"/>
          <w:szCs w:val="14"/>
          <w:color w:val="auto"/>
        </w:rPr>
      </w:pPr>
    </w:p>
    <w:p>
      <w:pPr>
        <w:ind w:left="1040" w:hanging="241"/>
        <w:spacing w:after="0" w:line="288" w:lineRule="auto"/>
        <w:tabs>
          <w:tab w:leader="none" w:pos="10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If the designated beneficiary is anyone other than the Eligible Surviving Spouse, the remaining benefit payments shall be paid in a lump sum in the month following the month of the Participant’s death, except if the benefit elected under Section 4.10 is a life annuity, the payments end.</w:t>
      </w:r>
    </w:p>
    <w:p>
      <w:pPr>
        <w:spacing w:after="0" w:line="346"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40"/>
          </w:cols>
          <w:pgMar w:left="740" w:top="323" w:right="219" w:bottom="1440" w:gutter="0" w:footer="0" w:header="0"/>
        </w:sectPr>
      </w:pPr>
    </w:p>
    <w:bookmarkStart w:id="161" w:name="page162"/>
    <w:bookmarkEnd w:id="161"/>
    <w:p>
      <w:pPr>
        <w:ind w:left="840"/>
        <w:spacing w:after="0"/>
        <w:rPr>
          <w:sz w:val="20"/>
          <w:szCs w:val="20"/>
          <w:color w:val="auto"/>
        </w:rPr>
      </w:pPr>
      <w:r>
        <w:rPr>
          <w:rFonts w:ascii="Arial" w:cs="Arial" w:eastAsia="Arial" w:hAnsi="Arial"/>
          <w:sz w:val="14"/>
          <w:szCs w:val="14"/>
          <w:color w:val="auto"/>
        </w:rPr>
        <w:t>In the event a Participant dies prior to Retirement, the benefit described in Section 4.6 shall be forfeited and will not be payable.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4.12 Benefit Payment Upon Disability</w:t>
      </w:r>
    </w:p>
    <w:p>
      <w:pPr>
        <w:spacing w:after="0" w:line="209" w:lineRule="exact"/>
        <w:rPr>
          <w:sz w:val="20"/>
          <w:szCs w:val="20"/>
          <w:color w:val="auto"/>
        </w:rPr>
      </w:pPr>
    </w:p>
    <w:p>
      <w:pPr>
        <w:jc w:val="both"/>
        <w:ind w:left="320"/>
        <w:spacing w:after="0" w:line="302" w:lineRule="auto"/>
        <w:rPr>
          <w:sz w:val="20"/>
          <w:szCs w:val="20"/>
          <w:color w:val="auto"/>
        </w:rPr>
      </w:pPr>
      <w:r>
        <w:rPr>
          <w:rFonts w:ascii="Arial" w:cs="Arial" w:eastAsia="Arial" w:hAnsi="Arial"/>
          <w:sz w:val="13"/>
          <w:szCs w:val="13"/>
          <w:color w:val="auto"/>
        </w:rPr>
        <w:t>In the event a Participant is determined to be disabled under the Company’s Long Term Disability Plan, the Participant shall continue to be eligible for this Plan during such period of disability. If the Participant ceases to be disabled prior to Retirement and does not return to active employment with the Company, the Participant shall be deemed to have terminated employment. The Company shall pay the Participant the balance credited to the Participant’s EDA account in a single lump sum the month following the month of such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4.13 Benefit Payments Upon Termination Other Than Retirement, Death or Disability</w:t>
      </w:r>
    </w:p>
    <w:p>
      <w:pPr>
        <w:spacing w:after="0" w:line="209" w:lineRule="exact"/>
        <w:rPr>
          <w:sz w:val="20"/>
          <w:szCs w:val="20"/>
          <w:color w:val="auto"/>
        </w:rPr>
      </w:pPr>
    </w:p>
    <w:p>
      <w:pPr>
        <w:jc w:val="both"/>
        <w:ind w:left="320"/>
        <w:spacing w:after="0" w:line="272" w:lineRule="auto"/>
        <w:rPr>
          <w:sz w:val="20"/>
          <w:szCs w:val="20"/>
          <w:color w:val="auto"/>
        </w:rPr>
      </w:pPr>
      <w:r>
        <w:rPr>
          <w:rFonts w:ascii="Arial" w:cs="Arial" w:eastAsia="Arial" w:hAnsi="Arial"/>
          <w:sz w:val="14"/>
          <w:szCs w:val="14"/>
          <w:color w:val="auto"/>
        </w:rPr>
        <w:t>If a Participant’s employment with the Company terminates for any reason other than Retirement, death or disability, the Company shall pay each Participant the balance credited to the Participant’s EDA account in a single lump sum no later than the month following the month in which the Participant terminates, without regard to any election made by the Participant under Section 4.8. The benefit described in Section 4.6 shall be forfeited and will not be payable.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4.14 Hardship and Unscheduled Benefit Payments</w:t>
      </w:r>
    </w:p>
    <w:p>
      <w:pPr>
        <w:spacing w:after="0" w:line="209" w:lineRule="exact"/>
        <w:rPr>
          <w:sz w:val="20"/>
          <w:szCs w:val="20"/>
          <w:color w:val="auto"/>
        </w:rPr>
      </w:pPr>
    </w:p>
    <w:p>
      <w:pPr>
        <w:jc w:val="both"/>
        <w:ind w:left="840" w:hanging="270"/>
        <w:spacing w:after="0" w:line="272" w:lineRule="auto"/>
        <w:tabs>
          <w:tab w:leader="none" w:pos="8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 Participant who has demonstrated a severe financial need as approved by the Committee may request a lump sum distribution of all or any portion of their EDA. Partial distributions will be taken pro rata from the Participant’s EDA sub-accounts. However, if a Participant has commenced payment of benefits, the hardship distribution will be the entire remaining balance.</w:t>
      </w:r>
    </w:p>
    <w:p>
      <w:pPr>
        <w:spacing w:after="0" w:line="358"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323" w:right="219" w:bottom="1440" w:gutter="0" w:footer="0" w:header="0"/>
        </w:sectPr>
      </w:pPr>
    </w:p>
    <w:bookmarkStart w:id="162" w:name="page163"/>
    <w:bookmarkEnd w:id="162"/>
    <w:p>
      <w:pPr>
        <w:jc w:val="both"/>
        <w:ind w:left="840" w:hanging="262"/>
        <w:spacing w:after="0" w:line="289" w:lineRule="auto"/>
        <w:tabs>
          <w:tab w:leader="none" w:pos="8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 Participant may elect at any time prior to the time that the first payment from his or her account would otherwise be paid, to withdraw in a single lump sum all, or a specified portion of the balance of his or her Executive Deferral Account. A Participant may also make an election at any time subsequent to the start of installment payments from his or her Executive Deferral Account. Withdrawals under this Section will be reduced in amount by an early withdrawal penalty equal to ten percent of the amount requested, which will be deducted from the amount paid to the Participant and forfeited by the Participant to the Company. Written notice of election to withdraw under this Section stating the lump sum amount withdrawn shall be sent to the Company, and payment of the early withdrawal shall be made by the Company within thirty days of receipt of written notice.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4.15 Cessation of Deferrals Permitted by IRS Notice 2005-1.</w:t>
      </w:r>
    </w:p>
    <w:p>
      <w:pPr>
        <w:spacing w:after="0" w:line="209" w:lineRule="exact"/>
        <w:rPr>
          <w:sz w:val="20"/>
          <w:szCs w:val="20"/>
          <w:color w:val="auto"/>
        </w:rPr>
      </w:pPr>
    </w:p>
    <w:p>
      <w:pPr>
        <w:jc w:val="both"/>
        <w:ind w:left="320"/>
        <w:spacing w:after="0" w:line="262" w:lineRule="auto"/>
        <w:rPr>
          <w:sz w:val="20"/>
          <w:szCs w:val="20"/>
          <w:color w:val="auto"/>
        </w:rPr>
      </w:pPr>
      <w:r>
        <w:rPr>
          <w:rFonts w:ascii="Arial" w:cs="Arial" w:eastAsia="Arial" w:hAnsi="Arial"/>
          <w:sz w:val="14"/>
          <w:szCs w:val="14"/>
          <w:color w:val="auto"/>
        </w:rPr>
        <w:t>Notwithstanding any other Plan provision to the contrary, no amount of Annual Makeup Award, Salary Deferral, Bonus Deferral, Severance Deferral, Non-qualified Stock Option Gain Deferral, or Retirement Benefit (collectively “Deferral”) earned for services performed in Plan years beginning after December 31, 2004 shall be deferred under this Plan. Accordingly, any election to make any Deferral under this Plan shall terminate as to future Deferrals as of December 31, 2004 and shall no longer have any force or effect under this Plan. Subject to Section 4.16 hereof, Bonus Deferrals that were earned in 2004 and Deferrals earned in 2005, in each case, that are subject to Deferral elections made under the terms of this Plan shall not be credited under this Plan, but shall be credited under SERP II in accordance with the terms of SERP II and shall be subject to the terms and conditions of such SERP II, including, without limitation, its distribution provisions. No new Deferral elections shall be made under this Article 4 with respect to amounts earned after December 31, 2004. Investment earnings (and losses) shall continue to be credited (or debited) to each participant’s EDA account as provided in this Article 4.</w:t>
      </w:r>
    </w:p>
    <w:p>
      <w:pPr>
        <w:spacing w:after="0" w:line="171"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323" w:right="21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color w:val="auto"/>
        </w:rPr>
        <w:t>4.16 Elections Permitted by IRS Notice 2005-1.</w:t>
      </w:r>
    </w:p>
    <w:p>
      <w:pPr>
        <w:spacing w:after="0" w:line="209" w:lineRule="exact"/>
        <w:rPr>
          <w:sz w:val="20"/>
          <w:szCs w:val="20"/>
          <w:color w:val="auto"/>
        </w:rPr>
      </w:pPr>
    </w:p>
    <w:p>
      <w:pPr>
        <w:jc w:val="both"/>
        <w:ind w:left="320"/>
        <w:spacing w:after="0" w:line="287" w:lineRule="auto"/>
        <w:rPr>
          <w:sz w:val="20"/>
          <w:szCs w:val="20"/>
          <w:color w:val="auto"/>
        </w:rPr>
      </w:pPr>
      <w:r>
        <w:rPr>
          <w:rFonts w:ascii="Arial" w:cs="Arial" w:eastAsia="Arial" w:hAnsi="Arial"/>
          <w:sz w:val="13"/>
          <w:szCs w:val="13"/>
          <w:color w:val="auto"/>
        </w:rPr>
        <w:t>Notwithstanding anything contained herein to the contrary, (i) any Participant who elected a 2004 Bonus Deferral may revoke his or her election in its entirety; (ii) any Participant who elected a 2005 Salary Deferral may revoke his or her election in part or in its entirety; and (iii) any Participant who elected a 2005 Bonus Deferral may file a new deferral election with respect to such 2005 Bonus Deferral, in each case as provided in this Section 4.16. Such revocation election with respect to 2004 Bonus Deferral and/or 2005 Salary Deferral or new deferral election with respect to 2005 Bonus Deferral must be in writing on a form provided by the Committee and must be filed with the Committee on or before January 28, 2005. Any Participant who revokes his or her 2004 Bonus Deferral Election as provided herein shall receive such bonus in cash at or about the same time that such award is paid to other employees of the Company. Any Participant who revokes his or her 2005 Salary Deferral will be paid in accordance with the Company’s standard payroll practices.</w:t>
      </w:r>
    </w:p>
    <w:p>
      <w:pPr>
        <w:spacing w:after="0" w:line="152" w:lineRule="exact"/>
        <w:rPr>
          <w:sz w:val="20"/>
          <w:szCs w:val="20"/>
          <w:color w:val="auto"/>
        </w:rPr>
      </w:pPr>
    </w:p>
    <w:p>
      <w:pPr>
        <w:ind w:left="3720"/>
        <w:spacing w:after="0"/>
        <w:tabs>
          <w:tab w:leader="none" w:pos="6020" w:val="left"/>
        </w:tabs>
        <w:rPr>
          <w:sz w:val="20"/>
          <w:szCs w:val="20"/>
          <w:color w:val="auto"/>
        </w:rPr>
      </w:pPr>
      <w:r>
        <w:rPr>
          <w:rFonts w:ascii="Arial" w:cs="Arial" w:eastAsia="Arial" w:hAnsi="Arial"/>
          <w:sz w:val="14"/>
          <w:szCs w:val="14"/>
          <w:b w:val="1"/>
          <w:bCs w:val="1"/>
          <w:color w:val="auto"/>
        </w:rPr>
        <w:t>SECTION 5.</w:t>
      </w:r>
      <w:r>
        <w:rPr>
          <w:sz w:val="20"/>
          <w:szCs w:val="20"/>
          <w:color w:val="auto"/>
        </w:rPr>
        <w:tab/>
      </w:r>
      <w:r>
        <w:rPr>
          <w:rFonts w:ascii="Arial" w:cs="Arial" w:eastAsia="Arial" w:hAnsi="Arial"/>
          <w:sz w:val="14"/>
          <w:szCs w:val="14"/>
          <w:b w:val="1"/>
          <w:bCs w:val="1"/>
          <w:color w:val="auto"/>
        </w:rPr>
        <w:t>ADMINISTRATION</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5.1 Administration of Plan</w:t>
      </w:r>
    </w:p>
    <w:p>
      <w:pPr>
        <w:spacing w:after="0" w:line="209" w:lineRule="exact"/>
        <w:rPr>
          <w:sz w:val="20"/>
          <w:szCs w:val="20"/>
          <w:color w:val="auto"/>
        </w:rPr>
      </w:pPr>
    </w:p>
    <w:p>
      <w:pPr>
        <w:jc w:val="both"/>
        <w:ind w:left="840" w:hanging="270"/>
        <w:spacing w:after="0" w:line="272" w:lineRule="auto"/>
        <w:tabs>
          <w:tab w:leader="none" w:pos="840"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Administrator</w:t>
      </w:r>
      <w:r>
        <w:rPr>
          <w:rFonts w:ascii="Arial" w:cs="Arial" w:eastAsia="Arial" w:hAnsi="Arial"/>
          <w:sz w:val="14"/>
          <w:szCs w:val="14"/>
          <w:color w:val="auto"/>
        </w:rPr>
        <w:t>. The Employee Benefit Plans Committee shall administer the Plan. Notwithstanding the foregoing, the Committee may delegate any of its duties to such other person or persons from time-to-time as it may designate. Members of the Employee Benefit Plans Committee may participate in the Plan; however, any individual serving on the Employee Benefit Plans Committee shall not vote or act on any matter relating solely to himself or herself.</w:t>
      </w:r>
    </w:p>
    <w:p>
      <w:pPr>
        <w:spacing w:after="0" w:line="163" w:lineRule="exact"/>
        <w:rPr>
          <w:rFonts w:ascii="Arial" w:cs="Arial" w:eastAsia="Arial" w:hAnsi="Arial"/>
          <w:sz w:val="14"/>
          <w:szCs w:val="14"/>
          <w:color w:val="auto"/>
        </w:rPr>
      </w:pPr>
    </w:p>
    <w:p>
      <w:pPr>
        <w:jc w:val="both"/>
        <w:ind w:left="840" w:hanging="262"/>
        <w:spacing w:after="0" w:line="272" w:lineRule="auto"/>
        <w:tabs>
          <w:tab w:leader="none" w:pos="840"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Duties</w:t>
      </w:r>
      <w:r>
        <w:rPr>
          <w:rFonts w:ascii="Arial" w:cs="Arial" w:eastAsia="Arial" w:hAnsi="Arial"/>
          <w:sz w:val="14"/>
          <w:szCs w:val="14"/>
          <w:color w:val="auto"/>
        </w:rPr>
        <w:t>. The Committee is authorized to construe and interpret all provisions of the Plan, and the Committee is authorized to remedy any errors, inconsistencies or omissions, to resolve any ambiguities, to adopt rules and practices concerning the administration of the Plan, and to make any determinations and calculations necessary or appropriate hereunder. The Company shall pay all expenses and liabilities incurred in connection with Plan administration.</w:t>
      </w:r>
    </w:p>
    <w:p>
      <w:pPr>
        <w:spacing w:after="0" w:line="358"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319" w:right="219" w:bottom="1440" w:gutter="0" w:footer="0" w:header="0"/>
        </w:sectPr>
      </w:pPr>
    </w:p>
    <w:bookmarkStart w:id="164" w:name="page165"/>
    <w:bookmarkEnd w:id="164"/>
    <w:p>
      <w:pPr>
        <w:ind w:left="760" w:hanging="262"/>
        <w:spacing w:after="0" w:line="328" w:lineRule="auto"/>
        <w:tabs>
          <w:tab w:leader="none" w:pos="760"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Agents</w:t>
      </w:r>
      <w:r>
        <w:rPr>
          <w:rFonts w:ascii="Arial" w:cs="Arial" w:eastAsia="Arial" w:hAnsi="Arial"/>
          <w:sz w:val="13"/>
          <w:szCs w:val="13"/>
          <w:color w:val="auto"/>
        </w:rPr>
        <w:t>. The Committee may engage the services of accountants, attorneys, actuaries, investment consultants, and such other professional personnel as are deemed necessary or advisable to assist in fulfilling the Committee’s responsibilities. The Committee, the Company and the Board may rely upon the advice, opinions or valuations of any such persons.</w:t>
      </w:r>
    </w:p>
    <w:p>
      <w:pPr>
        <w:spacing w:after="0" w:line="130" w:lineRule="exact"/>
        <w:rPr>
          <w:rFonts w:ascii="Arial" w:cs="Arial" w:eastAsia="Arial" w:hAnsi="Arial"/>
          <w:sz w:val="13"/>
          <w:szCs w:val="13"/>
          <w:color w:val="auto"/>
        </w:rPr>
      </w:pPr>
    </w:p>
    <w:p>
      <w:pPr>
        <w:jc w:val="both"/>
        <w:ind w:left="760" w:hanging="270"/>
        <w:spacing w:after="0" w:line="267" w:lineRule="auto"/>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Binding Effect of Decisions</w:t>
      </w:r>
      <w:r>
        <w:rPr>
          <w:rFonts w:ascii="Arial" w:cs="Arial" w:eastAsia="Arial" w:hAnsi="Arial"/>
          <w:sz w:val="14"/>
          <w:szCs w:val="14"/>
          <w:color w:val="auto"/>
        </w:rPr>
        <w:t>. 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 Neither the Committee,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67" w:lineRule="exact"/>
        <w:rPr>
          <w:rFonts w:ascii="Arial" w:cs="Arial" w:eastAsia="Arial" w:hAnsi="Arial"/>
          <w:sz w:val="14"/>
          <w:szCs w:val="14"/>
          <w:color w:val="auto"/>
        </w:rPr>
      </w:pPr>
    </w:p>
    <w:p>
      <w:pPr>
        <w:jc w:val="both"/>
        <w:ind w:left="760" w:hanging="254"/>
        <w:spacing w:after="0" w:line="272" w:lineRule="auto"/>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Employer Information</w:t>
      </w:r>
      <w:r>
        <w:rPr>
          <w:rFonts w:ascii="Arial" w:cs="Arial" w:eastAsia="Arial" w:hAnsi="Arial"/>
          <w:sz w:val="14"/>
          <w:szCs w:val="14"/>
          <w:color w:val="auto"/>
        </w:rPr>
        <w:t>. To enable the Committee to perform its duties, the Company shall supply full and timely information to the Committee on all matters relating to the compensation of Plan Participants, the date and circumstances of the Participant’s Retirement, death, disability or Termination, and other pertinent information as the Committee may reasonably require.</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 Uniform Rules</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administering the Plan, the Committee will apply uniform rules to all Participants similarly situated.</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3" w:right="21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color w:val="auto"/>
        </w:rPr>
        <w:t>5.3 Notice of Address</w:t>
      </w:r>
    </w:p>
    <w:p>
      <w:pPr>
        <w:spacing w:after="0" w:line="209" w:lineRule="exact"/>
        <w:rPr>
          <w:sz w:val="20"/>
          <w:szCs w:val="20"/>
          <w:color w:val="auto"/>
        </w:rPr>
      </w:pPr>
    </w:p>
    <w:p>
      <w:pPr>
        <w:jc w:val="both"/>
        <w:ind w:left="240"/>
        <w:spacing w:after="0" w:line="272" w:lineRule="auto"/>
        <w:rPr>
          <w:sz w:val="20"/>
          <w:szCs w:val="20"/>
          <w:color w:val="auto"/>
        </w:rPr>
      </w:pPr>
      <w:r>
        <w:rPr>
          <w:rFonts w:ascii="Arial" w:cs="Arial" w:eastAsia="Arial" w:hAnsi="Arial"/>
          <w:sz w:val="14"/>
          <w:szCs w:val="14"/>
          <w:color w:val="auto"/>
        </w:rPr>
        <w:t>Any payment to a Participant or beneficiary, at the last known post office address on file with the Company, shall constitute a complete acquittance and discharge to the Company and any director or officer with respect thereto unless the Company shall have received prior written notice of any change in the address, condition, or status of the distributee. Neither the Company nor any director or officer shall have any duty or obligation to search for or ascertain the whereabouts of any Participant or his beneficiary.</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 Correction of Errors</w:t>
      </w:r>
    </w:p>
    <w:p>
      <w:pPr>
        <w:spacing w:after="0" w:line="209" w:lineRule="exact"/>
        <w:rPr>
          <w:sz w:val="20"/>
          <w:szCs w:val="20"/>
          <w:color w:val="auto"/>
        </w:rPr>
      </w:pPr>
    </w:p>
    <w:p>
      <w:pPr>
        <w:jc w:val="both"/>
        <w:ind w:left="240"/>
        <w:spacing w:after="0" w:line="272" w:lineRule="auto"/>
        <w:rPr>
          <w:sz w:val="20"/>
          <w:szCs w:val="20"/>
          <w:color w:val="auto"/>
        </w:rPr>
      </w:pPr>
      <w:r>
        <w:rPr>
          <w:rFonts w:ascii="Arial" w:cs="Arial" w:eastAsia="Arial" w:hAnsi="Arial"/>
          <w:sz w:val="14"/>
          <w:szCs w:val="14"/>
          <w:color w:val="auto"/>
        </w:rPr>
        <w:t>It is recognized that in the operation and administration of the Plan, certain mathematical and accounting errors may be made or mistakes may arise by reason of factual errors in information supplied to the Company. The Company shall have power to cause such equitable adjustments to be made to correct for such errors as the Company in its discretion considers appropriate. Such adjustments shall be final and binding on all persons.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5.5 Claims Procedure</w:t>
      </w:r>
    </w:p>
    <w:p>
      <w:pPr>
        <w:spacing w:after="0" w:line="209" w:lineRule="exact"/>
        <w:rPr>
          <w:sz w:val="20"/>
          <w:szCs w:val="20"/>
          <w:color w:val="auto"/>
        </w:rPr>
      </w:pPr>
    </w:p>
    <w:p>
      <w:pPr>
        <w:ind w:left="760" w:hanging="270"/>
        <w:spacing w:after="0" w:line="288" w:lineRule="auto"/>
        <w:tabs>
          <w:tab w:leader="none" w:pos="760"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Presentation of Claim</w:t>
      </w:r>
      <w:r>
        <w:rPr>
          <w:rFonts w:ascii="Arial" w:cs="Arial" w:eastAsia="Arial" w:hAnsi="Arial"/>
          <w:sz w:val="14"/>
          <w:szCs w:val="14"/>
          <w:color w:val="auto"/>
        </w:rPr>
        <w:t>. Any Participant or Beneficiary of a deceased Participant (such Participant or Beneficiary being referred to below as a “Claimant”) may file with the Committee a written claim for a determination with respect to Plan benefits. The claim must state with particularity the determination desired by the Claimant.</w:t>
      </w:r>
    </w:p>
    <w:p>
      <w:pPr>
        <w:spacing w:after="0" w:line="152" w:lineRule="exact"/>
        <w:rPr>
          <w:rFonts w:ascii="Arial" w:cs="Arial" w:eastAsia="Arial" w:hAnsi="Arial"/>
          <w:sz w:val="14"/>
          <w:szCs w:val="14"/>
          <w:color w:val="auto"/>
        </w:rPr>
      </w:pPr>
    </w:p>
    <w:p>
      <w:pPr>
        <w:ind w:left="760" w:hanging="262"/>
        <w:spacing w:after="0"/>
        <w:tabs>
          <w:tab w:leader="none" w:pos="760"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Notification of Decision</w:t>
      </w:r>
      <w:r>
        <w:rPr>
          <w:rFonts w:ascii="Arial" w:cs="Arial" w:eastAsia="Arial" w:hAnsi="Arial"/>
          <w:sz w:val="14"/>
          <w:szCs w:val="14"/>
          <w:color w:val="auto"/>
        </w:rPr>
        <w:t>. The Committee shall consider a Claimant’s claim, and within 90 days after the claim is received, shall notify the Claimant in writing:</w:t>
      </w:r>
    </w:p>
    <w:p>
      <w:pPr>
        <w:spacing w:after="0" w:line="205" w:lineRule="exact"/>
        <w:rPr>
          <w:rFonts w:ascii="Arial" w:cs="Arial" w:eastAsia="Arial" w:hAnsi="Arial"/>
          <w:sz w:val="14"/>
          <w:szCs w:val="14"/>
          <w:color w:val="auto"/>
        </w:rPr>
      </w:pPr>
    </w:p>
    <w:p>
      <w:pPr>
        <w:ind w:left="1280" w:hanging="241"/>
        <w:spacing w:after="0"/>
        <w:tabs>
          <w:tab w:leader="none" w:pos="12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That the claim has been allowed in full; or</w:t>
      </w:r>
    </w:p>
    <w:p>
      <w:pPr>
        <w:spacing w:after="0" w:line="205" w:lineRule="exact"/>
        <w:rPr>
          <w:rFonts w:ascii="Arial" w:cs="Arial" w:eastAsia="Arial" w:hAnsi="Arial"/>
          <w:sz w:val="14"/>
          <w:szCs w:val="14"/>
          <w:color w:val="auto"/>
        </w:rPr>
      </w:pPr>
    </w:p>
    <w:p>
      <w:pPr>
        <w:ind w:left="1280" w:hanging="241"/>
        <w:spacing w:after="0"/>
        <w:tabs>
          <w:tab w:leader="none" w:pos="12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That the claim has been denied, in whole or in part, and such notice must set forth in a manner calculated to be understood by the Claimant:</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66" w:name="page167"/>
    <w:bookmarkEnd w:id="166"/>
    <w:p>
      <w:pPr>
        <w:ind w:left="860" w:hanging="236"/>
        <w:spacing w:after="0"/>
        <w:tabs>
          <w:tab w:leader="none" w:pos="860" w:val="left"/>
        </w:tabs>
        <w:numPr>
          <w:ilvl w:val="1"/>
          <w:numId w:val="83"/>
        </w:numPr>
        <w:rPr>
          <w:rFonts w:ascii="Arial" w:cs="Arial" w:eastAsia="Arial" w:hAnsi="Arial"/>
          <w:sz w:val="14"/>
          <w:szCs w:val="14"/>
          <w:color w:val="auto"/>
        </w:rPr>
      </w:pPr>
      <w:r>
        <w:rPr>
          <w:rFonts w:ascii="Arial" w:cs="Arial" w:eastAsia="Arial" w:hAnsi="Arial"/>
          <w:sz w:val="14"/>
          <w:szCs w:val="14"/>
          <w:color w:val="auto"/>
        </w:rPr>
        <w:t>The specific reason(s) for the denial of the claim, or any part of it;</w:t>
      </w:r>
    </w:p>
    <w:p>
      <w:pPr>
        <w:spacing w:after="0" w:line="205" w:lineRule="exact"/>
        <w:rPr>
          <w:rFonts w:ascii="Arial" w:cs="Arial" w:eastAsia="Arial" w:hAnsi="Arial"/>
          <w:sz w:val="14"/>
          <w:szCs w:val="14"/>
          <w:color w:val="auto"/>
        </w:rPr>
      </w:pPr>
    </w:p>
    <w:p>
      <w:pPr>
        <w:ind w:left="860" w:hanging="244"/>
        <w:spacing w:after="0"/>
        <w:tabs>
          <w:tab w:leader="none" w:pos="860" w:val="left"/>
        </w:tabs>
        <w:numPr>
          <w:ilvl w:val="1"/>
          <w:numId w:val="83"/>
        </w:numPr>
        <w:rPr>
          <w:rFonts w:ascii="Arial" w:cs="Arial" w:eastAsia="Arial" w:hAnsi="Arial"/>
          <w:sz w:val="14"/>
          <w:szCs w:val="14"/>
          <w:color w:val="auto"/>
        </w:rPr>
      </w:pPr>
      <w:r>
        <w:rPr>
          <w:rFonts w:ascii="Arial" w:cs="Arial" w:eastAsia="Arial" w:hAnsi="Arial"/>
          <w:sz w:val="14"/>
          <w:szCs w:val="14"/>
          <w:color w:val="auto"/>
        </w:rPr>
        <w:t>Specific reference(s) to pertinent provisions of the Plan upon which such denial was based;</w:t>
      </w:r>
    </w:p>
    <w:p>
      <w:pPr>
        <w:spacing w:after="0" w:line="205" w:lineRule="exact"/>
        <w:rPr>
          <w:rFonts w:ascii="Arial" w:cs="Arial" w:eastAsia="Arial" w:hAnsi="Arial"/>
          <w:sz w:val="14"/>
          <w:szCs w:val="14"/>
          <w:color w:val="auto"/>
        </w:rPr>
      </w:pPr>
    </w:p>
    <w:p>
      <w:pPr>
        <w:ind w:left="860" w:hanging="236"/>
        <w:spacing w:after="0" w:line="288" w:lineRule="auto"/>
        <w:tabs>
          <w:tab w:leader="none" w:pos="860" w:val="left"/>
        </w:tabs>
        <w:numPr>
          <w:ilvl w:val="1"/>
          <w:numId w:val="83"/>
        </w:numPr>
        <w:rPr>
          <w:rFonts w:ascii="Arial" w:cs="Arial" w:eastAsia="Arial" w:hAnsi="Arial"/>
          <w:sz w:val="14"/>
          <w:szCs w:val="14"/>
          <w:color w:val="auto"/>
        </w:rPr>
      </w:pPr>
      <w:r>
        <w:rPr>
          <w:rFonts w:ascii="Arial" w:cs="Arial" w:eastAsia="Arial" w:hAnsi="Arial"/>
          <w:sz w:val="14"/>
          <w:szCs w:val="14"/>
          <w:color w:val="auto"/>
        </w:rPr>
        <w:t>A description of any additional material or information necessary for the Claimant to perfect the claim, and an explanation of why such material or information is necessary; and</w:t>
      </w:r>
    </w:p>
    <w:p>
      <w:pPr>
        <w:spacing w:after="0" w:line="152" w:lineRule="exact"/>
        <w:rPr>
          <w:rFonts w:ascii="Arial" w:cs="Arial" w:eastAsia="Arial" w:hAnsi="Arial"/>
          <w:sz w:val="14"/>
          <w:szCs w:val="14"/>
          <w:color w:val="auto"/>
        </w:rPr>
      </w:pPr>
    </w:p>
    <w:p>
      <w:pPr>
        <w:ind w:left="860" w:hanging="244"/>
        <w:spacing w:after="0" w:line="288" w:lineRule="auto"/>
        <w:tabs>
          <w:tab w:leader="none" w:pos="860" w:val="left"/>
        </w:tabs>
        <w:numPr>
          <w:ilvl w:val="1"/>
          <w:numId w:val="83"/>
        </w:numPr>
        <w:rPr>
          <w:rFonts w:ascii="Arial" w:cs="Arial" w:eastAsia="Arial" w:hAnsi="Arial"/>
          <w:sz w:val="14"/>
          <w:szCs w:val="14"/>
          <w:color w:val="auto"/>
        </w:rPr>
      </w:pPr>
      <w:r>
        <w:rPr>
          <w:rFonts w:ascii="Arial" w:cs="Arial" w:eastAsia="Arial" w:hAnsi="Arial"/>
          <w:sz w:val="14"/>
          <w:szCs w:val="14"/>
          <w:color w:val="auto"/>
        </w:rPr>
        <w:t>An explanation of the claim review procedures and time limits, including a statement of the Claimant’s right to initiate a civil action pursuant to section 502(a) of ERISA following an adverse determination upon review.</w:t>
      </w:r>
    </w:p>
    <w:p>
      <w:pPr>
        <w:spacing w:after="0" w:line="152" w:lineRule="exact"/>
        <w:rPr>
          <w:rFonts w:ascii="Arial" w:cs="Arial" w:eastAsia="Arial" w:hAnsi="Arial"/>
          <w:sz w:val="14"/>
          <w:szCs w:val="14"/>
          <w:color w:val="auto"/>
        </w:rPr>
      </w:pPr>
    </w:p>
    <w:p>
      <w:pPr>
        <w:ind w:left="340" w:hanging="241"/>
        <w:spacing w:after="0" w:line="288"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If the Committee determines that an extension of time for processing is required, written notice of the extension shall be furnished to the Claimant prior to termination of the original 90-day period. In no event shall such extension exceed 90 days from the end of such initial period.</w:t>
      </w:r>
    </w:p>
    <w:p>
      <w:pPr>
        <w:spacing w:after="0" w:line="152" w:lineRule="exact"/>
        <w:rPr>
          <w:rFonts w:ascii="Arial" w:cs="Arial" w:eastAsia="Arial" w:hAnsi="Arial"/>
          <w:sz w:val="14"/>
          <w:szCs w:val="14"/>
          <w:color w:val="auto"/>
        </w:rPr>
      </w:pPr>
    </w:p>
    <w:p>
      <w:pPr>
        <w:ind w:left="340" w:hanging="241"/>
        <w:spacing w:after="0" w:line="328" w:lineRule="auto"/>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 the case of a claim for disability benefits, the Committee shall notify the Claimant, in accordance with Section 5.5(B)(2) above, within 45 days after the claim is received. The notification shall advise the Claimant whether the Committee’s denial relied upon any specific rule, guideline, protocol or scientific or clinical judgment.</w:t>
      </w:r>
    </w:p>
    <w:p>
      <w:pPr>
        <w:spacing w:after="0" w:line="130" w:lineRule="exact"/>
        <w:rPr>
          <w:rFonts w:ascii="Arial" w:cs="Arial" w:eastAsia="Arial" w:hAnsi="Arial"/>
          <w:sz w:val="13"/>
          <w:szCs w:val="13"/>
          <w:color w:val="auto"/>
        </w:rPr>
      </w:pPr>
    </w:p>
    <w:p>
      <w:pPr>
        <w:jc w:val="both"/>
        <w:ind w:left="340" w:hanging="241"/>
        <w:spacing w:after="0" w:line="264"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the case of a claim for disability benefits, if the Committee determines that an extension of time for processing is required due to matters beyond the control of the Plan, written notice of the extension shall be furnished to the Claimant prior to termination of the original 45-day period. Such extension shall not exceed 30 days from the end of the initial period. If, prior to the end of the first 30-day extension period, the Committee determines that, due to matters beyond the control of the Plan, an additional extension of time for processing is required, written notice of a second 30-day extension shall be furnished to the Claimant prior to termination of the first 30-day extension.</w:t>
      </w:r>
    </w:p>
    <w:p>
      <w:pPr>
        <w:spacing w:after="0" w:line="36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66040</wp:posOffset>
            </wp:positionV>
            <wp:extent cx="7280275"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323" w:right="219" w:bottom="1440" w:gutter="0" w:footer="0" w:header="0"/>
        </w:sectPr>
      </w:pPr>
    </w:p>
    <w:bookmarkStart w:id="167" w:name="page168"/>
    <w:bookmarkEnd w:id="167"/>
    <w:p>
      <w:pPr>
        <w:jc w:val="both"/>
        <w:ind w:left="270" w:hanging="262"/>
        <w:spacing w:after="0" w:line="272" w:lineRule="auto"/>
        <w:tabs>
          <w:tab w:leader="none" w:pos="270"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Review of a Denied Claim</w:t>
      </w:r>
      <w:r>
        <w:rPr>
          <w:rFonts w:ascii="Arial" w:cs="Arial" w:eastAsia="Arial" w:hAnsi="Arial"/>
          <w:sz w:val="14"/>
          <w:szCs w:val="14"/>
          <w:color w:val="auto"/>
        </w:rPr>
        <w:t>. Within 90 days after receiving a notice from the Committee that a claim has been denied, in whole or in part, a Claimant (or the Claimant’s duly authorized representative) may file a written request for a review of the denial of the claim and of pertinent documents. The Claimant (or the Claimant’s duly authorized representative):</w:t>
      </w:r>
    </w:p>
    <w:p>
      <w:pPr>
        <w:spacing w:after="0" w:line="163" w:lineRule="exact"/>
        <w:rPr>
          <w:rFonts w:ascii="Arial" w:cs="Arial" w:eastAsia="Arial" w:hAnsi="Arial"/>
          <w:sz w:val="14"/>
          <w:szCs w:val="14"/>
          <w:color w:val="auto"/>
        </w:rPr>
      </w:pPr>
    </w:p>
    <w:p>
      <w:pPr>
        <w:ind w:left="790" w:hanging="241"/>
        <w:spacing w:after="0"/>
        <w:tabs>
          <w:tab w:leader="none" w:pos="790" w:val="left"/>
        </w:tabs>
        <w:numPr>
          <w:ilvl w:val="1"/>
          <w:numId w:val="85"/>
        </w:numPr>
        <w:rPr>
          <w:rFonts w:ascii="Arial" w:cs="Arial" w:eastAsia="Arial" w:hAnsi="Arial"/>
          <w:sz w:val="13"/>
          <w:szCs w:val="13"/>
          <w:color w:val="auto"/>
        </w:rPr>
      </w:pPr>
      <w:r>
        <w:rPr>
          <w:rFonts w:ascii="Arial" w:cs="Arial" w:eastAsia="Arial" w:hAnsi="Arial"/>
          <w:sz w:val="13"/>
          <w:szCs w:val="13"/>
          <w:color w:val="auto"/>
        </w:rPr>
        <w:t>May request reasonable access to, and copies of, all documents, records, and other information relevant to the claim, which shall be provided to Claimant free of charge;</w:t>
      </w:r>
    </w:p>
    <w:p>
      <w:pPr>
        <w:spacing w:after="0" w:line="216" w:lineRule="exact"/>
        <w:rPr>
          <w:rFonts w:ascii="Arial" w:cs="Arial" w:eastAsia="Arial" w:hAnsi="Arial"/>
          <w:sz w:val="13"/>
          <w:szCs w:val="13"/>
          <w:color w:val="auto"/>
        </w:rPr>
      </w:pPr>
    </w:p>
    <w:p>
      <w:pPr>
        <w:ind w:left="790" w:hanging="241"/>
        <w:spacing w:after="0"/>
        <w:tabs>
          <w:tab w:leader="none" w:pos="790" w:val="left"/>
        </w:tabs>
        <w:numPr>
          <w:ilvl w:val="1"/>
          <w:numId w:val="85"/>
        </w:numPr>
        <w:rPr>
          <w:rFonts w:ascii="Arial" w:cs="Arial" w:eastAsia="Arial" w:hAnsi="Arial"/>
          <w:sz w:val="14"/>
          <w:szCs w:val="14"/>
          <w:color w:val="auto"/>
        </w:rPr>
      </w:pPr>
      <w:r>
        <w:rPr>
          <w:rFonts w:ascii="Arial" w:cs="Arial" w:eastAsia="Arial" w:hAnsi="Arial"/>
          <w:sz w:val="14"/>
          <w:szCs w:val="14"/>
          <w:color w:val="auto"/>
        </w:rPr>
        <w:t>May submit written comments or other documents; and</w:t>
      </w:r>
    </w:p>
    <w:p>
      <w:pPr>
        <w:spacing w:after="0" w:line="205" w:lineRule="exact"/>
        <w:rPr>
          <w:rFonts w:ascii="Arial" w:cs="Arial" w:eastAsia="Arial" w:hAnsi="Arial"/>
          <w:sz w:val="14"/>
          <w:szCs w:val="14"/>
          <w:color w:val="auto"/>
        </w:rPr>
      </w:pPr>
    </w:p>
    <w:p>
      <w:pPr>
        <w:jc w:val="both"/>
        <w:ind w:left="270" w:hanging="270"/>
        <w:spacing w:after="0" w:line="267" w:lineRule="auto"/>
        <w:tabs>
          <w:tab w:leader="none" w:pos="270"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Decision on Review</w:t>
      </w:r>
      <w:r>
        <w:rPr>
          <w:rFonts w:ascii="Arial" w:cs="Arial" w:eastAsia="Arial" w:hAnsi="Arial"/>
          <w:sz w:val="14"/>
          <w:szCs w:val="14"/>
          <w:color w:val="auto"/>
        </w:rPr>
        <w:t>. The Committee shall review all comments or other documents submitted by the Claimant relating to the claim, without regard to whether such information was submitted or considered in the initial benefit determination. The Committee shall render its decision on review promptly, and not later than 60 days after the filing of a written request for review of the denial (or, if other special circumstances require additional time and written notice of such extension and circumstances is given to the Claimant within the initial 60-day period). The Committee shall notify the Claimant, in language calculated to be understood by the Claimant:</w:t>
      </w:r>
    </w:p>
    <w:p>
      <w:pPr>
        <w:spacing w:after="0" w:line="167" w:lineRule="exact"/>
        <w:rPr>
          <w:rFonts w:ascii="Arial" w:cs="Arial" w:eastAsia="Arial" w:hAnsi="Arial"/>
          <w:sz w:val="14"/>
          <w:szCs w:val="14"/>
          <w:color w:val="auto"/>
        </w:rPr>
      </w:pPr>
    </w:p>
    <w:p>
      <w:pPr>
        <w:ind w:left="790" w:hanging="241"/>
        <w:spacing w:after="0"/>
        <w:tabs>
          <w:tab w:leader="none" w:pos="790"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That the claim has been allowed in full; or</w:t>
      </w:r>
    </w:p>
    <w:p>
      <w:pPr>
        <w:spacing w:after="0" w:line="205" w:lineRule="exact"/>
        <w:rPr>
          <w:rFonts w:ascii="Arial" w:cs="Arial" w:eastAsia="Arial" w:hAnsi="Arial"/>
          <w:sz w:val="14"/>
          <w:szCs w:val="14"/>
          <w:color w:val="auto"/>
        </w:rPr>
      </w:pPr>
    </w:p>
    <w:p>
      <w:pPr>
        <w:ind w:left="790" w:hanging="241"/>
        <w:spacing w:after="0"/>
        <w:tabs>
          <w:tab w:leader="none" w:pos="790"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That the claim has been denied, in whole or in part, and such notice must set forth:</w:t>
      </w:r>
    </w:p>
    <w:p>
      <w:pPr>
        <w:spacing w:after="0" w:line="399" w:lineRule="exact"/>
        <w:rPr>
          <w:sz w:val="20"/>
          <w:szCs w:val="20"/>
          <w:color w:val="auto"/>
        </w:rPr>
      </w:pPr>
    </w:p>
    <w:p>
      <w:pPr>
        <w:ind w:left="489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66040</wp:posOffset>
            </wp:positionV>
            <wp:extent cx="7280275"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690"/>
          </w:cols>
          <w:pgMar w:left="990" w:top="323" w:right="219" w:bottom="1440" w:gutter="0" w:footer="0" w:header="0"/>
        </w:sectPr>
      </w:pPr>
    </w:p>
    <w:bookmarkStart w:id="168" w:name="page169"/>
    <w:bookmarkEnd w:id="168"/>
    <w:p>
      <w:pPr>
        <w:ind w:left="1800" w:hanging="236"/>
        <w:spacing w:after="0"/>
        <w:tabs>
          <w:tab w:leader="none" w:pos="1800" w:val="left"/>
        </w:tabs>
        <w:numPr>
          <w:ilvl w:val="2"/>
          <w:numId w:val="86"/>
        </w:numPr>
        <w:rPr>
          <w:rFonts w:ascii="Arial" w:cs="Arial" w:eastAsia="Arial" w:hAnsi="Arial"/>
          <w:sz w:val="14"/>
          <w:szCs w:val="14"/>
          <w:color w:val="auto"/>
        </w:rPr>
      </w:pPr>
      <w:r>
        <w:rPr>
          <w:rFonts w:ascii="Arial" w:cs="Arial" w:eastAsia="Arial" w:hAnsi="Arial"/>
          <w:sz w:val="14"/>
          <w:szCs w:val="14"/>
          <w:color w:val="auto"/>
        </w:rPr>
        <w:t>Specific reasons for the decision;</w:t>
      </w:r>
    </w:p>
    <w:p>
      <w:pPr>
        <w:spacing w:after="0" w:line="205" w:lineRule="exact"/>
        <w:rPr>
          <w:rFonts w:ascii="Arial" w:cs="Arial" w:eastAsia="Arial" w:hAnsi="Arial"/>
          <w:sz w:val="14"/>
          <w:szCs w:val="14"/>
          <w:color w:val="auto"/>
        </w:rPr>
      </w:pPr>
    </w:p>
    <w:p>
      <w:pPr>
        <w:ind w:left="1800" w:hanging="244"/>
        <w:spacing w:after="0"/>
        <w:tabs>
          <w:tab w:leader="none" w:pos="1800" w:val="left"/>
        </w:tabs>
        <w:numPr>
          <w:ilvl w:val="2"/>
          <w:numId w:val="86"/>
        </w:numPr>
        <w:rPr>
          <w:rFonts w:ascii="Arial" w:cs="Arial" w:eastAsia="Arial" w:hAnsi="Arial"/>
          <w:sz w:val="14"/>
          <w:szCs w:val="14"/>
          <w:color w:val="auto"/>
        </w:rPr>
      </w:pPr>
      <w:r>
        <w:rPr>
          <w:rFonts w:ascii="Arial" w:cs="Arial" w:eastAsia="Arial" w:hAnsi="Arial"/>
          <w:sz w:val="14"/>
          <w:szCs w:val="14"/>
          <w:color w:val="auto"/>
        </w:rPr>
        <w:t>Specific reference(s) to the pertinent Plan provisions upon which the decision was based;</w:t>
      </w:r>
    </w:p>
    <w:p>
      <w:pPr>
        <w:spacing w:after="0" w:line="205" w:lineRule="exact"/>
        <w:rPr>
          <w:rFonts w:ascii="Arial" w:cs="Arial" w:eastAsia="Arial" w:hAnsi="Arial"/>
          <w:sz w:val="14"/>
          <w:szCs w:val="14"/>
          <w:color w:val="auto"/>
        </w:rPr>
      </w:pPr>
    </w:p>
    <w:p>
      <w:pPr>
        <w:ind w:left="1800" w:hanging="236"/>
        <w:spacing w:after="0" w:line="288" w:lineRule="auto"/>
        <w:tabs>
          <w:tab w:leader="none" w:pos="1800" w:val="left"/>
        </w:tabs>
        <w:numPr>
          <w:ilvl w:val="2"/>
          <w:numId w:val="86"/>
        </w:numPr>
        <w:rPr>
          <w:rFonts w:ascii="Arial" w:cs="Arial" w:eastAsia="Arial" w:hAnsi="Arial"/>
          <w:sz w:val="14"/>
          <w:szCs w:val="14"/>
          <w:color w:val="auto"/>
        </w:rPr>
      </w:pPr>
      <w:r>
        <w:rPr>
          <w:rFonts w:ascii="Arial" w:cs="Arial" w:eastAsia="Arial" w:hAnsi="Arial"/>
          <w:sz w:val="14"/>
          <w:szCs w:val="14"/>
          <w:color w:val="auto"/>
        </w:rPr>
        <w:t>A statement that Claimant is entitled to reasonable access to, and copies of, all documents, records or other information relevant to the claim upon request and free of charge;</w:t>
      </w:r>
    </w:p>
    <w:p>
      <w:pPr>
        <w:spacing w:after="0" w:line="152" w:lineRule="exact"/>
        <w:rPr>
          <w:rFonts w:ascii="Arial" w:cs="Arial" w:eastAsia="Arial" w:hAnsi="Arial"/>
          <w:sz w:val="14"/>
          <w:szCs w:val="14"/>
          <w:color w:val="auto"/>
        </w:rPr>
      </w:pPr>
    </w:p>
    <w:p>
      <w:pPr>
        <w:ind w:left="1800" w:hanging="244"/>
        <w:spacing w:after="0"/>
        <w:tabs>
          <w:tab w:leader="none" w:pos="1800" w:val="left"/>
        </w:tabs>
        <w:numPr>
          <w:ilvl w:val="2"/>
          <w:numId w:val="86"/>
        </w:numPr>
        <w:rPr>
          <w:rFonts w:ascii="Arial" w:cs="Arial" w:eastAsia="Arial" w:hAnsi="Arial"/>
          <w:sz w:val="14"/>
          <w:szCs w:val="14"/>
          <w:color w:val="auto"/>
        </w:rPr>
      </w:pPr>
      <w:r>
        <w:rPr>
          <w:rFonts w:ascii="Arial" w:cs="Arial" w:eastAsia="Arial" w:hAnsi="Arial"/>
          <w:sz w:val="14"/>
          <w:szCs w:val="14"/>
          <w:color w:val="auto"/>
        </w:rPr>
        <w:t>A statement regarding the Claimant’s right to initiate an action pursuant to section 502(a) of ERISA; and</w:t>
      </w:r>
    </w:p>
    <w:p>
      <w:pPr>
        <w:spacing w:after="0" w:line="205" w:lineRule="exact"/>
        <w:rPr>
          <w:rFonts w:ascii="Arial" w:cs="Arial" w:eastAsia="Arial" w:hAnsi="Arial"/>
          <w:sz w:val="14"/>
          <w:szCs w:val="14"/>
          <w:color w:val="auto"/>
        </w:rPr>
      </w:pPr>
    </w:p>
    <w:p>
      <w:pPr>
        <w:ind w:left="1800" w:hanging="236"/>
        <w:spacing w:after="0"/>
        <w:tabs>
          <w:tab w:leader="none" w:pos="1800" w:val="left"/>
        </w:tabs>
        <w:numPr>
          <w:ilvl w:val="2"/>
          <w:numId w:val="86"/>
        </w:numPr>
        <w:rPr>
          <w:rFonts w:ascii="Arial" w:cs="Arial" w:eastAsia="Arial" w:hAnsi="Arial"/>
          <w:sz w:val="14"/>
          <w:szCs w:val="14"/>
          <w:color w:val="auto"/>
        </w:rPr>
      </w:pPr>
      <w:r>
        <w:rPr>
          <w:rFonts w:ascii="Arial" w:cs="Arial" w:eastAsia="Arial" w:hAnsi="Arial"/>
          <w:sz w:val="14"/>
          <w:szCs w:val="14"/>
          <w:color w:val="auto"/>
        </w:rPr>
        <w:t>Such other matters as the Committee deems relevant.</w:t>
      </w:r>
    </w:p>
    <w:p>
      <w:pPr>
        <w:spacing w:after="0" w:line="205" w:lineRule="exact"/>
        <w:rPr>
          <w:rFonts w:ascii="Arial" w:cs="Arial" w:eastAsia="Arial" w:hAnsi="Arial"/>
          <w:sz w:val="14"/>
          <w:szCs w:val="14"/>
          <w:color w:val="auto"/>
        </w:rPr>
      </w:pPr>
    </w:p>
    <w:p>
      <w:pPr>
        <w:ind w:left="1280" w:hanging="241"/>
        <w:spacing w:after="0"/>
        <w:tabs>
          <w:tab w:leader="none" w:pos="12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In the case of a claim for disability benefits, the notice shall set forth:</w:t>
      </w:r>
    </w:p>
    <w:p>
      <w:pPr>
        <w:spacing w:after="0" w:line="399" w:lineRule="exact"/>
        <w:rPr>
          <w:rFonts w:ascii="Arial" w:cs="Arial" w:eastAsia="Arial" w:hAnsi="Arial"/>
          <w:sz w:val="14"/>
          <w:szCs w:val="14"/>
          <w:color w:val="auto"/>
        </w:rPr>
      </w:pPr>
    </w:p>
    <w:p>
      <w:pPr>
        <w:ind w:left="1800" w:hanging="236"/>
        <w:spacing w:after="0"/>
        <w:tabs>
          <w:tab w:leader="none" w:pos="1800" w:val="left"/>
        </w:tabs>
        <w:numPr>
          <w:ilvl w:val="2"/>
          <w:numId w:val="87"/>
        </w:numPr>
        <w:rPr>
          <w:rFonts w:ascii="Arial" w:cs="Arial" w:eastAsia="Arial" w:hAnsi="Arial"/>
          <w:sz w:val="14"/>
          <w:szCs w:val="14"/>
          <w:color w:val="auto"/>
        </w:rPr>
      </w:pPr>
      <w:r>
        <w:rPr>
          <w:rFonts w:ascii="Arial" w:cs="Arial" w:eastAsia="Arial" w:hAnsi="Arial"/>
          <w:sz w:val="14"/>
          <w:szCs w:val="14"/>
          <w:color w:val="auto"/>
        </w:rPr>
        <w:t>Whether the Committee’s denial relied upon any specific rule, guideline, protocol or scientific or clinical judgment; and</w:t>
      </w:r>
    </w:p>
    <w:p>
      <w:pPr>
        <w:spacing w:after="0" w:line="205" w:lineRule="exact"/>
        <w:rPr>
          <w:rFonts w:ascii="Arial" w:cs="Arial" w:eastAsia="Arial" w:hAnsi="Arial"/>
          <w:sz w:val="14"/>
          <w:szCs w:val="14"/>
          <w:color w:val="auto"/>
        </w:rPr>
      </w:pPr>
    </w:p>
    <w:p>
      <w:pPr>
        <w:ind w:left="1800" w:hanging="244"/>
        <w:spacing w:after="0" w:line="288" w:lineRule="auto"/>
        <w:tabs>
          <w:tab w:leader="none" w:pos="1800" w:val="left"/>
        </w:tabs>
        <w:numPr>
          <w:ilvl w:val="2"/>
          <w:numId w:val="87"/>
        </w:numPr>
        <w:rPr>
          <w:rFonts w:ascii="Arial" w:cs="Arial" w:eastAsia="Arial" w:hAnsi="Arial"/>
          <w:sz w:val="14"/>
          <w:szCs w:val="14"/>
          <w:color w:val="auto"/>
        </w:rPr>
      </w:pPr>
      <w:r>
        <w:rPr>
          <w:rFonts w:ascii="Arial" w:cs="Arial" w:eastAsia="Arial" w:hAnsi="Arial"/>
          <w:sz w:val="14"/>
          <w:szCs w:val="14"/>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152" w:lineRule="exact"/>
        <w:rPr>
          <w:rFonts w:ascii="Arial" w:cs="Arial" w:eastAsia="Arial" w:hAnsi="Arial"/>
          <w:sz w:val="14"/>
          <w:szCs w:val="14"/>
          <w:color w:val="auto"/>
        </w:rPr>
      </w:pPr>
    </w:p>
    <w:p>
      <w:pPr>
        <w:ind w:left="760" w:hanging="262"/>
        <w:spacing w:after="0" w:line="288" w:lineRule="auto"/>
        <w:tabs>
          <w:tab w:leader="none" w:pos="760" w:val="left"/>
        </w:tabs>
        <w:numPr>
          <w:ilvl w:val="0"/>
          <w:numId w:val="88"/>
        </w:numPr>
        <w:rPr>
          <w:rFonts w:ascii="Arial" w:cs="Arial" w:eastAsia="Arial" w:hAnsi="Arial"/>
          <w:sz w:val="14"/>
          <w:szCs w:val="14"/>
          <w:b w:val="1"/>
          <w:bCs w:val="1"/>
          <w:color w:val="auto"/>
        </w:rPr>
      </w:pPr>
      <w:r>
        <w:rPr>
          <w:rFonts w:ascii="Arial" w:cs="Arial" w:eastAsia="Arial" w:hAnsi="Arial"/>
          <w:sz w:val="14"/>
          <w:szCs w:val="14"/>
          <w:u w:val="single" w:color="auto"/>
          <w:color w:val="auto"/>
        </w:rPr>
        <w:t>Other Remedies</w:t>
      </w:r>
      <w:r>
        <w:rPr>
          <w:rFonts w:ascii="Arial" w:cs="Arial" w:eastAsia="Arial" w:hAnsi="Arial"/>
          <w:sz w:val="14"/>
          <w:szCs w:val="14"/>
          <w:color w:val="auto"/>
        </w:rPr>
        <w:t>. A Claimant’s compliance with the foregoing procedures is a mandatory prerequisite to a Claimant’s right to pursue any other remedy with respect to any claim relating to this Plan.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 Change of Law</w:t>
      </w: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3" w:right="219" w:bottom="1440" w:gutter="0" w:footer="0" w:header="0"/>
        </w:sectPr>
      </w:pPr>
    </w:p>
    <w:bookmarkStart w:id="169" w:name="page170"/>
    <w:bookmarkEnd w:id="169"/>
    <w:p>
      <w:pPr>
        <w:jc w:val="both"/>
        <w:ind w:left="240"/>
        <w:spacing w:after="0" w:line="287" w:lineRule="auto"/>
        <w:rPr>
          <w:sz w:val="20"/>
          <w:szCs w:val="20"/>
          <w:color w:val="auto"/>
        </w:rPr>
      </w:pPr>
      <w:r>
        <w:rPr>
          <w:rFonts w:ascii="Arial" w:cs="Arial" w:eastAsia="Arial" w:hAnsi="Arial"/>
          <w:sz w:val="13"/>
          <w:szCs w:val="13"/>
          <w:color w:val="auto"/>
        </w:rPr>
        <w:t>The Committee may make payments of any benefits or deferred amounts to be paid under the Plan, to any Participant or Participants, or to the beneficiary of any Participant or Participants, in advance of the date when otherwise due, (i) if, based on a change in federal tax law or regulation, published rulings or similar announcements by the Internal Revenue Service, decision by a court of competent jurisdiction involving the Plan, a Participant or a beneficiary, or a closing agreement made under Section 7121 of the Internal Revenue Code of 1986 that involves the Plan, a Participant or a beneficiary, it determines that a Participant or beneficiary will recognize income for federal income tax purposes with respect to amounts that are otherwise not then payable under the Plan; or (ii) if it shall be determined that the Plan is subject to the requirements of Parts 2 and 3 of Subtitle B of Title I of the Employee Retirement Income Security Act of 1974, because such Plan is not maintained primarily for the purpose of providing deferred compensation for a select group of management or highly compensated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5.7 Tax Withholding</w:t>
      </w:r>
    </w:p>
    <w:p>
      <w:pPr>
        <w:spacing w:after="0" w:line="209"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The Company shall have the right to deduct from all payments to be made under the Plan, any federal, state or local taxes or other charges required by law to be withheld with respect to such payments.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 Generation-Skipping Tax</w:t>
      </w:r>
    </w:p>
    <w:p>
      <w:pPr>
        <w:spacing w:after="0" w:line="209" w:lineRule="exact"/>
        <w:rPr>
          <w:sz w:val="20"/>
          <w:szCs w:val="20"/>
          <w:color w:val="auto"/>
        </w:rPr>
      </w:pPr>
    </w:p>
    <w:p>
      <w:pPr>
        <w:jc w:val="both"/>
        <w:ind w:left="240"/>
        <w:spacing w:after="0" w:line="283" w:lineRule="auto"/>
        <w:rPr>
          <w:sz w:val="20"/>
          <w:szCs w:val="20"/>
          <w:color w:val="auto"/>
        </w:rPr>
      </w:pPr>
      <w:r>
        <w:rPr>
          <w:rFonts w:ascii="Arial" w:cs="Arial" w:eastAsia="Arial" w:hAnsi="Arial"/>
          <w:sz w:val="13"/>
          <w:szCs w:val="13"/>
          <w:color w:val="auto"/>
        </w:rPr>
        <w:t>Notwithstanding any provisions in this Plan to the contrary, the Committee may withhold any benefits payable to a beneficiary as a result of the death of the Participant (or the death of any beneficiary designated by the Participant) until such time as (i) the Committee is able to determine whether a generation-skipping transfer tax, as defined in Chapter 13 of the Internal Revenue Code of 1986, or any substitute provision therefor, is payable by the Company; and (ii) the Committee has determined the amount of generation-skipping transfer tax that is due, including interest thereon. If any such tax is payable, the Committee shall reduce the benefits otherwise payable hereunder to such beneficiary by the amount necessary to provide said beneficiary with a benefit equal to the amounts that would have been payable if the original benefits had been calculated on the basis of a value for the Participant’s supplemental account reduced by an amount equal to the generation-skipping transfer tax and any interest thereon that is payable as a result of the death in question. The Committee may also withhold from distribution by further reduction of the then net value of benefits calculated in accordance with the terms of the previous sentence such amounts as the Committee feels are reasonably necessary to pay additional generation-skipping transfer tax and interest thereon from amounts initially calculated to be due. Any amounts so withheld, and not actually paid as a generation-skipping transfer tax or interest thereon, shall be payable as soon as there is a final determination of the applicable generation-skipping tax and interest thereon.</w:t>
      </w:r>
    </w:p>
    <w:p>
      <w:pPr>
        <w:spacing w:after="0" w:line="159"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23" w:right="219" w:bottom="1440" w:gutter="0" w:footer="0" w:header="0"/>
        </w:sectPr>
      </w:pPr>
    </w:p>
    <w:bookmarkStart w:id="170" w:name="page171"/>
    <w:bookmarkEnd w:id="170"/>
    <w:p>
      <w:pPr>
        <w:ind w:left="780"/>
        <w:spacing w:after="0"/>
        <w:tabs>
          <w:tab w:leader="none" w:pos="2000" w:val="left"/>
        </w:tabs>
        <w:rPr>
          <w:sz w:val="20"/>
          <w:szCs w:val="20"/>
          <w:color w:val="auto"/>
        </w:rPr>
      </w:pPr>
      <w:r>
        <w:rPr>
          <w:rFonts w:ascii="Arial" w:cs="Arial" w:eastAsia="Arial" w:hAnsi="Arial"/>
          <w:sz w:val="14"/>
          <w:szCs w:val="14"/>
          <w:b w:val="1"/>
          <w:bCs w:val="1"/>
          <w:color w:val="auto"/>
        </w:rPr>
        <w:t>SECTION 6.</w:t>
      </w:r>
      <w:r>
        <w:rPr>
          <w:sz w:val="20"/>
          <w:szCs w:val="20"/>
          <w:color w:val="auto"/>
        </w:rPr>
        <w:tab/>
      </w:r>
      <w:r>
        <w:rPr>
          <w:rFonts w:ascii="Arial" w:cs="Arial" w:eastAsia="Arial" w:hAnsi="Arial"/>
          <w:sz w:val="14"/>
          <w:szCs w:val="14"/>
          <w:b w:val="1"/>
          <w:bCs w:val="1"/>
          <w:color w:val="auto"/>
        </w:rPr>
        <w:t>GENERAL PROVISIONS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6.1 Nonassignability</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Benefits under the Plan are not in any way subject to the debts of other obligations of the persons entitled thereto and may not voluntarily or involuntarily be sold, transferred, or assigned.</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 Incompetency</w:t>
      </w:r>
    </w:p>
    <w:p>
      <w:pPr>
        <w:spacing w:after="0" w:line="209" w:lineRule="exact"/>
        <w:rPr>
          <w:sz w:val="20"/>
          <w:szCs w:val="20"/>
          <w:color w:val="auto"/>
        </w:rPr>
      </w:pPr>
    </w:p>
    <w:p>
      <w:pPr>
        <w:jc w:val="both"/>
        <w:ind w:left="240"/>
        <w:spacing w:after="0" w:line="264" w:lineRule="auto"/>
        <w:rPr>
          <w:sz w:val="20"/>
          <w:szCs w:val="20"/>
          <w:color w:val="auto"/>
        </w:rPr>
      </w:pPr>
      <w:r>
        <w:rPr>
          <w:rFonts w:ascii="Arial" w:cs="Arial" w:eastAsia="Arial" w:hAnsi="Arial"/>
          <w:sz w:val="14"/>
          <w:szCs w:val="14"/>
          <w:color w:val="auto"/>
        </w:rPr>
        <w:t>If the Committee determines that a distribution under this Plan is to be paid to a minor, a person declared incompetent or to a person incapable of handling the disposition of that person’s property, the Committee may direct such distribution to be paid to the guardian, legal representative or person having the care and custody of such minor, incompetent or incapable person. The Committee may require proof of majority, competence, capacity, guardianship, or status as a legal representative as it may deem appropriate prior to distribution of a payment. Any distribution shall be a payment for the account of the Participant and the Participant’s Beneficiary, as the case may be, and shall be a complete discharge of any liability for such payment amount.</w:t>
      </w:r>
    </w:p>
    <w:p>
      <w:pPr>
        <w:spacing w:after="0" w:line="36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b w:val="1"/>
          <w:bCs w:val="1"/>
          <w:color w:val="auto"/>
        </w:rPr>
        <w:t>6.3 Employment Rights</w:t>
      </w:r>
    </w:p>
    <w:p>
      <w:pPr>
        <w:spacing w:after="0" w:line="209" w:lineRule="exact"/>
        <w:rPr>
          <w:sz w:val="20"/>
          <w:szCs w:val="20"/>
          <w:color w:val="auto"/>
        </w:rPr>
      </w:pPr>
    </w:p>
    <w:p>
      <w:pPr>
        <w:jc w:val="both"/>
        <w:ind w:left="240"/>
        <w:spacing w:after="0" w:line="328" w:lineRule="auto"/>
        <w:rPr>
          <w:sz w:val="20"/>
          <w:szCs w:val="20"/>
          <w:color w:val="auto"/>
        </w:rPr>
      </w:pPr>
      <w:r>
        <w:rPr>
          <w:rFonts w:ascii="Arial" w:cs="Arial" w:eastAsia="Arial" w:hAnsi="Arial"/>
          <w:sz w:val="13"/>
          <w:szCs w:val="13"/>
          <w:color w:val="auto"/>
        </w:rPr>
        <w:t>The establishment of the Plan shall not be construed as conferring any legal rights upon any Participant or any other person for a continuation of employment, nor shall it interfere with the rights of the Company to discharge any person and/or treat such person without regard to the effect which such treatment might have upon him or her as a person covered by this Plan.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 No Individual Liability</w:t>
      </w:r>
    </w:p>
    <w:p>
      <w:pPr>
        <w:spacing w:after="0" w:line="209"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It is declared to be the express purpose and intention of the Plan that no liability whatever shall attach to or be incurred by the shareholders, officers, or directors of the Company, or any representatives appointed hereunder by the Company, under or by reason of any of the terms or conditions of the Plan.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6.5 Illegality of Particular Provision</w:t>
      </w:r>
    </w:p>
    <w:p>
      <w:pPr>
        <w:spacing w:after="0" w:line="209" w:lineRule="exact"/>
        <w:rPr>
          <w:sz w:val="20"/>
          <w:szCs w:val="20"/>
          <w:color w:val="auto"/>
        </w:rPr>
      </w:pPr>
    </w:p>
    <w:p>
      <w:pPr>
        <w:jc w:val="both"/>
        <w:ind w:left="240"/>
        <w:spacing w:after="0" w:line="288" w:lineRule="auto"/>
        <w:rPr>
          <w:sz w:val="20"/>
          <w:szCs w:val="20"/>
          <w:color w:val="auto"/>
        </w:rPr>
      </w:pPr>
      <w:r>
        <w:rPr>
          <w:rFonts w:ascii="Arial" w:cs="Arial" w:eastAsia="Arial" w:hAnsi="Arial"/>
          <w:sz w:val="14"/>
          <w:szCs w:val="14"/>
          <w:color w:val="auto"/>
        </w:rPr>
        <w:t>If any particular provision of the Plan shall be found to be illegal or unenforceable, such provision shall not affect the other provisions thereof, but the Plan shall be construed in all respects as if such invalid provision were omitted.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 Contractual Obligations</w:t>
      </w:r>
    </w:p>
    <w:p>
      <w:pPr>
        <w:spacing w:after="0" w:line="209" w:lineRule="exact"/>
        <w:rPr>
          <w:sz w:val="20"/>
          <w:szCs w:val="20"/>
          <w:color w:val="auto"/>
        </w:rPr>
      </w:pPr>
    </w:p>
    <w:p>
      <w:pPr>
        <w:jc w:val="both"/>
        <w:ind w:left="240"/>
        <w:spacing w:after="0" w:line="272" w:lineRule="auto"/>
        <w:rPr>
          <w:sz w:val="20"/>
          <w:szCs w:val="20"/>
          <w:color w:val="auto"/>
        </w:rPr>
      </w:pPr>
      <w:r>
        <w:rPr>
          <w:rFonts w:ascii="Arial" w:cs="Arial" w:eastAsia="Arial" w:hAnsi="Arial"/>
          <w:sz w:val="14"/>
          <w:szCs w:val="14"/>
          <w:color w:val="auto"/>
        </w:rPr>
        <w:t>It is intended that the Company is under a contractual obligation to make payments to Participants from the general funds and assets of the Company in accordance with the terms and conditions of the Plan, with such payments to reduce the amounts allocated to the Participant’s account hereunder. A Participant shall have no rights to such payments other than as a general, unsecured creditor of the Company.</w:t>
      </w:r>
    </w:p>
    <w:p>
      <w:pPr>
        <w:spacing w:after="0" w:line="16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72" w:name="page173"/>
    <w:bookmarkEnd w:id="172"/>
    <w:p>
      <w:pPr>
        <w:ind w:left="80"/>
        <w:spacing w:after="0"/>
        <w:rPr>
          <w:sz w:val="20"/>
          <w:szCs w:val="20"/>
          <w:color w:val="auto"/>
        </w:rPr>
      </w:pPr>
      <w:r>
        <w:rPr>
          <w:rFonts w:ascii="Arial" w:cs="Arial" w:eastAsia="Arial" w:hAnsi="Arial"/>
          <w:sz w:val="14"/>
          <w:szCs w:val="14"/>
          <w:b w:val="1"/>
          <w:bCs w:val="1"/>
          <w:color w:val="auto"/>
        </w:rPr>
        <w:t>6.7 Counterparts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This Plan may be executed in any number of counterparts, each of which shall constitute but one and the same instrument and may be sufficiently evidenced by any one counterpart.</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6.8 Evidence</w:t>
      </w:r>
    </w:p>
    <w:p>
      <w:pPr>
        <w:spacing w:after="0" w:line="209" w:lineRule="exact"/>
        <w:rPr>
          <w:sz w:val="20"/>
          <w:szCs w:val="20"/>
          <w:color w:val="auto"/>
        </w:rPr>
      </w:pPr>
    </w:p>
    <w:p>
      <w:pPr>
        <w:jc w:val="both"/>
        <w:ind w:left="320"/>
        <w:spacing w:after="0" w:line="288" w:lineRule="auto"/>
        <w:rPr>
          <w:sz w:val="20"/>
          <w:szCs w:val="20"/>
          <w:color w:val="auto"/>
        </w:rPr>
      </w:pPr>
      <w:r>
        <w:rPr>
          <w:rFonts w:ascii="Arial" w:cs="Arial" w:eastAsia="Arial" w:hAnsi="Arial"/>
          <w:sz w:val="14"/>
          <w:szCs w:val="14"/>
          <w:color w:val="auto"/>
        </w:rPr>
        <w:t>Evidence required of anyone under the Plan may be by certificate, affidavit, document or other information which the person relying thereon considers pertinent and reliable, and signed, made or presented by the proper party or parties.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6.9 Action by Company</w:t>
      </w:r>
    </w:p>
    <w:p>
      <w:pPr>
        <w:spacing w:after="0" w:line="209" w:lineRule="exact"/>
        <w:rPr>
          <w:sz w:val="20"/>
          <w:szCs w:val="20"/>
          <w:color w:val="auto"/>
        </w:rPr>
      </w:pPr>
    </w:p>
    <w:p>
      <w:pPr>
        <w:jc w:val="both"/>
        <w:ind w:left="320"/>
        <w:spacing w:after="0" w:line="288" w:lineRule="auto"/>
        <w:rPr>
          <w:sz w:val="20"/>
          <w:szCs w:val="20"/>
          <w:color w:val="auto"/>
        </w:rPr>
      </w:pPr>
      <w:r>
        <w:rPr>
          <w:rFonts w:ascii="Arial" w:cs="Arial" w:eastAsia="Arial" w:hAnsi="Arial"/>
          <w:sz w:val="14"/>
          <w:szCs w:val="14"/>
          <w:color w:val="auto"/>
        </w:rPr>
        <w:t>Any action required of or permitted by the Company under the Plan shall be by resolution of it’s Board of Directors or by a person or persons authorized by resolution of the Board to act on its behalf with respect to the Plan.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6.10 Notice</w:t>
      </w:r>
    </w:p>
    <w:p>
      <w:pPr>
        <w:spacing w:after="0" w:line="209" w:lineRule="exact"/>
        <w:rPr>
          <w:sz w:val="20"/>
          <w:szCs w:val="20"/>
          <w:color w:val="auto"/>
        </w:rPr>
      </w:pPr>
    </w:p>
    <w:p>
      <w:pPr>
        <w:jc w:val="both"/>
        <w:ind w:left="320"/>
        <w:spacing w:after="0" w:line="302" w:lineRule="auto"/>
        <w:rPr>
          <w:sz w:val="20"/>
          <w:szCs w:val="20"/>
          <w:color w:val="auto"/>
        </w:rPr>
      </w:pPr>
      <w:r>
        <w:rPr>
          <w:rFonts w:ascii="Arial" w:cs="Arial" w:eastAsia="Arial" w:hAnsi="Arial"/>
          <w:sz w:val="13"/>
          <w:szCs w:val="13"/>
          <w:color w:val="auto"/>
        </w:rPr>
        <w:t>Any notice or filing required or permitted under the Plan shall be sufficient if in writing and if (i) hand-delivered or sent by telecopy, (ii) sent by registered or certified mail, or (iii) sent by nationally-recognized overnight courier. Such notice shall be deemed given as of (a) the date of delivery if hand-delivered or sent by telecopy, (b) as of the date shown on the postmark on the receipt for registration or certification, if delivery is by mail, or (c) on the first business day after dispatch, if sent by nationally-recognized overnight courier.</w:t>
      </w:r>
    </w:p>
    <w:p>
      <w:pPr>
        <w:spacing w:after="0" w:line="143"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14"/>
          <w:szCs w:val="14"/>
          <w:b w:val="1"/>
          <w:bCs w:val="1"/>
          <w:color w:val="auto"/>
        </w:rPr>
        <w:t>SECTION 7.</w:t>
      </w:r>
      <w:r>
        <w:rPr>
          <w:sz w:val="20"/>
          <w:szCs w:val="20"/>
          <w:color w:val="auto"/>
        </w:rPr>
        <w:tab/>
      </w:r>
      <w:r>
        <w:rPr>
          <w:rFonts w:ascii="Arial" w:cs="Arial" w:eastAsia="Arial" w:hAnsi="Arial"/>
          <w:sz w:val="14"/>
          <w:szCs w:val="14"/>
          <w:b w:val="1"/>
          <w:bCs w:val="1"/>
          <w:color w:val="auto"/>
        </w:rPr>
        <w:t>AMENDMENT AND TERMINATION</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7.1 Amendment and Termination</w:t>
      </w:r>
    </w:p>
    <w:p>
      <w:pPr>
        <w:spacing w:after="0" w:line="209" w:lineRule="exact"/>
        <w:rPr>
          <w:sz w:val="20"/>
          <w:szCs w:val="20"/>
          <w:color w:val="auto"/>
        </w:rPr>
      </w:pPr>
    </w:p>
    <w:p>
      <w:pPr>
        <w:jc w:val="both"/>
        <w:ind w:left="320"/>
        <w:spacing w:after="0" w:line="267" w:lineRule="auto"/>
        <w:rPr>
          <w:sz w:val="20"/>
          <w:szCs w:val="20"/>
          <w:color w:val="auto"/>
        </w:rPr>
      </w:pPr>
      <w:r>
        <w:rPr>
          <w:rFonts w:ascii="Arial" w:cs="Arial" w:eastAsia="Arial" w:hAnsi="Arial"/>
          <w:sz w:val="14"/>
          <w:szCs w:val="14"/>
          <w:color w:val="auto"/>
        </w:rPr>
        <w:t>The Company expects the Plan to be permanent, but since future conditions affecting the Company cannot be anticipated or foreseen, the Company must necessarily and does hereby reserve the right to amend, modify, or terminate the Plan at any time by written resolution of its Board of Directors. Provided, however, no amendment, termination or other change in the Plan shall reduce the amount allocated to the account of a Participant on the date of such amendment, termination or other change, which account balance shall be payable to such Participant or such Participant’s beneficiary as provided herein.</w:t>
      </w:r>
    </w:p>
    <w:p>
      <w:pPr>
        <w:spacing w:after="0" w:line="167"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319" w:right="21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color w:val="auto"/>
        </w:rPr>
        <w:t>7.2 Reorganization of the Company</w:t>
      </w:r>
    </w:p>
    <w:p>
      <w:pPr>
        <w:spacing w:after="0" w:line="209" w:lineRule="exact"/>
        <w:rPr>
          <w:sz w:val="20"/>
          <w:szCs w:val="20"/>
          <w:color w:val="auto"/>
        </w:rPr>
      </w:pPr>
    </w:p>
    <w:p>
      <w:pPr>
        <w:jc w:val="both"/>
        <w:ind w:left="240"/>
        <w:spacing w:after="0" w:line="267" w:lineRule="auto"/>
        <w:rPr>
          <w:sz w:val="20"/>
          <w:szCs w:val="20"/>
          <w:color w:val="auto"/>
        </w:rPr>
      </w:pPr>
      <w:r>
        <w:rPr>
          <w:rFonts w:ascii="Arial" w:cs="Arial" w:eastAsia="Arial" w:hAnsi="Arial"/>
          <w:sz w:val="14"/>
          <w:szCs w:val="14"/>
          <w:color w:val="auto"/>
        </w:rPr>
        <w:t>In the event of a merger or consolidation of the Company, or the transfer of substantially all of the assets of the Company to another corporation, such continuing, resulting or transferee corporation shall have the right to continue and carry on the Plan and to assume all liabilities of the Company hereunder without obtaining the consent of any Participant or beneficiary. If such successor shall assume the liabilities of the Company hereunder, then the Company shall be relieved of all such liability, and no Participant or beneficiary shall have the right to assert any claim against the Company for benefits under or in connection with this Plan.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7.3 Prohibition on Material Modifications</w:t>
      </w:r>
    </w:p>
    <w:p>
      <w:pPr>
        <w:spacing w:after="0" w:line="209" w:lineRule="exact"/>
        <w:rPr>
          <w:sz w:val="20"/>
          <w:szCs w:val="20"/>
          <w:color w:val="auto"/>
        </w:rPr>
      </w:pPr>
    </w:p>
    <w:p>
      <w:pPr>
        <w:jc w:val="both"/>
        <w:ind w:left="240"/>
        <w:spacing w:after="0" w:line="267" w:lineRule="auto"/>
        <w:rPr>
          <w:sz w:val="20"/>
          <w:szCs w:val="20"/>
          <w:color w:val="auto"/>
        </w:rPr>
      </w:pPr>
      <w:r>
        <w:rPr>
          <w:rFonts w:ascii="Arial" w:cs="Arial" w:eastAsia="Arial" w:hAnsi="Arial"/>
          <w:sz w:val="14"/>
          <w:szCs w:val="14"/>
          <w:color w:val="auto"/>
        </w:rPr>
        <w:t>Notwithstanding anything to the contrary contained herein, this Plan is intended to be grandfathered under and exempt from section 409A of the Internal Revenue Code (“Section 409A”) and shall be administered and interpreted in a manner intended to ensure that the Plan remains exempt from Section 409A. No amendments or other modifications to the Plan shall be made, interpreted or construed in a manner that would cause a material modification (within the meaning of Section 409A, including Treasury Regulation § 1.409A-6(a)(4)) to the Plan or to the benefits available under the Plan.</w:t>
      </w:r>
    </w:p>
    <w:p>
      <w:pPr>
        <w:spacing w:after="0" w:line="163"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14"/>
          <w:szCs w:val="14"/>
          <w:b w:val="1"/>
          <w:bCs w:val="1"/>
          <w:color w:val="auto"/>
        </w:rPr>
        <w:t>SECTION 8.</w:t>
      </w:r>
      <w:r>
        <w:rPr>
          <w:sz w:val="20"/>
          <w:szCs w:val="20"/>
          <w:color w:val="auto"/>
        </w:rPr>
        <w:tab/>
      </w:r>
      <w:r>
        <w:rPr>
          <w:rFonts w:ascii="Arial" w:cs="Arial" w:eastAsia="Arial" w:hAnsi="Arial"/>
          <w:sz w:val="14"/>
          <w:szCs w:val="14"/>
          <w:b w:val="1"/>
          <w:bCs w:val="1"/>
          <w:color w:val="auto"/>
        </w:rPr>
        <w:t>APPLICABLE LAWS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8.1 Applicable Laws.</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Plan shall be governed by and construed according to the laws of the State of Minnesota.</w:t>
      </w:r>
    </w:p>
    <w:p>
      <w:pPr>
        <w:spacing w:after="0" w:line="399"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color w:val="auto"/>
        </w:rPr>
        <w:t>IN WITNESS WHEREOF, ALLETE, Inc. has caused these presents to be signed and its corporate seal to be hereunto affixed by its duly authorized officers, effective as of January 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ALLETE, Inc.</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Donald J. Shippar</w:t>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Donald J. Shippar</w:t>
      </w:r>
    </w:p>
    <w:p>
      <w:pPr>
        <w:spacing w:after="0" w:line="205" w:lineRule="exact"/>
        <w:rPr>
          <w:sz w:val="20"/>
          <w:szCs w:val="20"/>
          <w:color w:val="auto"/>
        </w:rPr>
      </w:pPr>
    </w:p>
    <w:p>
      <w:pPr>
        <w:ind w:left="1220"/>
        <w:spacing w:after="0"/>
        <w:tabs>
          <w:tab w:leader="none" w:pos="1580" w:val="left"/>
        </w:tabs>
        <w:rPr>
          <w:sz w:val="20"/>
          <w:szCs w:val="20"/>
          <w:color w:val="auto"/>
        </w:rPr>
      </w:pPr>
      <w:r>
        <w:rPr>
          <w:rFonts w:ascii="Arial" w:cs="Arial" w:eastAsia="Arial" w:hAnsi="Arial"/>
          <w:sz w:val="14"/>
          <w:szCs w:val="14"/>
          <w:color w:val="auto"/>
        </w:rPr>
        <w:t>Its:</w:t>
        <w:tab/>
        <w:t>Chairman, President and Chief Executive Officer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ATTEST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Deborah A. Amberg</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Deborah A. Amberg</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Its:</w:t>
      </w:r>
      <w:r>
        <w:rPr>
          <w:sz w:val="20"/>
          <w:szCs w:val="20"/>
          <w:color w:val="auto"/>
        </w:rPr>
        <w:tab/>
      </w:r>
      <w:r>
        <w:rPr>
          <w:rFonts w:ascii="Arial" w:cs="Arial" w:eastAsia="Arial" w:hAnsi="Arial"/>
          <w:sz w:val="14"/>
          <w:szCs w:val="14"/>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800"/>
          </w:cols>
          <w:pgMar w:left="740" w:top="323" w:right="359" w:bottom="1440" w:gutter="0" w:footer="0" w:header="0"/>
        </w:sectPr>
      </w:pPr>
    </w:p>
    <w:bookmarkStart w:id="175" w:name="page176"/>
    <w:bookmarkEnd w:id="1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b w:val="1"/>
          <w:bCs w:val="1"/>
          <w:color w:val="auto"/>
        </w:rPr>
        <w:t>Exhibit 10(i)5</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ALLETE AND AFFILIATED COMPANIES</w:t>
      </w:r>
    </w:p>
    <w:p>
      <w:pPr>
        <w:spacing w:after="0" w:line="205"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SUPPLEMENTAL EXECUTIVE RETIREMENT PLAN II</w:t>
      </w:r>
    </w:p>
    <w:p>
      <w:pPr>
        <w:spacing w:after="0" w:line="200" w:lineRule="exact"/>
        <w:rPr>
          <w:sz w:val="20"/>
          <w:szCs w:val="20"/>
          <w:color w:val="auto"/>
        </w:rPr>
      </w:pPr>
    </w:p>
    <w:p>
      <w:pPr>
        <w:spacing w:after="0" w:line="203" w:lineRule="exact"/>
        <w:rPr>
          <w:sz w:val="20"/>
          <w:szCs w:val="20"/>
          <w:color w:val="auto"/>
        </w:rPr>
      </w:pPr>
    </w:p>
    <w:p>
      <w:pPr>
        <w:ind w:left="3780"/>
        <w:spacing w:after="0"/>
        <w:rPr>
          <w:sz w:val="20"/>
          <w:szCs w:val="20"/>
          <w:color w:val="auto"/>
        </w:rPr>
      </w:pPr>
      <w:r>
        <w:rPr>
          <w:rFonts w:ascii="Arial" w:cs="Arial" w:eastAsia="Arial" w:hAnsi="Arial"/>
          <w:sz w:val="14"/>
          <w:szCs w:val="14"/>
          <w:color w:val="auto"/>
        </w:rPr>
        <w:t>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1941195</wp:posOffset>
            </wp:positionV>
            <wp:extent cx="728027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TABLE OF CONTENTS</w:t>
            </w: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96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1</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Establishment and Purpose</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2</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Section 409A Plans and Organization</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2.1</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Section 409A Plans</w:t>
            </w:r>
          </w:p>
        </w:tc>
        <w:tc>
          <w:tcPr>
            <w:tcW w:w="49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2.2</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Organization</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2.3</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Section 409A Compliance</w:t>
            </w:r>
          </w:p>
        </w:tc>
        <w:tc>
          <w:tcPr>
            <w:tcW w:w="49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ARTICLE 3</w:t>
            </w:r>
          </w:p>
        </w:tc>
        <w:tc>
          <w:tcPr>
            <w:tcW w:w="5380" w:type="dxa"/>
            <w:vAlign w:val="bottom"/>
            <w:gridSpan w:val="3"/>
          </w:tcPr>
          <w:p>
            <w:pPr>
              <w:ind w:left="260"/>
              <w:spacing w:after="0"/>
              <w:rPr>
                <w:sz w:val="20"/>
                <w:szCs w:val="20"/>
                <w:color w:val="auto"/>
              </w:rPr>
            </w:pPr>
            <w:r>
              <w:rPr>
                <w:rFonts w:ascii="Arial" w:cs="Arial" w:eastAsia="Arial" w:hAnsi="Arial"/>
                <w:sz w:val="14"/>
                <w:szCs w:val="14"/>
                <w:color w:val="auto"/>
              </w:rPr>
              <w:t>Administration</w:t>
            </w:r>
          </w:p>
        </w:tc>
        <w:tc>
          <w:tcPr>
            <w:tcW w:w="49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3.1</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Administrator</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3.2</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Duties</w:t>
            </w:r>
          </w:p>
        </w:tc>
        <w:tc>
          <w:tcPr>
            <w:tcW w:w="49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3.3</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Agents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3.4</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Binding Effect of Decisions</w:t>
            </w:r>
          </w:p>
        </w:tc>
        <w:tc>
          <w:tcPr>
            <w:tcW w:w="49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3.5</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Employer Information</w:t>
            </w:r>
          </w:p>
        </w:tc>
        <w:tc>
          <w:tcPr>
            <w:tcW w:w="4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4</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Participation</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4.1</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Eligibility and Commencement of Participation</w:t>
            </w:r>
          </w:p>
        </w:tc>
        <w:tc>
          <w:tcPr>
            <w:tcW w:w="49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4.2</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Rule for Initial Participation</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4.3</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Termination of Participation</w:t>
            </w:r>
          </w:p>
        </w:tc>
        <w:tc>
          <w:tcPr>
            <w:tcW w:w="49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ARTICLE 5</w:t>
            </w:r>
          </w:p>
        </w:tc>
        <w:tc>
          <w:tcPr>
            <w:tcW w:w="5380" w:type="dxa"/>
            <w:vAlign w:val="bottom"/>
            <w:gridSpan w:val="3"/>
          </w:tcPr>
          <w:p>
            <w:pPr>
              <w:ind w:left="260"/>
              <w:spacing w:after="0"/>
              <w:rPr>
                <w:sz w:val="20"/>
                <w:szCs w:val="20"/>
                <w:color w:val="auto"/>
              </w:rPr>
            </w:pPr>
            <w:r>
              <w:rPr>
                <w:rFonts w:ascii="Arial" w:cs="Arial" w:eastAsia="Arial" w:hAnsi="Arial"/>
                <w:sz w:val="14"/>
                <w:szCs w:val="14"/>
                <w:color w:val="auto"/>
              </w:rPr>
              <w:t>Annual Make-Up Award</w:t>
            </w:r>
          </w:p>
        </w:tc>
        <w:tc>
          <w:tcPr>
            <w:tcW w:w="49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5.1</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Eligibility</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5.2</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Amount of Annual Make-Up Award</w:t>
            </w:r>
          </w:p>
        </w:tc>
        <w:tc>
          <w:tcPr>
            <w:tcW w:w="49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5.3</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Payment</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6</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SERP II Account Balance Plan for Employees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6.1</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Elective Deferrals</w:t>
            </w:r>
          </w:p>
        </w:tc>
        <w:tc>
          <w:tcPr>
            <w:tcW w:w="496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6.2</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Non-Elective Deferrals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6.3</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FICA and Other Taxes</w:t>
            </w:r>
          </w:p>
        </w:tc>
        <w:tc>
          <w:tcPr>
            <w:tcW w:w="49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6.4</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Distributions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6.5</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Additional Distribution Rules</w:t>
            </w:r>
          </w:p>
        </w:tc>
        <w:tc>
          <w:tcPr>
            <w:tcW w:w="496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6.6</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Subsequent Changes in Time and Form of Distributions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7</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Accounts and Investments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7.1</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Establishment of Accounts</w:t>
            </w:r>
          </w:p>
        </w:tc>
        <w:tc>
          <w:tcPr>
            <w:tcW w:w="49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7.2</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Timing of Credits to Accounts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7.3</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Vesting</w:t>
            </w:r>
          </w:p>
        </w:tc>
        <w:tc>
          <w:tcPr>
            <w:tcW w:w="49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7.4</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Investments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7.5</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Valuation Date</w:t>
            </w:r>
          </w:p>
        </w:tc>
        <w:tc>
          <w:tcPr>
            <w:tcW w:w="496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ARTICLE 8</w:t>
            </w:r>
          </w:p>
        </w:tc>
        <w:tc>
          <w:tcPr>
            <w:tcW w:w="5380" w:type="dxa"/>
            <w:vAlign w:val="bottom"/>
            <w:gridSpan w:val="3"/>
          </w:tcPr>
          <w:p>
            <w:pPr>
              <w:ind w:left="260"/>
              <w:spacing w:after="0"/>
              <w:rPr>
                <w:sz w:val="20"/>
                <w:szCs w:val="20"/>
                <w:color w:val="auto"/>
              </w:rPr>
            </w:pPr>
            <w:r>
              <w:rPr>
                <w:rFonts w:ascii="Arial" w:cs="Arial" w:eastAsia="Arial" w:hAnsi="Arial"/>
                <w:sz w:val="14"/>
                <w:szCs w:val="14"/>
                <w:color w:val="auto"/>
              </w:rPr>
              <w:t>SERP II Retirement Benefit</w:t>
            </w:r>
          </w:p>
        </w:tc>
        <w:tc>
          <w:tcPr>
            <w:tcW w:w="496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8.1</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Eligibility</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8.2</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Vesting and Forfeiture</w:t>
            </w:r>
          </w:p>
        </w:tc>
        <w:tc>
          <w:tcPr>
            <w:tcW w:w="496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8.3</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Retirement Benefit</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8.4</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Time and Form of Distributions</w:t>
            </w:r>
          </w:p>
        </w:tc>
        <w:tc>
          <w:tcPr>
            <w:tcW w:w="496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8.5</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Additional Distribution Rules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8.6</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Subsequent Changes in Time and Form of Payment</w:t>
            </w:r>
          </w:p>
        </w:tc>
        <w:tc>
          <w:tcPr>
            <w:tcW w:w="496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8.7</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FICA and Other Taxes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9</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Payment Acceleration and Delay</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9.1</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Permitted Accelerations of Payment</w:t>
            </w:r>
          </w:p>
        </w:tc>
        <w:tc>
          <w:tcPr>
            <w:tcW w:w="496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9.2</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Permissible Payment Delays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9.3</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Suspension Not Allowed.</w:t>
            </w:r>
          </w:p>
        </w:tc>
        <w:tc>
          <w:tcPr>
            <w:tcW w:w="496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ARTICLE 10</w:t>
            </w:r>
          </w:p>
        </w:tc>
        <w:tc>
          <w:tcPr>
            <w:tcW w:w="5380" w:type="dxa"/>
            <w:vAlign w:val="bottom"/>
            <w:gridSpan w:val="3"/>
          </w:tcPr>
          <w:p>
            <w:pPr>
              <w:ind w:left="260"/>
              <w:spacing w:after="0"/>
              <w:rPr>
                <w:sz w:val="20"/>
                <w:szCs w:val="20"/>
                <w:color w:val="auto"/>
              </w:rPr>
            </w:pPr>
            <w:r>
              <w:rPr>
                <w:rFonts w:ascii="Arial" w:cs="Arial" w:eastAsia="Arial" w:hAnsi="Arial"/>
                <w:sz w:val="14"/>
                <w:szCs w:val="14"/>
                <w:color w:val="auto"/>
              </w:rPr>
              <w:t>Beneficiary Designation</w:t>
            </w:r>
          </w:p>
        </w:tc>
        <w:tc>
          <w:tcPr>
            <w:tcW w:w="496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10.1</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Beneficiary</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10.2</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No Beneficiary Designation</w:t>
            </w:r>
          </w:p>
        </w:tc>
        <w:tc>
          <w:tcPr>
            <w:tcW w:w="496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ARTICLE 11</w:t>
            </w:r>
          </w:p>
        </w:tc>
        <w:tc>
          <w:tcPr>
            <w:tcW w:w="5380" w:type="dxa"/>
            <w:vAlign w:val="bottom"/>
            <w:gridSpan w:val="3"/>
          </w:tcPr>
          <w:p>
            <w:pPr>
              <w:ind w:left="260"/>
              <w:spacing w:after="0"/>
              <w:rPr>
                <w:sz w:val="20"/>
                <w:szCs w:val="20"/>
                <w:color w:val="auto"/>
              </w:rPr>
            </w:pPr>
            <w:r>
              <w:rPr>
                <w:rFonts w:ascii="Arial" w:cs="Arial" w:eastAsia="Arial" w:hAnsi="Arial"/>
                <w:sz w:val="14"/>
                <w:szCs w:val="14"/>
                <w:color w:val="auto"/>
              </w:rPr>
              <w:t>Claims Procedures</w:t>
            </w:r>
          </w:p>
        </w:tc>
        <w:tc>
          <w:tcPr>
            <w:tcW w:w="496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11.1</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Presentation of Claim</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11.2</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Notification of Decision</w:t>
            </w:r>
          </w:p>
        </w:tc>
        <w:tc>
          <w:tcPr>
            <w:tcW w:w="496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11.3</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Review of a Denied Claim</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11.4</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Decision on Review</w:t>
            </w:r>
          </w:p>
        </w:tc>
        <w:tc>
          <w:tcPr>
            <w:tcW w:w="496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11.5</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Remedies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12</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Amendment or Termination</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8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ARTICLE 13</w:t>
            </w:r>
          </w:p>
        </w:tc>
        <w:tc>
          <w:tcPr>
            <w:tcW w:w="53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Miscellaneous Provisions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13.1</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Unsecured General Creditor</w:t>
            </w:r>
          </w:p>
        </w:tc>
        <w:tc>
          <w:tcPr>
            <w:tcW w:w="49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13.2</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Employer’s Liability</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13.3</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Nonassignability</w:t>
            </w:r>
          </w:p>
        </w:tc>
        <w:tc>
          <w:tcPr>
            <w:tcW w:w="496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13.4</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 Right to Employment</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13.5</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Incompetency</w:t>
            </w:r>
          </w:p>
        </w:tc>
        <w:tc>
          <w:tcPr>
            <w:tcW w:w="496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13.6</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 Withholding</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13.7</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Furnishing Information</w:t>
            </w:r>
          </w:p>
        </w:tc>
        <w:tc>
          <w:tcPr>
            <w:tcW w:w="496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13.8</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Notice</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13.9</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Gender and Number</w:t>
            </w:r>
          </w:p>
        </w:tc>
        <w:tc>
          <w:tcPr>
            <w:tcW w:w="496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13.10</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Headings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13.11</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Applicable Law and Construction</w:t>
            </w:r>
          </w:p>
        </w:tc>
        <w:tc>
          <w:tcPr>
            <w:tcW w:w="496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13.12</w:t>
            </w: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Invalid or Unenforceable Provisions</w:t>
            </w:r>
          </w:p>
        </w:tc>
        <w:tc>
          <w:tcPr>
            <w:tcW w:w="4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13.13</w:t>
            </w: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Successors</w:t>
            </w:r>
          </w:p>
        </w:tc>
        <w:tc>
          <w:tcPr>
            <w:tcW w:w="496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APPENDIX A</w:t>
            </w:r>
          </w:p>
        </w:tc>
        <w:tc>
          <w:tcPr>
            <w:tcW w:w="7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96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8"/>
        </w:trPr>
        <w:tc>
          <w:tcPr>
            <w:tcW w:w="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1" w:right="219" w:bottom="406" w:gutter="0" w:footer="0" w:header="0"/>
        </w:sectPr>
      </w:pPr>
    </w:p>
    <w:bookmarkStart w:id="178" w:name="page179"/>
    <w:bookmarkEnd w:id="178"/>
    <w:p>
      <w:pPr>
        <w:jc w:val="center"/>
        <w:spacing w:after="0"/>
        <w:rPr>
          <w:sz w:val="20"/>
          <w:szCs w:val="20"/>
          <w:color w:val="auto"/>
        </w:rPr>
      </w:pPr>
      <w:r>
        <w:rPr>
          <w:rFonts w:ascii="Arial" w:cs="Arial" w:eastAsia="Arial" w:hAnsi="Arial"/>
          <w:sz w:val="14"/>
          <w:szCs w:val="14"/>
          <w:b w:val="1"/>
          <w:bCs w:val="1"/>
          <w:color w:val="auto"/>
        </w:rPr>
        <w:t>ALLETE AND AFFILIATED COMPANIES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EXECUTIVE RETIREMENT PLAN 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Effective January 1, 2009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Establishment and Purpose</w:t>
      </w:r>
    </w:p>
    <w:p>
      <w:pPr>
        <w:spacing w:after="0" w:line="209" w:lineRule="exact"/>
        <w:rPr>
          <w:sz w:val="20"/>
          <w:szCs w:val="20"/>
          <w:color w:val="auto"/>
        </w:rPr>
      </w:pPr>
    </w:p>
    <w:p>
      <w:pPr>
        <w:ind w:firstLine="517"/>
        <w:spacing w:after="0" w:line="282" w:lineRule="auto"/>
        <w:rPr>
          <w:sz w:val="20"/>
          <w:szCs w:val="20"/>
          <w:color w:val="auto"/>
        </w:rPr>
      </w:pPr>
      <w:r>
        <w:rPr>
          <w:rFonts w:ascii="Arial" w:cs="Arial" w:eastAsia="Arial" w:hAnsi="Arial"/>
          <w:sz w:val="13"/>
          <w:szCs w:val="13"/>
          <w:color w:val="auto"/>
        </w:rPr>
        <w:t>This document includes the terms of the ALLETE and Affiliated Companies Supplemental Executive Retirement Plan II. The purpose of SERP II is to provide eligible Employees (i) an opportunity to elect to defer compensation and (ii) a supplemental Retirement Benefit, the primary purpose of which is to compensate for annual compensation limits and maximum benefit limitations imposed by the Code on Retirement Plans maintained by the Company. SERP II is a successor to the ALLETE and Affiliated Companies Supplemental Executive Retirement Plan (“SERP I”). On December 31, 2004, the Company froze SERP I with respect to all deferrals and vested accrued Retirement Benefits (if any). On January 1, 2005, the Company established SERP II to govern (a) amounts initially deferred after December 31, 2004 and investment earnings thereon; (b) Retirement Benefit accruals after December 31, 2004; and (c) accrued but unvested SERP I Retirement Benefits as of December 31, 2004.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The Company now hereby amends and restates SERP II in its entirety to comply with Section 409A, effective January 1, 2009. The Company intends that SERP II constitute an unfunded deferred compensation plan for a select group of management or highly compensated employees within the meaning of ERISA sections 201(2), 301(a)(3) and 401(a)(1). All provisions of SERP II shall be interpreted and administered to the extent possible in a manner consistent with the stated intentions. Capitalized terms, unless otherwise defined herein, shall have the meaning provided in Appendix A.</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Section 409A Plans and Organization</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u w:val="single" w:color="auto"/>
          <w:color w:val="auto"/>
        </w:rPr>
        <w:t>Section 409A Plans</w:t>
      </w:r>
      <w:r>
        <w:rPr>
          <w:rFonts w:ascii="Arial" w:cs="Arial" w:eastAsia="Arial" w:hAnsi="Arial"/>
          <w:sz w:val="14"/>
          <w:szCs w:val="14"/>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provisions of SERP II include terms and conditions applicable to the following 409A Plans:</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2.1.1 An elective account balance plan for Employees for purposes of Elective Deferrals;</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2.1.2 A non-elective account balance plan for Employees for purposes of Non-Elective Deferrals; and</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2.1.3 A non-account balance plan for Employees.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31" w:right="2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u w:val="single" w:color="auto"/>
          <w:color w:val="auto"/>
        </w:rPr>
        <w:t>Organization</w:t>
      </w:r>
      <w:r>
        <w:rPr>
          <w:rFonts w:ascii="Arial" w:cs="Arial" w:eastAsia="Arial" w:hAnsi="Arial"/>
          <w:sz w:val="14"/>
          <w:szCs w:val="14"/>
          <w:b w:val="1"/>
          <w:bCs w:val="1"/>
          <w:color w:val="auto"/>
        </w:rPr>
        <w:t>.</w:t>
      </w:r>
      <w:r>
        <w:rPr>
          <w:rFonts w:ascii="Arial" w:cs="Arial" w:eastAsia="Arial" w:hAnsi="Arial"/>
          <w:sz w:val="14"/>
          <w:szCs w:val="14"/>
          <w:color w:val="auto"/>
        </w:rPr>
        <w:t xml:space="preserve"> Except as otherwise provided in this section or in a specific section, all provisions of the Plan apply to all amounts deferred under any Article of the Plan.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2.2.1 The provisions of Article 5 apply only for purposes of identifying employees eligible to receive an Annual Make-Up Award and the amount of the award, if any.</w:t>
      </w:r>
    </w:p>
    <w:p>
      <w:pPr>
        <w:spacing w:after="0" w:line="205" w:lineRule="exact"/>
        <w:rPr>
          <w:sz w:val="20"/>
          <w:szCs w:val="20"/>
          <w:color w:val="auto"/>
        </w:rPr>
      </w:pPr>
    </w:p>
    <w:p>
      <w:pPr>
        <w:ind w:left="1020" w:hanging="358"/>
        <w:spacing w:after="0" w:line="288" w:lineRule="auto"/>
        <w:rPr>
          <w:sz w:val="20"/>
          <w:szCs w:val="20"/>
          <w:color w:val="auto"/>
        </w:rPr>
      </w:pPr>
      <w:r>
        <w:rPr>
          <w:rFonts w:ascii="Arial" w:cs="Arial" w:eastAsia="Arial" w:hAnsi="Arial"/>
          <w:sz w:val="14"/>
          <w:szCs w:val="14"/>
          <w:color w:val="auto"/>
        </w:rPr>
        <w:t>2.2.2 The provisions of Articles 6 and 7 apply only to the extent that SERP II provides for Employees’ Elective Deferrals, or Non-Elective Deferrals or both, which, for purposes of Section 409A, represent the elective and non-elective account balance plans identified in subsections 2.1.1 and 2.1.2, respectively.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2.2.3 The provisions of Article 8 apply only to the extent that SERP II provides for Retirement Benefits, which represent the non-account balance plan identified in subsection 2.1.3.</w:t>
      </w:r>
    </w:p>
    <w:p>
      <w:pPr>
        <w:spacing w:after="0" w:line="213" w:lineRule="exact"/>
        <w:rPr>
          <w:sz w:val="20"/>
          <w:szCs w:val="20"/>
          <w:color w:val="auto"/>
        </w:rPr>
      </w:pPr>
    </w:p>
    <w:p>
      <w:pPr>
        <w:jc w:val="both"/>
        <w:ind w:left="240" w:hanging="250"/>
        <w:spacing w:after="0" w:line="275"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u w:val="single" w:color="auto"/>
          <w:color w:val="auto"/>
        </w:rPr>
        <w:t>Section 409A Compliance</w:t>
      </w:r>
      <w:r>
        <w:rPr>
          <w:rFonts w:ascii="Arial" w:cs="Arial" w:eastAsia="Arial" w:hAnsi="Arial"/>
          <w:sz w:val="14"/>
          <w:szCs w:val="14"/>
          <w:b w:val="1"/>
          <w:bCs w:val="1"/>
          <w:color w:val="auto"/>
        </w:rPr>
        <w:t>.</w:t>
      </w:r>
      <w:r>
        <w:rPr>
          <w:rFonts w:ascii="Arial" w:cs="Arial" w:eastAsia="Arial" w:hAnsi="Arial"/>
          <w:sz w:val="14"/>
          <w:szCs w:val="14"/>
          <w:color w:val="auto"/>
        </w:rPr>
        <w:t xml:space="preserve"> To 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Participant.</w:t>
      </w:r>
    </w:p>
    <w:p>
      <w:pPr>
        <w:spacing w:after="0" w:line="15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ARTICLE 3</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Administration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u w:val="single" w:color="auto"/>
          <w:color w:val="auto"/>
        </w:rPr>
        <w:t>Administrator</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120"/>
        <w:spacing w:after="0" w:line="328" w:lineRule="auto"/>
        <w:rPr>
          <w:sz w:val="20"/>
          <w:szCs w:val="20"/>
          <w:color w:val="auto"/>
        </w:rPr>
      </w:pPr>
      <w:r>
        <w:rPr>
          <w:rFonts w:ascii="Arial" w:cs="Arial" w:eastAsia="Arial" w:hAnsi="Arial"/>
          <w:sz w:val="13"/>
          <w:szCs w:val="13"/>
          <w:color w:val="auto"/>
        </w:rPr>
        <w:t>The Administrator shall administer the Plan or may delegate any of its duties to such other person or persons from time to time as it may designate. Members of the Employee Benefit Plans Committee may participate in SERP II; however, any individual serving on the Employee Benefit Plans Committee shall not vote or act on any matter relating solely to himself or herself.</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u w:val="single" w:color="auto"/>
          <w:color w:val="auto"/>
        </w:rPr>
        <w:t>Duties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40"/>
        <w:spacing w:after="0" w:line="272" w:lineRule="auto"/>
        <w:rPr>
          <w:sz w:val="20"/>
          <w:szCs w:val="20"/>
          <w:color w:val="auto"/>
        </w:rPr>
      </w:pPr>
      <w:r>
        <w:rPr>
          <w:rFonts w:ascii="Arial" w:cs="Arial" w:eastAsia="Arial" w:hAnsi="Arial"/>
          <w:sz w:val="14"/>
          <w:szCs w:val="14"/>
          <w:color w:val="auto"/>
        </w:rPr>
        <w:t>The Administrator has the authority to construe and interpret all provisions of the Plan and, to the extent permitted by Section 409A, the Administrator is authorized to remedy any errors, inconsistencies or omissions, to resolve any ambiguities, to adopt rules and practices concerning the administration of the Plan, and to make any determinations and calculations necessary or appropriate hereunder. The Company shall pay all expenses and liabilities incurred in connection with Plan administration.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b w:val="1"/>
          <w:bCs w:val="1"/>
          <w:u w:val="single" w:color="auto"/>
          <w:color w:val="auto"/>
        </w:rPr>
        <w:t>Agents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100"/>
        <w:spacing w:after="0" w:line="328" w:lineRule="auto"/>
        <w:rPr>
          <w:sz w:val="20"/>
          <w:szCs w:val="20"/>
          <w:color w:val="auto"/>
        </w:rPr>
      </w:pPr>
      <w:r>
        <w:rPr>
          <w:rFonts w:ascii="Arial" w:cs="Arial" w:eastAsia="Arial" w:hAnsi="Arial"/>
          <w:sz w:val="13"/>
          <w:szCs w:val="13"/>
          <w:color w:val="auto"/>
        </w:rPr>
        <w:t>The Administrator may engage the services of accountants, attorneys, actuaries, investment consultants, and such other professional personnel as are deemed necessary or advisable to assist in fulfilling the Administrator’s responsibilities. The Administrator, the Company and the Board may rely upon the advice, opinions or valuations of any such persons.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b w:val="1"/>
          <w:bCs w:val="1"/>
          <w:u w:val="single" w:color="auto"/>
          <w:color w:val="auto"/>
        </w:rPr>
        <w:t>Binding Effect of Decisions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220"/>
        <w:spacing w:after="0" w:line="267" w:lineRule="auto"/>
        <w:rPr>
          <w:sz w:val="20"/>
          <w:szCs w:val="20"/>
          <w:color w:val="auto"/>
        </w:rPr>
      </w:pPr>
      <w:r>
        <w:rPr>
          <w:rFonts w:ascii="Arial" w:cs="Arial" w:eastAsia="Arial" w:hAnsi="Arial"/>
          <w:sz w:val="14"/>
          <w:szCs w:val="14"/>
          <w:color w:val="auto"/>
        </w:rPr>
        <w:t>The decision or action of the Administrator with respect to any question arising out of or in 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36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b w:val="1"/>
          <w:bCs w:val="1"/>
          <w:u w:val="single" w:color="auto"/>
          <w:color w:val="auto"/>
        </w:rPr>
        <w:t>Employer Information</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40"/>
        <w:spacing w:after="0" w:line="328" w:lineRule="auto"/>
        <w:rPr>
          <w:sz w:val="20"/>
          <w:szCs w:val="20"/>
          <w:color w:val="auto"/>
        </w:rPr>
      </w:pPr>
      <w:r>
        <w:rPr>
          <w:rFonts w:ascii="Arial" w:cs="Arial" w:eastAsia="Arial" w:hAnsi="Arial"/>
          <w:sz w:val="13"/>
          <w:szCs w:val="13"/>
          <w:color w:val="auto"/>
        </w:rPr>
        <w:t>To enable the Administrator to perform its duties, each Employer shall supply full and timely information to the Administrator on all matters relating to the compensation of its Participants, the date and circumstances of the Participant’s death, Disability or Separation from Service, and other pertinent information as the Administrator may reasonably require.</w:t>
      </w: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ARTICLE 4</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u w:val="single" w:color="auto"/>
          <w:color w:val="auto"/>
        </w:rPr>
        <w:t>Participation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u w:val="single" w:color="auto"/>
          <w:color w:val="auto"/>
        </w:rPr>
        <w:t>Eligibility and Commencement of Participation</w:t>
      </w:r>
      <w:r>
        <w:rPr>
          <w:rFonts w:ascii="Arial" w:cs="Arial" w:eastAsia="Arial" w:hAnsi="Arial"/>
          <w:sz w:val="14"/>
          <w:szCs w:val="14"/>
          <w:b w:val="1"/>
          <w:bCs w:val="1"/>
          <w:color w:val="auto"/>
        </w:rPr>
        <w:t>.</w:t>
      </w:r>
    </w:p>
    <w:p>
      <w:pPr>
        <w:spacing w:after="0" w:line="209" w:lineRule="exact"/>
        <w:rPr>
          <w:sz w:val="20"/>
          <w:szCs w:val="20"/>
          <w:color w:val="auto"/>
        </w:rPr>
      </w:pPr>
    </w:p>
    <w:p>
      <w:pPr>
        <w:jc w:val="both"/>
        <w:ind w:left="240" w:right="240"/>
        <w:spacing w:after="0" w:line="272" w:lineRule="auto"/>
        <w:rPr>
          <w:sz w:val="20"/>
          <w:szCs w:val="20"/>
          <w:color w:val="auto"/>
        </w:rPr>
      </w:pPr>
      <w:r>
        <w:rPr>
          <w:rFonts w:ascii="Arial" w:cs="Arial" w:eastAsia="Arial" w:hAnsi="Arial"/>
          <w:sz w:val="14"/>
          <w:szCs w:val="14"/>
          <w:color w:val="auto"/>
        </w:rPr>
        <w:t>Eligible Employees may participate in the Plan, except to the extent provided in Section 8.1 regarding eligibility for Retirement Benefits. Each Plan Year, the Administrator shall notify Eligible Employees of their eligibility to participate in the Plan during the following Plan Year. An Eligible Employee shall become a Participant either upon the initial submission of an election form on which the Eligible Employee has elected Elective Deferrals or upon first receiving an allocation of Non-Elective Deferrals.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u w:val="single" w:color="auto"/>
          <w:color w:val="auto"/>
        </w:rPr>
        <w:t>Special Rule for Initial Participation</w:t>
      </w:r>
      <w:r>
        <w:rPr>
          <w:rFonts w:ascii="Arial" w:cs="Arial" w:eastAsia="Arial" w:hAnsi="Arial"/>
          <w:sz w:val="14"/>
          <w:szCs w:val="14"/>
          <w:b w:val="1"/>
          <w:bCs w:val="1"/>
          <w:color w:val="auto"/>
        </w:rPr>
        <w:t>.</w:t>
      </w:r>
    </w:p>
    <w:p>
      <w:pPr>
        <w:spacing w:after="0" w:line="209" w:lineRule="exact"/>
        <w:rPr>
          <w:sz w:val="20"/>
          <w:szCs w:val="20"/>
          <w:color w:val="auto"/>
        </w:rPr>
      </w:pPr>
    </w:p>
    <w:p>
      <w:pPr>
        <w:ind w:left="240"/>
        <w:spacing w:after="0" w:line="264" w:lineRule="auto"/>
        <w:rPr>
          <w:sz w:val="20"/>
          <w:szCs w:val="20"/>
          <w:color w:val="auto"/>
        </w:rPr>
      </w:pPr>
      <w:r>
        <w:rPr>
          <w:rFonts w:ascii="Arial" w:cs="Arial" w:eastAsia="Arial" w:hAnsi="Arial"/>
          <w:sz w:val="14"/>
          <w:szCs w:val="14"/>
          <w:color w:val="auto"/>
        </w:rPr>
        <w:t>Within 30 days after the date an individual first becomes an Eligible Employee, the individual may elect to commence participating with respect to compensation to be paid for services performed after the election is filed. This election relating to initial participation in the Plan is available only to Participants who do not participate in any Aggregated Plans. If an Employee whose participation in the Plan is terminated again becomes an Eligible Employee, he or she may elect to defer pursuant to this Section only if the Employee was ineligible to defer compensation in this Plan and all other Related Company elective account balance plans, within the meaning of Section 409A, for the 24 months preceding the date on which the Participant again became eligible to participate in this Plan.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b w:val="1"/>
          <w:bCs w:val="1"/>
          <w:u w:val="single" w:color="auto"/>
          <w:color w:val="auto"/>
        </w:rPr>
        <w:t>Termination of Participation</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120"/>
        <w:spacing w:after="0" w:line="328" w:lineRule="auto"/>
        <w:rPr>
          <w:sz w:val="20"/>
          <w:szCs w:val="20"/>
          <w:color w:val="auto"/>
        </w:rPr>
      </w:pPr>
      <w:r>
        <w:rPr>
          <w:rFonts w:ascii="Arial" w:cs="Arial" w:eastAsia="Arial" w:hAnsi="Arial"/>
          <w:sz w:val="13"/>
          <w:szCs w:val="13"/>
          <w:color w:val="auto"/>
        </w:rPr>
        <w:t>If the Administrator determines in good faith that a Participant is no longer an Eligible Employee, the Participant shall cease active participation in the Plan on the last day of the Plan Year during which the Participant ceased to be an Eligible Employee, and the terms of this Plan shall continue to govern Participant’s Account until the Participant’s Account is paid in full.</w:t>
      </w: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ARTICLE 5</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u w:val="single" w:color="auto"/>
          <w:color w:val="auto"/>
        </w:rPr>
        <w:t>Annual Make-Up Award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u w:val="single" w:color="auto"/>
          <w:color w:val="auto"/>
        </w:rPr>
        <w:t>Eligibility</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60"/>
        <w:spacing w:after="0" w:line="267" w:lineRule="auto"/>
        <w:rPr>
          <w:sz w:val="20"/>
          <w:szCs w:val="20"/>
          <w:color w:val="auto"/>
        </w:rPr>
      </w:pPr>
      <w:r>
        <w:rPr>
          <w:rFonts w:ascii="Arial" w:cs="Arial" w:eastAsia="Arial" w:hAnsi="Arial"/>
          <w:sz w:val="14"/>
          <w:szCs w:val="14"/>
          <w:color w:val="auto"/>
        </w:rPr>
        <w:t>An Employee who: (i) was a Participant as of September 30, 2006, (ii) has continuously remained an Employee in ALLETE management salary grade SA-SM, and (iii) has continuously participated in the ALLETE Executive Annual Incentive Plan or been eligible to receive a Bonus shall be eligible to receive an Annual Make-up Award. Any other Employee shall be eligible to receive an Annual Make-up Award if the Employee: (i) initially becomes, or again becomes, a Participant after September 30, 2006, (ii) is in ALLETE management salary grade SF-SM, and (iii) participates in the ALLETE Executive Annual Incentive Plan or is eligible to receive a Bonus.</w:t>
      </w:r>
    </w:p>
    <w:p>
      <w:pPr>
        <w:spacing w:after="0" w:line="361"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20"/>
          </w:cols>
          <w:pgMar w:left="500" w:top="319" w:right="27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b w:val="1"/>
          <w:bCs w:val="1"/>
          <w:u w:val="single" w:color="auto"/>
          <w:color w:val="auto"/>
        </w:rPr>
        <w:t>Amount of Annual Make-Up Award</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240"/>
        <w:spacing w:after="0" w:line="288" w:lineRule="auto"/>
        <w:rPr>
          <w:sz w:val="20"/>
          <w:szCs w:val="20"/>
          <w:color w:val="auto"/>
        </w:rPr>
      </w:pPr>
      <w:r>
        <w:rPr>
          <w:rFonts w:ascii="Arial" w:cs="Arial" w:eastAsia="Arial" w:hAnsi="Arial"/>
          <w:sz w:val="14"/>
          <w:szCs w:val="14"/>
          <w:color w:val="auto"/>
        </w:rPr>
        <w:t>The Annual Make-Up Award shall be the sum of the Flexible Dollar Makeup, the RSOP Allocation Makeup and the RSOP Match Allocation Makeup, each calculated as described in this section.</w:t>
      </w:r>
    </w:p>
    <w:p>
      <w:pPr>
        <w:spacing w:after="0" w:line="148" w:lineRule="exact"/>
        <w:rPr>
          <w:sz w:val="20"/>
          <w:szCs w:val="20"/>
          <w:color w:val="auto"/>
        </w:rPr>
      </w:pPr>
    </w:p>
    <w:p>
      <w:pPr>
        <w:jc w:val="both"/>
        <w:ind w:left="1020" w:hanging="358"/>
        <w:spacing w:after="0" w:line="269" w:lineRule="auto"/>
        <w:rPr>
          <w:sz w:val="20"/>
          <w:szCs w:val="20"/>
          <w:color w:val="auto"/>
        </w:rPr>
      </w:pPr>
      <w:r>
        <w:rPr>
          <w:rFonts w:ascii="Arial" w:cs="Arial" w:eastAsia="Arial" w:hAnsi="Arial"/>
          <w:sz w:val="14"/>
          <w:szCs w:val="14"/>
          <w:color w:val="auto"/>
        </w:rPr>
        <w:t xml:space="preserve">5.2.1 </w:t>
      </w:r>
      <w:r>
        <w:rPr>
          <w:rFonts w:ascii="Arial" w:cs="Arial" w:eastAsia="Arial" w:hAnsi="Arial"/>
          <w:sz w:val="14"/>
          <w:szCs w:val="14"/>
          <w:b w:val="1"/>
          <w:bCs w:val="1"/>
          <w:u w:val="single" w:color="auto"/>
          <w:color w:val="auto"/>
        </w:rPr>
        <w:t>Flexible Dollar Makeup</w:t>
      </w:r>
      <w:r>
        <w:rPr>
          <w:rFonts w:ascii="Arial" w:cs="Arial" w:eastAsia="Arial" w:hAnsi="Arial"/>
          <w:sz w:val="14"/>
          <w:szCs w:val="14"/>
          <w:b w:val="1"/>
          <w:bCs w:val="1"/>
          <w:color w:val="auto"/>
        </w:rPr>
        <w:t>.</w:t>
      </w:r>
      <w:r>
        <w:rPr>
          <w:rFonts w:ascii="Arial" w:cs="Arial" w:eastAsia="Arial" w:hAnsi="Arial"/>
          <w:sz w:val="14"/>
          <w:szCs w:val="14"/>
          <w:color w:val="auto"/>
        </w:rPr>
        <w:t xml:space="preserve"> The Flexible Dollar Makeup for a Plan Year shall equal the product of A and B, with A equal to the sum of (i) 2% and (ii) the Participant’s life insurance percentage under the Minnesota Power and Affiliated Companies Flexible Compensation Plan for nonunion employees, and B equal to the sum of: (a) the total of the Participant’s Annual Incentive Award and other awards (to the extent included in calculations for the Retirement Plans) for such year, and (b) the Participant’s Salary (determined as of October 1 of the prior Plan Year) in excess of the Code section 401(a)(17) limitation in effect for that Plan Year.</w:t>
      </w:r>
    </w:p>
    <w:p>
      <w:pPr>
        <w:spacing w:after="0" w:line="162" w:lineRule="exact"/>
        <w:rPr>
          <w:sz w:val="20"/>
          <w:szCs w:val="20"/>
          <w:color w:val="auto"/>
        </w:rPr>
      </w:pPr>
    </w:p>
    <w:p>
      <w:pPr>
        <w:jc w:val="both"/>
        <w:ind w:left="1020" w:hanging="358"/>
        <w:spacing w:after="0" w:line="296" w:lineRule="auto"/>
        <w:rPr>
          <w:sz w:val="20"/>
          <w:szCs w:val="20"/>
          <w:color w:val="auto"/>
        </w:rPr>
      </w:pPr>
      <w:r>
        <w:rPr>
          <w:rFonts w:ascii="Arial" w:cs="Arial" w:eastAsia="Arial" w:hAnsi="Arial"/>
          <w:sz w:val="13"/>
          <w:szCs w:val="13"/>
          <w:color w:val="auto"/>
        </w:rPr>
        <w:t xml:space="preserve">5.2.2 </w:t>
      </w:r>
      <w:r>
        <w:rPr>
          <w:rFonts w:ascii="Arial" w:cs="Arial" w:eastAsia="Arial" w:hAnsi="Arial"/>
          <w:sz w:val="13"/>
          <w:szCs w:val="13"/>
          <w:b w:val="1"/>
          <w:bCs w:val="1"/>
          <w:u w:val="single" w:color="auto"/>
          <w:color w:val="auto"/>
        </w:rPr>
        <w:t>RSOP Allocation Makeup</w:t>
      </w:r>
      <w:r>
        <w:rPr>
          <w:rFonts w:ascii="Arial" w:cs="Arial" w:eastAsia="Arial" w:hAnsi="Arial"/>
          <w:sz w:val="13"/>
          <w:szCs w:val="13"/>
          <w:b w:val="1"/>
          <w:bCs w:val="1"/>
          <w:color w:val="auto"/>
        </w:rPr>
        <w:t>.</w:t>
      </w:r>
      <w:r>
        <w:rPr>
          <w:rFonts w:ascii="Arial" w:cs="Arial" w:eastAsia="Arial" w:hAnsi="Arial"/>
          <w:sz w:val="13"/>
          <w:szCs w:val="13"/>
          <w:color w:val="auto"/>
        </w:rPr>
        <w:t xml:space="preserve"> For a Participant who was a Participant as of September 30, 2006, for so long as he remains continuously eligible as a Participant, the RSOP Allocation Makeup for a Plan Year shall equal the product of C and D, with C equal to the sum of (i) 1.5% and (ii) the percentage (if any) being allocated for that year as an excess amount pursuant to the RSOP, and D equal to the sum of (a) the total of the Participant’s Annual Incentive Award and other award (to the extent included in calculations for the Retirement Plans) for such year, and (b) the amount of the Participant’s Salary in excess of the Code section 401(a)(17) limitation in effect for that Plan Year.</w:t>
      </w:r>
    </w:p>
    <w:p>
      <w:pPr>
        <w:spacing w:after="0" w:line="150" w:lineRule="exact"/>
        <w:rPr>
          <w:sz w:val="20"/>
          <w:szCs w:val="20"/>
          <w:color w:val="auto"/>
        </w:rPr>
      </w:pPr>
    </w:p>
    <w:p>
      <w:pPr>
        <w:ind w:left="1020" w:right="220"/>
        <w:spacing w:after="0" w:line="267" w:lineRule="auto"/>
        <w:rPr>
          <w:sz w:val="20"/>
          <w:szCs w:val="20"/>
          <w:color w:val="auto"/>
        </w:rPr>
      </w:pPr>
      <w:r>
        <w:rPr>
          <w:rFonts w:ascii="Arial" w:cs="Arial" w:eastAsia="Arial" w:hAnsi="Arial"/>
          <w:sz w:val="14"/>
          <w:szCs w:val="14"/>
          <w:color w:val="auto"/>
        </w:rPr>
        <w:t>For a Participant who becomes a Participant on or after October 1, 2006, the RSOP Allocation Makeup for a Plan Year shall equal the product of E and F, with E equal to the sum of: (i) 6% and (ii) the percentage, if any, being allocated as an excess amount pursuant to the RSOP; and F equal to the sum of (a) the total of the Participant’s Annual Incentive Award and other award (to the extent included in calculations for the Retirement Plans) for the year, and (b) the amount of the Participant’s Salary in excess of the Code section 401(a)(17) limitation in effect for that Plan Year.</w:t>
      </w:r>
    </w:p>
    <w:p>
      <w:pPr>
        <w:spacing w:after="0" w:line="167" w:lineRule="exact"/>
        <w:rPr>
          <w:sz w:val="20"/>
          <w:szCs w:val="20"/>
          <w:color w:val="auto"/>
        </w:rPr>
      </w:pPr>
    </w:p>
    <w:p>
      <w:pPr>
        <w:ind w:left="1020" w:right="60"/>
        <w:spacing w:after="0" w:line="267" w:lineRule="auto"/>
        <w:rPr>
          <w:sz w:val="20"/>
          <w:szCs w:val="20"/>
          <w:color w:val="auto"/>
        </w:rPr>
      </w:pPr>
      <w:r>
        <w:rPr>
          <w:rFonts w:ascii="Arial" w:cs="Arial" w:eastAsia="Arial" w:hAnsi="Arial"/>
          <w:sz w:val="14"/>
          <w:szCs w:val="14"/>
          <w:color w:val="auto"/>
        </w:rPr>
        <w:t>If a Participant ceases to be an Eligible Employee during a Plan Year, the RSOP Allocation Makeup for that Plan Year will be calculated by: (i) taking into account the full Annual Incentive Award and other award (to the extent included in calculations for the Retirement Plans) and, (ii) with respect to any Participant whose base salary exceeds the Code section 401(a)(17) limitation in effect for that Plan Year, prorating the Participant’s Salary to reflect the period during the Plan Year for which the Participant was an Eligible Employee.</w:t>
      </w:r>
    </w:p>
    <w:p>
      <w:pPr>
        <w:spacing w:after="0" w:line="200" w:lineRule="exact"/>
        <w:rPr>
          <w:sz w:val="20"/>
          <w:szCs w:val="20"/>
          <w:color w:val="auto"/>
        </w:rPr>
      </w:pPr>
    </w:p>
    <w:p>
      <w:pPr>
        <w:spacing w:after="0" w:line="35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182" w:name="page183"/>
    <w:bookmarkEnd w:id="182"/>
    <w:p>
      <w:pPr>
        <w:jc w:val="both"/>
        <w:ind w:left="1020" w:hanging="358"/>
        <w:spacing w:after="0" w:line="266" w:lineRule="auto"/>
        <w:rPr>
          <w:sz w:val="20"/>
          <w:szCs w:val="20"/>
          <w:color w:val="auto"/>
        </w:rPr>
      </w:pPr>
      <w:r>
        <w:rPr>
          <w:rFonts w:ascii="Arial" w:cs="Arial" w:eastAsia="Arial" w:hAnsi="Arial"/>
          <w:sz w:val="14"/>
          <w:szCs w:val="14"/>
          <w:color w:val="auto"/>
        </w:rPr>
        <w:t xml:space="preserve">5.2.3 </w:t>
      </w:r>
      <w:r>
        <w:rPr>
          <w:rFonts w:ascii="Arial" w:cs="Arial" w:eastAsia="Arial" w:hAnsi="Arial"/>
          <w:sz w:val="14"/>
          <w:szCs w:val="14"/>
          <w:b w:val="1"/>
          <w:bCs w:val="1"/>
          <w:u w:val="single" w:color="auto"/>
          <w:color w:val="auto"/>
        </w:rPr>
        <w:t>RSOP Match Allocation Makeup</w:t>
      </w:r>
      <w:r>
        <w:rPr>
          <w:rFonts w:ascii="Arial" w:cs="Arial" w:eastAsia="Arial" w:hAnsi="Arial"/>
          <w:sz w:val="14"/>
          <w:szCs w:val="14"/>
          <w:b w:val="1"/>
          <w:bCs w:val="1"/>
          <w:color w:val="auto"/>
        </w:rPr>
        <w:t>.</w:t>
      </w:r>
      <w:r>
        <w:rPr>
          <w:rFonts w:ascii="Arial" w:cs="Arial" w:eastAsia="Arial" w:hAnsi="Arial"/>
          <w:sz w:val="14"/>
          <w:szCs w:val="14"/>
          <w:color w:val="auto"/>
        </w:rPr>
        <w:t xml:space="preserve"> The RSOP Match Allocation Makeup for a Plan Year shall equal the excess of G over H, with G equal to the lesser of: (i) the sum of the Participant’s Elective Deferrals out of Salary and RSOP deferrals (including both pre-tax and Roth after-tax deferrals), and (ii) with respect to any Eligible Employee who was a Participant as of September 30, 2006, for so long as he remains continuously eligible as a Participant, 4% of the Participant’s Salary plus Bonus; or with respect to any Eligible Employee who becomes a Participant on or after October 1, 2006, 5% of the Participant’s Salary plus Bonus; and H equal to RSOP matching contributions for the Plan Year on behalf of the Participant.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b w:val="1"/>
          <w:bCs w:val="1"/>
          <w:u w:val="single" w:color="auto"/>
          <w:color w:val="auto"/>
        </w:rPr>
        <w:t>Payment</w:t>
      </w:r>
      <w:r>
        <w:rPr>
          <w:rFonts w:ascii="Arial" w:cs="Arial" w:eastAsia="Arial" w:hAnsi="Arial"/>
          <w:sz w:val="14"/>
          <w:szCs w:val="14"/>
          <w:b w:val="1"/>
          <w:bCs w:val="1"/>
          <w:color w:val="auto"/>
        </w:rPr>
        <w:t>.</w:t>
      </w:r>
    </w:p>
    <w:p>
      <w:pPr>
        <w:spacing w:after="0" w:line="209" w:lineRule="exact"/>
        <w:rPr>
          <w:sz w:val="20"/>
          <w:szCs w:val="20"/>
          <w:color w:val="auto"/>
        </w:rPr>
      </w:pPr>
    </w:p>
    <w:p>
      <w:pPr>
        <w:ind w:left="240"/>
        <w:spacing w:after="0" w:line="288" w:lineRule="auto"/>
        <w:rPr>
          <w:sz w:val="20"/>
          <w:szCs w:val="20"/>
          <w:color w:val="auto"/>
        </w:rPr>
      </w:pPr>
      <w:r>
        <w:rPr>
          <w:rFonts w:ascii="Arial" w:cs="Arial" w:eastAsia="Arial" w:hAnsi="Arial"/>
          <w:sz w:val="14"/>
          <w:szCs w:val="14"/>
          <w:color w:val="auto"/>
        </w:rPr>
        <w:t>Except to the extent deferred in accordance with this Plan, the Annual Make-Up Award for any year shall be paid between January 1 and March 15 of the year following the year to which the award relates.</w:t>
      </w:r>
    </w:p>
    <w:p>
      <w:pPr>
        <w:spacing w:after="0" w:line="34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ARTICLE 6</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SERP II Account Balance Plan for Employees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u w:val="single" w:color="auto"/>
          <w:color w:val="auto"/>
        </w:rPr>
        <w:t>Elective Deferrals</w:t>
      </w:r>
      <w:r>
        <w:rPr>
          <w:rFonts w:ascii="Arial" w:cs="Arial" w:eastAsia="Arial" w:hAnsi="Arial"/>
          <w:sz w:val="14"/>
          <w:szCs w:val="14"/>
          <w:b w:val="1"/>
          <w:bCs w:val="1"/>
          <w:color w:val="auto"/>
        </w:rPr>
        <w:t>.</w:t>
      </w:r>
    </w:p>
    <w:p>
      <w:pPr>
        <w:spacing w:after="0" w:line="205" w:lineRule="exact"/>
        <w:rPr>
          <w:sz w:val="20"/>
          <w:szCs w:val="20"/>
          <w:color w:val="auto"/>
        </w:rPr>
      </w:pPr>
    </w:p>
    <w:p>
      <w:pPr>
        <w:jc w:val="both"/>
        <w:ind w:left="1020" w:hanging="358"/>
        <w:spacing w:after="0" w:line="264" w:lineRule="auto"/>
        <w:rPr>
          <w:sz w:val="20"/>
          <w:szCs w:val="20"/>
          <w:color w:val="auto"/>
        </w:rPr>
      </w:pPr>
      <w:r>
        <w:rPr>
          <w:rFonts w:ascii="Arial" w:cs="Arial" w:eastAsia="Arial" w:hAnsi="Arial"/>
          <w:sz w:val="14"/>
          <w:szCs w:val="14"/>
          <w:color w:val="auto"/>
        </w:rPr>
        <w:t xml:space="preserve">6.1.1 </w:t>
      </w:r>
      <w:r>
        <w:rPr>
          <w:rFonts w:ascii="Arial" w:cs="Arial" w:eastAsia="Arial" w:hAnsi="Arial"/>
          <w:sz w:val="14"/>
          <w:szCs w:val="14"/>
          <w:b w:val="1"/>
          <w:bCs w:val="1"/>
          <w:u w:val="single" w:color="auto"/>
          <w:color w:val="auto"/>
        </w:rPr>
        <w:t>Deferral Elections</w:t>
      </w:r>
      <w:r>
        <w:rPr>
          <w:rFonts w:ascii="Arial" w:cs="Arial" w:eastAsia="Arial" w:hAnsi="Arial"/>
          <w:sz w:val="14"/>
          <w:szCs w:val="14"/>
          <w:b w:val="1"/>
          <w:bCs w:val="1"/>
          <w:color w:val="auto"/>
        </w:rPr>
        <w:t>.</w:t>
      </w:r>
      <w:r>
        <w:rPr>
          <w:rFonts w:ascii="Arial" w:cs="Arial" w:eastAsia="Arial" w:hAnsi="Arial"/>
          <w:sz w:val="14"/>
          <w:szCs w:val="14"/>
          <w:color w:val="auto"/>
        </w:rPr>
        <w:t xml:space="preserve"> For each Plan Year, a Participant may elect to defer some or all of Salary, Bonus, and, if eligible, an Annual Make-up Award, Severance Pay and Other Awards. Elections are effective on a calendar year basis and become irrevocable no later than the date specified by the Administrator, but in any event before the beginning of the Plan Year to which the elections relate. A Participant’s elections will become effective only if the forms required by the Administrator have been properly completed and signed by the Participant, timely delivered to the Administrator, and accepted by the Administrator. A Participant who fails to file elections before the required date will be treated as having elected not to defer any amounts for the following Plan Year. For any Plan Year the Administrator may, in its sole discretion, decide not to allow one or more Participants to defer certain types of compensation.</w:t>
      </w:r>
    </w:p>
    <w:p>
      <w:pPr>
        <w:spacing w:after="0" w:line="166" w:lineRule="exact"/>
        <w:rPr>
          <w:sz w:val="20"/>
          <w:szCs w:val="20"/>
          <w:color w:val="auto"/>
        </w:rPr>
      </w:pPr>
    </w:p>
    <w:p>
      <w:pPr>
        <w:jc w:val="both"/>
        <w:ind w:left="1020" w:hanging="358"/>
        <w:spacing w:after="0" w:line="269" w:lineRule="auto"/>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b w:val="1"/>
          <w:bCs w:val="1"/>
          <w:u w:val="single" w:color="auto"/>
          <w:color w:val="auto"/>
        </w:rPr>
        <w:t>Special Rule for Performance-Based Compensation</w:t>
      </w:r>
      <w:r>
        <w:rPr>
          <w:rFonts w:ascii="Arial" w:cs="Arial" w:eastAsia="Arial" w:hAnsi="Arial"/>
          <w:sz w:val="14"/>
          <w:szCs w:val="14"/>
          <w:b w:val="1"/>
          <w:bCs w:val="1"/>
          <w:color w:val="auto"/>
        </w:rPr>
        <w:t>.</w:t>
      </w:r>
      <w:r>
        <w:rPr>
          <w:rFonts w:ascii="Arial" w:cs="Arial" w:eastAsia="Arial" w:hAnsi="Arial"/>
          <w:sz w:val="14"/>
          <w:szCs w:val="14"/>
          <w:color w:val="auto"/>
        </w:rPr>
        <w:t xml:space="preserve"> The Administrator, in its complete and sole discretion, may allow a Participant to revise a deferral election with respect to a Bonus if the Administrator determines that the Bonus is performance-based compensation within the meaning of Section 409A and the election becomes irrevocable no later than the earlier of: (a) six months preceding the end of the performance period to which the Bonus relates; or (b) the date as of which the Bonus has become readily ascertainable, within the meaning of Section 409A.</w:t>
      </w:r>
    </w:p>
    <w:p>
      <w:pPr>
        <w:spacing w:after="0" w:line="36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183" w:name="page184"/>
    <w:bookmarkEnd w:id="183"/>
    <w:p>
      <w:pPr>
        <w:jc w:val="both"/>
        <w:ind w:left="80" w:hanging="358"/>
        <w:spacing w:after="0" w:line="294" w:lineRule="auto"/>
        <w:rPr>
          <w:sz w:val="20"/>
          <w:szCs w:val="20"/>
          <w:color w:val="auto"/>
        </w:rPr>
      </w:pPr>
      <w:r>
        <w:rPr>
          <w:rFonts w:ascii="Arial" w:cs="Arial" w:eastAsia="Arial" w:hAnsi="Arial"/>
          <w:sz w:val="14"/>
          <w:szCs w:val="14"/>
          <w:color w:val="auto"/>
        </w:rPr>
        <w:t xml:space="preserve">6.1.3 </w:t>
      </w:r>
      <w:r>
        <w:rPr>
          <w:rFonts w:ascii="Arial" w:cs="Arial" w:eastAsia="Arial" w:hAnsi="Arial"/>
          <w:sz w:val="14"/>
          <w:szCs w:val="14"/>
          <w:b w:val="1"/>
          <w:bCs w:val="1"/>
          <w:u w:val="single" w:color="auto"/>
          <w:color w:val="auto"/>
        </w:rPr>
        <w:t>Special Rule for Severance Pay</w:t>
      </w:r>
      <w:r>
        <w:rPr>
          <w:rFonts w:ascii="Arial" w:cs="Arial" w:eastAsia="Arial" w:hAnsi="Arial"/>
          <w:sz w:val="14"/>
          <w:szCs w:val="14"/>
          <w:b w:val="1"/>
          <w:bCs w:val="1"/>
          <w:color w:val="auto"/>
        </w:rPr>
        <w:t>.</w:t>
      </w:r>
      <w:r>
        <w:rPr>
          <w:rFonts w:ascii="Arial" w:cs="Arial" w:eastAsia="Arial" w:hAnsi="Arial"/>
          <w:sz w:val="14"/>
          <w:szCs w:val="14"/>
          <w:color w:val="auto"/>
        </w:rPr>
        <w:t xml:space="preserve"> A Participant may elect to defer all or a portion of Severance Pay by filing with the Administrator an irrevocable deferral election no later than the date the Participant obtains a legally binding right to the Severance Pay.</w:t>
      </w:r>
    </w:p>
    <w:p>
      <w:pPr>
        <w:spacing w:after="0" w:line="144" w:lineRule="exact"/>
        <w:rPr>
          <w:sz w:val="20"/>
          <w:szCs w:val="20"/>
          <w:color w:val="auto"/>
        </w:rPr>
      </w:pPr>
    </w:p>
    <w:p>
      <w:pPr>
        <w:jc w:val="both"/>
        <w:ind w:left="80" w:hanging="358"/>
        <w:spacing w:after="0" w:line="244" w:lineRule="auto"/>
        <w:rPr>
          <w:sz w:val="20"/>
          <w:szCs w:val="20"/>
          <w:color w:val="auto"/>
        </w:rPr>
      </w:pPr>
      <w:r>
        <w:rPr>
          <w:rFonts w:ascii="Arial" w:cs="Arial" w:eastAsia="Arial" w:hAnsi="Arial"/>
          <w:sz w:val="14"/>
          <w:szCs w:val="14"/>
          <w:color w:val="auto"/>
        </w:rPr>
        <w:t xml:space="preserve">6.1.4 </w:t>
      </w:r>
      <w:r>
        <w:rPr>
          <w:rFonts w:ascii="Arial" w:cs="Arial" w:eastAsia="Arial" w:hAnsi="Arial"/>
          <w:sz w:val="14"/>
          <w:szCs w:val="14"/>
          <w:b w:val="1"/>
          <w:bCs w:val="1"/>
          <w:u w:val="single" w:color="auto"/>
          <w:color w:val="auto"/>
        </w:rPr>
        <w:t>Cancellation of Deferral Election due to Disability</w:t>
      </w:r>
      <w:r>
        <w:rPr>
          <w:rFonts w:ascii="Arial" w:cs="Arial" w:eastAsia="Arial" w:hAnsi="Arial"/>
          <w:sz w:val="14"/>
          <w:szCs w:val="14"/>
          <w:b w:val="1"/>
          <w:bCs w:val="1"/>
          <w:color w:val="auto"/>
        </w:rPr>
        <w:t>.</w:t>
      </w:r>
      <w:r>
        <w:rPr>
          <w:rFonts w:ascii="Arial" w:cs="Arial" w:eastAsia="Arial" w:hAnsi="Arial"/>
          <w:sz w:val="14"/>
          <w:szCs w:val="14"/>
          <w:color w:val="auto"/>
        </w:rPr>
        <w:t xml:space="preserve"> If a Participant becomes disabled, the Administrator may, in its sole discretion, cancel the Participant’s deferral election, with respect to amounts to be deferred on or after the cancellation, by the end of the year during which the Participant becomes disabled, or, if later, the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the third month following the date on which the Participant becomes disabled. For purposes of this Section,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six months.</w:t>
      </w:r>
    </w:p>
    <w:p>
      <w:pPr>
        <w:spacing w:after="0" w:line="186" w:lineRule="exact"/>
        <w:rPr>
          <w:sz w:val="20"/>
          <w:szCs w:val="20"/>
          <w:color w:val="auto"/>
        </w:rPr>
      </w:pPr>
    </w:p>
    <w:p>
      <w:pPr>
        <w:ind w:left="80"/>
        <w:spacing w:after="0" w:line="283" w:lineRule="auto"/>
        <w:rPr>
          <w:sz w:val="20"/>
          <w:szCs w:val="20"/>
          <w:color w:val="auto"/>
        </w:rPr>
      </w:pPr>
      <w:r>
        <w:rPr>
          <w:rFonts w:ascii="Arial" w:cs="Arial" w:eastAsia="Arial" w:hAnsi="Arial"/>
          <w:sz w:val="14"/>
          <w:szCs w:val="14"/>
          <w:color w:val="auto"/>
        </w:rPr>
        <w:t>The Participant may elect to defer amounts for the Plan Year Following his return to employment and for every Plan year thereafter while an Eligible Employee, provided the Participant's deferral election otherwise complies with all of the requirements of this Section.</w:t>
      </w:r>
    </w:p>
    <w:p>
      <w:pPr>
        <w:spacing w:after="0" w:line="152" w:lineRule="exact"/>
        <w:rPr>
          <w:sz w:val="20"/>
          <w:szCs w:val="20"/>
          <w:color w:val="auto"/>
        </w:rPr>
      </w:pPr>
    </w:p>
    <w:p>
      <w:pPr>
        <w:jc w:val="both"/>
        <w:ind w:left="80" w:hanging="358"/>
        <w:spacing w:after="0" w:line="263" w:lineRule="auto"/>
        <w:rPr>
          <w:sz w:val="20"/>
          <w:szCs w:val="20"/>
          <w:color w:val="auto"/>
        </w:rPr>
      </w:pPr>
      <w:r>
        <w:rPr>
          <w:rFonts w:ascii="Arial" w:cs="Arial" w:eastAsia="Arial" w:hAnsi="Arial"/>
          <w:sz w:val="14"/>
          <w:szCs w:val="14"/>
          <w:color w:val="auto"/>
        </w:rPr>
        <w:t xml:space="preserve">6.1.5 </w:t>
      </w:r>
      <w:r>
        <w:rPr>
          <w:rFonts w:ascii="Arial" w:cs="Arial" w:eastAsia="Arial" w:hAnsi="Arial"/>
          <w:sz w:val="14"/>
          <w:szCs w:val="14"/>
          <w:b w:val="1"/>
          <w:bCs w:val="1"/>
          <w:u w:val="single" w:color="auto"/>
          <w:color w:val="auto"/>
        </w:rPr>
        <w:t>Cancellation of Deferral Election due to Unforeseeable Emergency</w:t>
      </w:r>
      <w:r>
        <w:rPr>
          <w:rFonts w:ascii="Arial" w:cs="Arial" w:eastAsia="Arial" w:hAnsi="Arial"/>
          <w:sz w:val="14"/>
          <w:szCs w:val="14"/>
          <w:b w:val="1"/>
          <w:bCs w:val="1"/>
          <w:color w:val="auto"/>
        </w:rPr>
        <w:t>.</w:t>
      </w:r>
      <w:r>
        <w:rPr>
          <w:rFonts w:ascii="Arial" w:cs="Arial" w:eastAsia="Arial" w:hAnsi="Arial"/>
          <w:sz w:val="14"/>
          <w:szCs w:val="14"/>
          <w:color w:val="auto"/>
        </w:rPr>
        <w:t xml:space="preserve"> If a Participant experiences an Unforeseeable Emergency during a Plan Year, the Participant may submit to the Administrator a written request to cancel Elective Deferrals for the Plan Year to satisfy the Unforeseeable Emergency. If the Administrator either approves the Participant’s request to cancel Elective Deferrals for the Plan Year, or approves a request for a distribution of in accordance with Section 6.4.6, then effective as of the date the request is approved the Administrator shall cancel the Participant’s deferral elections for the remainder of the Plan Year. A Participant whose Elective Deferrals are canceled during a Plan Year in accordance with this section may elect Elective Deferrals for the following Plan Year; provided, however, if required to comply with Treasury Regulations section 1.401(k)-1(d)(3), the Participant may not elect to defer any amounts attributable to periods less than six months from the date on which the Participant receives a distribution on account of an Unforeseeable Emergency.</w:t>
      </w:r>
    </w:p>
    <w:p>
      <w:pPr>
        <w:spacing w:after="0" w:line="166" w:lineRule="exact"/>
        <w:rPr>
          <w:sz w:val="20"/>
          <w:szCs w:val="20"/>
          <w:color w:val="auto"/>
        </w:rPr>
      </w:pPr>
    </w:p>
    <w:p>
      <w:pPr>
        <w:jc w:val="both"/>
        <w:ind w:left="80" w:hanging="358"/>
        <w:spacing w:after="0" w:line="275" w:lineRule="auto"/>
        <w:rPr>
          <w:sz w:val="20"/>
          <w:szCs w:val="20"/>
          <w:color w:val="auto"/>
        </w:rPr>
      </w:pPr>
      <w:r>
        <w:rPr>
          <w:rFonts w:ascii="Arial" w:cs="Arial" w:eastAsia="Arial" w:hAnsi="Arial"/>
          <w:sz w:val="14"/>
          <w:szCs w:val="14"/>
          <w:color w:val="auto"/>
        </w:rPr>
        <w:t xml:space="preserve">6.1.6 </w:t>
      </w:r>
      <w:r>
        <w:rPr>
          <w:rFonts w:ascii="Arial" w:cs="Arial" w:eastAsia="Arial" w:hAnsi="Arial"/>
          <w:sz w:val="14"/>
          <w:szCs w:val="14"/>
          <w:b w:val="1"/>
          <w:bCs w:val="1"/>
          <w:u w:val="single" w:color="auto"/>
          <w:color w:val="auto"/>
        </w:rPr>
        <w:t>Withholding of Deferrals</w:t>
      </w:r>
      <w:r>
        <w:rPr>
          <w:rFonts w:ascii="Arial" w:cs="Arial" w:eastAsia="Arial" w:hAnsi="Arial"/>
          <w:sz w:val="14"/>
          <w:szCs w:val="14"/>
          <w:b w:val="1"/>
          <w:bCs w:val="1"/>
          <w:color w:val="auto"/>
        </w:rPr>
        <w:t>.</w:t>
      </w:r>
      <w:r>
        <w:rPr>
          <w:rFonts w:ascii="Arial" w:cs="Arial" w:eastAsia="Arial" w:hAnsi="Arial"/>
          <w:sz w:val="14"/>
          <w:szCs w:val="14"/>
          <w:color w:val="auto"/>
        </w:rPr>
        <w:t xml:space="preserve"> The Administrator will withhold Elective Deferrals not later than the end of the calendar year during which the Company would otherwise have paid the amounts to the Participant but for the Participant’s deferral election. The Administrator will not withhold Elective Deferrals from a Participant’s Salary during any period in which the Participant is on an unpaid leave of absence.</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66040</wp:posOffset>
            </wp:positionV>
            <wp:extent cx="728027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319" w:right="21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u w:val="single" w:color="auto"/>
          <w:color w:val="auto"/>
        </w:rPr>
        <w:t>Non-Elective Deferrals</w:t>
      </w:r>
      <w:r>
        <w:rPr>
          <w:rFonts w:ascii="Arial" w:cs="Arial" w:eastAsia="Arial" w:hAnsi="Arial"/>
          <w:sz w:val="14"/>
          <w:szCs w:val="14"/>
          <w:b w:val="1"/>
          <w:bCs w:val="1"/>
          <w:color w:val="auto"/>
        </w:rPr>
        <w:t>.</w:t>
      </w:r>
    </w:p>
    <w:p>
      <w:pPr>
        <w:spacing w:after="0" w:line="205" w:lineRule="exact"/>
        <w:rPr>
          <w:sz w:val="20"/>
          <w:szCs w:val="20"/>
          <w:color w:val="auto"/>
        </w:rPr>
      </w:pPr>
    </w:p>
    <w:p>
      <w:pPr>
        <w:ind w:left="1020" w:hanging="358"/>
        <w:spacing w:after="0" w:line="294" w:lineRule="auto"/>
        <w:rPr>
          <w:sz w:val="20"/>
          <w:szCs w:val="20"/>
          <w:color w:val="auto"/>
        </w:rPr>
      </w:pPr>
      <w:r>
        <w:rPr>
          <w:rFonts w:ascii="Arial" w:cs="Arial" w:eastAsia="Arial" w:hAnsi="Arial"/>
          <w:sz w:val="14"/>
          <w:szCs w:val="14"/>
          <w:color w:val="auto"/>
        </w:rPr>
        <w:t xml:space="preserve">6.2.1 </w:t>
      </w:r>
      <w:r>
        <w:rPr>
          <w:rFonts w:ascii="Arial" w:cs="Arial" w:eastAsia="Arial" w:hAnsi="Arial"/>
          <w:sz w:val="14"/>
          <w:szCs w:val="14"/>
          <w:b w:val="1"/>
          <w:bCs w:val="1"/>
          <w:u w:val="single" w:color="auto"/>
          <w:color w:val="auto"/>
        </w:rPr>
        <w:t>Annual Make-Up Award</w:t>
      </w:r>
      <w:r>
        <w:rPr>
          <w:rFonts w:ascii="Arial" w:cs="Arial" w:eastAsia="Arial" w:hAnsi="Arial"/>
          <w:sz w:val="14"/>
          <w:szCs w:val="14"/>
          <w:b w:val="1"/>
          <w:bCs w:val="1"/>
          <w:color w:val="auto"/>
        </w:rPr>
        <w:t>.</w:t>
      </w:r>
      <w:r>
        <w:rPr>
          <w:rFonts w:ascii="Arial" w:cs="Arial" w:eastAsia="Arial" w:hAnsi="Arial"/>
          <w:sz w:val="14"/>
          <w:szCs w:val="14"/>
          <w:color w:val="auto"/>
        </w:rPr>
        <w:t xml:space="preserve"> If the Administrator determines that a Participant’s Salary exceeds the Code section 401(a)(17) limit, the Administrator shall automatically credit the Participant’s Annual Make-up Award to the Participant’s Account.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6.2.2 </w:t>
      </w:r>
      <w:r>
        <w:rPr>
          <w:rFonts w:ascii="Arial" w:cs="Arial" w:eastAsia="Arial" w:hAnsi="Arial"/>
          <w:sz w:val="14"/>
          <w:szCs w:val="14"/>
          <w:b w:val="1"/>
          <w:bCs w:val="1"/>
          <w:u w:val="single" w:color="auto"/>
          <w:color w:val="auto"/>
        </w:rPr>
        <w:t>162(m) Deferrals</w:t>
      </w:r>
      <w:r>
        <w:rPr>
          <w:rFonts w:ascii="Arial" w:cs="Arial" w:eastAsia="Arial" w:hAnsi="Arial"/>
          <w:sz w:val="14"/>
          <w:szCs w:val="14"/>
          <w:b w:val="1"/>
          <w:bCs w:val="1"/>
          <w:color w:val="auto"/>
        </w:rPr>
        <w:t>.</w:t>
      </w:r>
      <w:r>
        <w:rPr>
          <w:rFonts w:ascii="Arial" w:cs="Arial" w:eastAsia="Arial" w:hAnsi="Arial"/>
          <w:sz w:val="14"/>
          <w:szCs w:val="14"/>
          <w:color w:val="auto"/>
        </w:rPr>
        <w:t xml:space="preserve"> The Administrator shall automatically credit a Participant’s 162(m) Deferrals to the Participant’s Account.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b w:val="1"/>
          <w:bCs w:val="1"/>
          <w:u w:val="single" w:color="auto"/>
          <w:color w:val="auto"/>
        </w:rPr>
        <w:t>FICA and Other Taxes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20"/>
        <w:spacing w:after="0" w:line="267" w:lineRule="auto"/>
        <w:rPr>
          <w:sz w:val="20"/>
          <w:szCs w:val="20"/>
          <w:color w:val="auto"/>
        </w:rPr>
      </w:pPr>
      <w:r>
        <w:rPr>
          <w:rFonts w:ascii="Arial" w:cs="Arial" w:eastAsia="Arial" w:hAnsi="Arial"/>
          <w:sz w:val="14"/>
          <w:szCs w:val="14"/>
          <w:color w:val="auto"/>
        </w:rPr>
        <w:t>For each Plan Year during which a Participant has Deferrals, the Participant’s Employer(s) shall, in a manner determined by the Employer(s), withhold the Participant’s share of FICA and other required employment or state, local, and foreign taxes on Deferrals from that portion of the Participant’s Salary, Bonus, Annual Make-up Award, Severance Pay, Other Award and in the event of a 162(m) Deferral, the Participant’s compensation generally, that is not deferred. To the extent permitted by Section 409A, the Administrator may reduce a Participant’s Deferrals to the extent necessary to pay FICA and other employment, state, local and foreign taxes.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u w:val="single" w:color="auto"/>
          <w:color w:val="auto"/>
        </w:rPr>
        <w:t>Distributions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100"/>
        <w:spacing w:after="0" w:line="287" w:lineRule="auto"/>
        <w:rPr>
          <w:sz w:val="20"/>
          <w:szCs w:val="20"/>
          <w:color w:val="auto"/>
        </w:rPr>
      </w:pPr>
      <w:r>
        <w:rPr>
          <w:rFonts w:ascii="Arial" w:cs="Arial" w:eastAsia="Arial" w:hAnsi="Arial"/>
          <w:sz w:val="13"/>
          <w:szCs w:val="13"/>
          <w:color w:val="auto"/>
        </w:rPr>
        <w:t>The Plan provides for distributions in a Specified Year, or upon a Separation from Service, death, Disability, or Unforeseeable Emergency. At the time of a Participant’s initial deferral election, a Participant may elect to receive a distribution: (i) with respect to Elective Deferrals, in a Specified Year; and (ii) with respect to all Deferrals, upon the earlier of Separation from Service, death or Disability. In each subsequent Plan year, a Participant may elect to have all or any portion of that year’s Elective Deferrals distributed either in a Specified Year, subject to the restrictions in Section 6.4.1, or in accordance with the Participant’s prior elections for distributions other than in a Specified Year. Except as otherwise provided in the Plan, a Participant’s distribution elections are irrevocable and will govern the Deferrals to which the election relates until the amounts covered by the election are paid in full or until subsequently changed in accordance with Section 6.6. Notwithstanding any elections by a Participant, all distributions are subject to the provisions of Section 6.5.</w:t>
      </w:r>
    </w:p>
    <w:p>
      <w:pPr>
        <w:spacing w:after="0" w:line="152" w:lineRule="exact"/>
        <w:rPr>
          <w:sz w:val="20"/>
          <w:szCs w:val="20"/>
          <w:color w:val="auto"/>
        </w:rPr>
      </w:pPr>
    </w:p>
    <w:p>
      <w:pPr>
        <w:jc w:val="both"/>
        <w:ind w:left="1020" w:hanging="358"/>
        <w:spacing w:after="0" w:line="291" w:lineRule="auto"/>
        <w:rPr>
          <w:sz w:val="20"/>
          <w:szCs w:val="20"/>
          <w:color w:val="auto"/>
        </w:rPr>
      </w:pPr>
      <w:r>
        <w:rPr>
          <w:rFonts w:ascii="Arial" w:cs="Arial" w:eastAsia="Arial" w:hAnsi="Arial"/>
          <w:sz w:val="13"/>
          <w:szCs w:val="13"/>
          <w:color w:val="auto"/>
        </w:rPr>
        <w:t xml:space="preserve">6.4.1 </w:t>
      </w:r>
      <w:r>
        <w:rPr>
          <w:rFonts w:ascii="Arial" w:cs="Arial" w:eastAsia="Arial" w:hAnsi="Arial"/>
          <w:sz w:val="13"/>
          <w:szCs w:val="13"/>
          <w:b w:val="1"/>
          <w:bCs w:val="1"/>
          <w:u w:val="single" w:color="auto"/>
          <w:color w:val="auto"/>
        </w:rPr>
        <w:t>Specified Year</w:t>
      </w:r>
      <w:r>
        <w:rPr>
          <w:rFonts w:ascii="Arial" w:cs="Arial" w:eastAsia="Arial" w:hAnsi="Arial"/>
          <w:sz w:val="13"/>
          <w:szCs w:val="13"/>
          <w:b w:val="1"/>
          <w:bCs w:val="1"/>
          <w:color w:val="auto"/>
        </w:rPr>
        <w:t>.</w:t>
      </w:r>
      <w:r>
        <w:rPr>
          <w:rFonts w:ascii="Arial" w:cs="Arial" w:eastAsia="Arial" w:hAnsi="Arial"/>
          <w:sz w:val="13"/>
          <w:szCs w:val="13"/>
          <w:color w:val="auto"/>
        </w:rPr>
        <w:t xml:space="preserve"> A Participant may elect to receive a distribution of Elective Deferrals in a Specified Year, which may be no earlier than the third Plan Year beginning after the date on which the Participant initially elects to receive a distribution in a Specified Year. Except as otherwise provided in this subsection or in Section 6.6, once a Participant has elected to receive a distribution in a Specified Year, the Participant may not elect to receive a distribution in a different Specified Year. Beginning during the year preceding any Specified Year previously elected by the Participant, the Participant may elect to receive a distribution of Elective Deferrals in a later Specified Year, subject, however, to the restrictions of this subsection. All amounts distributed in a Specified Year will be paid in a single lump sum.</w:t>
      </w:r>
    </w:p>
    <w:p>
      <w:pPr>
        <w:spacing w:after="0" w:line="150" w:lineRule="exact"/>
        <w:rPr>
          <w:sz w:val="20"/>
          <w:szCs w:val="20"/>
          <w:color w:val="auto"/>
        </w:rPr>
      </w:pPr>
    </w:p>
    <w:p>
      <w:pPr>
        <w:jc w:val="both"/>
        <w:ind w:left="1020" w:hanging="358"/>
        <w:spacing w:after="0" w:line="275" w:lineRule="auto"/>
        <w:rPr>
          <w:sz w:val="20"/>
          <w:szCs w:val="20"/>
          <w:color w:val="auto"/>
        </w:rPr>
      </w:pPr>
      <w:r>
        <w:rPr>
          <w:rFonts w:ascii="Arial" w:cs="Arial" w:eastAsia="Arial" w:hAnsi="Arial"/>
          <w:sz w:val="14"/>
          <w:szCs w:val="14"/>
          <w:color w:val="auto"/>
        </w:rPr>
        <w:t xml:space="preserve">6.4.2 </w:t>
      </w:r>
      <w:r>
        <w:rPr>
          <w:rFonts w:ascii="Arial" w:cs="Arial" w:eastAsia="Arial" w:hAnsi="Arial"/>
          <w:sz w:val="14"/>
          <w:szCs w:val="14"/>
          <w:b w:val="1"/>
          <w:bCs w:val="1"/>
          <w:u w:val="single" w:color="auto"/>
          <w:color w:val="auto"/>
        </w:rPr>
        <w:t>Separation from Service</w:t>
      </w:r>
      <w:r>
        <w:rPr>
          <w:rFonts w:ascii="Arial" w:cs="Arial" w:eastAsia="Arial" w:hAnsi="Arial"/>
          <w:sz w:val="14"/>
          <w:szCs w:val="14"/>
          <w:b w:val="1"/>
          <w:bCs w:val="1"/>
          <w:color w:val="auto"/>
        </w:rPr>
        <w:t>.</w:t>
      </w:r>
      <w:r>
        <w:rPr>
          <w:rFonts w:ascii="Arial" w:cs="Arial" w:eastAsia="Arial" w:hAnsi="Arial"/>
          <w:sz w:val="14"/>
          <w:szCs w:val="14"/>
          <w:color w:val="auto"/>
        </w:rPr>
        <w:t xml:space="preserve"> A Participant may elect to receive a distribution commencing either upon a Separation from Service, or during any of the first five years following the year of the Separation from Service. A Participant may elect to receive a distribution in the form of a lump sum, monthly installments over a period of five (5), ten (10), or fifteen (15) years, or a combination of both a lump sum and installments.</w:t>
      </w: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185" w:name="page186"/>
    <w:bookmarkEnd w:id="185"/>
    <w:p>
      <w:pPr>
        <w:jc w:val="both"/>
        <w:ind w:left="1020" w:hanging="358"/>
        <w:spacing w:after="0" w:line="268" w:lineRule="auto"/>
        <w:rPr>
          <w:sz w:val="20"/>
          <w:szCs w:val="20"/>
          <w:color w:val="auto"/>
        </w:rPr>
      </w:pPr>
      <w:r>
        <w:rPr>
          <w:rFonts w:ascii="Arial" w:cs="Arial" w:eastAsia="Arial" w:hAnsi="Arial"/>
          <w:sz w:val="13"/>
          <w:szCs w:val="13"/>
          <w:color w:val="auto"/>
        </w:rPr>
        <w:t xml:space="preserve">6.4.3 </w:t>
      </w:r>
      <w:r>
        <w:rPr>
          <w:rFonts w:ascii="Arial" w:cs="Arial" w:eastAsia="Arial" w:hAnsi="Arial"/>
          <w:sz w:val="13"/>
          <w:szCs w:val="13"/>
          <w:b w:val="1"/>
          <w:bCs w:val="1"/>
          <w:u w:val="single" w:color="auto"/>
          <w:color w:val="auto"/>
        </w:rPr>
        <w:t>Disability</w:t>
      </w:r>
      <w:r>
        <w:rPr>
          <w:rFonts w:ascii="Arial" w:cs="Arial" w:eastAsia="Arial" w:hAnsi="Arial"/>
          <w:sz w:val="13"/>
          <w:szCs w:val="13"/>
          <w:b w:val="1"/>
          <w:bCs w:val="1"/>
          <w:color w:val="auto"/>
        </w:rPr>
        <w:t>.</w:t>
      </w:r>
      <w:r>
        <w:rPr>
          <w:rFonts w:ascii="Arial" w:cs="Arial" w:eastAsia="Arial" w:hAnsi="Arial"/>
          <w:sz w:val="13"/>
          <w:szCs w:val="13"/>
          <w:color w:val="auto"/>
        </w:rPr>
        <w:t xml:space="preserve"> A Participant may elect to receive a distribution on account of Disability. Distributions upon Disability will commence on the earlier of the Participant’s 65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birthday or the second anniversary of the Disability, unless changed in accordance with Section 6.6. A Participant may elect to receive the distribution in the form of a lump sum, monthly installments over a period of five (5), ten (10), or fifteen (15) years, or a combination of both a lump sum and installments. Notwithstanding any other election by a Participant relating to a distribution upon Disability, if a Participant dies after commencement of a Disability but before the year during which distributions would commence, the Participant’s Account shall be distributed in accordance with the Participant’s election regarding distributions upon death.</w:t>
      </w:r>
    </w:p>
    <w:p>
      <w:pPr>
        <w:spacing w:after="0" w:line="165" w:lineRule="exact"/>
        <w:rPr>
          <w:sz w:val="20"/>
          <w:szCs w:val="20"/>
          <w:color w:val="auto"/>
        </w:rPr>
      </w:pPr>
    </w:p>
    <w:p>
      <w:pPr>
        <w:jc w:val="both"/>
        <w:ind w:left="1020" w:hanging="358"/>
        <w:spacing w:after="0" w:line="275" w:lineRule="auto"/>
        <w:rPr>
          <w:sz w:val="20"/>
          <w:szCs w:val="20"/>
          <w:color w:val="auto"/>
        </w:rPr>
      </w:pPr>
      <w:r>
        <w:rPr>
          <w:rFonts w:ascii="Arial" w:cs="Arial" w:eastAsia="Arial" w:hAnsi="Arial"/>
          <w:sz w:val="14"/>
          <w:szCs w:val="14"/>
          <w:color w:val="auto"/>
        </w:rPr>
        <w:t xml:space="preserve">6.4.4 </w:t>
      </w:r>
      <w:r>
        <w:rPr>
          <w:rFonts w:ascii="Arial" w:cs="Arial" w:eastAsia="Arial" w:hAnsi="Arial"/>
          <w:sz w:val="14"/>
          <w:szCs w:val="14"/>
          <w:b w:val="1"/>
          <w:bCs w:val="1"/>
          <w:u w:val="single" w:color="auto"/>
          <w:color w:val="auto"/>
        </w:rPr>
        <w:t>Death</w:t>
      </w:r>
      <w:r>
        <w:rPr>
          <w:rFonts w:ascii="Arial" w:cs="Arial" w:eastAsia="Arial" w:hAnsi="Arial"/>
          <w:sz w:val="14"/>
          <w:szCs w:val="14"/>
          <w:b w:val="1"/>
          <w:bCs w:val="1"/>
          <w:color w:val="auto"/>
        </w:rPr>
        <w:t>.</w:t>
      </w:r>
      <w:r>
        <w:rPr>
          <w:rFonts w:ascii="Arial" w:cs="Arial" w:eastAsia="Arial" w:hAnsi="Arial"/>
          <w:sz w:val="14"/>
          <w:szCs w:val="14"/>
          <w:color w:val="auto"/>
        </w:rPr>
        <w:t xml:space="preserve"> A Participant may elect to receive a distribution commencing upon death or during any of the first five years following the year of death. A Participant may elect to receive a distribution in the form of a lump sum, monthly installments over a period of five (5), ten (10), or fifteen (15) years, or a combination of both a lump sum and installments.</w:t>
      </w:r>
    </w:p>
    <w:p>
      <w:pPr>
        <w:spacing w:after="0" w:line="158" w:lineRule="exact"/>
        <w:rPr>
          <w:sz w:val="20"/>
          <w:szCs w:val="20"/>
          <w:color w:val="auto"/>
        </w:rPr>
      </w:pPr>
    </w:p>
    <w:p>
      <w:pPr>
        <w:jc w:val="both"/>
        <w:ind w:left="1020" w:hanging="358"/>
        <w:spacing w:after="0" w:line="269" w:lineRule="auto"/>
        <w:rPr>
          <w:sz w:val="20"/>
          <w:szCs w:val="20"/>
          <w:color w:val="auto"/>
        </w:rPr>
      </w:pPr>
      <w:r>
        <w:rPr>
          <w:rFonts w:ascii="Arial" w:cs="Arial" w:eastAsia="Arial" w:hAnsi="Arial"/>
          <w:sz w:val="14"/>
          <w:szCs w:val="14"/>
          <w:color w:val="auto"/>
        </w:rPr>
        <w:t xml:space="preserve">6.4.5 </w:t>
      </w:r>
      <w:r>
        <w:rPr>
          <w:rFonts w:ascii="Arial" w:cs="Arial" w:eastAsia="Arial" w:hAnsi="Arial"/>
          <w:sz w:val="14"/>
          <w:szCs w:val="14"/>
          <w:b w:val="1"/>
          <w:bCs w:val="1"/>
          <w:u w:val="single" w:color="auto"/>
          <w:color w:val="auto"/>
        </w:rPr>
        <w:t>Unforeseeable Emergency</w:t>
      </w:r>
      <w:r>
        <w:rPr>
          <w:rFonts w:ascii="Arial" w:cs="Arial" w:eastAsia="Arial" w:hAnsi="Arial"/>
          <w:sz w:val="14"/>
          <w:szCs w:val="14"/>
          <w:b w:val="1"/>
          <w:bCs w:val="1"/>
          <w:color w:val="auto"/>
        </w:rPr>
        <w:t>.</w:t>
      </w:r>
      <w:r>
        <w:rPr>
          <w:rFonts w:ascii="Arial" w:cs="Arial" w:eastAsia="Arial" w:hAnsi="Arial"/>
          <w:sz w:val="14"/>
          <w:szCs w:val="14"/>
          <w:color w:val="auto"/>
        </w:rPr>
        <w:t xml:space="preserve"> A Participant may submit a written request for a distribution on account of an Unforeseeable Emergency. Upon approval by the Administrator of a Participant’s request, the Participant’s Account, or that portion of a Participant’s Account deemed necessary by the Administrator to satisfy the Unforeseeable Emergency (determined in a manner consistent with Section 409A) plus amounts necessary to pay taxes reasonably anticipated because of the distribution, will be distributed in a single lump sum.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u w:val="single" w:color="auto"/>
          <w:color w:val="auto"/>
        </w:rPr>
        <w:t>Additional Distribution Rules</w:t>
      </w:r>
      <w:r>
        <w:rPr>
          <w:rFonts w:ascii="Arial" w:cs="Arial" w:eastAsia="Arial" w:hAnsi="Arial"/>
          <w:sz w:val="14"/>
          <w:szCs w:val="14"/>
          <w:b w:val="1"/>
          <w:bCs w:val="1"/>
          <w:color w:val="auto"/>
        </w:rPr>
        <w:t>.</w:t>
      </w:r>
    </w:p>
    <w:p>
      <w:pPr>
        <w:spacing w:after="0" w:line="205" w:lineRule="exact"/>
        <w:rPr>
          <w:sz w:val="20"/>
          <w:szCs w:val="20"/>
          <w:color w:val="auto"/>
        </w:rPr>
      </w:pPr>
    </w:p>
    <w:p>
      <w:pPr>
        <w:jc w:val="both"/>
        <w:ind w:left="1020" w:hanging="358"/>
        <w:spacing w:after="0" w:line="294" w:lineRule="auto"/>
        <w:rPr>
          <w:sz w:val="20"/>
          <w:szCs w:val="20"/>
          <w:color w:val="auto"/>
        </w:rPr>
      </w:pPr>
      <w:r>
        <w:rPr>
          <w:rFonts w:ascii="Arial" w:cs="Arial" w:eastAsia="Arial" w:hAnsi="Arial"/>
          <w:sz w:val="14"/>
          <w:szCs w:val="14"/>
          <w:color w:val="auto"/>
        </w:rPr>
        <w:t xml:space="preserve">6.5.1 </w:t>
      </w:r>
      <w:r>
        <w:rPr>
          <w:rFonts w:ascii="Arial" w:cs="Arial" w:eastAsia="Arial" w:hAnsi="Arial"/>
          <w:sz w:val="14"/>
          <w:szCs w:val="14"/>
          <w:b w:val="1"/>
          <w:bCs w:val="1"/>
          <w:u w:val="single" w:color="auto"/>
          <w:color w:val="auto"/>
        </w:rPr>
        <w:t>Default Time and Form of Distribution</w:t>
      </w:r>
      <w:r>
        <w:rPr>
          <w:rFonts w:ascii="Arial" w:cs="Arial" w:eastAsia="Arial" w:hAnsi="Arial"/>
          <w:sz w:val="14"/>
          <w:szCs w:val="14"/>
          <w:b w:val="1"/>
          <w:bCs w:val="1"/>
          <w:color w:val="auto"/>
        </w:rPr>
        <w:t>.</w:t>
      </w:r>
      <w:r>
        <w:rPr>
          <w:rFonts w:ascii="Arial" w:cs="Arial" w:eastAsia="Arial" w:hAnsi="Arial"/>
          <w:sz w:val="14"/>
          <w:szCs w:val="14"/>
          <w:color w:val="auto"/>
        </w:rPr>
        <w:t xml:space="preserve"> If a Participant fails timely to elect a time and form of distribution, the Participant’s Account will be distributed upon any Separation from Service, including death, in the form of a single lump sum payment.</w:t>
      </w:r>
    </w:p>
    <w:p>
      <w:pPr>
        <w:spacing w:after="0" w:line="338" w:lineRule="exact"/>
        <w:rPr>
          <w:sz w:val="20"/>
          <w:szCs w:val="20"/>
          <w:color w:val="auto"/>
        </w:rPr>
      </w:pPr>
    </w:p>
    <w:p>
      <w:pPr>
        <w:jc w:val="both"/>
        <w:ind w:left="1020" w:hanging="358"/>
        <w:spacing w:after="0" w:line="250" w:lineRule="auto"/>
        <w:rPr>
          <w:sz w:val="20"/>
          <w:szCs w:val="20"/>
          <w:color w:val="auto"/>
        </w:rPr>
      </w:pPr>
      <w:r>
        <w:rPr>
          <w:rFonts w:ascii="Arial" w:cs="Arial" w:eastAsia="Arial" w:hAnsi="Arial"/>
          <w:sz w:val="14"/>
          <w:szCs w:val="14"/>
          <w:color w:val="auto"/>
        </w:rPr>
        <w:t xml:space="preserve">6.5.2 </w:t>
      </w:r>
      <w:r>
        <w:rPr>
          <w:rFonts w:ascii="Arial" w:cs="Arial" w:eastAsia="Arial" w:hAnsi="Arial"/>
          <w:sz w:val="14"/>
          <w:szCs w:val="14"/>
          <w:b w:val="1"/>
          <w:bCs w:val="1"/>
          <w:u w:val="single" w:color="auto"/>
          <w:color w:val="auto"/>
        </w:rPr>
        <w:t>Commencement of Distributions</w:t>
      </w:r>
      <w:r>
        <w:rPr>
          <w:rFonts w:ascii="Arial" w:cs="Arial" w:eastAsia="Arial" w:hAnsi="Arial"/>
          <w:sz w:val="14"/>
          <w:szCs w:val="14"/>
          <w:b w:val="1"/>
          <w:bCs w:val="1"/>
          <w:color w:val="auto"/>
        </w:rPr>
        <w:t>.</w:t>
      </w:r>
      <w:r>
        <w:rPr>
          <w:rFonts w:ascii="Arial" w:cs="Arial" w:eastAsia="Arial" w:hAnsi="Arial"/>
          <w:sz w:val="14"/>
          <w:szCs w:val="14"/>
          <w:color w:val="auto"/>
        </w:rPr>
        <w:t xml:space="preserve"> Except as otherwise provided in this section, if a Participant has elected to receive a distribution commencing upon a Distribution Event, or if a distribution is required upon a Distribution Event, distribution will commence between the date of the Distribution Event and the end of the year in which the Distribution Event occurs. If a Participant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If a Participant has elected to receive a distribution commencing during any of the first five years following the year of a Distribution Event, the distribution will commence during the year elected by the Participant. If a Participant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373"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6" w:right="219" w:bottom="1440" w:gutter="0" w:footer="0" w:header="0"/>
        </w:sectPr>
      </w:pPr>
    </w:p>
    <w:bookmarkStart w:id="186" w:name="page187"/>
    <w:bookmarkEnd w:id="186"/>
    <w:p>
      <w:pPr>
        <w:jc w:val="both"/>
        <w:ind w:left="80" w:hanging="358"/>
        <w:spacing w:after="0" w:line="263" w:lineRule="auto"/>
        <w:rPr>
          <w:sz w:val="20"/>
          <w:szCs w:val="20"/>
          <w:color w:val="auto"/>
        </w:rPr>
      </w:pPr>
      <w:r>
        <w:rPr>
          <w:rFonts w:ascii="Arial" w:cs="Arial" w:eastAsia="Arial" w:hAnsi="Arial"/>
          <w:sz w:val="14"/>
          <w:szCs w:val="14"/>
          <w:color w:val="auto"/>
        </w:rPr>
        <w:t xml:space="preserve">6.5.3 </w:t>
      </w:r>
      <w:r>
        <w:rPr>
          <w:rFonts w:ascii="Arial" w:cs="Arial" w:eastAsia="Arial" w:hAnsi="Arial"/>
          <w:sz w:val="14"/>
          <w:szCs w:val="14"/>
          <w:b w:val="1"/>
          <w:bCs w:val="1"/>
          <w:u w:val="single" w:color="auto"/>
          <w:color w:val="auto"/>
        </w:rPr>
        <w:t>Installments</w:t>
      </w:r>
      <w:r>
        <w:rPr>
          <w:rFonts w:ascii="Arial" w:cs="Arial" w:eastAsia="Arial" w:hAnsi="Arial"/>
          <w:sz w:val="14"/>
          <w:szCs w:val="14"/>
          <w:b w:val="1"/>
          <w:bCs w:val="1"/>
          <w:color w:val="auto"/>
        </w:rPr>
        <w:t>.</w:t>
      </w:r>
      <w:r>
        <w:rPr>
          <w:rFonts w:ascii="Arial" w:cs="Arial" w:eastAsia="Arial" w:hAnsi="Arial"/>
          <w:sz w:val="14"/>
          <w:szCs w:val="14"/>
          <w:color w:val="auto"/>
        </w:rPr>
        <w:t xml:space="preserve"> If a Participant elects to receive distributions in monthly installments, the Participant’s Account will be paid in substantially equal monthly installments in consecutive years over the period elected by the Participant. Each monthly installment will be paid during the Plan Year in which it is due, commencing as described in Section 6.5.2. During the Plan Year in which distributions commence, the Participant will receive one installment for each calendar month beginning after the date of the Distribution Event, or, if the Participant has elected to receive a distribution commencing during any of the first five years following the year of a Distribution Event, one monthly installment for each calendar month beginning after the anniversary date of the Distribution Event. During the distribution period, the Participant’s Account will be credited with interest compounded monthly at a rate of 7.5% per year. Any installment distribution that complies with this section shall be deemed for all purposes to comply with the Plan requirements regarding the time and form of distributions.</w:t>
      </w:r>
    </w:p>
    <w:p>
      <w:pPr>
        <w:spacing w:after="0" w:line="166" w:lineRule="exact"/>
        <w:rPr>
          <w:sz w:val="20"/>
          <w:szCs w:val="20"/>
          <w:color w:val="auto"/>
        </w:rPr>
      </w:pPr>
    </w:p>
    <w:p>
      <w:pPr>
        <w:jc w:val="both"/>
        <w:ind w:left="80" w:hanging="358"/>
        <w:spacing w:after="0" w:line="283" w:lineRule="auto"/>
        <w:rPr>
          <w:sz w:val="20"/>
          <w:szCs w:val="20"/>
          <w:color w:val="auto"/>
        </w:rPr>
      </w:pPr>
      <w:r>
        <w:rPr>
          <w:rFonts w:ascii="Arial" w:cs="Arial" w:eastAsia="Arial" w:hAnsi="Arial"/>
          <w:sz w:val="14"/>
          <w:szCs w:val="14"/>
          <w:color w:val="auto"/>
        </w:rPr>
        <w:t xml:space="preserve">6.5.4 </w:t>
      </w:r>
      <w:r>
        <w:rPr>
          <w:rFonts w:ascii="Arial" w:cs="Arial" w:eastAsia="Arial" w:hAnsi="Arial"/>
          <w:sz w:val="14"/>
          <w:szCs w:val="14"/>
          <w:b w:val="1"/>
          <w:bCs w:val="1"/>
          <w:u w:val="single" w:color="auto"/>
          <w:color w:val="auto"/>
        </w:rPr>
        <w:t>Death After Commencement of Distributions</w:t>
      </w:r>
      <w:r>
        <w:rPr>
          <w:rFonts w:ascii="Arial" w:cs="Arial" w:eastAsia="Arial" w:hAnsi="Arial"/>
          <w:sz w:val="14"/>
          <w:szCs w:val="14"/>
          <w:b w:val="1"/>
          <w:bCs w:val="1"/>
          <w:color w:val="auto"/>
        </w:rPr>
        <w:t>.</w:t>
      </w:r>
      <w:r>
        <w:rPr>
          <w:sz w:val="20"/>
          <w:szCs w:val="20"/>
          <w:color w:val="auto"/>
        </w:rPr>
        <w:t xml:space="preserve"> </w:t>
      </w:r>
      <w:r>
        <w:rPr>
          <w:rFonts w:ascii="Arial" w:cs="Arial" w:eastAsia="Arial" w:hAnsi="Arial"/>
          <w:sz w:val="14"/>
          <w:szCs w:val="14"/>
          <w:color w:val="auto"/>
        </w:rPr>
        <w:t>Upon the death of a Participant after distributions of the Participant’s Account have commenced, the balance of the Participant’s Account will be distributed to the Participant’s Beneficiary at the same times and in the same forms that the Account would have been distributed to the Participant if the Participant had survived.</w:t>
      </w:r>
    </w:p>
    <w:p>
      <w:pPr>
        <w:spacing w:after="0" w:line="332" w:lineRule="exact"/>
        <w:rPr>
          <w:sz w:val="20"/>
          <w:szCs w:val="20"/>
          <w:color w:val="auto"/>
        </w:rPr>
      </w:pPr>
    </w:p>
    <w:p>
      <w:pPr>
        <w:jc w:val="both"/>
        <w:ind w:left="80" w:hanging="358"/>
        <w:spacing w:after="0" w:line="266" w:lineRule="auto"/>
        <w:rPr>
          <w:sz w:val="20"/>
          <w:szCs w:val="20"/>
          <w:color w:val="auto"/>
        </w:rPr>
      </w:pPr>
      <w:r>
        <w:rPr>
          <w:rFonts w:ascii="Arial" w:cs="Arial" w:eastAsia="Arial" w:hAnsi="Arial"/>
          <w:sz w:val="14"/>
          <w:szCs w:val="14"/>
          <w:color w:val="auto"/>
        </w:rPr>
        <w:t xml:space="preserve">6.5.5 </w:t>
      </w:r>
      <w:r>
        <w:rPr>
          <w:rFonts w:ascii="Arial" w:cs="Arial" w:eastAsia="Arial" w:hAnsi="Arial"/>
          <w:sz w:val="14"/>
          <w:szCs w:val="14"/>
          <w:b w:val="1"/>
          <w:bCs w:val="1"/>
          <w:u w:val="single" w:color="auto"/>
          <w:color w:val="auto"/>
        </w:rPr>
        <w:t>Distributions to Specified Employees</w:t>
      </w:r>
      <w:r>
        <w:rPr>
          <w:rFonts w:ascii="Arial" w:cs="Arial" w:eastAsia="Arial" w:hAnsi="Arial"/>
          <w:sz w:val="14"/>
          <w:szCs w:val="14"/>
          <w:b w:val="1"/>
          <w:bCs w:val="1"/>
          <w:color w:val="auto"/>
        </w:rPr>
        <w:t>.</w:t>
      </w:r>
      <w:r>
        <w:rPr>
          <w:rFonts w:ascii="Arial" w:cs="Arial" w:eastAsia="Arial" w:hAnsi="Arial"/>
          <w:sz w:val="14"/>
          <w:szCs w:val="14"/>
          <w:color w:val="auto"/>
        </w:rPr>
        <w:t xml:space="preserve"> Notwithstanding anything to the contrary in this Plan, if a Participant becomes entitled to a distribution on account of a Separation from Service and is a Specified Employee on the date of the Separation from Service, distributions shall not commence until the earlier of: (i) the expiration of the six-month period beginning on the date of Participant’s Separation from Service, or (ii) the date of Participant’s death. Payments to which a Specified Employee would otherwise be entitled during this six-month period shall be accumulated and paid, together with earnings that have accrued during this six-month delay, during the seventh month following the date of the Participant’s Separation from Service, or, if earlier, the date of the Participant’s death.</w:t>
      </w:r>
    </w:p>
    <w:p>
      <w:pPr>
        <w:spacing w:after="0" w:line="164" w:lineRule="exact"/>
        <w:rPr>
          <w:sz w:val="20"/>
          <w:szCs w:val="20"/>
          <w:color w:val="auto"/>
        </w:rPr>
      </w:pPr>
    </w:p>
    <w:p>
      <w:pPr>
        <w:jc w:val="both"/>
        <w:ind w:left="80" w:hanging="358"/>
        <w:spacing w:after="0" w:line="269" w:lineRule="auto"/>
        <w:rPr>
          <w:sz w:val="20"/>
          <w:szCs w:val="20"/>
          <w:color w:val="auto"/>
        </w:rPr>
      </w:pPr>
      <w:r>
        <w:rPr>
          <w:rFonts w:ascii="Arial" w:cs="Arial" w:eastAsia="Arial" w:hAnsi="Arial"/>
          <w:sz w:val="14"/>
          <w:szCs w:val="14"/>
          <w:color w:val="auto"/>
        </w:rPr>
        <w:t xml:space="preserve">6.5.6 </w:t>
      </w:r>
      <w:r>
        <w:rPr>
          <w:rFonts w:ascii="Arial" w:cs="Arial" w:eastAsia="Arial" w:hAnsi="Arial"/>
          <w:sz w:val="14"/>
          <w:szCs w:val="14"/>
          <w:b w:val="1"/>
          <w:bCs w:val="1"/>
          <w:u w:val="single" w:color="auto"/>
          <w:color w:val="auto"/>
        </w:rPr>
        <w:t>Effect of Change in Control</w:t>
      </w:r>
      <w:r>
        <w:rPr>
          <w:rFonts w:ascii="Arial" w:cs="Arial" w:eastAsia="Arial" w:hAnsi="Arial"/>
          <w:sz w:val="14"/>
          <w:szCs w:val="14"/>
          <w:b w:val="1"/>
          <w:bCs w:val="1"/>
          <w:color w:val="auto"/>
        </w:rPr>
        <w:t>.</w:t>
      </w:r>
      <w:r>
        <w:rPr>
          <w:rFonts w:ascii="Arial" w:cs="Arial" w:eastAsia="Arial" w:hAnsi="Arial"/>
          <w:sz w:val="14"/>
          <w:szCs w:val="14"/>
          <w:color w:val="auto"/>
        </w:rPr>
        <w:t xml:space="preserve"> Notwithstanding a Participant’s elections regarding distributions upon a Separation from Service and a distribution in a Specified Year, if (a) the Participant has a Separation from Service within two years following a Change in Control or (b) a Change in Control occurs within six months after the Participant has a Separation from Service, the Participant shall receive a distribution of the Participant’s entire Account in a single lump sum upon the later of the Separation from Service or the Change in Control, whether or not distributions have already commenced.</w:t>
      </w:r>
    </w:p>
    <w:p>
      <w:pPr>
        <w:spacing w:after="0" w:line="200" w:lineRule="exact"/>
        <w:rPr>
          <w:sz w:val="20"/>
          <w:szCs w:val="20"/>
          <w:color w:val="auto"/>
        </w:rPr>
      </w:pPr>
    </w:p>
    <w:p>
      <w:pPr>
        <w:spacing w:after="0" w:line="35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66040</wp:posOffset>
            </wp:positionV>
            <wp:extent cx="728027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513" w:right="21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b w:val="1"/>
          <w:bCs w:val="1"/>
          <w:u w:val="single" w:color="auto"/>
          <w:color w:val="auto"/>
        </w:rPr>
        <w:t>Subsequent Changes in Time and Form of Distributions</w:t>
      </w:r>
      <w:r>
        <w:rPr>
          <w:rFonts w:ascii="Arial" w:cs="Arial" w:eastAsia="Arial" w:hAnsi="Arial"/>
          <w:sz w:val="14"/>
          <w:szCs w:val="14"/>
          <w:b w:val="1"/>
          <w:bCs w:val="1"/>
          <w:color w:val="auto"/>
        </w:rPr>
        <w:t>.</w:t>
      </w:r>
    </w:p>
    <w:p>
      <w:pPr>
        <w:spacing w:after="0" w:line="209" w:lineRule="exact"/>
        <w:rPr>
          <w:sz w:val="20"/>
          <w:szCs w:val="20"/>
          <w:color w:val="auto"/>
        </w:rPr>
      </w:pPr>
    </w:p>
    <w:p>
      <w:pPr>
        <w:ind w:left="240"/>
        <w:spacing w:after="0" w:line="261" w:lineRule="auto"/>
        <w:rPr>
          <w:sz w:val="20"/>
          <w:szCs w:val="20"/>
          <w:color w:val="auto"/>
        </w:rPr>
      </w:pPr>
      <w:r>
        <w:rPr>
          <w:rFonts w:ascii="Arial" w:cs="Arial" w:eastAsia="Arial" w:hAnsi="Arial"/>
          <w:sz w:val="14"/>
          <w:szCs w:val="14"/>
          <w:color w:val="auto"/>
        </w:rPr>
        <w:t>A Participant may, in accordance with rules, procedures and forms specified from time to time by the Administrator, elect to change the time of commencement or change the form in which the Participant’s Account is distributed or both, provided that: (i) the Participant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(5) years from the date the distributions would otherwise have been paid, or in the case of installment payments, five (5) years from the date the installments were scheduled to commence. For purposes of this section, distributions on account of a Specified Year are considered scheduled to commence on January 1 of the Specified Year and all other distributions are considered to commence on the date of the Distribution Event, or if the Participant has elected a later year for commencement, January 1 of the year elected by the Participant. Any election in accordance with this section to change the time or form or both shall be irrevocable on the date it is filed with the Administrator unless subsequently changed pursuant to this Section.</w:t>
      </w:r>
    </w:p>
    <w:p>
      <w:pPr>
        <w:spacing w:after="0" w:line="16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ARTICLE 7</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Accounts and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u w:val="single" w:color="auto"/>
          <w:color w:val="auto"/>
        </w:rPr>
        <w:t>Establishment of Accounts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40"/>
        <w:spacing w:after="0" w:line="272" w:lineRule="auto"/>
        <w:rPr>
          <w:sz w:val="20"/>
          <w:szCs w:val="20"/>
          <w:color w:val="auto"/>
        </w:rPr>
      </w:pPr>
      <w:r>
        <w:rPr>
          <w:rFonts w:ascii="Arial" w:cs="Arial" w:eastAsia="Arial" w:hAnsi="Arial"/>
          <w:sz w:val="14"/>
          <w:szCs w:val="14"/>
          <w:color w:val="auto"/>
        </w:rPr>
        <w:t>The Company will establish notional accounts for each Participant as the Administrator deems necessary or advisable from time to time. The Company will establish a Participant’s Account at the earlier of the time a Participant first elects to defer any amounts into the Account or the time the Company first credits non-elective amounts to the Account. Each Account shall be credited as appropriate with deferrals and earnings with respect to deferrals and debited for distributions from the Account.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u w:val="single" w:color="auto"/>
          <w:color w:val="auto"/>
        </w:rPr>
        <w:t>Timing of Credits to Accounts</w:t>
      </w:r>
      <w:r>
        <w:rPr>
          <w:rFonts w:ascii="Arial" w:cs="Arial" w:eastAsia="Arial" w:hAnsi="Arial"/>
          <w:sz w:val="14"/>
          <w:szCs w:val="14"/>
          <w:b w:val="1"/>
          <w:bCs w:val="1"/>
          <w:color w:val="auto"/>
        </w:rPr>
        <w:t>.</w:t>
      </w:r>
    </w:p>
    <w:p>
      <w:pPr>
        <w:spacing w:after="0" w:line="209" w:lineRule="exact"/>
        <w:rPr>
          <w:sz w:val="20"/>
          <w:szCs w:val="20"/>
          <w:color w:val="auto"/>
        </w:rPr>
      </w:pPr>
    </w:p>
    <w:p>
      <w:pPr>
        <w:jc w:val="both"/>
        <w:ind w:left="240" w:right="160"/>
        <w:spacing w:after="0" w:line="272" w:lineRule="auto"/>
        <w:rPr>
          <w:sz w:val="20"/>
          <w:szCs w:val="20"/>
          <w:color w:val="auto"/>
        </w:rPr>
      </w:pPr>
      <w:r>
        <w:rPr>
          <w:rFonts w:ascii="Arial" w:cs="Arial" w:eastAsia="Arial" w:hAnsi="Arial"/>
          <w:sz w:val="14"/>
          <w:szCs w:val="14"/>
          <w:color w:val="auto"/>
        </w:rPr>
        <w:t>The Administrator shall credit a Participant’s Elective Deferrals to the Participant’s Account(s) not later than the end of the calendar year during which the Company would otherwise have paid the amounts to the Participant but for the Participant’s deferral election. The Administrator shall credit Non-Elective Deferrals at such times and in such amounts as the Administrator determines.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b w:val="1"/>
          <w:bCs w:val="1"/>
          <w:u w:val="single" w:color="auto"/>
          <w:color w:val="auto"/>
        </w:rPr>
        <w:t>Vesting</w:t>
      </w:r>
      <w:r>
        <w:rPr>
          <w:rFonts w:ascii="Arial" w:cs="Arial" w:eastAsia="Arial" w:hAnsi="Arial"/>
          <w:sz w:val="14"/>
          <w:szCs w:val="14"/>
          <w:b w:val="1"/>
          <w:bCs w:val="1"/>
          <w:color w:val="auto"/>
        </w:rPr>
        <w:t>.</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All Participant Accounts are fully vested at all times.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u w:val="single" w:color="auto"/>
          <w:color w:val="auto"/>
        </w:rPr>
        <w:t>Investments</w:t>
      </w:r>
      <w:r>
        <w:rPr>
          <w:rFonts w:ascii="Arial" w:cs="Arial" w:eastAsia="Arial" w:hAnsi="Arial"/>
          <w:sz w:val="14"/>
          <w:szCs w:val="14"/>
          <w:b w:val="1"/>
          <w:bCs w:val="1"/>
          <w:color w:val="auto"/>
        </w:rPr>
        <w:t>.</w:t>
      </w:r>
    </w:p>
    <w:p>
      <w:pPr>
        <w:spacing w:after="0" w:line="209" w:lineRule="exact"/>
        <w:rPr>
          <w:sz w:val="20"/>
          <w:szCs w:val="20"/>
          <w:color w:val="auto"/>
        </w:rPr>
      </w:pPr>
    </w:p>
    <w:p>
      <w:pPr>
        <w:jc w:val="both"/>
        <w:ind w:left="240" w:right="120"/>
        <w:spacing w:after="0" w:line="272" w:lineRule="auto"/>
        <w:rPr>
          <w:sz w:val="20"/>
          <w:szCs w:val="20"/>
          <w:color w:val="auto"/>
        </w:rPr>
      </w:pPr>
      <w:r>
        <w:rPr>
          <w:rFonts w:ascii="Arial" w:cs="Arial" w:eastAsia="Arial" w:hAnsi="Arial"/>
          <w:sz w:val="14"/>
          <w:szCs w:val="14"/>
          <w:color w:val="auto"/>
        </w:rPr>
        <w:t>The Administrator may select investment funds to use for measuring notional gains and losses credited or debited to Participant’s Accounts. The Administrator will establish, from time to time, rules and procedures for allowing each Participant who has not had a Distribution Event to designate which one or more of the selected investment funds will be used to determine the notional gains and losses credited or debited to the Participant’s Accounts prior to commencement of distributions.</w:t>
      </w:r>
    </w:p>
    <w:p>
      <w:pPr>
        <w:spacing w:after="0" w:line="358"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b w:val="1"/>
          <w:bCs w:val="1"/>
          <w:u w:val="single" w:color="auto"/>
          <w:color w:val="auto"/>
        </w:rPr>
        <w:t>Valuation Date</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140"/>
        <w:spacing w:after="0" w:line="288" w:lineRule="auto"/>
        <w:rPr>
          <w:sz w:val="20"/>
          <w:szCs w:val="20"/>
          <w:color w:val="auto"/>
        </w:rPr>
      </w:pPr>
      <w:r>
        <w:rPr>
          <w:rFonts w:ascii="Arial" w:cs="Arial" w:eastAsia="Arial" w:hAnsi="Arial"/>
          <w:sz w:val="14"/>
          <w:szCs w:val="14"/>
          <w:color w:val="auto"/>
        </w:rPr>
        <w:t>As of each Valuation Date, each Account will be adjusted to reflect the effect of notional investment gains or losses, additions, distributions, transfers and all other transactions with respect to that Account since the previous Valuation Date.</w:t>
      </w:r>
    </w:p>
    <w:p>
      <w:pPr>
        <w:spacing w:after="0" w:line="34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ARTICLE 8</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SERP II Retirement Benefit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u w:val="single" w:color="auto"/>
          <w:color w:val="auto"/>
        </w:rPr>
        <w:t>Eligibility</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20"/>
        <w:spacing w:after="0" w:line="294" w:lineRule="auto"/>
        <w:rPr>
          <w:sz w:val="20"/>
          <w:szCs w:val="20"/>
          <w:color w:val="auto"/>
        </w:rPr>
      </w:pPr>
      <w:r>
        <w:rPr>
          <w:rFonts w:ascii="Arial" w:cs="Arial" w:eastAsia="Arial" w:hAnsi="Arial"/>
          <w:sz w:val="13"/>
          <w:szCs w:val="13"/>
          <w:color w:val="auto"/>
        </w:rPr>
        <w:t>The provisions of Article 8 apply only to Eligible Employees who were eligible for Retirement Benefits on September 30, 2006. Effective October 1, 2006, the Company froze eligibility for Retirement Benefits and individuals who were not Participants on that date are not eligible for Retirement Benefits. Any Participant who was accruing Retirement Benefits on September 30, 2006 or who was eligible to accrue Retirement Benefits on that date because the Participant received an Annual Incentive Award or Other Award and was serving in management salary grades SA – SM, will remain eligible for Retirement Benefits in accordance with this section; provided the Participant remains an Employee of a Related Company.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u w:val="single" w:color="auto"/>
          <w:color w:val="auto"/>
        </w:rPr>
        <w:t>Vesting and Forfeiture</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180"/>
        <w:spacing w:after="0" w:line="272" w:lineRule="auto"/>
        <w:rPr>
          <w:sz w:val="20"/>
          <w:szCs w:val="20"/>
          <w:color w:val="auto"/>
        </w:rPr>
      </w:pPr>
      <w:r>
        <w:rPr>
          <w:rFonts w:ascii="Arial" w:cs="Arial" w:eastAsia="Arial" w:hAnsi="Arial"/>
          <w:sz w:val="14"/>
          <w:szCs w:val="14"/>
          <w:color w:val="auto"/>
        </w:rPr>
        <w:t>Participants will fully vest in the Retirement Benefit upon: (i) Retirement; (ii) becoming Disabled after attaining both age 50 and 10 years of Vesting Service; or (iii) upon attaining age 50 and 10 years of Vesting Service after becoming Disabled. Participants will forfeit unvested Retirement Benefits and prior years of Vesting Service upon Separation from Service or death prior to full vesting.</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u w:val="single" w:color="auto"/>
          <w:color w:val="auto"/>
        </w:rPr>
        <w:t>Retirement Benefit</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120"/>
        <w:spacing w:after="0" w:line="288" w:lineRule="auto"/>
        <w:rPr>
          <w:sz w:val="20"/>
          <w:szCs w:val="20"/>
          <w:color w:val="auto"/>
        </w:rPr>
      </w:pPr>
      <w:r>
        <w:rPr>
          <w:rFonts w:ascii="Arial" w:cs="Arial" w:eastAsia="Arial" w:hAnsi="Arial"/>
          <w:sz w:val="14"/>
          <w:szCs w:val="14"/>
          <w:color w:val="auto"/>
        </w:rPr>
        <w:t>The amount of the Retirement Benefit shall equal a single life annuity determined in the manner provided in the Retirement Plans, including any applicable early retirement factors and cost of living adjustments, but using a Participant’s Final Average Earnings and years of Credited Service as described in this section.</w:t>
      </w:r>
    </w:p>
    <w:p>
      <w:pPr>
        <w:spacing w:after="0" w:line="148" w:lineRule="exact"/>
        <w:rPr>
          <w:sz w:val="20"/>
          <w:szCs w:val="20"/>
          <w:color w:val="auto"/>
        </w:rPr>
      </w:pPr>
    </w:p>
    <w:p>
      <w:pPr>
        <w:jc w:val="both"/>
        <w:ind w:left="1020" w:hanging="358"/>
        <w:spacing w:after="0" w:line="289" w:lineRule="auto"/>
        <w:rPr>
          <w:sz w:val="20"/>
          <w:szCs w:val="20"/>
          <w:color w:val="auto"/>
        </w:rPr>
      </w:pPr>
      <w:r>
        <w:rPr>
          <w:rFonts w:ascii="Arial" w:cs="Arial" w:eastAsia="Arial" w:hAnsi="Arial"/>
          <w:sz w:val="13"/>
          <w:szCs w:val="13"/>
          <w:color w:val="auto"/>
        </w:rPr>
        <w:t xml:space="preserve">8.3.1 </w:t>
      </w:r>
      <w:r>
        <w:rPr>
          <w:rFonts w:ascii="Arial" w:cs="Arial" w:eastAsia="Arial" w:hAnsi="Arial"/>
          <w:sz w:val="13"/>
          <w:szCs w:val="13"/>
          <w:b w:val="1"/>
          <w:bCs w:val="1"/>
          <w:u w:val="single" w:color="auto"/>
          <w:color w:val="auto"/>
        </w:rPr>
        <w:t>Final Average Earnings</w:t>
      </w:r>
      <w:r>
        <w:rPr>
          <w:rFonts w:ascii="Arial" w:cs="Arial" w:eastAsia="Arial" w:hAnsi="Arial"/>
          <w:sz w:val="13"/>
          <w:szCs w:val="13"/>
          <w:b w:val="1"/>
          <w:bCs w:val="1"/>
          <w:color w:val="auto"/>
        </w:rPr>
        <w:t>.</w:t>
      </w:r>
      <w:r>
        <w:rPr>
          <w:rFonts w:ascii="Arial" w:cs="Arial" w:eastAsia="Arial" w:hAnsi="Arial"/>
          <w:sz w:val="13"/>
          <w:szCs w:val="13"/>
          <w:color w:val="auto"/>
        </w:rPr>
        <w:t xml:space="preserve"> Final Average Earnings include the sum of: (i) the Participant’s four highest consecutive Annual Incentive Awards and Other Awards within the “applicable 15-year period,” and (ii) the Participant’s highest Basic Compensation during any consecutive 48-month period within the “applicable 15-year period” to the extent that Basic Compensation exceeds the limitation on compensation imposed by Code section 401(a)(17). Compensation in excess of the limitation on compensation imposed by Code section 401(a)(17) shall be determined by using the limit in effect on the first day of the 48-month period described in (i) and the next three anniversaries of that date. With respect to a Participant who becomes entitled to a distribution upon Retirement, the “applicable 15-year period” shall be the fifteen (15) years preceding the date of Retirement. With respect to a Participant who becomes entitled to a distribution because of Disability, the “applicable 15-year period” shall be the 15-year period that: (i) ends no earlier than the Participant’s Disability and no later than the Participant’s sixty-fifth (65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birthday; and (ii) would result in the greatest Retirement Benefit.</w:t>
      </w:r>
    </w:p>
    <w:p>
      <w:pPr>
        <w:spacing w:after="0" w:line="28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189" w:name="page190"/>
    <w:bookmarkEnd w:id="189"/>
    <w:p>
      <w:pPr>
        <w:jc w:val="both"/>
        <w:ind w:left="1020" w:hanging="358"/>
        <w:spacing w:after="0" w:line="335" w:lineRule="auto"/>
        <w:rPr>
          <w:sz w:val="20"/>
          <w:szCs w:val="20"/>
          <w:color w:val="auto"/>
        </w:rPr>
      </w:pPr>
      <w:r>
        <w:rPr>
          <w:rFonts w:ascii="Arial" w:cs="Arial" w:eastAsia="Arial" w:hAnsi="Arial"/>
          <w:sz w:val="13"/>
          <w:szCs w:val="13"/>
          <w:color w:val="auto"/>
        </w:rPr>
        <w:t xml:space="preserve">8.3.2 </w:t>
      </w:r>
      <w:r>
        <w:rPr>
          <w:rFonts w:ascii="Arial" w:cs="Arial" w:eastAsia="Arial" w:hAnsi="Arial"/>
          <w:sz w:val="13"/>
          <w:szCs w:val="13"/>
          <w:b w:val="1"/>
          <w:bCs w:val="1"/>
          <w:u w:val="single" w:color="auto"/>
          <w:color w:val="auto"/>
        </w:rPr>
        <w:t>Years of Credited Service</w:t>
      </w:r>
      <w:r>
        <w:rPr>
          <w:rFonts w:ascii="Arial" w:cs="Arial" w:eastAsia="Arial" w:hAnsi="Arial"/>
          <w:sz w:val="13"/>
          <w:szCs w:val="13"/>
          <w:b w:val="1"/>
          <w:bCs w:val="1"/>
          <w:color w:val="auto"/>
        </w:rPr>
        <w:t>.</w:t>
      </w:r>
      <w:r>
        <w:rPr>
          <w:rFonts w:ascii="Arial" w:cs="Arial" w:eastAsia="Arial" w:hAnsi="Arial"/>
          <w:sz w:val="13"/>
          <w:szCs w:val="13"/>
          <w:color w:val="auto"/>
        </w:rPr>
        <w:t xml:space="preserve"> A Participant will receive credit for years of Credited Service after September 30, 2006, only to the extent that: (i) the Participant has been continuously employed since that date by a Related Company in management salary grades SA – SM; and (ii) distributions of Retirement Benefits have not commenced.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u w:val="single" w:color="auto"/>
          <w:color w:val="auto"/>
        </w:rPr>
        <w:t>Time and Form of Distributions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340"/>
        <w:spacing w:after="0" w:line="288" w:lineRule="auto"/>
        <w:rPr>
          <w:sz w:val="20"/>
          <w:szCs w:val="20"/>
          <w:color w:val="auto"/>
        </w:rPr>
      </w:pPr>
      <w:r>
        <w:rPr>
          <w:rFonts w:ascii="Arial" w:cs="Arial" w:eastAsia="Arial" w:hAnsi="Arial"/>
          <w:sz w:val="14"/>
          <w:szCs w:val="14"/>
          <w:color w:val="auto"/>
        </w:rPr>
        <w:t>Subject to the provisions of Section 8.5, a Participant will become entitled to a distribution of vested Retirement Benefits, in the form determined by this section, upon the earlier of: (i) Retirement; (ii) Disability; or (iii) solely with respect to a Participant who vests after becoming Disabled, the earlier of death or attainment of age 65.</w:t>
      </w:r>
    </w:p>
    <w:p>
      <w:pPr>
        <w:spacing w:after="0" w:line="148" w:lineRule="exact"/>
        <w:rPr>
          <w:sz w:val="20"/>
          <w:szCs w:val="20"/>
          <w:color w:val="auto"/>
        </w:rPr>
      </w:pPr>
    </w:p>
    <w:p>
      <w:pPr>
        <w:jc w:val="both"/>
        <w:ind w:left="1020" w:hanging="358"/>
        <w:spacing w:after="0" w:line="266" w:lineRule="auto"/>
        <w:rPr>
          <w:sz w:val="20"/>
          <w:szCs w:val="20"/>
          <w:color w:val="auto"/>
        </w:rPr>
      </w:pPr>
      <w:r>
        <w:rPr>
          <w:rFonts w:ascii="Arial" w:cs="Arial" w:eastAsia="Arial" w:hAnsi="Arial"/>
          <w:sz w:val="14"/>
          <w:szCs w:val="14"/>
          <w:color w:val="auto"/>
        </w:rPr>
        <w:t xml:space="preserve">8.4.1 </w:t>
      </w:r>
      <w:r>
        <w:rPr>
          <w:rFonts w:ascii="Arial" w:cs="Arial" w:eastAsia="Arial" w:hAnsi="Arial"/>
          <w:sz w:val="14"/>
          <w:szCs w:val="14"/>
          <w:b w:val="1"/>
          <w:bCs w:val="1"/>
          <w:u w:val="single" w:color="auto"/>
          <w:color w:val="auto"/>
        </w:rPr>
        <w:t>Election of Alternative Forms of Distribution</w:t>
      </w:r>
      <w:r>
        <w:rPr>
          <w:rFonts w:ascii="Arial" w:cs="Arial" w:eastAsia="Arial" w:hAnsi="Arial"/>
          <w:sz w:val="14"/>
          <w:szCs w:val="14"/>
          <w:b w:val="1"/>
          <w:bCs w:val="1"/>
          <w:color w:val="auto"/>
        </w:rPr>
        <w:t>.</w:t>
      </w:r>
      <w:r>
        <w:rPr>
          <w:rFonts w:ascii="Arial" w:cs="Arial" w:eastAsia="Arial" w:hAnsi="Arial"/>
          <w:sz w:val="14"/>
          <w:szCs w:val="14"/>
          <w:color w:val="auto"/>
        </w:rPr>
        <w:t xml:space="preserve"> A Participant may elect to receive the Retirement Benefit in one of the following forms, each of which shall be actuarially equivalent: (i) monthly installments over a 15-year period, (ii) a monthly life annuity, (iii) a lump sum payment; or (iv) a combination of a lump sum and either (i) or (ii). Actuarially equivalence will be calculated using actuarial factors adopted by the Administrator from time to time. Effective as of December 31, 2008, Participant elections regarding the form of distribution are irrevocable and will remain in effect until the Retirement Benefits are paid in full unless a Participant elects to change the time and form of payment in accordance with Section 8.6.</w:t>
      </w:r>
    </w:p>
    <w:p>
      <w:pPr>
        <w:spacing w:after="0" w:line="164" w:lineRule="exact"/>
        <w:rPr>
          <w:sz w:val="20"/>
          <w:szCs w:val="20"/>
          <w:color w:val="auto"/>
        </w:rPr>
      </w:pPr>
    </w:p>
    <w:p>
      <w:pPr>
        <w:jc w:val="both"/>
        <w:ind w:left="1020" w:hanging="358"/>
        <w:spacing w:after="0" w:line="275" w:lineRule="auto"/>
        <w:rPr>
          <w:sz w:val="20"/>
          <w:szCs w:val="20"/>
          <w:color w:val="auto"/>
        </w:rPr>
      </w:pPr>
      <w:r>
        <w:rPr>
          <w:rFonts w:ascii="Arial" w:cs="Arial" w:eastAsia="Arial" w:hAnsi="Arial"/>
          <w:sz w:val="14"/>
          <w:szCs w:val="14"/>
          <w:color w:val="auto"/>
        </w:rPr>
        <w:t xml:space="preserve">8.4.2 </w:t>
      </w:r>
      <w:r>
        <w:rPr>
          <w:rFonts w:ascii="Arial" w:cs="Arial" w:eastAsia="Arial" w:hAnsi="Arial"/>
          <w:sz w:val="14"/>
          <w:szCs w:val="14"/>
          <w:b w:val="1"/>
          <w:bCs w:val="1"/>
          <w:u w:val="single" w:color="auto"/>
          <w:color w:val="auto"/>
        </w:rPr>
        <w:t>Default Form of Payment</w:t>
      </w:r>
      <w:r>
        <w:rPr>
          <w:rFonts w:ascii="Arial" w:cs="Arial" w:eastAsia="Arial" w:hAnsi="Arial"/>
          <w:sz w:val="14"/>
          <w:szCs w:val="14"/>
          <w:b w:val="1"/>
          <w:bCs w:val="1"/>
          <w:color w:val="auto"/>
        </w:rPr>
        <w:t>.</w:t>
      </w:r>
      <w:r>
        <w:rPr>
          <w:rFonts w:ascii="Arial" w:cs="Arial" w:eastAsia="Arial" w:hAnsi="Arial"/>
          <w:sz w:val="14"/>
          <w:szCs w:val="14"/>
          <w:color w:val="auto"/>
        </w:rPr>
        <w:t xml:space="preserve"> If a Participant fails to elect a form of payment with respect to the Participant’s Retirement Benefit before December 31, 2008, the Retirement Benefit will be paid in the form of monthly installments over a 15-year period unless the Participant elects to change the time and form of payment in accordance with Section 8.6.</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u w:val="single" w:color="auto"/>
          <w:color w:val="auto"/>
        </w:rPr>
        <w:t>Additional Distribution Rules</w:t>
      </w:r>
      <w:r>
        <w:rPr>
          <w:rFonts w:ascii="Arial" w:cs="Arial" w:eastAsia="Arial" w:hAnsi="Arial"/>
          <w:sz w:val="14"/>
          <w:szCs w:val="14"/>
          <w:b w:val="1"/>
          <w:bCs w:val="1"/>
          <w:color w:val="auto"/>
        </w:rPr>
        <w:t>.</w:t>
      </w:r>
    </w:p>
    <w:p>
      <w:pPr>
        <w:spacing w:after="0" w:line="205" w:lineRule="exact"/>
        <w:rPr>
          <w:sz w:val="20"/>
          <w:szCs w:val="20"/>
          <w:color w:val="auto"/>
        </w:rPr>
      </w:pPr>
    </w:p>
    <w:p>
      <w:pPr>
        <w:jc w:val="both"/>
        <w:ind w:left="1020" w:hanging="358"/>
        <w:spacing w:after="0" w:line="246" w:lineRule="auto"/>
        <w:rPr>
          <w:sz w:val="20"/>
          <w:szCs w:val="20"/>
          <w:color w:val="auto"/>
        </w:rPr>
      </w:pPr>
      <w:r>
        <w:rPr>
          <w:rFonts w:ascii="Arial" w:cs="Arial" w:eastAsia="Arial" w:hAnsi="Arial"/>
          <w:sz w:val="14"/>
          <w:szCs w:val="14"/>
          <w:color w:val="auto"/>
        </w:rPr>
        <w:t xml:space="preserve">8.5.1 </w:t>
      </w:r>
      <w:r>
        <w:rPr>
          <w:rFonts w:ascii="Arial" w:cs="Arial" w:eastAsia="Arial" w:hAnsi="Arial"/>
          <w:sz w:val="14"/>
          <w:szCs w:val="14"/>
          <w:b w:val="1"/>
          <w:bCs w:val="1"/>
          <w:u w:val="single" w:color="auto"/>
          <w:color w:val="auto"/>
        </w:rPr>
        <w:t>Commencement of Distributions</w:t>
      </w:r>
      <w:r>
        <w:rPr>
          <w:rFonts w:ascii="Arial" w:cs="Arial" w:eastAsia="Arial" w:hAnsi="Arial"/>
          <w:sz w:val="14"/>
          <w:szCs w:val="14"/>
          <w:b w:val="1"/>
          <w:bCs w:val="1"/>
          <w:color w:val="auto"/>
        </w:rPr>
        <w:t>.</w:t>
      </w:r>
      <w:r>
        <w:rPr>
          <w:rFonts w:ascii="Arial" w:cs="Arial" w:eastAsia="Arial" w:hAnsi="Arial"/>
          <w:sz w:val="14"/>
          <w:szCs w:val="14"/>
          <w:color w:val="auto"/>
        </w:rPr>
        <w:t xml:space="preserve"> Distributions on account of a Distribution Event other than Disability will commence between the date of the Distribution Event and the end of the year in which the Distribution Event occurs. If a Distribution Event other than Disability occurs on or after October 1 of a Plan Year, the distribution may, to the extent permitted by Section 409A, commence after the Distribution Event and on or before the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Any distribution that complies with this section shall be deemed for all purposes to comply with the Plan requirements regarding the time and form of distributions.</w:t>
      </w:r>
    </w:p>
    <w:p>
      <w:pPr>
        <w:spacing w:after="0" w:line="376"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190" w:name="page191"/>
    <w:bookmarkEnd w:id="190"/>
    <w:p>
      <w:pPr>
        <w:jc w:val="both"/>
        <w:ind w:left="80" w:hanging="358"/>
        <w:spacing w:after="0" w:line="291" w:lineRule="auto"/>
        <w:rPr>
          <w:sz w:val="20"/>
          <w:szCs w:val="20"/>
          <w:color w:val="auto"/>
        </w:rPr>
      </w:pPr>
      <w:r>
        <w:rPr>
          <w:rFonts w:ascii="Arial" w:cs="Arial" w:eastAsia="Arial" w:hAnsi="Arial"/>
          <w:sz w:val="13"/>
          <w:szCs w:val="13"/>
          <w:color w:val="auto"/>
        </w:rPr>
        <w:t xml:space="preserve">8.5.2 </w:t>
      </w:r>
      <w:r>
        <w:rPr>
          <w:rFonts w:ascii="Arial" w:cs="Arial" w:eastAsia="Arial" w:hAnsi="Arial"/>
          <w:sz w:val="13"/>
          <w:szCs w:val="13"/>
          <w:b w:val="1"/>
          <w:bCs w:val="1"/>
          <w:u w:val="single" w:color="auto"/>
          <w:color w:val="auto"/>
        </w:rPr>
        <w:t>Distributions to Specified Employees</w:t>
      </w:r>
      <w:r>
        <w:rPr>
          <w:rFonts w:ascii="Arial" w:cs="Arial" w:eastAsia="Arial" w:hAnsi="Arial"/>
          <w:sz w:val="13"/>
          <w:szCs w:val="13"/>
          <w:b w:val="1"/>
          <w:bCs w:val="1"/>
          <w:color w:val="auto"/>
        </w:rPr>
        <w:t>.</w:t>
      </w:r>
      <w:r>
        <w:rPr>
          <w:rFonts w:ascii="Arial" w:cs="Arial" w:eastAsia="Arial" w:hAnsi="Arial"/>
          <w:sz w:val="13"/>
          <w:szCs w:val="13"/>
          <w:color w:val="auto"/>
        </w:rPr>
        <w:t xml:space="preserve"> Notwithstanding anything to the contrary in this Plan, if a Participant becomes entitled to a distribution on account of a Retirement and is a Specified Employee on the date of the Retirement, distributions shall not commence until the earlier of: (i) the expiration of the six-month period beginning on the date of Participant’s Retirement, or (ii) the date of the Participant’s death. Payments to which a Specified Employee would otherwise be entitled during this six-month period shall be accumulated and paid, together with earnings (calculated using the interest rate adopted by the Administrator for determining actuarial equivalence) that have accrued during this six-month delay, during the seventh month following the date of the Participant’s Retirement, or, if earlier, the date of the Participant’s death.</w:t>
      </w:r>
    </w:p>
    <w:p>
      <w:pPr>
        <w:spacing w:after="0" w:line="153" w:lineRule="exact"/>
        <w:rPr>
          <w:sz w:val="20"/>
          <w:szCs w:val="20"/>
          <w:color w:val="auto"/>
        </w:rPr>
      </w:pPr>
    </w:p>
    <w:p>
      <w:pPr>
        <w:jc w:val="both"/>
        <w:ind w:left="80" w:hanging="358"/>
        <w:spacing w:after="0" w:line="224" w:lineRule="auto"/>
        <w:rPr>
          <w:sz w:val="20"/>
          <w:szCs w:val="20"/>
          <w:color w:val="auto"/>
        </w:rPr>
      </w:pPr>
      <w:r>
        <w:rPr>
          <w:rFonts w:ascii="Arial" w:cs="Arial" w:eastAsia="Arial" w:hAnsi="Arial"/>
          <w:sz w:val="14"/>
          <w:szCs w:val="14"/>
          <w:color w:val="auto"/>
        </w:rPr>
        <w:t xml:space="preserve">8.5.3 </w:t>
      </w: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r>
        <w:rPr>
          <w:rFonts w:ascii="Arial" w:cs="Arial" w:eastAsia="Arial" w:hAnsi="Arial"/>
          <w:sz w:val="14"/>
          <w:szCs w:val="14"/>
          <w:color w:val="auto"/>
        </w:rPr>
        <w:t xml:space="preserve"> Unless subsequently changed in accordance with the Plan, distributions on account of Disability will commence on the earlier of the Participant’s 65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birthday or the second anniversary of the Disability.</w:t>
      </w:r>
    </w:p>
    <w:p>
      <w:pPr>
        <w:spacing w:after="0" w:line="181" w:lineRule="exact"/>
        <w:rPr>
          <w:sz w:val="20"/>
          <w:szCs w:val="20"/>
          <w:color w:val="auto"/>
        </w:rPr>
      </w:pPr>
    </w:p>
    <w:p>
      <w:pPr>
        <w:jc w:val="both"/>
        <w:ind w:left="80" w:hanging="358"/>
        <w:spacing w:after="0" w:line="261" w:lineRule="auto"/>
        <w:rPr>
          <w:sz w:val="20"/>
          <w:szCs w:val="20"/>
          <w:color w:val="auto"/>
        </w:rPr>
      </w:pPr>
      <w:r>
        <w:rPr>
          <w:rFonts w:ascii="Arial" w:cs="Arial" w:eastAsia="Arial" w:hAnsi="Arial"/>
          <w:sz w:val="14"/>
          <w:szCs w:val="14"/>
          <w:color w:val="auto"/>
        </w:rPr>
        <w:t xml:space="preserve">8.5.4 </w:t>
      </w:r>
      <w:r>
        <w:rPr>
          <w:rFonts w:ascii="Arial" w:cs="Arial" w:eastAsia="Arial" w:hAnsi="Arial"/>
          <w:sz w:val="14"/>
          <w:szCs w:val="14"/>
          <w:b w:val="1"/>
          <w:bCs w:val="1"/>
          <w:u w:val="single" w:color="auto"/>
          <w:color w:val="auto"/>
        </w:rPr>
        <w:t>Annuity Payments and Installments</w:t>
      </w:r>
      <w:r>
        <w:rPr>
          <w:rFonts w:ascii="Arial" w:cs="Arial" w:eastAsia="Arial" w:hAnsi="Arial"/>
          <w:sz w:val="14"/>
          <w:szCs w:val="14"/>
          <w:b w:val="1"/>
          <w:bCs w:val="1"/>
          <w:color w:val="auto"/>
        </w:rPr>
        <w:t>.</w:t>
      </w:r>
      <w:r>
        <w:rPr>
          <w:rFonts w:ascii="Arial" w:cs="Arial" w:eastAsia="Arial" w:hAnsi="Arial"/>
          <w:sz w:val="14"/>
          <w:szCs w:val="14"/>
          <w:color w:val="auto"/>
        </w:rPr>
        <w:t xml:space="preserve"> If a Participant elects to receive all or a portion of the distributions in monthly installments, that portion to be paid in installments will be paid in substantially equal monthly installments in consecutive months over a 15-year period. If a Participant elects to receive all or a portion of the distributions in the form of a life annuity, that portion to be paid as a life annuity will be paid in monthly installments in consecutive months for the remainder of the Participant’s life, in the case of a unmarried Participant, and in the case of a married Participant over the lives of the Participant and the Participant’s Eligible Surviving Spouse. Each monthly installment or life annuity payment will be paid during the Plan Year in which it is due, commencing as described in Section 8.5.1. During the Plan Year in which distributions commence, the Participant will receive one installment or life annuity payment for each calendar month beginning after the date of the Distribution Event. If the Participant has elected to be paid in installments, during the distribution period the portion of the Participant’s Account to be paid in installments will be credited with interest compounded monthly at the interest rate used by the Administrator to determine actuarial equivalence. Any distribution that complies with this section shall be deemed for all purposes to comply with the Plan requirements regarding the time and form of distributions.</w:t>
      </w:r>
    </w:p>
    <w:p>
      <w:pPr>
        <w:spacing w:after="0" w:line="170" w:lineRule="exact"/>
        <w:rPr>
          <w:sz w:val="20"/>
          <w:szCs w:val="20"/>
          <w:color w:val="auto"/>
        </w:rPr>
      </w:pPr>
    </w:p>
    <w:p>
      <w:pPr>
        <w:jc w:val="both"/>
        <w:ind w:left="80" w:hanging="358"/>
        <w:spacing w:after="0" w:line="291" w:lineRule="auto"/>
        <w:rPr>
          <w:sz w:val="20"/>
          <w:szCs w:val="20"/>
          <w:color w:val="auto"/>
        </w:rPr>
      </w:pPr>
      <w:r>
        <w:rPr>
          <w:rFonts w:ascii="Arial" w:cs="Arial" w:eastAsia="Arial" w:hAnsi="Arial"/>
          <w:sz w:val="13"/>
          <w:szCs w:val="13"/>
          <w:color w:val="auto"/>
        </w:rPr>
        <w:t xml:space="preserve">8.5.5 </w:t>
      </w:r>
      <w:r>
        <w:rPr>
          <w:rFonts w:ascii="Arial" w:cs="Arial" w:eastAsia="Arial" w:hAnsi="Arial"/>
          <w:sz w:val="13"/>
          <w:szCs w:val="13"/>
          <w:b w:val="1"/>
          <w:bCs w:val="1"/>
          <w:u w:val="single" w:color="auto"/>
          <w:color w:val="auto"/>
        </w:rPr>
        <w:t>Death After Commencement of Benefits</w:t>
      </w:r>
      <w:r>
        <w:rPr>
          <w:rFonts w:ascii="Arial" w:cs="Arial" w:eastAsia="Arial" w:hAnsi="Arial"/>
          <w:sz w:val="13"/>
          <w:szCs w:val="13"/>
          <w:b w:val="1"/>
          <w:bCs w:val="1"/>
          <w:color w:val="auto"/>
        </w:rPr>
        <w:t>.</w:t>
      </w:r>
      <w:r>
        <w:rPr>
          <w:rFonts w:ascii="Arial" w:cs="Arial" w:eastAsia="Arial" w:hAnsi="Arial"/>
          <w:sz w:val="13"/>
          <w:szCs w:val="13"/>
          <w:color w:val="auto"/>
        </w:rPr>
        <w:t xml:space="preserve"> Upon the death of a Participant after distributions of the Participant’s Retirement Benefit have commenced, the remainder of the Participant’s Retirement Benefit will continue to be distributed to the Participant’s Beneficiary at the same time and in the same form as the benefit would have been distributed to the Participant had the Participant survived, except to the extent that the Participant had elected a life annuity: (i) if the Participant has an Eligible Surviving Spouse on the date of death, the surviving spouse will receive 60% of the Participant’s life annuity benefit for the remainder of the spouse’s life and (ii) if the Participant does not have an Eligible Surviving Spouse, the annuity will cease as of the first day of the month following the month during which the Participant died.</w:t>
      </w:r>
    </w:p>
    <w:p>
      <w:pPr>
        <w:spacing w:after="0" w:line="34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66040</wp:posOffset>
            </wp:positionV>
            <wp:extent cx="7280275" cy="19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513" w:right="219" w:bottom="1440" w:gutter="0" w:footer="0" w:header="0"/>
        </w:sectPr>
      </w:pPr>
    </w:p>
    <w:bookmarkStart w:id="191" w:name="page192"/>
    <w:bookmarkEnd w:id="191"/>
    <w:p>
      <w:pPr>
        <w:jc w:val="both"/>
        <w:ind w:left="1020" w:hanging="358"/>
        <w:spacing w:after="0" w:line="288" w:lineRule="auto"/>
        <w:rPr>
          <w:sz w:val="20"/>
          <w:szCs w:val="20"/>
          <w:color w:val="auto"/>
        </w:rPr>
      </w:pPr>
      <w:r>
        <w:rPr>
          <w:rFonts w:ascii="Arial" w:cs="Arial" w:eastAsia="Arial" w:hAnsi="Arial"/>
          <w:sz w:val="13"/>
          <w:szCs w:val="13"/>
          <w:color w:val="auto"/>
        </w:rPr>
        <w:t xml:space="preserve">8.5.6 </w:t>
      </w:r>
      <w:r>
        <w:rPr>
          <w:rFonts w:ascii="Arial" w:cs="Arial" w:eastAsia="Arial" w:hAnsi="Arial"/>
          <w:sz w:val="13"/>
          <w:szCs w:val="13"/>
          <w:b w:val="1"/>
          <w:bCs w:val="1"/>
          <w:u w:val="single" w:color="auto"/>
          <w:color w:val="auto"/>
        </w:rPr>
        <w:t>Effect of Change of Control</w:t>
      </w:r>
      <w:r>
        <w:rPr>
          <w:rFonts w:ascii="Arial" w:cs="Arial" w:eastAsia="Arial" w:hAnsi="Arial"/>
          <w:sz w:val="13"/>
          <w:szCs w:val="13"/>
          <w:b w:val="1"/>
          <w:bCs w:val="1"/>
          <w:color w:val="auto"/>
        </w:rPr>
        <w:t>.</w:t>
      </w:r>
      <w:r>
        <w:rPr>
          <w:rFonts w:ascii="Arial" w:cs="Arial" w:eastAsia="Arial" w:hAnsi="Arial"/>
          <w:sz w:val="13"/>
          <w:szCs w:val="13"/>
          <w:color w:val="auto"/>
        </w:rPr>
        <w:t xml:space="preserve"> With respect to any Participant whose Retirement Benefit distributions have commenced, or would commence, upon a Separation from Service, if (a) the Participant’s Separation from Service occurs within two years following a Change in Control or (b) a Change in Control occurs within six months after the Participant’s Separation from Service, then notwithstanding the Participant’s elections regarding distributions upon a Separation from Service, the Participant shall receive a distribution of the Participant’s entire remaining vested Retirement Benefit in a single lump sum upon the later of the Separation from Service or the Change in Control, whether or not distributions have already commenced. Any Retirement Benefit that does not become payable in a lump sum in accordance with this section will vest, if at all, in accordance with Section 8.2, will become payable in accordance with Section 8.4, and will otherwise remain subject to the provisions of Article 8.</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u w:val="single" w:color="auto"/>
          <w:color w:val="auto"/>
        </w:rPr>
        <w:t>Subsequent Changes in Time and Form of Payment</w:t>
      </w:r>
      <w:r>
        <w:rPr>
          <w:rFonts w:ascii="Arial" w:cs="Arial" w:eastAsia="Arial" w:hAnsi="Arial"/>
          <w:sz w:val="14"/>
          <w:szCs w:val="14"/>
          <w:b w:val="1"/>
          <w:bCs w:val="1"/>
          <w:color w:val="auto"/>
        </w:rPr>
        <w:t>.</w:t>
      </w:r>
    </w:p>
    <w:p>
      <w:pPr>
        <w:spacing w:after="0" w:line="209" w:lineRule="exact"/>
        <w:rPr>
          <w:sz w:val="20"/>
          <w:szCs w:val="20"/>
          <w:color w:val="auto"/>
        </w:rPr>
      </w:pPr>
    </w:p>
    <w:p>
      <w:pPr>
        <w:ind w:left="240"/>
        <w:spacing w:after="0" w:line="287" w:lineRule="auto"/>
        <w:rPr>
          <w:sz w:val="20"/>
          <w:szCs w:val="20"/>
          <w:color w:val="auto"/>
        </w:rPr>
      </w:pPr>
      <w:r>
        <w:rPr>
          <w:rFonts w:ascii="Arial" w:cs="Arial" w:eastAsia="Arial" w:hAnsi="Arial"/>
          <w:sz w:val="13"/>
          <w:szCs w:val="13"/>
          <w:color w:val="auto"/>
        </w:rPr>
        <w:t>A Participant may, in accordance with rules, procedures and forms specified from time to time by the Administrator, elect to change the form in which the Participant’s Retirement Benefit is distributed, provided that: (i) the Participant elects at least twelve (12) months prior to the date on which payments are otherwise scheduled to commence; (ii) the new election does not take effect for at least twelve (12) months; and (iii) with respect to changes applicable to distributions upon Retirement or, solely with respect to a Participant who vests after becoming Disabled, distributions upon attaining age 65, distributions must be deferred for at least five years from the date the distributions would otherwise have been paid, or in the case of installment payments or life annuity payments, five years from the date the installments or life annuity payments were scheduled to commence. Any such election shall be irrevocable on the date it is filed with the Administrator unless subsequently changed pursuant to this section. For purposes of this section, distributions are considered to commence on the date of the Distribution Event.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u w:val="single" w:color="auto"/>
          <w:color w:val="auto"/>
        </w:rPr>
        <w:t>FICA and Other Taxes</w:t>
      </w:r>
      <w:r>
        <w:rPr>
          <w:rFonts w:ascii="Arial" w:cs="Arial" w:eastAsia="Arial" w:hAnsi="Arial"/>
          <w:sz w:val="14"/>
          <w:szCs w:val="14"/>
          <w:b w:val="1"/>
          <w:bCs w:val="1"/>
          <w:color w:val="auto"/>
        </w:rPr>
        <w:t>.</w:t>
      </w:r>
    </w:p>
    <w:p>
      <w:pPr>
        <w:spacing w:after="0" w:line="209" w:lineRule="exact"/>
        <w:rPr>
          <w:sz w:val="20"/>
          <w:szCs w:val="20"/>
          <w:color w:val="auto"/>
        </w:rPr>
      </w:pPr>
    </w:p>
    <w:p>
      <w:pPr>
        <w:ind w:left="240" w:right="60"/>
        <w:spacing w:after="0" w:line="267" w:lineRule="auto"/>
        <w:rPr>
          <w:sz w:val="20"/>
          <w:szCs w:val="20"/>
          <w:color w:val="auto"/>
        </w:rPr>
      </w:pPr>
      <w:r>
        <w:rPr>
          <w:rFonts w:ascii="Arial" w:cs="Arial" w:eastAsia="Arial" w:hAnsi="Arial"/>
          <w:sz w:val="14"/>
          <w:szCs w:val="14"/>
          <w:color w:val="auto"/>
        </w:rPr>
        <w:t>At the time of a Participant’s Distribution Event, the Participant’s Employer(s) shall, in a manner determined by the Employer(s), calculate the FICA and other required employment or state, local, and foreign taxes due on the lump sum present value, calculated using the factors adopted by the Administrator for determining actuarial equivalence, of the Participant’s Retirement Benefit and shall reduce the Participant’s Retirement Benefit by the amount of any such taxes payable by the Participant. The amount of the Participant’s Retirement Benefit remaining after reduction for any taxes shall be payable in accordance with Sections 8.5 and 8.6.</w:t>
      </w:r>
    </w:p>
    <w:p>
      <w:pPr>
        <w:spacing w:after="0" w:line="36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192" w:name="page193"/>
    <w:bookmarkEnd w:id="192"/>
    <w:p>
      <w:pPr>
        <w:jc w:val="center"/>
        <w:ind w:right="260"/>
        <w:spacing w:after="0"/>
        <w:rPr>
          <w:sz w:val="20"/>
          <w:szCs w:val="20"/>
          <w:color w:val="auto"/>
        </w:rPr>
      </w:pPr>
      <w:r>
        <w:rPr>
          <w:rFonts w:ascii="Arial" w:cs="Arial" w:eastAsia="Arial" w:hAnsi="Arial"/>
          <w:sz w:val="14"/>
          <w:szCs w:val="14"/>
          <w:b w:val="1"/>
          <w:bCs w:val="1"/>
          <w:color w:val="auto"/>
        </w:rPr>
        <w:t>ARTICLE 9</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Payment Acceleration and Delay</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b w:val="1"/>
          <w:bCs w:val="1"/>
          <w:u w:val="single" w:color="auto"/>
          <w:color w:val="auto"/>
        </w:rPr>
        <w:t>Permitted Accelerations of Payment</w:t>
      </w:r>
      <w:r>
        <w:rPr>
          <w:rFonts w:ascii="Arial" w:cs="Arial" w:eastAsia="Arial" w:hAnsi="Arial"/>
          <w:sz w:val="14"/>
          <w:szCs w:val="14"/>
          <w:b w:val="1"/>
          <w:bCs w:val="1"/>
          <w:color w:val="auto"/>
        </w:rPr>
        <w:t>.</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Except as otherwise provided herein or permitted by Section 409A, the Plan prohibits the acceleration of the time or schedule of any payment due under the Plan.</w:t>
      </w:r>
    </w:p>
    <w:p>
      <w:pPr>
        <w:spacing w:after="0" w:line="201" w:lineRule="exact"/>
        <w:rPr>
          <w:sz w:val="20"/>
          <w:szCs w:val="20"/>
          <w:color w:val="auto"/>
        </w:rPr>
      </w:pPr>
    </w:p>
    <w:p>
      <w:pPr>
        <w:jc w:val="both"/>
        <w:ind w:left="1020" w:hanging="358"/>
        <w:spacing w:after="0" w:line="294" w:lineRule="auto"/>
        <w:rPr>
          <w:sz w:val="20"/>
          <w:szCs w:val="20"/>
          <w:color w:val="auto"/>
        </w:rPr>
      </w:pPr>
      <w:r>
        <w:rPr>
          <w:rFonts w:ascii="Arial" w:cs="Arial" w:eastAsia="Arial" w:hAnsi="Arial"/>
          <w:sz w:val="13"/>
          <w:szCs w:val="13"/>
          <w:color w:val="auto"/>
        </w:rPr>
        <w:t xml:space="preserve">9.1.1 </w:t>
      </w:r>
      <w:r>
        <w:rPr>
          <w:rFonts w:ascii="Arial" w:cs="Arial" w:eastAsia="Arial" w:hAnsi="Arial"/>
          <w:sz w:val="13"/>
          <w:szCs w:val="13"/>
          <w:b w:val="1"/>
          <w:bCs w:val="1"/>
          <w:u w:val="single" w:color="auto"/>
          <w:color w:val="auto"/>
        </w:rPr>
        <w:t>Distribution in the Event of Taxation</w:t>
      </w:r>
      <w:r>
        <w:rPr>
          <w:rFonts w:ascii="Arial" w:cs="Arial" w:eastAsia="Arial" w:hAnsi="Arial"/>
          <w:sz w:val="13"/>
          <w:szCs w:val="13"/>
          <w:b w:val="1"/>
          <w:bCs w:val="1"/>
          <w:color w:val="auto"/>
        </w:rPr>
        <w:t>.</w:t>
      </w:r>
      <w:r>
        <w:rPr>
          <w:rFonts w:ascii="Arial" w:cs="Arial" w:eastAsia="Arial" w:hAnsi="Arial"/>
          <w:sz w:val="13"/>
          <w:szCs w:val="13"/>
          <w:color w:val="auto"/>
        </w:rPr>
        <w:t xml:space="preserve"> If, for any reason, all or any portion of any benefit provided by the Plan becomes taxable to a Participant because of a violation of Section 409A prior to receipt, the Participant may file a written request with the Administrator for a distribution of that portion of the Plan benefit that has become taxable. Upon the grant of such a request, which grant shall not be unreasonably withheld, the Participant shall receive a distribution equal to the taxable portion of the Plan benefit. If the request is granted, the tax liability distribution shall be paid between the date on which the Participant’s request is approved and the end of the Plan Year during which the approval occurred, or if later, the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day of the third calendar month following the date on which the Participant’s request is approved.</w:t>
      </w:r>
    </w:p>
    <w:p>
      <w:pPr>
        <w:spacing w:after="0" w:line="81" w:lineRule="exact"/>
        <w:rPr>
          <w:sz w:val="20"/>
          <w:szCs w:val="20"/>
          <w:color w:val="auto"/>
        </w:rPr>
      </w:pPr>
    </w:p>
    <w:p>
      <w:pPr>
        <w:jc w:val="both"/>
        <w:ind w:left="1020" w:hanging="358"/>
        <w:spacing w:after="0" w:line="335" w:lineRule="auto"/>
        <w:rPr>
          <w:sz w:val="20"/>
          <w:szCs w:val="20"/>
          <w:color w:val="auto"/>
        </w:rPr>
      </w:pPr>
      <w:r>
        <w:rPr>
          <w:rFonts w:ascii="Arial" w:cs="Arial" w:eastAsia="Arial" w:hAnsi="Arial"/>
          <w:sz w:val="13"/>
          <w:szCs w:val="13"/>
          <w:color w:val="auto"/>
        </w:rPr>
        <w:t xml:space="preserve">9.1.2 </w:t>
      </w:r>
      <w:r>
        <w:rPr>
          <w:rFonts w:ascii="Arial" w:cs="Arial" w:eastAsia="Arial" w:hAnsi="Arial"/>
          <w:sz w:val="13"/>
          <w:szCs w:val="13"/>
          <w:b w:val="1"/>
          <w:bCs w:val="1"/>
          <w:u w:val="single" w:color="auto"/>
          <w:color w:val="auto"/>
        </w:rPr>
        <w:t>Compliance with Ethics Laws or Conflicts of Interests Laws</w:t>
      </w:r>
      <w:r>
        <w:rPr>
          <w:rFonts w:ascii="Arial" w:cs="Arial" w:eastAsia="Arial" w:hAnsi="Arial"/>
          <w:sz w:val="13"/>
          <w:szCs w:val="13"/>
          <w:b w:val="1"/>
          <w:bCs w:val="1"/>
          <w:color w:val="auto"/>
        </w:rPr>
        <w:t>.</w:t>
      </w:r>
      <w:r>
        <w:rPr>
          <w:rFonts w:ascii="Arial" w:cs="Arial" w:eastAsia="Arial" w:hAnsi="Arial"/>
          <w:sz w:val="13"/>
          <w:szCs w:val="13"/>
          <w:color w:val="auto"/>
        </w:rPr>
        <w:t xml:space="preserve"> The Administrator is authorized, in its sole discretion, to accelerate the time or schedule of a payment to the extent necessary to avoid the violation of any applicable federal, state, local, or foreign ethics law or conflicts of interest law as provided in Section 409A.</w:t>
      </w:r>
    </w:p>
    <w:p>
      <w:pPr>
        <w:spacing w:after="0" w:line="121" w:lineRule="exact"/>
        <w:rPr>
          <w:sz w:val="20"/>
          <w:szCs w:val="20"/>
          <w:color w:val="auto"/>
        </w:rPr>
      </w:pPr>
    </w:p>
    <w:p>
      <w:pPr>
        <w:jc w:val="both"/>
        <w:ind w:left="1020" w:hanging="358"/>
        <w:spacing w:after="0" w:line="269" w:lineRule="auto"/>
        <w:rPr>
          <w:sz w:val="20"/>
          <w:szCs w:val="20"/>
          <w:color w:val="auto"/>
        </w:rPr>
      </w:pPr>
      <w:r>
        <w:rPr>
          <w:rFonts w:ascii="Arial" w:cs="Arial" w:eastAsia="Arial" w:hAnsi="Arial"/>
          <w:sz w:val="14"/>
          <w:szCs w:val="14"/>
          <w:color w:val="auto"/>
        </w:rPr>
        <w:t xml:space="preserve">9.1.3 </w:t>
      </w:r>
      <w:r>
        <w:rPr>
          <w:rFonts w:ascii="Arial" w:cs="Arial" w:eastAsia="Arial" w:hAnsi="Arial"/>
          <w:sz w:val="14"/>
          <w:szCs w:val="14"/>
          <w:b w:val="1"/>
          <w:bCs w:val="1"/>
          <w:u w:val="single" w:color="auto"/>
          <w:color w:val="auto"/>
        </w:rPr>
        <w:t>Small Accounts</w:t>
      </w:r>
      <w:r>
        <w:rPr>
          <w:rFonts w:ascii="Arial" w:cs="Arial" w:eastAsia="Arial" w:hAnsi="Arial"/>
          <w:sz w:val="14"/>
          <w:szCs w:val="14"/>
          <w:b w:val="1"/>
          <w:bCs w:val="1"/>
          <w:color w:val="auto"/>
        </w:rPr>
        <w:t>.</w:t>
      </w:r>
      <w:r>
        <w:rPr>
          <w:rFonts w:ascii="Arial" w:cs="Arial" w:eastAsia="Arial" w:hAnsi="Arial"/>
          <w:sz w:val="14"/>
          <w:szCs w:val="14"/>
          <w:color w:val="auto"/>
        </w:rPr>
        <w:t xml:space="preserve"> The Administrator may, in its sole discretion, distribute in a single lump sum the aggregate amounts of Deferrals or Elective Deferrals or both credited to the Participant’s Account, along with any related earnings, provided: (i) the distribution results in the payment of the Participant’s entire interest in the Account and all Aggregated Plans, and (ii) the total payment does not exceed the applicable dollar limit under Code section 402(g)(1)(B). The Administrator shall notify the Participant in writing if the Administrator exercises its discretion pursuant to this Section.</w:t>
      </w:r>
    </w:p>
    <w:p>
      <w:pPr>
        <w:spacing w:after="0" w:line="162" w:lineRule="exact"/>
        <w:rPr>
          <w:sz w:val="20"/>
          <w:szCs w:val="20"/>
          <w:color w:val="auto"/>
        </w:rPr>
      </w:pPr>
    </w:p>
    <w:p>
      <w:pPr>
        <w:jc w:val="both"/>
        <w:ind w:left="1020" w:hanging="358"/>
        <w:spacing w:after="0" w:line="275" w:lineRule="auto"/>
        <w:rPr>
          <w:sz w:val="20"/>
          <w:szCs w:val="20"/>
          <w:color w:val="auto"/>
        </w:rPr>
      </w:pPr>
      <w:r>
        <w:rPr>
          <w:rFonts w:ascii="Arial" w:cs="Arial" w:eastAsia="Arial" w:hAnsi="Arial"/>
          <w:sz w:val="14"/>
          <w:szCs w:val="14"/>
          <w:color w:val="auto"/>
        </w:rPr>
        <w:t xml:space="preserve">9.1.4 </w:t>
      </w:r>
      <w:r>
        <w:rPr>
          <w:rFonts w:ascii="Arial" w:cs="Arial" w:eastAsia="Arial" w:hAnsi="Arial"/>
          <w:sz w:val="14"/>
          <w:szCs w:val="14"/>
          <w:b w:val="1"/>
          <w:bCs w:val="1"/>
          <w:u w:val="single" w:color="auto"/>
          <w:color w:val="auto"/>
        </w:rPr>
        <w:t>Settlement of a Bona Fide Dispute</w:t>
      </w:r>
      <w:r>
        <w:rPr>
          <w:rFonts w:ascii="Arial" w:cs="Arial" w:eastAsia="Arial" w:hAnsi="Arial"/>
          <w:sz w:val="14"/>
          <w:szCs w:val="14"/>
          <w:b w:val="1"/>
          <w:bCs w:val="1"/>
          <w:color w:val="auto"/>
        </w:rPr>
        <w:t>.</w:t>
      </w:r>
      <w:r>
        <w:rPr>
          <w:rFonts w:ascii="Arial" w:cs="Arial" w:eastAsia="Arial" w:hAnsi="Arial"/>
          <w:sz w:val="14"/>
          <w:szCs w:val="14"/>
          <w:color w:val="auto"/>
        </w:rPr>
        <w:t xml:space="preserve"> The Administrator may, in its sole discretion, accelerate the time or schedule of a distribution as part of a settlement of a bona fide dispute between the Participant and the Employer over the Participant’s right to a distribution provided that the distribution relates only to the deferred compensation in dispute and the Employer is not experiencing a downturn in financial health.</w:t>
      </w:r>
    </w:p>
    <w:p>
      <w:pPr>
        <w:spacing w:after="0" w:line="158" w:lineRule="exact"/>
        <w:rPr>
          <w:sz w:val="20"/>
          <w:szCs w:val="20"/>
          <w:color w:val="auto"/>
        </w:rPr>
      </w:pPr>
    </w:p>
    <w:p>
      <w:pPr>
        <w:jc w:val="both"/>
        <w:ind w:left="1020" w:hanging="358"/>
        <w:spacing w:after="0" w:line="294" w:lineRule="auto"/>
        <w:rPr>
          <w:sz w:val="20"/>
          <w:szCs w:val="20"/>
          <w:color w:val="auto"/>
        </w:rPr>
      </w:pPr>
      <w:r>
        <w:rPr>
          <w:rFonts w:ascii="Arial" w:cs="Arial" w:eastAsia="Arial" w:hAnsi="Arial"/>
          <w:sz w:val="14"/>
          <w:szCs w:val="14"/>
          <w:color w:val="auto"/>
        </w:rPr>
        <w:t xml:space="preserve">9.1.5 </w:t>
      </w:r>
      <w:r>
        <w:rPr>
          <w:rFonts w:ascii="Arial" w:cs="Arial" w:eastAsia="Arial" w:hAnsi="Arial"/>
          <w:sz w:val="14"/>
          <w:szCs w:val="14"/>
          <w:b w:val="1"/>
          <w:bCs w:val="1"/>
          <w:u w:val="single" w:color="auto"/>
          <w:color w:val="auto"/>
        </w:rPr>
        <w:t>Settlement of Debt</w:t>
      </w:r>
      <w:r>
        <w:rPr>
          <w:rFonts w:ascii="Arial" w:cs="Arial" w:eastAsia="Arial" w:hAnsi="Arial"/>
          <w:sz w:val="14"/>
          <w:szCs w:val="14"/>
          <w:b w:val="1"/>
          <w:bCs w:val="1"/>
          <w:color w:val="auto"/>
        </w:rPr>
        <w:t>.</w:t>
      </w:r>
      <w:r>
        <w:rPr>
          <w:rFonts w:ascii="Arial" w:cs="Arial" w:eastAsia="Arial" w:hAnsi="Arial"/>
          <w:sz w:val="14"/>
          <w:szCs w:val="14"/>
          <w:color w:val="auto"/>
        </w:rPr>
        <w:t xml:space="preserve"> The Administrator may, in its sole discretion, accelerate the time or schedule of a payment to satisfy an ordinary debt owed by the Participant to the Employer at the time the debt becomes due as provided in Section 409A.</w:t>
      </w:r>
    </w:p>
    <w:p>
      <w:pPr>
        <w:spacing w:after="0" w:line="34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319" w:right="219" w:bottom="1440" w:gutter="0" w:footer="0" w:header="0"/>
        </w:sectPr>
      </w:pPr>
    </w:p>
    <w:bookmarkStart w:id="193" w:name="page194"/>
    <w:bookmarkEnd w:id="193"/>
    <w:p>
      <w:pPr>
        <w:ind w:left="80"/>
        <w:spacing w:after="0"/>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b w:val="1"/>
          <w:bCs w:val="1"/>
          <w:u w:val="single" w:color="auto"/>
          <w:color w:val="auto"/>
        </w:rPr>
        <w:t>Permissible Payment Delays</w:t>
      </w:r>
      <w:r>
        <w:rPr>
          <w:rFonts w:ascii="Arial" w:cs="Arial" w:eastAsia="Arial" w:hAnsi="Arial"/>
          <w:sz w:val="14"/>
          <w:szCs w:val="14"/>
          <w:b w:val="1"/>
          <w:bCs w:val="1"/>
          <w:color w:val="auto"/>
        </w:rPr>
        <w:t>.</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Notwithstanding anything in the Plan to the contrary, to the extent permitted by Section 409A, the Administrator may, in its sole discretion, delay a distribution to a Participant:</w:t>
      </w:r>
    </w:p>
    <w:p>
      <w:pPr>
        <w:spacing w:after="0" w:line="205" w:lineRule="exact"/>
        <w:rPr>
          <w:sz w:val="20"/>
          <w:szCs w:val="20"/>
          <w:color w:val="auto"/>
        </w:rPr>
      </w:pPr>
    </w:p>
    <w:p>
      <w:pPr>
        <w:jc w:val="both"/>
        <w:ind w:left="1100" w:hanging="358"/>
        <w:spacing w:after="0" w:line="288" w:lineRule="auto"/>
        <w:rPr>
          <w:sz w:val="20"/>
          <w:szCs w:val="20"/>
          <w:color w:val="auto"/>
        </w:rPr>
      </w:pPr>
      <w:r>
        <w:rPr>
          <w:rFonts w:ascii="Arial" w:cs="Arial" w:eastAsia="Arial" w:hAnsi="Arial"/>
          <w:sz w:val="14"/>
          <w:szCs w:val="14"/>
          <w:color w:val="auto"/>
        </w:rPr>
        <w:t>9.2.1 If the distribution would jeopardize the Employer’s ability to continue as a going concern, provided that the delayed amount is distributed in the first calendar year in which the payment would not have such effect.</w:t>
      </w:r>
    </w:p>
    <w:p>
      <w:pPr>
        <w:spacing w:after="0" w:line="152" w:lineRule="exact"/>
        <w:rPr>
          <w:sz w:val="20"/>
          <w:szCs w:val="20"/>
          <w:color w:val="auto"/>
        </w:rPr>
      </w:pPr>
    </w:p>
    <w:p>
      <w:pPr>
        <w:jc w:val="both"/>
        <w:ind w:left="1100" w:hanging="358"/>
        <w:spacing w:after="0" w:line="272" w:lineRule="auto"/>
        <w:rPr>
          <w:sz w:val="20"/>
          <w:szCs w:val="20"/>
          <w:color w:val="auto"/>
        </w:rPr>
      </w:pPr>
      <w:r>
        <w:rPr>
          <w:rFonts w:ascii="Arial" w:cs="Arial" w:eastAsia="Arial" w:hAnsi="Arial"/>
          <w:sz w:val="14"/>
          <w:szCs w:val="14"/>
          <w:color w:val="auto"/>
        </w:rPr>
        <w:t>9.2.2 If the Company reasonably anticipates that its deduction with respect to a distribution, if paid as scheduled, could be limited or barred by the application of Code section 162(m), provided the delayed amount is distributed in the first calendar year in which the Company reasonably anticipates that the deduction would not be limited or barred by the application of Code section 162(m).</w:t>
      </w:r>
    </w:p>
    <w:p>
      <w:pPr>
        <w:spacing w:after="0" w:line="164" w:lineRule="exact"/>
        <w:rPr>
          <w:sz w:val="20"/>
          <w:szCs w:val="20"/>
          <w:color w:val="auto"/>
        </w:rPr>
      </w:pPr>
    </w:p>
    <w:p>
      <w:pPr>
        <w:jc w:val="both"/>
        <w:ind w:left="1100" w:hanging="358"/>
        <w:spacing w:after="0" w:line="288" w:lineRule="auto"/>
        <w:rPr>
          <w:sz w:val="20"/>
          <w:szCs w:val="20"/>
          <w:color w:val="auto"/>
        </w:rPr>
      </w:pPr>
      <w:r>
        <w:rPr>
          <w:rFonts w:ascii="Arial" w:cs="Arial" w:eastAsia="Arial" w:hAnsi="Arial"/>
          <w:sz w:val="14"/>
          <w:szCs w:val="14"/>
          <w:color w:val="auto"/>
        </w:rPr>
        <w:t>9.2.3 If the distribution would violate Federal securities or other applicable laws, provided that the delayed amount is distributed at the earliest date at which the Administrator reasonably anticipates that the distribution will not cause such violation.</w:t>
      </w:r>
    </w:p>
    <w:p>
      <w:pPr>
        <w:spacing w:after="0" w:line="152" w:lineRule="exact"/>
        <w:rPr>
          <w:sz w:val="20"/>
          <w:szCs w:val="20"/>
          <w:color w:val="auto"/>
        </w:rPr>
      </w:pPr>
    </w:p>
    <w:p>
      <w:pPr>
        <w:jc w:val="both"/>
        <w:ind w:left="1100" w:hanging="358"/>
        <w:spacing w:after="0" w:line="288" w:lineRule="auto"/>
        <w:rPr>
          <w:sz w:val="20"/>
          <w:szCs w:val="20"/>
          <w:color w:val="auto"/>
        </w:rPr>
      </w:pPr>
      <w:r>
        <w:rPr>
          <w:rFonts w:ascii="Arial" w:cs="Arial" w:eastAsia="Arial" w:hAnsi="Arial"/>
          <w:sz w:val="14"/>
          <w:szCs w:val="14"/>
          <w:color w:val="auto"/>
        </w:rPr>
        <w:t>9.2.4 If calculation of the distribution is not administratively practicable due to events beyond the control of the Participant, provided that the delayed amount is distributed in the first calendar year in which the calculation of the distribution is administratively practicable.</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u w:val="single" w:color="auto"/>
          <w:color w:val="auto"/>
        </w:rPr>
        <w:t>Suspension Not Allowed</w:t>
      </w:r>
      <w:r>
        <w:rPr>
          <w:rFonts w:ascii="Arial" w:cs="Arial" w:eastAsia="Arial" w:hAnsi="Arial"/>
          <w:sz w:val="14"/>
          <w:szCs w:val="14"/>
          <w:b w:val="1"/>
          <w:bCs w:val="1"/>
          <w:color w:val="auto"/>
        </w:rPr>
        <w:t>.</w:t>
      </w:r>
    </w:p>
    <w:p>
      <w:pPr>
        <w:spacing w:after="0" w:line="209" w:lineRule="exact"/>
        <w:rPr>
          <w:sz w:val="20"/>
          <w:szCs w:val="20"/>
          <w:color w:val="auto"/>
        </w:rPr>
      </w:pPr>
    </w:p>
    <w:p>
      <w:pPr>
        <w:ind w:left="320" w:right="180"/>
        <w:spacing w:after="0" w:line="288" w:lineRule="auto"/>
        <w:rPr>
          <w:sz w:val="20"/>
          <w:szCs w:val="20"/>
          <w:color w:val="auto"/>
        </w:rPr>
      </w:pPr>
      <w:r>
        <w:rPr>
          <w:rFonts w:ascii="Arial" w:cs="Arial" w:eastAsia="Arial" w:hAnsi="Arial"/>
          <w:sz w:val="14"/>
          <w:szCs w:val="14"/>
          <w:color w:val="auto"/>
        </w:rPr>
        <w:t>If a Participant whose distributions have commenced becomes eligible again to defer compensation as a Participant in any plan subject to Section 409A maintained by a Related Company, distribution of the Participant’s Retirement Benefit or Account may not be suspended.</w:t>
      </w:r>
    </w:p>
    <w:p>
      <w:pPr>
        <w:spacing w:after="0" w:line="148"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ARTICLE 10</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u w:val="single" w:color="auto"/>
          <w:color w:val="auto"/>
        </w:rPr>
        <w:t>Beneficiary Designation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u w:val="single" w:color="auto"/>
          <w:color w:val="auto"/>
        </w:rPr>
        <w:t>Beneficiary</w:t>
      </w:r>
      <w:r>
        <w:rPr>
          <w:rFonts w:ascii="Arial" w:cs="Arial" w:eastAsia="Arial" w:hAnsi="Arial"/>
          <w:sz w:val="14"/>
          <w:szCs w:val="14"/>
          <w:b w:val="1"/>
          <w:bCs w:val="1"/>
          <w:color w:val="auto"/>
        </w:rPr>
        <w:t>.</w:t>
      </w:r>
    </w:p>
    <w:p>
      <w:pPr>
        <w:spacing w:after="0" w:line="209" w:lineRule="exact"/>
        <w:rPr>
          <w:sz w:val="20"/>
          <w:szCs w:val="20"/>
          <w:color w:val="auto"/>
        </w:rPr>
      </w:pPr>
    </w:p>
    <w:p>
      <w:pPr>
        <w:ind w:left="320"/>
        <w:spacing w:after="0" w:line="264" w:lineRule="auto"/>
        <w:rPr>
          <w:sz w:val="20"/>
          <w:szCs w:val="20"/>
          <w:color w:val="auto"/>
        </w:rPr>
      </w:pPr>
      <w:r>
        <w:rPr>
          <w:rFonts w:ascii="Arial" w:cs="Arial" w:eastAsia="Arial" w:hAnsi="Arial"/>
          <w:sz w:val="14"/>
          <w:szCs w:val="14"/>
          <w:color w:val="auto"/>
        </w:rPr>
        <w:t>Each Participant shall have the right, in accordance with procedures established from time to time by the Administrator, to designate a Beneficiary(ies) (both primary as well as contingent) to whom Plan benefits shall, if permitted by the Plan, be paid if a Participant dies prior to complete distribution of benefits. Each Beneficiary designation shall be in a written form prescribed by the Administrator, and will be effective only when filed with the Administrator during the Participant’s lifetime. Any Beneficiary designation may be changed by a Participant without the consent of the previously named Beneficiary by filing a new Beneficiary designation with the Administrator. The most recent Beneficiary designation received by the Administrator shall control the payment of all benefits under the Plan in the event of the Participant’s death.</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b w:val="1"/>
          <w:bCs w:val="1"/>
          <w:u w:val="single" w:color="auto"/>
          <w:color w:val="auto"/>
        </w:rPr>
        <w:t>No Beneficiary Designation</w:t>
      </w:r>
      <w:r>
        <w:rPr>
          <w:rFonts w:ascii="Arial" w:cs="Arial" w:eastAsia="Arial" w:hAnsi="Arial"/>
          <w:sz w:val="14"/>
          <w:szCs w:val="14"/>
          <w:b w:val="1"/>
          <w:bCs w:val="1"/>
          <w:color w:val="auto"/>
        </w:rPr>
        <w:t>.</w:t>
      </w:r>
    </w:p>
    <w:p>
      <w:pPr>
        <w:spacing w:after="0" w:line="209" w:lineRule="exact"/>
        <w:rPr>
          <w:sz w:val="20"/>
          <w:szCs w:val="20"/>
          <w:color w:val="auto"/>
        </w:rPr>
      </w:pPr>
    </w:p>
    <w:p>
      <w:pPr>
        <w:ind w:left="320" w:right="420"/>
        <w:spacing w:after="0" w:line="272" w:lineRule="auto"/>
        <w:rPr>
          <w:sz w:val="20"/>
          <w:szCs w:val="20"/>
          <w:color w:val="auto"/>
        </w:rPr>
      </w:pPr>
      <w:r>
        <w:rPr>
          <w:rFonts w:ascii="Arial" w:cs="Arial" w:eastAsia="Arial" w:hAnsi="Arial"/>
          <w:sz w:val="14"/>
          <w:szCs w:val="14"/>
          <w:color w:val="auto"/>
        </w:rPr>
        <w:t>In the absence of an effective Beneficiary designation, or if all designated Beneficiaries predecease the Participant or die prior to the complete distribution of the Participant’s benefits, benefits shall be paid in the following order of precedence: (a) the Participant’s surviving spouse; (b) the Participant’s children (including adopted children), per stirpes; or (c) the Participant’s estate.</w:t>
      </w:r>
    </w:p>
    <w:p>
      <w:pPr>
        <w:spacing w:after="0" w:line="164"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513" w:right="219" w:bottom="1440" w:gutter="0" w:footer="0" w:header="0"/>
        </w:sectPr>
      </w:pPr>
    </w:p>
    <w:bookmarkStart w:id="194" w:name="page195"/>
    <w:bookmarkEnd w:id="194"/>
    <w:p>
      <w:pPr>
        <w:jc w:val="center"/>
        <w:ind w:right="200"/>
        <w:spacing w:after="0"/>
        <w:rPr>
          <w:sz w:val="20"/>
          <w:szCs w:val="20"/>
          <w:color w:val="auto"/>
        </w:rPr>
      </w:pPr>
      <w:r>
        <w:rPr>
          <w:rFonts w:ascii="Arial" w:cs="Arial" w:eastAsia="Arial" w:hAnsi="Arial"/>
          <w:sz w:val="14"/>
          <w:szCs w:val="14"/>
          <w:b w:val="1"/>
          <w:bCs w:val="1"/>
          <w:color w:val="auto"/>
        </w:rPr>
        <w:t>ARTICLE 11</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u w:val="single" w:color="auto"/>
          <w:color w:val="auto"/>
        </w:rPr>
        <w:t>Claims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b w:val="1"/>
          <w:bCs w:val="1"/>
          <w:u w:val="single" w:color="auto"/>
          <w:color w:val="auto"/>
        </w:rPr>
        <w:t>Presentation of Claim</w:t>
      </w:r>
      <w:r>
        <w:rPr>
          <w:rFonts w:ascii="Arial" w:cs="Arial" w:eastAsia="Arial" w:hAnsi="Arial"/>
          <w:sz w:val="14"/>
          <w:szCs w:val="14"/>
          <w:b w:val="1"/>
          <w:bCs w:val="1"/>
          <w:color w:val="auto"/>
        </w:rPr>
        <w:t>.</w:t>
      </w:r>
    </w:p>
    <w:p>
      <w:pPr>
        <w:spacing w:after="0" w:line="209" w:lineRule="exact"/>
        <w:rPr>
          <w:sz w:val="20"/>
          <w:szCs w:val="20"/>
          <w:color w:val="auto"/>
        </w:rPr>
      </w:pPr>
    </w:p>
    <w:p>
      <w:pPr>
        <w:ind w:left="320" w:right="420"/>
        <w:spacing w:after="0" w:line="288" w:lineRule="auto"/>
        <w:rPr>
          <w:sz w:val="20"/>
          <w:szCs w:val="20"/>
          <w:color w:val="auto"/>
        </w:rPr>
      </w:pPr>
      <w:r>
        <w:rPr>
          <w:rFonts w:ascii="Arial" w:cs="Arial" w:eastAsia="Arial" w:hAnsi="Arial"/>
          <w:sz w:val="14"/>
          <w:szCs w:val="14"/>
          <w:color w:val="auto"/>
        </w:rPr>
        <w:t>Any Participant or Beneficiary of a deceased Participant (such Participant or Beneficiary being referred to below as a “Claimant”) may file with the Administrator a written claim for a determination with respect to Plan benefits. The claim must state with particularity the determination desired by the Claimant.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b w:val="1"/>
          <w:bCs w:val="1"/>
          <w:u w:val="single" w:color="auto"/>
          <w:color w:val="auto"/>
        </w:rPr>
        <w:t>Notification of Decision</w:t>
      </w:r>
      <w:r>
        <w:rPr>
          <w:rFonts w:ascii="Arial" w:cs="Arial" w:eastAsia="Arial" w:hAnsi="Arial"/>
          <w:sz w:val="14"/>
          <w:szCs w:val="14"/>
          <w:b w:val="1"/>
          <w:bCs w:val="1"/>
          <w:color w:val="auto"/>
        </w:rPr>
        <w:t>.</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Administrator shall consider a Claimant’s claim, and, except as provided below, within 90 days after the claim is received, shall notify the Claimant in writing:</w:t>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11.2.1 That the claim has been allowed in full; or</w:t>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11.2.2 That the claim has been denied, in whole or in part, and such notice must set forth in a manner calculated to be understood by the Claimant:</w:t>
      </w:r>
    </w:p>
    <w:p>
      <w:pPr>
        <w:spacing w:after="0" w:line="205" w:lineRule="exact"/>
        <w:rPr>
          <w:sz w:val="20"/>
          <w:szCs w:val="20"/>
          <w:color w:val="auto"/>
        </w:rPr>
      </w:pPr>
    </w:p>
    <w:p>
      <w:pPr>
        <w:ind w:left="1620" w:hanging="235"/>
        <w:spacing w:after="0"/>
        <w:tabs>
          <w:tab w:leader="none" w:pos="16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specific reason(s) for the denial of the claim, or any part of it;</w:t>
      </w:r>
    </w:p>
    <w:p>
      <w:pPr>
        <w:spacing w:after="0" w:line="205" w:lineRule="exact"/>
        <w:rPr>
          <w:rFonts w:ascii="Arial" w:cs="Arial" w:eastAsia="Arial" w:hAnsi="Arial"/>
          <w:sz w:val="14"/>
          <w:szCs w:val="14"/>
          <w:color w:val="auto"/>
        </w:rPr>
      </w:pPr>
    </w:p>
    <w:p>
      <w:pPr>
        <w:ind w:left="1620" w:hanging="243"/>
        <w:spacing w:after="0"/>
        <w:tabs>
          <w:tab w:leader="none" w:pos="16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Specific reference(s) to pertinent provisions of the Plan upon which such denial was based;</w:t>
      </w:r>
    </w:p>
    <w:p>
      <w:pPr>
        <w:spacing w:after="0" w:line="205" w:lineRule="exact"/>
        <w:rPr>
          <w:rFonts w:ascii="Arial" w:cs="Arial" w:eastAsia="Arial" w:hAnsi="Arial"/>
          <w:sz w:val="14"/>
          <w:szCs w:val="14"/>
          <w:color w:val="auto"/>
        </w:rPr>
      </w:pPr>
    </w:p>
    <w:p>
      <w:pPr>
        <w:ind w:left="1620" w:hanging="235"/>
        <w:spacing w:after="0" w:line="288" w:lineRule="auto"/>
        <w:tabs>
          <w:tab w:leader="none" w:pos="16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 description of any additional material or information necessary for the Claimant to perfect the claim, and an explanation of why such material or information is necessary; and</w:t>
      </w:r>
    </w:p>
    <w:p>
      <w:pPr>
        <w:spacing w:after="0" w:line="152" w:lineRule="exact"/>
        <w:rPr>
          <w:rFonts w:ascii="Arial" w:cs="Arial" w:eastAsia="Arial" w:hAnsi="Arial"/>
          <w:sz w:val="14"/>
          <w:szCs w:val="14"/>
          <w:color w:val="auto"/>
        </w:rPr>
      </w:pPr>
    </w:p>
    <w:p>
      <w:pPr>
        <w:ind w:left="1620" w:hanging="243"/>
        <w:spacing w:after="0" w:line="288" w:lineRule="auto"/>
        <w:tabs>
          <w:tab w:leader="none" w:pos="16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 explanation of the claim review procedures and time limits, including a statement of the Claimant’s right to initiate a civil action pursuant to section 502(a) of ERISA following an adverse determination upon review.</w:t>
      </w:r>
    </w:p>
    <w:p>
      <w:pPr>
        <w:spacing w:after="0" w:line="152" w:lineRule="exact"/>
        <w:rPr>
          <w:sz w:val="20"/>
          <w:szCs w:val="20"/>
          <w:color w:val="auto"/>
        </w:rPr>
      </w:pPr>
    </w:p>
    <w:p>
      <w:pPr>
        <w:ind w:left="1100" w:hanging="424"/>
        <w:spacing w:after="0" w:line="288" w:lineRule="auto"/>
        <w:rPr>
          <w:sz w:val="20"/>
          <w:szCs w:val="20"/>
          <w:color w:val="auto"/>
        </w:rPr>
      </w:pPr>
      <w:r>
        <w:rPr>
          <w:rFonts w:ascii="Arial" w:cs="Arial" w:eastAsia="Arial" w:hAnsi="Arial"/>
          <w:sz w:val="14"/>
          <w:szCs w:val="14"/>
          <w:color w:val="auto"/>
        </w:rPr>
        <w:t>11.2.3 If the Administrator determines that an extension of time for processing is required, written notice of the extension shall be furnished to the Claimant prior to termination of the original 90-day period. In no event shall such extension exceed 90 days from the end of such initial period.</w:t>
      </w:r>
    </w:p>
    <w:p>
      <w:pPr>
        <w:spacing w:after="0" w:line="152" w:lineRule="exact"/>
        <w:rPr>
          <w:sz w:val="20"/>
          <w:szCs w:val="20"/>
          <w:color w:val="auto"/>
        </w:rPr>
      </w:pPr>
    </w:p>
    <w:p>
      <w:pPr>
        <w:ind w:left="1100" w:hanging="424"/>
        <w:spacing w:after="0" w:line="328" w:lineRule="auto"/>
        <w:rPr>
          <w:sz w:val="20"/>
          <w:szCs w:val="20"/>
          <w:color w:val="auto"/>
        </w:rPr>
      </w:pPr>
      <w:r>
        <w:rPr>
          <w:rFonts w:ascii="Arial" w:cs="Arial" w:eastAsia="Arial" w:hAnsi="Arial"/>
          <w:sz w:val="13"/>
          <w:szCs w:val="13"/>
          <w:color w:val="auto"/>
        </w:rPr>
        <w:t>11.2.4 In the case of a claim for disability benefits, the Administrator shall notify the Claimant, in accordance with subsection 11.2.2 above, within 45 days after the claim is received. The notification shall advise the Claimant whether the Administrator’s denial relied upon any specific rule, guideline, protocol or scientific or clinical judgment.</w:t>
      </w:r>
    </w:p>
    <w:p>
      <w:pPr>
        <w:spacing w:after="0" w:line="324"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319" w:right="219" w:bottom="1440" w:gutter="0" w:footer="0" w:header="0"/>
        </w:sectPr>
      </w:pPr>
    </w:p>
    <w:bookmarkStart w:id="195" w:name="page196"/>
    <w:bookmarkEnd w:id="195"/>
    <w:p>
      <w:pPr>
        <w:jc w:val="both"/>
        <w:ind w:left="1100" w:hanging="424"/>
        <w:spacing w:after="0" w:line="294" w:lineRule="auto"/>
        <w:rPr>
          <w:sz w:val="20"/>
          <w:szCs w:val="20"/>
          <w:color w:val="auto"/>
        </w:rPr>
      </w:pPr>
      <w:r>
        <w:rPr>
          <w:rFonts w:ascii="Arial" w:cs="Arial" w:eastAsia="Arial" w:hAnsi="Arial"/>
          <w:sz w:val="13"/>
          <w:szCs w:val="13"/>
          <w:color w:val="auto"/>
        </w:rPr>
        <w:t>11.2.5 In the case of a claim for disability benefits, if the Administrator determines that an extension of time for processing is required due to matters beyond the control of the Plan, written notice of the extension shall be furnished to the Claimant prior to termination of the original 45-day period. Such extension shall not exceed 30 days from the end of the initial period. If, prior to the end of the first 30-day extension period, the Administrator determines that, due to matters beyond the control of the Plan, an additional extension of time for processing is required, written notice of a second 30-day extension shall be furnished to the Claimant prior to termination of the first 30-day extension.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b w:val="1"/>
          <w:bCs w:val="1"/>
          <w:u w:val="single" w:color="auto"/>
          <w:color w:val="auto"/>
        </w:rPr>
        <w:t>Review of a Denied Claim</w:t>
      </w:r>
      <w:r>
        <w:rPr>
          <w:rFonts w:ascii="Arial" w:cs="Arial" w:eastAsia="Arial" w:hAnsi="Arial"/>
          <w:sz w:val="14"/>
          <w:szCs w:val="14"/>
          <w:b w:val="1"/>
          <w:bCs w:val="1"/>
          <w:color w:val="auto"/>
        </w:rPr>
        <w:t>.</w:t>
      </w:r>
    </w:p>
    <w:p>
      <w:pPr>
        <w:spacing w:after="0" w:line="209" w:lineRule="exact"/>
        <w:rPr>
          <w:sz w:val="20"/>
          <w:szCs w:val="20"/>
          <w:color w:val="auto"/>
        </w:rPr>
      </w:pPr>
    </w:p>
    <w:p>
      <w:pPr>
        <w:ind w:left="320" w:right="340"/>
        <w:spacing w:after="0" w:line="328" w:lineRule="auto"/>
        <w:rPr>
          <w:sz w:val="20"/>
          <w:szCs w:val="20"/>
          <w:color w:val="auto"/>
        </w:rPr>
      </w:pPr>
      <w:r>
        <w:rPr>
          <w:rFonts w:ascii="Arial" w:cs="Arial" w:eastAsia="Arial" w:hAnsi="Arial"/>
          <w:sz w:val="13"/>
          <w:szCs w:val="13"/>
          <w:color w:val="auto"/>
        </w:rPr>
        <w:t>Within 90 days after receiving a notice from the Administrator that a claim has been denied, in whole or in part, a Claimant (or the Claimant’s duly authorized representative) may file a written request for a review of the denial of the claim and of pertinent documents. The Claimant (or the Claimant’s duly authorized representative):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11.3.1 May request reasonable access to, and copies of, all documents, records, and other information relevant to the claim, which shall be provided to Claimant free of charge; and</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11.3.2 May submit written comments or other documents.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b w:val="1"/>
          <w:bCs w:val="1"/>
          <w:u w:val="single" w:color="auto"/>
          <w:color w:val="auto"/>
        </w:rPr>
        <w:t>Decision on Review</w:t>
      </w:r>
      <w:r>
        <w:rPr>
          <w:rFonts w:ascii="Arial" w:cs="Arial" w:eastAsia="Arial" w:hAnsi="Arial"/>
          <w:sz w:val="14"/>
          <w:szCs w:val="14"/>
          <w:b w:val="1"/>
          <w:bCs w:val="1"/>
          <w:color w:val="auto"/>
        </w:rPr>
        <w:t>.</w:t>
      </w:r>
    </w:p>
    <w:p>
      <w:pPr>
        <w:spacing w:after="0" w:line="209" w:lineRule="exact"/>
        <w:rPr>
          <w:sz w:val="20"/>
          <w:szCs w:val="20"/>
          <w:color w:val="auto"/>
        </w:rPr>
      </w:pPr>
    </w:p>
    <w:p>
      <w:pPr>
        <w:jc w:val="both"/>
        <w:ind w:left="320" w:right="40"/>
        <w:spacing w:after="0" w:line="267" w:lineRule="auto"/>
        <w:rPr>
          <w:sz w:val="20"/>
          <w:szCs w:val="20"/>
          <w:color w:val="auto"/>
        </w:rPr>
      </w:pPr>
      <w:r>
        <w:rPr>
          <w:rFonts w:ascii="Arial" w:cs="Arial" w:eastAsia="Arial" w:hAnsi="Arial"/>
          <w:sz w:val="14"/>
          <w:szCs w:val="14"/>
          <w:color w:val="auto"/>
        </w:rPr>
        <w:t>The Administrator shall review all comments or other documents submitted by the Claimant relating to the claim, without regard to whether such information was submitted or considered in the initial benefit determination. The Administrator shall render its decision on review promptly, and not later than 60 days after the filing of a written request for review of the denial (or, if other special circumstances require additional time and written notice of such extension and circumstances is given to the Claimant within the initial 60-day period). The Administrator shall notify the Claimant, in language calculated to be understood by the Claimant: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11.4.1 That the claim has been allowed in full; or</w:t>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11.4.2 That the claim has been denied, in whole or in part, and such notice must set forth:</w:t>
      </w:r>
    </w:p>
    <w:p>
      <w:pPr>
        <w:spacing w:after="0" w:line="205" w:lineRule="exact"/>
        <w:rPr>
          <w:sz w:val="20"/>
          <w:szCs w:val="20"/>
          <w:color w:val="auto"/>
        </w:rPr>
      </w:pPr>
    </w:p>
    <w:p>
      <w:pPr>
        <w:ind w:left="1620" w:hanging="235"/>
        <w:spacing w:after="0"/>
        <w:tabs>
          <w:tab w:leader="none" w:pos="16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Specific reasons for the decision;</w:t>
      </w:r>
    </w:p>
    <w:p>
      <w:pPr>
        <w:spacing w:after="0" w:line="205" w:lineRule="exact"/>
        <w:rPr>
          <w:rFonts w:ascii="Arial" w:cs="Arial" w:eastAsia="Arial" w:hAnsi="Arial"/>
          <w:sz w:val="14"/>
          <w:szCs w:val="14"/>
          <w:color w:val="auto"/>
        </w:rPr>
      </w:pPr>
    </w:p>
    <w:p>
      <w:pPr>
        <w:ind w:left="1620" w:hanging="243"/>
        <w:spacing w:after="0"/>
        <w:tabs>
          <w:tab w:leader="none" w:pos="16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Specific reference(s) to the pertinent Plan provisions upon which the decision was based;</w:t>
      </w:r>
    </w:p>
    <w:p>
      <w:pPr>
        <w:spacing w:after="0" w:line="205" w:lineRule="exact"/>
        <w:rPr>
          <w:rFonts w:ascii="Arial" w:cs="Arial" w:eastAsia="Arial" w:hAnsi="Arial"/>
          <w:sz w:val="14"/>
          <w:szCs w:val="14"/>
          <w:color w:val="auto"/>
        </w:rPr>
      </w:pPr>
    </w:p>
    <w:p>
      <w:pPr>
        <w:ind w:left="1620" w:hanging="235"/>
        <w:spacing w:after="0" w:line="288" w:lineRule="auto"/>
        <w:tabs>
          <w:tab w:leader="none" w:pos="16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statement that Claimant is entitled to reasonable access to, and copies of, all documents, records or other information relevant to the claim upon request and free of charge;</w:t>
      </w:r>
    </w:p>
    <w:p>
      <w:pPr>
        <w:spacing w:after="0" w:line="152" w:lineRule="exact"/>
        <w:rPr>
          <w:rFonts w:ascii="Arial" w:cs="Arial" w:eastAsia="Arial" w:hAnsi="Arial"/>
          <w:sz w:val="14"/>
          <w:szCs w:val="14"/>
          <w:color w:val="auto"/>
        </w:rPr>
      </w:pPr>
    </w:p>
    <w:p>
      <w:pPr>
        <w:ind w:left="1620" w:hanging="243"/>
        <w:spacing w:after="0"/>
        <w:tabs>
          <w:tab w:leader="none" w:pos="16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statement regarding the Claimant’s right to initiate an action pursuant to section 502(a) of ERISA; and</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420" w:top="323" w:right="219" w:bottom="1440" w:gutter="0" w:footer="0" w:header="0"/>
        </w:sectPr>
      </w:pPr>
    </w:p>
    <w:bookmarkStart w:id="196" w:name="page197"/>
    <w:bookmarkEnd w:id="196"/>
    <w:p>
      <w:pPr>
        <w:ind w:left="1580"/>
        <w:spacing w:after="0"/>
        <w:rPr>
          <w:sz w:val="20"/>
          <w:szCs w:val="20"/>
          <w:color w:val="auto"/>
        </w:rPr>
      </w:pPr>
      <w:r>
        <w:rPr>
          <w:rFonts w:ascii="Arial" w:cs="Arial" w:eastAsia="Arial" w:hAnsi="Arial"/>
          <w:sz w:val="14"/>
          <w:szCs w:val="14"/>
          <w:color w:val="auto"/>
        </w:rPr>
        <w:t>(e) Such other matters as the Administrator deems relevant.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11.4.3 In the case of a claim for disability benefits, the notice shall set forth:</w:t>
      </w:r>
    </w:p>
    <w:p>
      <w:pPr>
        <w:spacing w:after="0" w:line="205" w:lineRule="exact"/>
        <w:rPr>
          <w:sz w:val="20"/>
          <w:szCs w:val="20"/>
          <w:color w:val="auto"/>
        </w:rPr>
      </w:pPr>
    </w:p>
    <w:p>
      <w:pPr>
        <w:ind w:left="1820" w:hanging="235"/>
        <w:spacing w:after="0"/>
        <w:tabs>
          <w:tab w:leader="none" w:pos="18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Whether the Administrator’s denial relied upon any specific rule, guideline, protocol or scientific or clinical judgment; and</w:t>
      </w:r>
    </w:p>
    <w:p>
      <w:pPr>
        <w:spacing w:after="0" w:line="205" w:lineRule="exact"/>
        <w:rPr>
          <w:rFonts w:ascii="Arial" w:cs="Arial" w:eastAsia="Arial" w:hAnsi="Arial"/>
          <w:sz w:val="14"/>
          <w:szCs w:val="14"/>
          <w:color w:val="auto"/>
        </w:rPr>
      </w:pPr>
    </w:p>
    <w:p>
      <w:pPr>
        <w:ind w:left="1820" w:hanging="243"/>
        <w:spacing w:after="0" w:line="288" w:lineRule="auto"/>
        <w:tabs>
          <w:tab w:leader="none" w:pos="18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b w:val="1"/>
          <w:bCs w:val="1"/>
          <w:u w:val="single" w:color="auto"/>
          <w:color w:val="auto"/>
        </w:rPr>
        <w:t>Other Remedies</w:t>
      </w:r>
      <w:r>
        <w:rPr>
          <w:rFonts w:ascii="Arial" w:cs="Arial" w:eastAsia="Arial" w:hAnsi="Arial"/>
          <w:sz w:val="14"/>
          <w:szCs w:val="14"/>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 Claimant’s compliance with the foregoing procedures is a mandatory prerequisite to a Claimant’s right to pursue any other remedy with respect to any claim relating to this Plan.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Amendment or Termination</w:t>
      </w:r>
    </w:p>
    <w:p>
      <w:pPr>
        <w:spacing w:after="0" w:line="209" w:lineRule="exact"/>
        <w:rPr>
          <w:sz w:val="20"/>
          <w:szCs w:val="20"/>
          <w:color w:val="auto"/>
        </w:rPr>
      </w:pPr>
    </w:p>
    <w:p>
      <w:pPr>
        <w:ind w:right="20" w:firstLine="517"/>
        <w:spacing w:after="0" w:line="285" w:lineRule="auto"/>
        <w:rPr>
          <w:sz w:val="20"/>
          <w:szCs w:val="20"/>
          <w:color w:val="auto"/>
        </w:rPr>
      </w:pPr>
      <w:r>
        <w:rPr>
          <w:rFonts w:ascii="Arial" w:cs="Arial" w:eastAsia="Arial" w:hAnsi="Arial"/>
          <w:sz w:val="13"/>
          <w:szCs w:val="13"/>
          <w:color w:val="auto"/>
        </w:rPr>
        <w:t>The Company hereby reserves the right to amend, modify, or terminate any one or more of the 409A Plans, at any time by action of the Board, with or without prior notice. No amendment or termination shall reduce any Participant’s Account or Retirement Benefit without the written consent of the affected Participant. Notwithstanding anything herein to the contrary, to the extent consistent with Section 409A, the Board may terminate the Plan and distribute to each Participant the Participant’s Account and the Participant’s Retirement Benefit, if any, in a lump sum; provided that all distributions (i) commence no earlier than the date that is twelve (12) months following the termination date (or any earlier date that would comply with Section 409A) and (ii) are completed by the date that is twenty-four (24) months following the termination date (or any later date that would comply with Section 409A). In addition, payments may be accelerated upon termination of any 409A Plan only if, to the extent required under Section 409A, (i) the Company terminates all Aggregated Plans, and (ii) for three years following the date of termination of the 409A Plan, the Company does not adopt any new arrangement that would have been an Aggregated Plan of the terminated 409A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Miscellaneous Provisions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13.1 </w:t>
      </w:r>
      <w:r>
        <w:rPr>
          <w:rFonts w:ascii="Arial" w:cs="Arial" w:eastAsia="Arial" w:hAnsi="Arial"/>
          <w:sz w:val="14"/>
          <w:szCs w:val="14"/>
          <w:b w:val="1"/>
          <w:bCs w:val="1"/>
          <w:u w:val="single" w:color="auto"/>
          <w:color w:val="auto"/>
        </w:rPr>
        <w:t>Unsecured General Creditor</w:t>
      </w:r>
      <w:r>
        <w:rPr>
          <w:rFonts w:ascii="Arial" w:cs="Arial" w:eastAsia="Arial" w:hAnsi="Arial"/>
          <w:sz w:val="14"/>
          <w:szCs w:val="14"/>
          <w:b w:val="1"/>
          <w:bCs w:val="1"/>
          <w:color w:val="auto"/>
        </w:rPr>
        <w:t>.</w:t>
      </w:r>
    </w:p>
    <w:p>
      <w:pPr>
        <w:spacing w:after="0" w:line="209" w:lineRule="exact"/>
        <w:rPr>
          <w:sz w:val="20"/>
          <w:szCs w:val="20"/>
          <w:color w:val="auto"/>
        </w:rPr>
      </w:pPr>
    </w:p>
    <w:p>
      <w:pPr>
        <w:ind w:left="520" w:right="560"/>
        <w:spacing w:after="0" w:line="288" w:lineRule="auto"/>
        <w:rPr>
          <w:sz w:val="20"/>
          <w:szCs w:val="20"/>
          <w:color w:val="auto"/>
        </w:rPr>
      </w:pPr>
      <w:r>
        <w:rPr>
          <w:rFonts w:ascii="Arial" w:cs="Arial" w:eastAsia="Arial" w:hAnsi="Arial"/>
          <w:sz w:val="14"/>
          <w:szCs w:val="14"/>
          <w:color w:val="auto"/>
        </w:rPr>
        <w:t>Participants and their Beneficiaries, heirs, successors and assigns shall have no legal or equitable rights, interests or claims in any property or assets of an Employer. An Employer’s obligation under the Plan shall be merely that of an unfunded and unsecured promise to pay money in the future.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b w:val="1"/>
          <w:bCs w:val="1"/>
          <w:u w:val="single" w:color="auto"/>
          <w:color w:val="auto"/>
        </w:rPr>
        <w:t>Employer’s Liability</w:t>
      </w:r>
      <w:r>
        <w:rPr>
          <w:rFonts w:ascii="Arial" w:cs="Arial" w:eastAsia="Arial" w:hAnsi="Arial"/>
          <w:sz w:val="14"/>
          <w:szCs w:val="14"/>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 Employer’s liability for benefits shall be defined only by the Plan. An Employer shall have no obligation to a Participant except as expressly provided in the Plan.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323" w:right="21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u w:val="single" w:color="auto"/>
          <w:color w:val="auto"/>
        </w:rPr>
        <w:t>Nonassignability</w:t>
      </w:r>
      <w:r>
        <w:rPr>
          <w:rFonts w:ascii="Arial" w:cs="Arial" w:eastAsia="Arial" w:hAnsi="Arial"/>
          <w:sz w:val="14"/>
          <w:szCs w:val="14"/>
          <w:b w:val="1"/>
          <w:bCs w:val="1"/>
          <w:color w:val="auto"/>
        </w:rPr>
        <w:t>.</w:t>
      </w:r>
    </w:p>
    <w:p>
      <w:pPr>
        <w:spacing w:after="0" w:line="209" w:lineRule="exact"/>
        <w:rPr>
          <w:sz w:val="20"/>
          <w:szCs w:val="20"/>
          <w:color w:val="auto"/>
        </w:rPr>
      </w:pPr>
    </w:p>
    <w:p>
      <w:pPr>
        <w:ind w:left="320" w:right="40"/>
        <w:spacing w:after="0" w:line="264" w:lineRule="auto"/>
        <w:rPr>
          <w:sz w:val="20"/>
          <w:szCs w:val="20"/>
          <w:color w:val="auto"/>
        </w:rPr>
      </w:pPr>
      <w:r>
        <w:rPr>
          <w:rFonts w:ascii="Arial" w:cs="Arial" w:eastAsia="Arial" w:hAnsi="Arial"/>
          <w:sz w:val="14"/>
          <w:szCs w:val="14"/>
          <w:color w:val="auto"/>
        </w:rPr>
        <w:t>Neither a Participant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13.4 </w:t>
      </w:r>
      <w:r>
        <w:rPr>
          <w:rFonts w:ascii="Arial" w:cs="Arial" w:eastAsia="Arial" w:hAnsi="Arial"/>
          <w:sz w:val="14"/>
          <w:szCs w:val="14"/>
          <w:b w:val="1"/>
          <w:bCs w:val="1"/>
          <w:u w:val="single" w:color="auto"/>
          <w:color w:val="auto"/>
        </w:rPr>
        <w:t>No Right to Employment</w:t>
      </w:r>
      <w:r>
        <w:rPr>
          <w:rFonts w:ascii="Arial" w:cs="Arial" w:eastAsia="Arial" w:hAnsi="Arial"/>
          <w:sz w:val="14"/>
          <w:szCs w:val="14"/>
          <w:b w:val="1"/>
          <w:bCs w:val="1"/>
          <w:color w:val="auto"/>
        </w:rPr>
        <w:t>.</w:t>
      </w:r>
    </w:p>
    <w:p>
      <w:pPr>
        <w:spacing w:after="0" w:line="209" w:lineRule="exact"/>
        <w:rPr>
          <w:sz w:val="20"/>
          <w:szCs w:val="20"/>
          <w:color w:val="auto"/>
        </w:rPr>
      </w:pPr>
    </w:p>
    <w:p>
      <w:pPr>
        <w:ind w:left="320"/>
        <w:spacing w:after="0" w:line="288" w:lineRule="auto"/>
        <w:rPr>
          <w:sz w:val="20"/>
          <w:szCs w:val="20"/>
          <w:color w:val="auto"/>
        </w:rPr>
      </w:pPr>
      <w:r>
        <w:rPr>
          <w:rFonts w:ascii="Arial" w:cs="Arial" w:eastAsia="Arial" w:hAnsi="Arial"/>
          <w:sz w:val="14"/>
          <w:szCs w:val="14"/>
          <w:color w:val="auto"/>
        </w:rPr>
        <w:t>Nothing contained in this Plan or any documents relating to the Plan shall: (a) confer on a Participant any right to continue in the employ of a Related Company, (b) constitute any contract or agreement of employment, (c) interfere with the right of a Related Company to terminate the Participant’s employment at any time, with or without cause.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13.5 </w:t>
      </w:r>
      <w:r>
        <w:rPr>
          <w:rFonts w:ascii="Arial" w:cs="Arial" w:eastAsia="Arial" w:hAnsi="Arial"/>
          <w:sz w:val="14"/>
          <w:szCs w:val="14"/>
          <w:b w:val="1"/>
          <w:bCs w:val="1"/>
          <w:u w:val="single" w:color="auto"/>
          <w:color w:val="auto"/>
        </w:rPr>
        <w:t>Incompetency</w:t>
      </w:r>
      <w:r>
        <w:rPr>
          <w:rFonts w:ascii="Arial" w:cs="Arial" w:eastAsia="Arial" w:hAnsi="Arial"/>
          <w:sz w:val="14"/>
          <w:szCs w:val="14"/>
          <w:b w:val="1"/>
          <w:bCs w:val="1"/>
          <w:color w:val="auto"/>
        </w:rPr>
        <w:t>.</w:t>
      </w:r>
    </w:p>
    <w:p>
      <w:pPr>
        <w:spacing w:after="0" w:line="209" w:lineRule="exact"/>
        <w:rPr>
          <w:sz w:val="20"/>
          <w:szCs w:val="20"/>
          <w:color w:val="auto"/>
        </w:rPr>
      </w:pPr>
    </w:p>
    <w:p>
      <w:pPr>
        <w:ind w:left="320" w:right="80"/>
        <w:spacing w:after="0" w:line="264" w:lineRule="auto"/>
        <w:rPr>
          <w:sz w:val="20"/>
          <w:szCs w:val="20"/>
          <w:color w:val="auto"/>
        </w:rPr>
      </w:pPr>
      <w:r>
        <w:rPr>
          <w:rFonts w:ascii="Arial" w:cs="Arial" w:eastAsia="Arial" w:hAnsi="Arial"/>
          <w:sz w:val="14"/>
          <w:szCs w:val="14"/>
          <w:color w:val="auto"/>
        </w:rPr>
        <w:t>If the Administrator determines that a distribution under this Plan is to be paid to a minor, a person 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of a payment. Any distribution shall be a payment for the account of the Participant and the Participant’s Beneficiary, as the case may be, and shall be a complete discharge of any liability for such payment amount.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13.6 </w:t>
      </w:r>
      <w:r>
        <w:rPr>
          <w:rFonts w:ascii="Arial" w:cs="Arial" w:eastAsia="Arial" w:hAnsi="Arial"/>
          <w:sz w:val="14"/>
          <w:szCs w:val="14"/>
          <w:b w:val="1"/>
          <w:bCs w:val="1"/>
          <w:u w:val="single" w:color="auto"/>
          <w:color w:val="auto"/>
        </w:rPr>
        <w:t>Tax Withholding</w:t>
      </w:r>
      <w:r>
        <w:rPr>
          <w:rFonts w:ascii="Arial" w:cs="Arial" w:eastAsia="Arial" w:hAnsi="Arial"/>
          <w:sz w:val="14"/>
          <w:szCs w:val="14"/>
          <w:b w:val="1"/>
          <w:bCs w:val="1"/>
          <w:color w:val="auto"/>
        </w:rPr>
        <w:t>.</w:t>
      </w:r>
    </w:p>
    <w:p>
      <w:pPr>
        <w:spacing w:after="0" w:line="209" w:lineRule="exact"/>
        <w:rPr>
          <w:sz w:val="20"/>
          <w:szCs w:val="20"/>
          <w:color w:val="auto"/>
        </w:rPr>
      </w:pPr>
    </w:p>
    <w:p>
      <w:pPr>
        <w:ind w:left="320" w:right="240"/>
        <w:spacing w:after="0" w:line="288" w:lineRule="auto"/>
        <w:rPr>
          <w:sz w:val="20"/>
          <w:szCs w:val="20"/>
          <w:color w:val="auto"/>
        </w:rPr>
      </w:pPr>
      <w:r>
        <w:rPr>
          <w:rFonts w:ascii="Arial" w:cs="Arial" w:eastAsia="Arial" w:hAnsi="Arial"/>
          <w:sz w:val="14"/>
          <w:szCs w:val="14"/>
          <w:color w:val="auto"/>
        </w:rPr>
        <w:t>To the extent required by the law in effect at the time of any distribution, the Participant’s Employer shall withhold from any payments to a Participant hereunder any taxes required to be withheld by the federal or any state or local government, in amounts and in a manner to be determined in the sole discretion of the Employer(s).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13.7 </w:t>
      </w:r>
      <w:r>
        <w:rPr>
          <w:rFonts w:ascii="Arial" w:cs="Arial" w:eastAsia="Arial" w:hAnsi="Arial"/>
          <w:sz w:val="14"/>
          <w:szCs w:val="14"/>
          <w:b w:val="1"/>
          <w:bCs w:val="1"/>
          <w:u w:val="single" w:color="auto"/>
          <w:color w:val="auto"/>
        </w:rPr>
        <w:t>Furnishing Information</w:t>
      </w:r>
      <w:r>
        <w:rPr>
          <w:rFonts w:ascii="Arial" w:cs="Arial" w:eastAsia="Arial" w:hAnsi="Arial"/>
          <w:sz w:val="14"/>
          <w:szCs w:val="14"/>
          <w:b w:val="1"/>
          <w:bCs w:val="1"/>
          <w:color w:val="auto"/>
        </w:rPr>
        <w:t>.</w:t>
      </w:r>
    </w:p>
    <w:p>
      <w:pPr>
        <w:spacing w:after="0" w:line="209" w:lineRule="exact"/>
        <w:rPr>
          <w:sz w:val="20"/>
          <w:szCs w:val="20"/>
          <w:color w:val="auto"/>
        </w:rPr>
      </w:pPr>
    </w:p>
    <w:p>
      <w:pPr>
        <w:jc w:val="both"/>
        <w:ind w:left="320" w:right="100"/>
        <w:spacing w:after="0" w:line="328" w:lineRule="auto"/>
        <w:rPr>
          <w:sz w:val="20"/>
          <w:szCs w:val="20"/>
          <w:color w:val="auto"/>
        </w:rPr>
      </w:pPr>
      <w:r>
        <w:rPr>
          <w:rFonts w:ascii="Arial" w:cs="Arial" w:eastAsia="Arial" w:hAnsi="Arial"/>
          <w:sz w:val="13"/>
          <w:szCs w:val="13"/>
          <w:color w:val="auto"/>
        </w:rPr>
        <w:t>A Participant or his Beneficiary will cooperate with the Administrator by furnishing any and all information requested by the Administrator and take such other actions as may be requested in order to facilitate the administration of the Plan and the distributions hereunder, including but not limited to taking such physical examinations as the Administrator may deem necessary.</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13.8 </w:t>
      </w:r>
      <w:r>
        <w:rPr>
          <w:rFonts w:ascii="Arial" w:cs="Arial" w:eastAsia="Arial" w:hAnsi="Arial"/>
          <w:sz w:val="14"/>
          <w:szCs w:val="14"/>
          <w:b w:val="1"/>
          <w:bCs w:val="1"/>
          <w:u w:val="single" w:color="auto"/>
          <w:color w:val="auto"/>
        </w:rPr>
        <w:t>Notice</w:t>
      </w:r>
      <w:r>
        <w:rPr>
          <w:rFonts w:ascii="Arial" w:cs="Arial" w:eastAsia="Arial" w:hAnsi="Arial"/>
          <w:sz w:val="14"/>
          <w:szCs w:val="14"/>
          <w:b w:val="1"/>
          <w:bCs w:val="1"/>
          <w:color w:val="auto"/>
        </w:rPr>
        <w:t>.</w:t>
      </w:r>
    </w:p>
    <w:p>
      <w:pPr>
        <w:spacing w:after="0" w:line="209" w:lineRule="exact"/>
        <w:rPr>
          <w:sz w:val="20"/>
          <w:szCs w:val="20"/>
          <w:color w:val="auto"/>
        </w:rPr>
      </w:pPr>
    </w:p>
    <w:p>
      <w:pPr>
        <w:jc w:val="both"/>
        <w:ind w:left="320" w:right="140"/>
        <w:spacing w:after="0" w:line="302" w:lineRule="auto"/>
        <w:rPr>
          <w:sz w:val="20"/>
          <w:szCs w:val="20"/>
          <w:color w:val="auto"/>
        </w:rPr>
      </w:pPr>
      <w:r>
        <w:rPr>
          <w:rFonts w:ascii="Arial" w:cs="Arial" w:eastAsia="Arial" w:hAnsi="Arial"/>
          <w:sz w:val="13"/>
          <w:szCs w:val="13"/>
          <w:color w:val="auto"/>
        </w:rPr>
        <w:t>Any notice or filing required or permitted under the Plan shall be sufficient if in writing and if (i) hand-delivered 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66040</wp:posOffset>
            </wp:positionV>
            <wp:extent cx="7280275"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40"/>
          </w:cols>
          <w:pgMar w:left="420" w:top="513" w:right="239" w:bottom="1440" w:gutter="0" w:footer="0" w:header="0"/>
        </w:sectPr>
      </w:pPr>
    </w:p>
    <w:bookmarkStart w:id="198" w:name="page199"/>
    <w:bookmarkEnd w:id="198"/>
    <w:p>
      <w:pPr>
        <w:ind w:left="80"/>
        <w:spacing w:after="0"/>
        <w:rPr>
          <w:sz w:val="20"/>
          <w:szCs w:val="20"/>
          <w:color w:val="auto"/>
        </w:rPr>
      </w:pPr>
      <w:r>
        <w:rPr>
          <w:rFonts w:ascii="Arial" w:cs="Arial" w:eastAsia="Arial" w:hAnsi="Arial"/>
          <w:sz w:val="14"/>
          <w:szCs w:val="14"/>
          <w:color w:val="auto"/>
        </w:rPr>
        <w:t xml:space="preserve">13.9 </w:t>
      </w:r>
      <w:r>
        <w:rPr>
          <w:rFonts w:ascii="Arial" w:cs="Arial" w:eastAsia="Arial" w:hAnsi="Arial"/>
          <w:sz w:val="14"/>
          <w:szCs w:val="14"/>
          <w:b w:val="1"/>
          <w:bCs w:val="1"/>
          <w:u w:val="single" w:color="auto"/>
          <w:color w:val="auto"/>
        </w:rPr>
        <w:t>Gender and Number</w:t>
      </w:r>
      <w:r>
        <w:rPr>
          <w:rFonts w:ascii="Arial" w:cs="Arial" w:eastAsia="Arial" w:hAnsi="Arial"/>
          <w:sz w:val="14"/>
          <w:szCs w:val="14"/>
          <w:b w:val="1"/>
          <w:bCs w:val="1"/>
          <w:color w:val="auto"/>
        </w:rPr>
        <w:t>.</w:t>
      </w:r>
    </w:p>
    <w:p>
      <w:pPr>
        <w:spacing w:after="0" w:line="209" w:lineRule="exact"/>
        <w:rPr>
          <w:sz w:val="20"/>
          <w:szCs w:val="20"/>
          <w:color w:val="auto"/>
        </w:rPr>
      </w:pPr>
    </w:p>
    <w:p>
      <w:pPr>
        <w:ind w:left="400" w:right="180"/>
        <w:spacing w:after="0" w:line="288" w:lineRule="auto"/>
        <w:rPr>
          <w:sz w:val="20"/>
          <w:szCs w:val="20"/>
          <w:color w:val="auto"/>
        </w:rPr>
      </w:pPr>
      <w:r>
        <w:rPr>
          <w:rFonts w:ascii="Arial" w:cs="Arial" w:eastAsia="Arial" w:hAnsi="Arial"/>
          <w:sz w:val="14"/>
          <w:szCs w:val="14"/>
          <w:color w:val="auto"/>
        </w:rPr>
        <w:t>Except when otherwise indicated by context, words in the masculine gender shall include the feminine and neuter genders, the singular shall include the plural, and the plural shall include the singular.</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13.10 </w:t>
      </w:r>
      <w:r>
        <w:rPr>
          <w:rFonts w:ascii="Arial" w:cs="Arial" w:eastAsia="Arial" w:hAnsi="Arial"/>
          <w:sz w:val="14"/>
          <w:szCs w:val="14"/>
          <w:b w:val="1"/>
          <w:bCs w:val="1"/>
          <w:u w:val="single" w:color="auto"/>
          <w:color w:val="auto"/>
        </w:rPr>
        <w:t>Headings</w:t>
      </w:r>
      <w:r>
        <w:rPr>
          <w:rFonts w:ascii="Arial" w:cs="Arial" w:eastAsia="Arial" w:hAnsi="Arial"/>
          <w:sz w:val="14"/>
          <w:szCs w:val="14"/>
          <w:b w:val="1"/>
          <w:bCs w:val="1"/>
          <w:color w:val="auto"/>
        </w:rPr>
        <w:t>.</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headings contained in this Plan are for convenience only and will not control or affect the meaning or construction of any of the terms or provisions of this Plan.</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13.11 </w:t>
      </w:r>
      <w:r>
        <w:rPr>
          <w:rFonts w:ascii="Arial" w:cs="Arial" w:eastAsia="Arial" w:hAnsi="Arial"/>
          <w:sz w:val="14"/>
          <w:szCs w:val="14"/>
          <w:b w:val="1"/>
          <w:bCs w:val="1"/>
          <w:u w:val="single" w:color="auto"/>
          <w:color w:val="auto"/>
        </w:rPr>
        <w:t>Applicable Law and Construction</w:t>
      </w:r>
      <w:r>
        <w:rPr>
          <w:rFonts w:ascii="Arial" w:cs="Arial" w:eastAsia="Arial" w:hAnsi="Arial"/>
          <w:sz w:val="14"/>
          <w:szCs w:val="14"/>
          <w:b w:val="1"/>
          <w:bCs w:val="1"/>
          <w:color w:val="auto"/>
        </w:rPr>
        <w:t>.</w:t>
      </w:r>
    </w:p>
    <w:p>
      <w:pPr>
        <w:spacing w:after="0" w:line="209" w:lineRule="exact"/>
        <w:rPr>
          <w:sz w:val="20"/>
          <w:szCs w:val="20"/>
          <w:color w:val="auto"/>
        </w:rPr>
      </w:pPr>
    </w:p>
    <w:p>
      <w:pPr>
        <w:jc w:val="both"/>
        <w:ind w:left="400" w:right="80"/>
        <w:spacing w:after="0" w:line="272" w:lineRule="auto"/>
        <w:rPr>
          <w:sz w:val="20"/>
          <w:szCs w:val="20"/>
          <w:color w:val="auto"/>
        </w:rPr>
      </w:pPr>
      <w:r>
        <w:rPr>
          <w:rFonts w:ascii="Arial" w:cs="Arial" w:eastAsia="Arial" w:hAnsi="Arial"/>
          <w:sz w:val="14"/>
          <w:szCs w:val="14"/>
          <w:color w:val="auto"/>
        </w:rPr>
        <w:t>The Plan shall be governed by, construed and administered in accordance with the applicable provisions of ERISA, and any other applicable Federal law, including Section 409A, and to the extent not preempted by Federal law, this Plan shall be governed by, construed and administered in accordance with the laws of the State of Minnesota, other than its laws respecting choice of law.</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13.12 </w:t>
      </w:r>
      <w:r>
        <w:rPr>
          <w:rFonts w:ascii="Arial" w:cs="Arial" w:eastAsia="Arial" w:hAnsi="Arial"/>
          <w:sz w:val="14"/>
          <w:szCs w:val="14"/>
          <w:b w:val="1"/>
          <w:bCs w:val="1"/>
          <w:u w:val="single" w:color="auto"/>
          <w:color w:val="auto"/>
        </w:rPr>
        <w:t>Invalid or Unenforceable Provisions</w:t>
      </w:r>
      <w:r>
        <w:rPr>
          <w:rFonts w:ascii="Arial" w:cs="Arial" w:eastAsia="Arial" w:hAnsi="Arial"/>
          <w:sz w:val="14"/>
          <w:szCs w:val="14"/>
          <w:b w:val="1"/>
          <w:bCs w:val="1"/>
          <w:color w:val="auto"/>
        </w:rPr>
        <w:t>.</w:t>
      </w:r>
    </w:p>
    <w:p>
      <w:pPr>
        <w:spacing w:after="0" w:line="209" w:lineRule="exact"/>
        <w:rPr>
          <w:sz w:val="20"/>
          <w:szCs w:val="20"/>
          <w:color w:val="auto"/>
        </w:rPr>
      </w:pPr>
    </w:p>
    <w:p>
      <w:pPr>
        <w:ind w:left="400" w:right="80"/>
        <w:spacing w:after="0" w:line="272" w:lineRule="auto"/>
        <w:rPr>
          <w:sz w:val="20"/>
          <w:szCs w:val="20"/>
          <w:color w:val="auto"/>
        </w:rPr>
      </w:pPr>
      <w:r>
        <w:rPr>
          <w:rFonts w:ascii="Arial" w:cs="Arial" w:eastAsia="Arial" w:hAnsi="Arial"/>
          <w:sz w:val="14"/>
          <w:szCs w:val="14"/>
          <w:color w:val="auto"/>
        </w:rPr>
        <w:t>If any provision of this Plan shall be held invalid or unenforceable, such invalidity 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13.13 </w:t>
      </w:r>
      <w:r>
        <w:rPr>
          <w:rFonts w:ascii="Arial" w:cs="Arial" w:eastAsia="Arial" w:hAnsi="Arial"/>
          <w:sz w:val="14"/>
          <w:szCs w:val="14"/>
          <w:b w:val="1"/>
          <w:bCs w:val="1"/>
          <w:u w:val="single" w:color="auto"/>
          <w:color w:val="auto"/>
        </w:rPr>
        <w:t>Successors</w:t>
      </w:r>
      <w:r>
        <w:rPr>
          <w:rFonts w:ascii="Arial" w:cs="Arial" w:eastAsia="Arial" w:hAnsi="Arial"/>
          <w:sz w:val="14"/>
          <w:szCs w:val="14"/>
          <w:b w:val="1"/>
          <w:bCs w:val="1"/>
          <w:color w:val="auto"/>
        </w:rPr>
        <w:t>.</w:t>
      </w:r>
    </w:p>
    <w:p>
      <w:pPr>
        <w:spacing w:after="0" w:line="209" w:lineRule="exact"/>
        <w:rPr>
          <w:sz w:val="20"/>
          <w:szCs w:val="20"/>
          <w:color w:val="auto"/>
        </w:rPr>
      </w:pPr>
    </w:p>
    <w:p>
      <w:pPr>
        <w:ind w:left="400"/>
        <w:spacing w:after="0" w:line="264" w:lineRule="auto"/>
        <w:rPr>
          <w:sz w:val="20"/>
          <w:szCs w:val="20"/>
          <w:color w:val="auto"/>
        </w:rPr>
      </w:pPr>
      <w:r>
        <w:rPr>
          <w:rFonts w:ascii="Arial" w:cs="Arial" w:eastAsia="Arial" w:hAnsi="Arial"/>
          <w:sz w:val="14"/>
          <w:szCs w:val="14"/>
          <w:color w:val="auto"/>
        </w:rPr>
        <w:t>This Plan shall bind any successor (whether direct or indirect, by purchase, merger, consolidation or otherwise) to all or substantially all of the business 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66040</wp:posOffset>
            </wp:positionV>
            <wp:extent cx="7280275"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20"/>
          </w:cols>
          <w:pgMar w:left="340" w:top="319"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4"/>
          <w:szCs w:val="14"/>
          <w:b w:val="1"/>
          <w:bCs w:val="1"/>
          <w:color w:val="auto"/>
        </w:rPr>
        <w:t>APPENDIX A</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“162(m) Deferrals” means the portion of a Participant’s Annual Incentive Award for a Plan Year that the Company reasonably anticipates is not deductible by the application of Code section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162(m).</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“409A Plan” means one of the separate non-qualified deferred compensation arrangements described in Section 2.1.</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“Account” means the Company’s bookkeeping entry representing a Participant’s Deferrals, and such other accounts or sub-accounts as the Administrator deems necessary or appropriate.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“Administrator” means the Employee Benefit Plans Committee appointed by the Board or delegates of the Employee Benefit Plans Committee.</w:t>
      </w:r>
    </w:p>
    <w:p>
      <w:pPr>
        <w:spacing w:after="0" w:line="205" w:lineRule="exact"/>
        <w:rPr>
          <w:sz w:val="20"/>
          <w:szCs w:val="20"/>
          <w:color w:val="auto"/>
        </w:rPr>
      </w:pPr>
    </w:p>
    <w:p>
      <w:pPr>
        <w:ind w:right="60" w:firstLine="517"/>
        <w:spacing w:after="0" w:line="288" w:lineRule="auto"/>
        <w:rPr>
          <w:sz w:val="20"/>
          <w:szCs w:val="20"/>
          <w:color w:val="auto"/>
        </w:rPr>
      </w:pPr>
      <w:r>
        <w:rPr>
          <w:rFonts w:ascii="Arial" w:cs="Arial" w:eastAsia="Arial" w:hAnsi="Arial"/>
          <w:sz w:val="14"/>
          <w:szCs w:val="14"/>
          <w:color w:val="auto"/>
        </w:rPr>
        <w:t>“Aggregated Plans” means, with respect to any 409A Plan, that plan and all other non-qualified deferred compensation plans which must be aggregated with that plan in accordance with the plan aggregation rules of Section 409A.</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“Annual Incentive Award” means the annual award received by a Participant under the ALLETE Executive Annual Incentive Plan or any predecessor or successor plan.</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“Basic Compensation” shall have the meaning prescribed in Retirement Plan A, but shall be calculated without regard to the limitation on compensation imposed by Code section 401(a)(17).</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“Beneficiary” means one or more persons, trusts, estates or other entities, designated in accordance this Plan, that are entitled to receive Plan benefits upon the death of a Participant.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“Board” means the Board of Directors of the Company.</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“Bonus” means any incentive compensation, including Annual Incentive Awards, that is payable to the Participant in addition to the Participant’s Salary.</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“Change in Control” means the earliest of:</w:t>
      </w:r>
    </w:p>
    <w:p>
      <w:pPr>
        <w:spacing w:after="0" w:line="205" w:lineRule="exact"/>
        <w:rPr>
          <w:sz w:val="20"/>
          <w:szCs w:val="20"/>
          <w:color w:val="auto"/>
        </w:rPr>
      </w:pPr>
    </w:p>
    <w:p>
      <w:pPr>
        <w:jc w:val="both"/>
        <w:ind w:left="1820" w:hanging="211"/>
        <w:spacing w:after="0" w:line="263" w:lineRule="auto"/>
        <w:tabs>
          <w:tab w:leader="none" w:pos="1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170" w:lineRule="exact"/>
        <w:rPr>
          <w:rFonts w:ascii="Arial" w:cs="Arial" w:eastAsia="Arial" w:hAnsi="Arial"/>
          <w:sz w:val="14"/>
          <w:szCs w:val="14"/>
          <w:color w:val="auto"/>
        </w:rPr>
      </w:pPr>
    </w:p>
    <w:p>
      <w:pPr>
        <w:jc w:val="both"/>
        <w:ind w:left="1820" w:hanging="250"/>
        <w:spacing w:after="0" w:line="272" w:lineRule="auto"/>
        <w:tabs>
          <w:tab w:leader="none" w:pos="1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(b) 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63" w:lineRule="exact"/>
        <w:rPr>
          <w:rFonts w:ascii="Arial" w:cs="Arial" w:eastAsia="Arial" w:hAnsi="Arial"/>
          <w:sz w:val="14"/>
          <w:szCs w:val="14"/>
          <w:color w:val="auto"/>
        </w:rPr>
      </w:pPr>
    </w:p>
    <w:p>
      <w:pPr>
        <w:ind w:left="1820" w:hanging="290"/>
        <w:spacing w:after="0" w:line="288" w:lineRule="auto"/>
        <w:tabs>
          <w:tab w:leader="none" w:pos="1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 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52" w:lineRule="exact"/>
        <w:rPr>
          <w:rFonts w:ascii="Arial" w:cs="Arial" w:eastAsia="Arial" w:hAnsi="Arial"/>
          <w:sz w:val="14"/>
          <w:szCs w:val="14"/>
          <w:color w:val="auto"/>
        </w:rPr>
      </w:pPr>
    </w:p>
    <w:p>
      <w:pPr>
        <w:jc w:val="both"/>
        <w:ind w:left="1820" w:hanging="282"/>
        <w:spacing w:after="0" w:line="264" w:lineRule="auto"/>
        <w:tabs>
          <w:tab w:leader="none" w:pos="1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 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71" w:lineRule="exact"/>
        <w:rPr>
          <w:sz w:val="20"/>
          <w:szCs w:val="20"/>
          <w:color w:val="auto"/>
        </w:rPr>
      </w:pPr>
    </w:p>
    <w:p>
      <w:pPr>
        <w:ind w:right="140" w:firstLine="517"/>
        <w:spacing w:after="0" w:line="267" w:lineRule="auto"/>
        <w:rPr>
          <w:sz w:val="20"/>
          <w:szCs w:val="20"/>
          <w:color w:val="auto"/>
        </w:rPr>
      </w:pPr>
      <w:r>
        <w:rPr>
          <w:rFonts w:ascii="Arial" w:cs="Arial" w:eastAsia="Arial" w:hAnsi="Arial"/>
          <w:sz w:val="14"/>
          <w:szCs w:val="14"/>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“Claimant” shall have the meaning set forth in Section 11.1.</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“Code” means the Internal Revenue Code of 1986, as it may be amended from time to time.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“Company” means ALLETE, Inc., a Minnesota Corporation, and any successor to all, or substantially all, of the Company’s assets or business.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“Credited Service” shall have the meaning prescribed in the Retirement Plan A.</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“Deferrals” means Elective Deferrals and Non-Elective Deferrals.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“Disability” or “Disabled,” when used with an initial capital letter, means a physical or mental condition in which the Participant is:</w:t>
      </w:r>
    </w:p>
    <w:p>
      <w:pPr>
        <w:spacing w:after="0" w:line="205" w:lineRule="exact"/>
        <w:rPr>
          <w:sz w:val="20"/>
          <w:szCs w:val="20"/>
          <w:color w:val="auto"/>
        </w:rPr>
      </w:pPr>
    </w:p>
    <w:p>
      <w:pPr>
        <w:ind w:left="1820" w:hanging="211"/>
        <w:spacing w:after="0" w:line="288" w:lineRule="auto"/>
        <w:tabs>
          <w:tab w:leader="none" w:pos="18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2" w:lineRule="exact"/>
        <w:rPr>
          <w:rFonts w:ascii="Arial" w:cs="Arial" w:eastAsia="Arial" w:hAnsi="Arial"/>
          <w:sz w:val="14"/>
          <w:szCs w:val="14"/>
          <w:color w:val="auto"/>
        </w:rPr>
      </w:pPr>
    </w:p>
    <w:p>
      <w:pPr>
        <w:ind w:left="1820" w:hanging="250"/>
        <w:spacing w:after="0" w:line="328" w:lineRule="auto"/>
        <w:tabs>
          <w:tab w:leader="none" w:pos="18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30" w:lineRule="exact"/>
        <w:rPr>
          <w:rFonts w:ascii="Arial" w:cs="Arial" w:eastAsia="Arial" w:hAnsi="Arial"/>
          <w:sz w:val="13"/>
          <w:szCs w:val="13"/>
          <w:color w:val="auto"/>
        </w:rPr>
      </w:pPr>
    </w:p>
    <w:p>
      <w:pPr>
        <w:ind w:left="1820" w:hanging="290"/>
        <w:spacing w:after="0"/>
        <w:tabs>
          <w:tab w:leader="none" w:pos="18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determined to be totally disabled by the Social Security Administration; or</w:t>
      </w:r>
    </w:p>
    <w:p>
      <w:pPr>
        <w:spacing w:after="0" w:line="205" w:lineRule="exact"/>
        <w:rPr>
          <w:rFonts w:ascii="Arial" w:cs="Arial" w:eastAsia="Arial" w:hAnsi="Arial"/>
          <w:sz w:val="14"/>
          <w:szCs w:val="14"/>
          <w:color w:val="auto"/>
        </w:rPr>
      </w:pPr>
    </w:p>
    <w:p>
      <w:pPr>
        <w:ind w:left="1820" w:hanging="282"/>
        <w:spacing w:after="0" w:line="288" w:lineRule="auto"/>
        <w:tabs>
          <w:tab w:leader="none" w:pos="18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When the term “disability” (without an initial capital letter) is used in the Plan, it shall have the meaning prescribed in the definition of “Separation from Service.”</w:t>
      </w:r>
    </w:p>
    <w:p>
      <w:pPr>
        <w:spacing w:after="0" w:line="205" w:lineRule="exact"/>
        <w:rPr>
          <w:sz w:val="20"/>
          <w:szCs w:val="20"/>
          <w:color w:val="auto"/>
        </w:rPr>
      </w:pPr>
    </w:p>
    <w:p>
      <w:pPr>
        <w:ind w:right="100" w:firstLine="517"/>
        <w:spacing w:after="0" w:line="328" w:lineRule="auto"/>
        <w:rPr>
          <w:sz w:val="20"/>
          <w:szCs w:val="20"/>
          <w:color w:val="auto"/>
        </w:rPr>
      </w:pPr>
      <w:r>
        <w:rPr>
          <w:rFonts w:ascii="Arial" w:cs="Arial" w:eastAsia="Arial" w:hAnsi="Arial"/>
          <w:sz w:val="13"/>
          <w:szCs w:val="13"/>
          <w:color w:val="auto"/>
        </w:rPr>
        <w:t>“Distribution Event” means, with respect to Article 6, a Specified Year, a Separation from Service, death, Disability or the Administrator’s determination regarding the occurrence of an Unforeseeable Emergency and, with respect to Article 8, Retirement, Disability or solely with respect to a Participant who vests after becoming Disabled, the earlier of death or attainment of age 65.</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“Elective Deferrals” means any portion of a Participant’s Salary, Bonus, Severance Pay, Annual Make-up Award or Other Award that a Participant irrevocably elects to defer.</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“Eligible Employee” means an Employee in management salary grades SA-SM, who has been notified in writing by the Administrator of eligibility to participate in the Plan.</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“Eligible Surviving Spouse” shall have the meaning prescribed in Retirement Plan A.</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“Employee” means a person who is a common-law employee of any Related Company.</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“Employer(s)” means the Company and any Related Company (now in existence or hereafter formed or acquired) that have been selected by the Administrator to participate in the Plan.</w:t>
      </w:r>
    </w:p>
    <w:p>
      <w:pPr>
        <w:sectPr>
          <w:pgSz w:w="11900" w:h="16838" w:orient="portrait"/>
          <w:cols w:equalWidth="0" w:num="1">
            <w:col w:w="11460"/>
          </w:cols>
          <w:pgMar w:left="220" w:top="631" w:right="219" w:bottom="0" w:gutter="0" w:footer="0" w:header="0"/>
        </w:sectPr>
      </w:pPr>
    </w:p>
    <w:bookmarkStart w:id="200" w:name="page201"/>
    <w:bookmarkEnd w:id="200"/>
    <w:p>
      <w:pPr>
        <w:ind w:left="520"/>
        <w:spacing w:after="0"/>
        <w:rPr>
          <w:sz w:val="20"/>
          <w:szCs w:val="20"/>
          <w:color w:val="auto"/>
        </w:rPr>
      </w:pPr>
      <w:r>
        <w:rPr>
          <w:rFonts w:ascii="Arial" w:cs="Arial" w:eastAsia="Arial" w:hAnsi="Arial"/>
          <w:sz w:val="14"/>
          <w:szCs w:val="14"/>
          <w:color w:val="auto"/>
        </w:rPr>
        <w:t>“ERISA” means the Employee Retirement Income Security Act of 1974, as it may be amended from time to time.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“IRS” means the Internal Revenue Service.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“Non-Elective Deferrals” means 162(m) Deferrals and the Annual Make-up Award credited to the Account of any Participant whose Salary exceeds the Code section 401(a)(17) limit.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Award” means an award, other than an Annual Incentive Award or Severance Pay, that a Participant may defer at the Administrator’s discretion.</w:t>
      </w:r>
    </w:p>
    <w:p>
      <w:pPr>
        <w:spacing w:after="0" w:line="205" w:lineRule="exact"/>
        <w:rPr>
          <w:sz w:val="20"/>
          <w:szCs w:val="20"/>
          <w:color w:val="auto"/>
        </w:rPr>
      </w:pPr>
    </w:p>
    <w:p>
      <w:pPr>
        <w:ind w:right="100" w:firstLine="517"/>
        <w:spacing w:after="0" w:line="288" w:lineRule="auto"/>
        <w:rPr>
          <w:sz w:val="20"/>
          <w:szCs w:val="20"/>
          <w:color w:val="auto"/>
        </w:rPr>
      </w:pPr>
      <w:r>
        <w:rPr>
          <w:rFonts w:ascii="Arial" w:cs="Arial" w:eastAsia="Arial" w:hAnsi="Arial"/>
          <w:sz w:val="14"/>
          <w:szCs w:val="14"/>
          <w:color w:val="auto"/>
        </w:rPr>
        <w:t>“Participant” means any Eligible Employee (i) who has elected to defer amounts under the Plan, (ii) who is eligible to receive a Retirement Benefit or (iii) whose compensation, or a portion thereof, was deferred as a Non-Elective Deferral.</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“Plan” means SERP II.</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“Plan Year” means a period beginning on January 1 of each calendar year and continuing through December 31 of such calendar year.</w:t>
      </w:r>
    </w:p>
    <w:p>
      <w:pPr>
        <w:spacing w:after="0" w:line="205" w:lineRule="exact"/>
        <w:rPr>
          <w:sz w:val="20"/>
          <w:szCs w:val="20"/>
          <w:color w:val="auto"/>
        </w:rPr>
      </w:pPr>
    </w:p>
    <w:p>
      <w:pPr>
        <w:ind w:right="160" w:firstLine="517"/>
        <w:spacing w:after="0" w:line="263" w:lineRule="auto"/>
        <w:rPr>
          <w:sz w:val="20"/>
          <w:szCs w:val="20"/>
          <w:color w:val="auto"/>
        </w:rPr>
      </w:pPr>
      <w:r>
        <w:rPr>
          <w:rFonts w:ascii="Arial" w:cs="Arial" w:eastAsia="Arial" w:hAnsi="Arial"/>
          <w:sz w:val="14"/>
          <w:szCs w:val="14"/>
          <w:color w:val="auto"/>
        </w:rPr>
        <w:t>“Related Company”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“Retirement” means Separation from Service, for reasons other than death, on or after attaining both 50 years of age and 10 years of Vesting Service.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“Retirement Benefit” means the benefit payable pursuant to Article 8.</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“Retirement Plans” mean the Minnesota Power and Affiliated Companies Retirement Plan A and Minnesota Power and Affiliated Companies Retirement Plan B, as amended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time.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“Retirement Savings and Stock Ownership Plan” or “RSOP” means the Minnesota Power and Affiliated Companies Retirement Savings and Stock Ownership Plan, as amended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time.</w:t>
      </w:r>
    </w:p>
    <w:p>
      <w:pPr>
        <w:spacing w:after="0" w:line="196" w:lineRule="exact"/>
        <w:rPr>
          <w:sz w:val="20"/>
          <w:szCs w:val="20"/>
          <w:color w:val="auto"/>
        </w:rPr>
      </w:pPr>
    </w:p>
    <w:p>
      <w:pPr>
        <w:ind w:right="40" w:firstLine="517"/>
        <w:spacing w:after="0" w:line="289" w:lineRule="auto"/>
        <w:rPr>
          <w:sz w:val="20"/>
          <w:szCs w:val="20"/>
          <w:color w:val="auto"/>
        </w:rPr>
      </w:pPr>
      <w:r>
        <w:rPr>
          <w:rFonts w:ascii="Arial" w:cs="Arial" w:eastAsia="Arial" w:hAnsi="Arial"/>
          <w:sz w:val="13"/>
          <w:szCs w:val="13"/>
          <w:color w:val="auto"/>
        </w:rPr>
        <w:t>“Salary” means the Participant’s earnings during a calendar year, before any reduction pursuant to Code sections 125, 132(f)(4), or 401(k) and this Plan. It does not include overtime compensation, if any, Bonuses, Annual Incentive Awards and Other Awards, expense reimbursements, allowances, commission payments, employer contributions or awards under this Plan or other employee benefit plans, imputed income (whether such imputed income is from 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employed jointly by the Company and an affiliated company (as defined in the RSOP), Salary as defined herein shall include amounts received from all such companies.</w:t>
      </w:r>
    </w:p>
    <w:p>
      <w:pPr>
        <w:spacing w:after="0" w:line="156" w:lineRule="exact"/>
        <w:rPr>
          <w:sz w:val="20"/>
          <w:szCs w:val="20"/>
          <w:color w:val="auto"/>
        </w:rPr>
      </w:pPr>
    </w:p>
    <w:p>
      <w:pPr>
        <w:ind w:right="120" w:firstLine="517"/>
        <w:spacing w:after="0" w:line="288" w:lineRule="auto"/>
        <w:rPr>
          <w:sz w:val="20"/>
          <w:szCs w:val="20"/>
          <w:color w:val="auto"/>
        </w:rPr>
      </w:pPr>
      <w:r>
        <w:rPr>
          <w:rFonts w:ascii="Arial" w:cs="Arial" w:eastAsia="Arial" w:hAnsi="Arial"/>
          <w:sz w:val="14"/>
          <w:szCs w:val="14"/>
          <w:color w:val="auto"/>
        </w:rPr>
        <w:t>“Section 409A” means both section 409A of the Code and Treasury Regulations section 1.409A-1 et seq., as they both may be amended from time to time, and other guidance issued by the Treasury Department and Internal Revenue Service thereunder.</w:t>
      </w:r>
    </w:p>
    <w:p>
      <w:pPr>
        <w:spacing w:after="0" w:line="152" w:lineRule="exact"/>
        <w:rPr>
          <w:sz w:val="20"/>
          <w:szCs w:val="20"/>
          <w:color w:val="auto"/>
        </w:rPr>
      </w:pPr>
    </w:p>
    <w:p>
      <w:pPr>
        <w:ind w:firstLine="517"/>
        <w:spacing w:after="0" w:line="282" w:lineRule="auto"/>
        <w:rPr>
          <w:sz w:val="20"/>
          <w:szCs w:val="20"/>
          <w:color w:val="auto"/>
        </w:rPr>
      </w:pPr>
      <w:r>
        <w:rPr>
          <w:rFonts w:ascii="Arial" w:cs="Arial" w:eastAsia="Arial" w:hAnsi="Arial"/>
          <w:sz w:val="13"/>
          <w:szCs w:val="13"/>
          <w:color w:val="auto"/>
        </w:rPr>
        <w:t>“Separation from Service”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 For purposes of determining whether a Separation from Service has occurred on account of a disability,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6 months.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“SERP II” means the ALLETE and Affiliated Companies Supplemental Executive Retirement Plan II, as amended from time to time.</w:t>
      </w:r>
    </w:p>
    <w:p>
      <w:pPr>
        <w:spacing w:after="0" w:line="205" w:lineRule="exact"/>
        <w:rPr>
          <w:sz w:val="20"/>
          <w:szCs w:val="20"/>
          <w:color w:val="auto"/>
        </w:rPr>
      </w:pPr>
    </w:p>
    <w:p>
      <w:pPr>
        <w:ind w:right="320" w:firstLine="517"/>
        <w:spacing w:after="0" w:line="288" w:lineRule="auto"/>
        <w:rPr>
          <w:sz w:val="20"/>
          <w:szCs w:val="20"/>
          <w:color w:val="auto"/>
        </w:rPr>
      </w:pPr>
      <w:r>
        <w:rPr>
          <w:rFonts w:ascii="Arial" w:cs="Arial" w:eastAsia="Arial" w:hAnsi="Arial"/>
          <w:sz w:val="14"/>
          <w:szCs w:val="14"/>
          <w:color w:val="auto"/>
        </w:rPr>
        <w:t>“Severance Pay” means the cash payment(s) to a Participant payable in connection with his Separation from Service in accordance with the terms of a severance arrangement that is the subject of bona fide, arm’s length negotiations between a Related Company and the Participant at the time of the Separation from Service.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“Specified Year” means a calendar year during which a Participant has elected to receive a distribution of Elective Deferrals.</w:t>
      </w:r>
    </w:p>
    <w:p>
      <w:pPr>
        <w:spacing w:after="0" w:line="205" w:lineRule="exact"/>
        <w:rPr>
          <w:sz w:val="20"/>
          <w:szCs w:val="20"/>
          <w:color w:val="auto"/>
        </w:rPr>
      </w:pPr>
    </w:p>
    <w:p>
      <w:pPr>
        <w:ind w:right="200" w:firstLine="517"/>
        <w:spacing w:after="0" w:line="288" w:lineRule="auto"/>
        <w:rPr>
          <w:sz w:val="20"/>
          <w:szCs w:val="20"/>
          <w:color w:val="auto"/>
        </w:rPr>
      </w:pPr>
      <w:r>
        <w:rPr>
          <w:rFonts w:ascii="Arial" w:cs="Arial" w:eastAsia="Arial" w:hAnsi="Arial"/>
          <w:sz w:val="14"/>
          <w:szCs w:val="14"/>
          <w:color w:val="auto"/>
        </w:rPr>
        <w:t>“Specified Employee” means an Employee who is subject to the six-month delay rule described in Code section 409A(2)(B)(i). The Board shall adopt guidelines for identifying Specified Employees in a manner consistent with Section 409A, and may amend the guidelines from time to time as permitted by Section 409A.</w:t>
      </w:r>
    </w:p>
    <w:p>
      <w:pPr>
        <w:spacing w:after="0" w:line="152" w:lineRule="exact"/>
        <w:rPr>
          <w:sz w:val="20"/>
          <w:szCs w:val="20"/>
          <w:color w:val="auto"/>
        </w:rPr>
      </w:pPr>
    </w:p>
    <w:p>
      <w:pPr>
        <w:ind w:right="160" w:firstLine="517"/>
        <w:spacing w:after="0" w:line="267" w:lineRule="auto"/>
        <w:rPr>
          <w:sz w:val="20"/>
          <w:szCs w:val="20"/>
          <w:color w:val="auto"/>
        </w:rPr>
      </w:pPr>
      <w:r>
        <w:rPr>
          <w:rFonts w:ascii="Arial" w:cs="Arial" w:eastAsia="Arial" w:hAnsi="Arial"/>
          <w:sz w:val="14"/>
          <w:szCs w:val="14"/>
          <w:color w:val="auto"/>
        </w:rPr>
        <w:t>“Unforeseeable Emergency” means an unanticipated emergency that is caused by an event beyond the control of the Participant that would result in severe financial hardship to the Participant resulting from (i) an illness or accident of the Participant or the Participant’s spouse, the Participant’s beneficiary, or the Participant’s dependent (as defined in Code section 152, without regard to Code sections 152(b)(1), (b)(2), and (d)(1)(B)), (ii) a loss of the Participant’s property due to casualty, or (iii) such other similar extraordinary and unforeseeable circumstances arising as a result of events beyond the control of the Participant, all as determined in the sole discretion of the Administrator.</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“Valuation Date” means each day that the U.S. stock markets are open or such other dates as may be set by the Administrator from time to time.</w:t>
      </w:r>
    </w:p>
    <w:p>
      <w:pPr>
        <w:spacing w:after="0" w:line="205" w:lineRule="exact"/>
        <w:rPr>
          <w:sz w:val="20"/>
          <w:szCs w:val="20"/>
          <w:color w:val="auto"/>
        </w:rPr>
      </w:pPr>
    </w:p>
    <w:p>
      <w:pPr>
        <w:ind w:right="120" w:firstLine="517"/>
        <w:spacing w:after="0" w:line="272" w:lineRule="auto"/>
        <w:rPr>
          <w:sz w:val="20"/>
          <w:szCs w:val="20"/>
          <w:color w:val="auto"/>
        </w:rPr>
      </w:pPr>
      <w:r>
        <w:rPr>
          <w:rFonts w:ascii="Arial" w:cs="Arial" w:eastAsia="Arial" w:hAnsi="Arial"/>
          <w:sz w:val="14"/>
          <w:szCs w:val="14"/>
          <w:color w:val="auto"/>
        </w:rPr>
        <w:t>“Vesting Service” shall have the meaning prescribed in the Retirement Plan A. Participants will continue to receive credit for Vesting Service after October 1, 2006. A Disabled Participant will receive credit for Vesting Service on account of any period after the commencement of the Disability during which the Participant is characterized as an active employee on the Related Company’s employment records.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323" w:right="21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auto"/>
        </w:rPr>
        <w:t>IN WITNESS WHEREOF, ALLETE, Inc. has caused these presents to be signed and its corporate seal to be hereunto affixed by its duly authorized officers, effective as of January 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ind w:left="500"/>
              <w:spacing w:after="0"/>
              <w:rPr>
                <w:sz w:val="20"/>
                <w:szCs w:val="20"/>
                <w:color w:val="auto"/>
              </w:rPr>
            </w:pPr>
            <w:r>
              <w:rPr>
                <w:rFonts w:ascii="Arial" w:cs="Arial" w:eastAsia="Arial" w:hAnsi="Arial"/>
                <w:sz w:val="14"/>
                <w:szCs w:val="14"/>
                <w:color w:val="auto"/>
              </w:rPr>
              <w:t>ALLETE, Inc.</w:t>
            </w:r>
          </w:p>
        </w:tc>
        <w:tc>
          <w:tcPr>
            <w:tcW w:w="1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723"/>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5"/>
          </w:tcPr>
          <w:p>
            <w:pPr>
              <w:ind w:left="500"/>
              <w:spacing w:after="0"/>
              <w:rPr>
                <w:sz w:val="20"/>
                <w:szCs w:val="20"/>
                <w:color w:val="auto"/>
              </w:rPr>
            </w:pPr>
            <w:r>
              <w:rPr>
                <w:rFonts w:ascii="Arial" w:cs="Arial" w:eastAsia="Arial" w:hAnsi="Arial"/>
                <w:sz w:val="14"/>
                <w:szCs w:val="14"/>
                <w:color w:val="auto"/>
              </w:rPr>
              <w:t>By: Donald J. Shippar</w:t>
            </w:r>
          </w:p>
        </w:tc>
      </w:tr>
      <w:tr>
        <w:trPr>
          <w:trHeight w:val="378"/>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0" w:type="dxa"/>
            <w:vAlign w:val="bottom"/>
          </w:tcPr>
          <w:p>
            <w:pPr>
              <w:ind w:left="420"/>
              <w:spacing w:after="0"/>
              <w:rPr>
                <w:sz w:val="20"/>
                <w:szCs w:val="20"/>
                <w:color w:val="auto"/>
              </w:rPr>
            </w:pPr>
            <w:r>
              <w:rPr>
                <w:rFonts w:ascii="Arial" w:cs="Arial" w:eastAsia="Arial" w:hAnsi="Arial"/>
                <w:sz w:val="14"/>
                <w:szCs w:val="14"/>
                <w:color w:val="auto"/>
              </w:rPr>
              <w:t>Donald J. Shippar</w:t>
            </w:r>
          </w:p>
        </w:tc>
      </w:tr>
      <w:tr>
        <w:trPr>
          <w:trHeight w:val="36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ind w:left="440"/>
              <w:spacing w:after="0"/>
              <w:rPr>
                <w:sz w:val="20"/>
                <w:szCs w:val="20"/>
                <w:color w:val="auto"/>
              </w:rPr>
            </w:pPr>
            <w:r>
              <w:rPr>
                <w:rFonts w:ascii="Arial" w:cs="Arial" w:eastAsia="Arial" w:hAnsi="Arial"/>
                <w:sz w:val="14"/>
                <w:szCs w:val="14"/>
                <w:color w:val="auto"/>
              </w:rPr>
              <w:t>Its:</w:t>
            </w:r>
          </w:p>
        </w:tc>
        <w:tc>
          <w:tcPr>
            <w:tcW w:w="2940" w:type="dxa"/>
            <w:vAlign w:val="bottom"/>
            <w:gridSpan w:val="2"/>
          </w:tcPr>
          <w:p>
            <w:pPr>
              <w:ind w:left="100"/>
              <w:spacing w:after="0"/>
              <w:rPr>
                <w:sz w:val="20"/>
                <w:szCs w:val="20"/>
                <w:color w:val="auto"/>
              </w:rPr>
            </w:pPr>
            <w:r>
              <w:rPr>
                <w:rFonts w:ascii="Arial" w:cs="Arial" w:eastAsia="Arial" w:hAnsi="Arial"/>
                <w:sz w:val="14"/>
                <w:szCs w:val="14"/>
                <w:color w:val="auto"/>
                <w:w w:val="93"/>
              </w:rPr>
              <w:t>Chairman, President and Chief Executive Officer</w:t>
            </w:r>
          </w:p>
        </w:tc>
      </w:tr>
      <w:tr>
        <w:trPr>
          <w:trHeight w:val="754"/>
        </w:trPr>
        <w:tc>
          <w:tcPr>
            <w:tcW w:w="560" w:type="dxa"/>
            <w:vAlign w:val="bottom"/>
            <w:gridSpan w:val="2"/>
          </w:tcPr>
          <w:p>
            <w:pPr>
              <w:spacing w:after="0"/>
              <w:rPr>
                <w:sz w:val="20"/>
                <w:szCs w:val="20"/>
                <w:color w:val="auto"/>
              </w:rPr>
            </w:pPr>
            <w:r>
              <w:rPr>
                <w:rFonts w:ascii="Arial" w:cs="Arial" w:eastAsia="Arial" w:hAnsi="Arial"/>
                <w:sz w:val="14"/>
                <w:szCs w:val="14"/>
                <w:color w:val="auto"/>
              </w:rPr>
              <w:t>ATTEST</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35"/>
        </w:trPr>
        <w:tc>
          <w:tcPr>
            <w:tcW w:w="2200" w:type="dxa"/>
            <w:vAlign w:val="bottom"/>
            <w:gridSpan w:val="5"/>
          </w:tcPr>
          <w:p>
            <w:pPr>
              <w:spacing w:after="0"/>
              <w:rPr>
                <w:sz w:val="20"/>
                <w:szCs w:val="20"/>
                <w:color w:val="auto"/>
              </w:rPr>
            </w:pPr>
            <w:r>
              <w:rPr>
                <w:rFonts w:ascii="Arial" w:cs="Arial" w:eastAsia="Arial" w:hAnsi="Arial"/>
                <w:sz w:val="14"/>
                <w:szCs w:val="14"/>
                <w:color w:val="auto"/>
              </w:rPr>
              <w:t>By: Deborah A. Amberg</w:t>
            </w: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78"/>
        </w:trPr>
        <w:tc>
          <w:tcPr>
            <w:tcW w:w="2200" w:type="dxa"/>
            <w:vAlign w:val="bottom"/>
            <w:gridSpan w:val="5"/>
          </w:tcPr>
          <w:p>
            <w:pPr>
              <w:spacing w:after="0"/>
              <w:rPr>
                <w:sz w:val="20"/>
                <w:szCs w:val="20"/>
                <w:color w:val="auto"/>
              </w:rPr>
            </w:pPr>
            <w:r>
              <w:rPr>
                <w:rFonts w:ascii="Arial" w:cs="Arial" w:eastAsia="Arial" w:hAnsi="Arial"/>
                <w:sz w:val="14"/>
                <w:szCs w:val="14"/>
                <w:color w:val="auto"/>
              </w:rPr>
              <w:t>Deborah A. Amberg</w:t>
            </w: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66"/>
        </w:trPr>
        <w:tc>
          <w:tcPr>
            <w:tcW w:w="560" w:type="dxa"/>
            <w:vAlign w:val="bottom"/>
            <w:gridSpan w:val="2"/>
          </w:tcPr>
          <w:p>
            <w:pPr>
              <w:spacing w:after="0"/>
              <w:rPr>
                <w:sz w:val="20"/>
                <w:szCs w:val="20"/>
                <w:color w:val="auto"/>
              </w:rPr>
            </w:pPr>
            <w:r>
              <w:rPr>
                <w:rFonts w:ascii="Arial" w:cs="Arial" w:eastAsia="Arial" w:hAnsi="Arial"/>
                <w:sz w:val="14"/>
                <w:szCs w:val="14"/>
                <w:color w:val="auto"/>
              </w:rPr>
              <w:t>Its:</w:t>
            </w:r>
          </w:p>
        </w:tc>
        <w:tc>
          <w:tcPr>
            <w:tcW w:w="4580" w:type="dxa"/>
            <w:vAlign w:val="bottom"/>
            <w:gridSpan w:val="5"/>
          </w:tcPr>
          <w:p>
            <w:pPr>
              <w:ind w:left="20"/>
              <w:spacing w:after="0"/>
              <w:rPr>
                <w:sz w:val="20"/>
                <w:szCs w:val="20"/>
                <w:color w:val="auto"/>
              </w:rPr>
            </w:pPr>
            <w:r>
              <w:rPr>
                <w:rFonts w:ascii="Arial" w:cs="Arial" w:eastAsia="Arial" w:hAnsi="Arial"/>
                <w:sz w:val="14"/>
                <w:szCs w:val="14"/>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800"/>
          </w:cols>
          <w:pgMar w:left="740" w:top="441" w:right="359" w:bottom="1440" w:gutter="0" w:footer="0" w:header="0"/>
        </w:sectPr>
      </w:pPr>
    </w:p>
    <w:bookmarkStart w:id="202" w:name="page203"/>
    <w:bookmarkEnd w:id="2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color w:val="auto"/>
        </w:rPr>
        <w:t>Exhibit 10(i)6</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ALLETE AND AFFILIATED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EXECUTIVE RETIREMENT PLAN II</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The ALLETE and Affiliated Companies Supplemental Executive Retirement Plan II, effective January 1, 2009, is amended as follows:</w:t>
      </w:r>
    </w:p>
    <w:p>
      <w:pPr>
        <w:spacing w:after="0" w:line="205" w:lineRule="exact"/>
        <w:rPr>
          <w:sz w:val="20"/>
          <w:szCs w:val="20"/>
          <w:color w:val="auto"/>
        </w:rPr>
      </w:pPr>
    </w:p>
    <w:p>
      <w:pPr>
        <w:ind w:left="500" w:hanging="494"/>
        <w:spacing w:after="0"/>
        <w:tabs>
          <w:tab w:leader="none" w:pos="5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Effective January 20, 2009, Section 5.1 is amended to read in its entirety as follows:</w:t>
      </w:r>
    </w:p>
    <w:p>
      <w:pPr>
        <w:spacing w:after="0" w:line="20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3"/>
          <w:szCs w:val="13"/>
          <w:b w:val="1"/>
          <w:bCs w:val="1"/>
          <w:u w:val="single" w:color="auto"/>
          <w:color w:val="auto"/>
        </w:rPr>
        <w:t>Eligibility</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An Employee who: (i) was a Participant as of September 30, 2006, (ii) has continuously remained an Employee in ALLETE management salary grade SA-SM, and</w:t>
      </w:r>
    </w:p>
    <w:p>
      <w:pPr>
        <w:spacing w:after="0" w:line="25" w:lineRule="exact"/>
        <w:rPr>
          <w:sz w:val="20"/>
          <w:szCs w:val="20"/>
          <w:color w:val="auto"/>
        </w:rPr>
      </w:pPr>
    </w:p>
    <w:p>
      <w:pPr>
        <w:jc w:val="both"/>
        <w:ind w:left="1180" w:firstLine="1"/>
        <w:spacing w:after="0" w:line="295" w:lineRule="auto"/>
        <w:tabs>
          <w:tab w:leader="none" w:pos="1453" w:val="left"/>
        </w:tabs>
        <w:numPr>
          <w:ilvl w:val="0"/>
          <w:numId w:val="95"/>
        </w:numPr>
        <w:rPr>
          <w:rFonts w:ascii="Arial" w:cs="Arial" w:eastAsia="Arial" w:hAnsi="Arial"/>
          <w:sz w:val="13"/>
          <w:szCs w:val="13"/>
          <w:color w:val="auto"/>
        </w:rPr>
      </w:pPr>
      <w:r>
        <w:rPr>
          <w:rFonts w:ascii="Arial" w:cs="Arial" w:eastAsia="Arial" w:hAnsi="Arial"/>
          <w:sz w:val="13"/>
          <w:szCs w:val="13"/>
          <w:color w:val="auto"/>
        </w:rPr>
        <w:t>has continuously participated in the ALLETE Executive Annual Incentive Plan or been eligible to receive a Bonus shall be eligible to receive an Annual Make-up Award. Any other Employee shall be eligible to receive an Annual Make-up Award if the Employee: (i) initially becomes, or again becomes, a Participant after September 30, 2006, (ii) is in ALLETE management salary grade SG-SM, and (iii) participates in the ALLETE Executive Annual Incentive Plan or is eligible to receive a Bonus.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ALLETE, Inc.</w:t>
      </w:r>
    </w:p>
    <w:p>
      <w:pPr>
        <w:spacing w:after="0" w:line="200" w:lineRule="exact"/>
        <w:rPr>
          <w:sz w:val="20"/>
          <w:szCs w:val="20"/>
          <w:color w:val="auto"/>
        </w:rPr>
      </w:pPr>
    </w:p>
    <w:p>
      <w:pPr>
        <w:spacing w:after="0" w:line="397"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Donald J. Shippar</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Donald J. Shippar</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Chairman, President &amp; Chief Executive Officer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ATTEST:</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Deborah A. Amberg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Deborah A. Amberg</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7280275"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311" w:right="219" w:bottom="1440" w:gutter="0" w:footer="0" w:header="0"/>
        </w:sectPr>
      </w:pPr>
    </w:p>
    <w:bookmarkStart w:id="204" w:name="page205"/>
    <w:bookmarkEnd w:id="2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5" w:name="page206"/>
    <w:bookmarkEnd w:id="205"/>
    <w:p>
      <w:pPr>
        <w:jc w:val="right"/>
        <w:spacing w:after="0"/>
        <w:rPr>
          <w:sz w:val="20"/>
          <w:szCs w:val="20"/>
          <w:color w:val="auto"/>
        </w:rPr>
      </w:pPr>
      <w:r>
        <w:rPr>
          <w:rFonts w:ascii="Arial" w:cs="Arial" w:eastAsia="Arial" w:hAnsi="Arial"/>
          <w:sz w:val="14"/>
          <w:szCs w:val="14"/>
          <w:b w:val="1"/>
          <w:bCs w:val="1"/>
          <w:color w:val="auto"/>
        </w:rPr>
        <w:t>Exhibit 10(m)11</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ALLETE 2008 Form 10-K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ANNEX B</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ALLETE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LONG TERM INCENTIVE COMPENSATION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PERFORMANCE SHARE GRANT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Effective 2009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[Eligible Executive Employees]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Measure</w:t>
      </w:r>
      <w:r>
        <w:rPr>
          <w:rFonts w:ascii="Arial" w:cs="Arial" w:eastAsia="Arial" w:hAnsi="Arial"/>
          <w:sz w:val="14"/>
          <w:szCs w:val="14"/>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Total Shareholder Return (TSR) computed over the three-year period.</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Performance Share Award:</w:t>
      </w:r>
    </w:p>
    <w:p>
      <w:pPr>
        <w:spacing w:after="0" w:line="21"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If ALLETE’s TSR ranking is 4th or higher among a peer group of 27 companies (superior performance), 200% of the Performance Share Grant will be earned. If ALLETE’s TSR performance ranks 14</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among the peer group (target performance), 100% of the Grant will be earned. If ALLETE’s TSR performance ranks 19</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(threshold performance), 50% of the Grant will be earned. If TSR performance is below threshold, no Performance Shares will be earned. Straight-line interpolation will be used to determine earned awards based on the TSR ranking between threshold, target and superior.</w:t>
      </w:r>
    </w:p>
    <w:p>
      <w:pPr>
        <w:spacing w:after="0" w:line="177" w:lineRule="exact"/>
        <w:rPr>
          <w:sz w:val="20"/>
          <w:szCs w:val="20"/>
          <w:color w:val="auto"/>
        </w:rPr>
      </w:pPr>
    </w:p>
    <w:tbl>
      <w:tblPr>
        <w:tblLayout w:type="fixed"/>
        <w:tblInd w:w="2760" w:type="dxa"/>
        <w:tblCellMar>
          <w:top w:w="0" w:type="dxa"/>
          <w:left w:w="0" w:type="dxa"/>
          <w:bottom w:w="0" w:type="dxa"/>
          <w:right w:w="0" w:type="dxa"/>
        </w:tblCellMar>
      </w:tblPr>
      <w:tr>
        <w:trPr>
          <w:trHeight w:val="185"/>
        </w:trPr>
        <w:tc>
          <w:tcPr>
            <w:tcW w:w="2100" w:type="dxa"/>
            <w:vAlign w:val="bottom"/>
            <w:tcBorders>
              <w:top w:val="single" w:sz="8" w:color="008000"/>
              <w:bottom w:val="single" w:sz="8" w:color="auto"/>
            </w:tcBorders>
            <w:shd w:val="clear" w:color="auto" w:fill="CCEEFF"/>
          </w:tcPr>
          <w:p>
            <w:pPr>
              <w:ind w:left="760"/>
              <w:spacing w:after="0"/>
              <w:rPr>
                <w:sz w:val="20"/>
                <w:szCs w:val="20"/>
                <w:color w:val="auto"/>
              </w:rPr>
            </w:pPr>
            <w:r>
              <w:rPr>
                <w:rFonts w:ascii="Arial" w:cs="Arial" w:eastAsia="Arial" w:hAnsi="Arial"/>
                <w:sz w:val="14"/>
                <w:szCs w:val="14"/>
                <w:b w:val="1"/>
                <w:bCs w:val="1"/>
                <w:color w:val="auto"/>
              </w:rPr>
              <w:t>TSR Rank</w:t>
            </w:r>
          </w:p>
        </w:tc>
        <w:tc>
          <w:tcPr>
            <w:tcW w:w="1960" w:type="dxa"/>
            <w:vAlign w:val="bottom"/>
            <w:tcBorders>
              <w:top w:val="single" w:sz="8" w:color="008000"/>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Perf. Level</w:t>
            </w:r>
          </w:p>
        </w:tc>
        <w:tc>
          <w:tcPr>
            <w:tcW w:w="1900" w:type="dxa"/>
            <w:vAlign w:val="bottom"/>
            <w:tcBorders>
              <w:top w:val="single" w:sz="8" w:color="008000"/>
              <w:bottom w:val="single" w:sz="8" w:color="auto"/>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Payout %</w:t>
            </w:r>
          </w:p>
        </w:tc>
      </w:tr>
      <w:tr>
        <w:trPr>
          <w:trHeight w:val="174"/>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w:t>
            </w:r>
          </w:p>
        </w:tc>
      </w:tr>
      <w:tr>
        <w:trPr>
          <w:trHeight w:val="174"/>
        </w:trPr>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200%</w:t>
            </w:r>
          </w:p>
        </w:tc>
      </w:tr>
      <w:tr>
        <w:trPr>
          <w:trHeight w:val="174"/>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w:t>
            </w:r>
          </w:p>
        </w:tc>
      </w:tr>
      <w:tr>
        <w:trPr>
          <w:trHeight w:val="174"/>
        </w:trPr>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Superior</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200%</w:t>
            </w:r>
          </w:p>
        </w:tc>
      </w:tr>
      <w:tr>
        <w:trPr>
          <w:trHeight w:val="174"/>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190%</w:t>
            </w:r>
          </w:p>
        </w:tc>
      </w:tr>
      <w:tr>
        <w:trPr>
          <w:trHeight w:val="174"/>
        </w:trPr>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180%</w:t>
            </w:r>
          </w:p>
        </w:tc>
      </w:tr>
      <w:tr>
        <w:trPr>
          <w:trHeight w:val="174"/>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170%</w:t>
            </w:r>
          </w:p>
        </w:tc>
      </w:tr>
      <w:tr>
        <w:trPr>
          <w:trHeight w:val="174"/>
        </w:trPr>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160%</w:t>
            </w:r>
          </w:p>
        </w:tc>
      </w:tr>
      <w:tr>
        <w:trPr>
          <w:trHeight w:val="174"/>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150%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10</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140%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11</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130%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12</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120%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13</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110%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14</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Target</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100%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15</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90%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16</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80%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17</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70%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18</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60%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19</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Threshold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50%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20</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21</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22</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23</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24</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25</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26</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27</w:t>
            </w: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0%</w:t>
            </w:r>
          </w:p>
        </w:tc>
      </w:tr>
      <w:tr>
        <w:trPr>
          <w:trHeight w:val="174"/>
        </w:trPr>
        <w:tc>
          <w:tcPr>
            <w:tcW w:w="21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28</w:t>
            </w:r>
          </w:p>
        </w:tc>
        <w:tc>
          <w:tcPr>
            <w:tcW w:w="19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bl>
    <w:p>
      <w:pPr>
        <w:sectPr>
          <w:pgSz w:w="11900" w:h="16838" w:orient="portrait"/>
          <w:cols w:equalWidth="0" w:num="1">
            <w:col w:w="11460"/>
          </w:cols>
          <w:pgMar w:left="220" w:top="125" w:right="2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10(m)12</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ALLETE 2008 Form 10-K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ALLETE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LONG-TERM INCENTIVE COMPENSATION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60"/>
        <w:spacing w:after="0" w:line="272" w:lineRule="auto"/>
        <w:rPr>
          <w:sz w:val="20"/>
          <w:szCs w:val="20"/>
          <w:color w:val="auto"/>
        </w:rPr>
      </w:pPr>
      <w:r>
        <w:rPr>
          <w:rFonts w:ascii="Arial" w:cs="Arial" w:eastAsia="Arial" w:hAnsi="Arial"/>
          <w:sz w:val="14"/>
          <w:szCs w:val="14"/>
          <w:color w:val="auto"/>
        </w:rPr>
        <w:t>In accordance with the terms of ALLETE’s Executive Long-Term Incentive Compensation Plan (the "Plan"),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Annex A hereto, and all documents incorporated herein by reference:</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Number of Restricted Stock Units: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Date of Grant: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Vesting Period: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This Grant is made in accordance with the Plan, which was approved by ALLETE’s shareholders at the 2005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Further terms and conditions of the Grant are set forth in Annex A hereto, which is an integral part of this Grant.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All terms, provisions and conditions set forth in the Plan and not set forth herein are incorporated by reference.</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ALLETE</w:t>
      </w:r>
    </w:p>
    <w:p>
      <w:pPr>
        <w:spacing w:after="0" w:line="19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Donald J. Shippar</w:t>
      </w:r>
    </w:p>
    <w:p>
      <w:pPr>
        <w:spacing w:after="0" w:line="19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Chairman, President and CEO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Attachment: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280275"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07" w:name="page208"/>
    <w:bookmarkEnd w:id="207"/>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ANNEX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ALLETE EXECUTIVE LONG-TERM INCENTIVE COMPENSATION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GRANT</w:t>
      </w:r>
    </w:p>
    <w:p>
      <w:pPr>
        <w:spacing w:after="0" w:line="196"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The grant of restricted stock units (each , a “RSU”) under the ALLETE Executive Long-Term Incentive Compensation Plan (the “Plan”), evidenced by the Grant to which this is annexed, is subject to the following additional terms and conditions:</w:t>
      </w:r>
    </w:p>
    <w:p>
      <w:pPr>
        <w:spacing w:after="0" w:line="152" w:lineRule="exact"/>
        <w:rPr>
          <w:sz w:val="20"/>
          <w:szCs w:val="20"/>
          <w:color w:val="auto"/>
        </w:rPr>
      </w:pPr>
    </w:p>
    <w:p>
      <w:pPr>
        <w:ind w:right="20" w:firstLine="6"/>
        <w:spacing w:after="0" w:line="267" w:lineRule="auto"/>
        <w:tabs>
          <w:tab w:leader="none" w:pos="180"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w:t>
      </w:r>
      <w:r>
        <w:rPr>
          <w:rFonts w:ascii="Arial" w:cs="Arial" w:eastAsia="Arial" w:hAnsi="Arial"/>
          <w:sz w:val="14"/>
          <w:szCs w:val="14"/>
          <w:color w:val="auto"/>
        </w:rPr>
        <w:t xml:space="preserve"> Subject to the provisions hereof, each RSU will be paid in the form of one share of ALLETE common stock (each, a “Share”), plus accrued dividend equivalents, which shares will be deposited into an account for the Participant in the ALLETE Invest Direct plan.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Participant’s income tax obligation.</w:t>
      </w:r>
    </w:p>
    <w:p>
      <w:pPr>
        <w:spacing w:after="0" w:line="167" w:lineRule="exact"/>
        <w:rPr>
          <w:rFonts w:ascii="Arial" w:cs="Arial" w:eastAsia="Arial" w:hAnsi="Arial"/>
          <w:sz w:val="14"/>
          <w:szCs w:val="14"/>
          <w:color w:val="auto"/>
        </w:rPr>
      </w:pPr>
    </w:p>
    <w:p>
      <w:pPr>
        <w:jc w:val="both"/>
        <w:ind w:right="60" w:firstLine="6"/>
        <w:spacing w:after="0" w:line="267" w:lineRule="auto"/>
        <w:tabs>
          <w:tab w:leader="none" w:pos="180"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Dividend Equivalents</w:t>
      </w:r>
      <w:r>
        <w:rPr>
          <w:rFonts w:ascii="Arial" w:cs="Arial" w:eastAsia="Arial" w:hAnsi="Arial"/>
          <w:sz w:val="14"/>
          <w:szCs w:val="14"/>
          <w:color w:val="auto"/>
        </w:rPr>
        <w:t>. The Participant will receive Dividend Equivalents in connection with the RSU’s granted. Dividend Equivalents will be calculated and credited to the Participant at the time the underlying RSU’s are paid. Dividend Equivalents shall be in the form of additional RSU’s, which shall be added to the number of RSU’s subject to the grant, and which shall equal the number of Shares (including fractional Shares) that could have been purchased on the dividend payment dates based on the closing price as reported in the consolidated transaction reporting system on that date with cash dividends that would have been paid on the RSU’s, if such RSU’s were Shares.</w:t>
      </w:r>
    </w:p>
    <w:p>
      <w:pPr>
        <w:spacing w:after="0" w:line="167" w:lineRule="exact"/>
        <w:rPr>
          <w:rFonts w:ascii="Arial" w:cs="Arial" w:eastAsia="Arial" w:hAnsi="Arial"/>
          <w:sz w:val="14"/>
          <w:szCs w:val="14"/>
          <w:color w:val="auto"/>
        </w:rPr>
      </w:pPr>
    </w:p>
    <w:p>
      <w:pPr>
        <w:ind w:left="180" w:hanging="174"/>
        <w:spacing w:after="0"/>
        <w:tabs>
          <w:tab w:leader="none" w:pos="180"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Payment Upon Retirement, Death or Disability; Forfeiture Upon Other Termination of Employment or Unsatisfactory Job Performance</w:t>
      </w:r>
      <w:r>
        <w:rPr>
          <w:rFonts w:ascii="Arial" w:cs="Arial" w:eastAsia="Arial" w:hAnsi="Arial"/>
          <w:sz w:val="14"/>
          <w:szCs w:val="14"/>
          <w:color w:val="auto"/>
        </w:rPr>
        <w:t>.</w:t>
      </w:r>
    </w:p>
    <w:p>
      <w:pPr>
        <w:spacing w:after="0" w:line="205" w:lineRule="exact"/>
        <w:rPr>
          <w:sz w:val="20"/>
          <w:szCs w:val="20"/>
          <w:color w:val="auto"/>
        </w:rPr>
      </w:pPr>
    </w:p>
    <w:p>
      <w:pPr>
        <w:ind w:left="520" w:right="20"/>
        <w:spacing w:after="0" w:line="264" w:lineRule="auto"/>
        <w:rPr>
          <w:sz w:val="20"/>
          <w:szCs w:val="20"/>
          <w:color w:val="auto"/>
        </w:rPr>
      </w:pPr>
      <w:r>
        <w:rPr>
          <w:rFonts w:ascii="Arial" w:cs="Arial" w:eastAsia="Arial" w:hAnsi="Arial"/>
          <w:sz w:val="14"/>
          <w:szCs w:val="14"/>
          <w:color w:val="auto"/>
        </w:rPr>
        <w:t>3.1 Subject to Section 3.4 below, if during the vesting period the Participant (i) Retires, (ii) dies while employed by ALLETE or any Related Company, or (iii) becomes Disabled, a portion of the unvested RSU’s subject to the Grant will vest and be paid to the Participant (or the Participant’s beneficiary or estate) during the period ending sixty days after such event; provided, however, the Participant will not be permitted, directly or indirectly, to designate the taxable year of the distribution. Payment pursuant to this Section 3.1 shall be prorated, after giving effect to the accumulation of Dividend Equivalents, based on the number of whole calendar months within the vesting period that had elapsed as of the date of Retirement, death or Disability in relation to the number of calendar months in the vesting period. For purposes of this calculation, the Participant will be credited with a whole month if the Participant was employed on the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of the month.</w:t>
      </w:r>
    </w:p>
    <w:p>
      <w:pPr>
        <w:spacing w:after="0" w:line="101" w:lineRule="exact"/>
        <w:rPr>
          <w:sz w:val="20"/>
          <w:szCs w:val="20"/>
          <w:color w:val="auto"/>
        </w:rPr>
      </w:pPr>
    </w:p>
    <w:p>
      <w:pPr>
        <w:ind w:left="520" w:right="100"/>
        <w:spacing w:after="0" w:line="288" w:lineRule="auto"/>
        <w:rPr>
          <w:sz w:val="20"/>
          <w:szCs w:val="20"/>
          <w:color w:val="auto"/>
        </w:rPr>
      </w:pPr>
      <w:r>
        <w:rPr>
          <w:rFonts w:ascii="Arial" w:cs="Arial" w:eastAsia="Arial" w:hAnsi="Arial"/>
          <w:sz w:val="14"/>
          <w:szCs w:val="14"/>
          <w:color w:val="auto"/>
        </w:rPr>
        <w:t>3.2 If during the vesting period or prior to payment of all RSU’s the Participant has a Separation from Service for any reason other than those specified in Section 3.1 above, all unvested or unpaid RSU’s subject to the Grant will be forfeited on the date of such Separation from Service.</w:t>
      </w:r>
    </w:p>
    <w:p>
      <w:pPr>
        <w:spacing w:after="0" w:line="152" w:lineRule="exact"/>
        <w:rPr>
          <w:sz w:val="20"/>
          <w:szCs w:val="20"/>
          <w:color w:val="auto"/>
        </w:rPr>
      </w:pPr>
    </w:p>
    <w:p>
      <w:pPr>
        <w:ind w:left="520" w:right="480"/>
        <w:spacing w:after="0" w:line="328" w:lineRule="auto"/>
        <w:rPr>
          <w:sz w:val="20"/>
          <w:szCs w:val="20"/>
          <w:color w:val="auto"/>
        </w:rPr>
      </w:pPr>
      <w:r>
        <w:rPr>
          <w:rFonts w:ascii="Arial" w:cs="Arial" w:eastAsia="Arial" w:hAnsi="Arial"/>
          <w:sz w:val="13"/>
          <w:szCs w:val="13"/>
          <w:color w:val="auto"/>
        </w:rPr>
        <w:t>3.3 If during the vesting period or prior to payment of all Shares the Participant is demoted, or if ALLETE determines, in its sole discretion, that the Participant’s job performance is unsatisfactory, ALLETE may cancel or amend the Participant’s grant relating to any unpaid RSU’s, resulting in the forfeiture of some portion or all of the Participant’s unpaid RSU’s.</w:t>
      </w:r>
    </w:p>
    <w:p>
      <w:pPr>
        <w:spacing w:after="0" w:line="130" w:lineRule="exact"/>
        <w:rPr>
          <w:sz w:val="20"/>
          <w:szCs w:val="20"/>
          <w:color w:val="auto"/>
        </w:rPr>
      </w:pPr>
    </w:p>
    <w:p>
      <w:pPr>
        <w:ind w:left="520" w:right="300"/>
        <w:spacing w:after="0" w:line="264" w:lineRule="auto"/>
        <w:rPr>
          <w:sz w:val="20"/>
          <w:szCs w:val="20"/>
          <w:color w:val="auto"/>
        </w:rPr>
      </w:pPr>
      <w:r>
        <w:rPr>
          <w:rFonts w:ascii="Arial" w:cs="Arial" w:eastAsia="Arial" w:hAnsi="Arial"/>
          <w:sz w:val="14"/>
          <w:szCs w:val="14"/>
          <w:color w:val="auto"/>
        </w:rPr>
        <w:t>3.4 Notwithstanding anything herein to the contrary, if the Participant becomes entitled to a payment of the RSU’s by reason of the Participant’s Retirement and if the Participant is a Specified Employee on the date of such Retirement, payment shall not be made until the earlier of: (i) the expiration of the six-month period beginning on the date of Participant’s Retirement, or (ii) the date of the Participant’s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71" w:lineRule="exact"/>
        <w:rPr>
          <w:sz w:val="20"/>
          <w:szCs w:val="20"/>
          <w:color w:val="auto"/>
        </w:rPr>
      </w:pPr>
    </w:p>
    <w:p>
      <w:pPr>
        <w:ind w:right="40" w:firstLine="6"/>
        <w:spacing w:after="0" w:line="293" w:lineRule="auto"/>
        <w:tabs>
          <w:tab w:leader="none" w:pos="18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Upon the occurrence of a Change in Control, unless the Committee provides otherwise prior to the Change in Control, outstanding unvested RSU’s shall immediately vest and be payable to the Participant during the period ending sixty days after the Change in Control; provided, however, the Participant will not be permitted, directly or indirectly, to designate the taxable year of the distribution. Any payment on account of a Change in Control will be prorated, after giving effect to the accumulation of Dividend Equivalents, based on the number of whole calendar months within the three-year vesting period that had elapsed as of the date of the Change in Control in relation to the number of calendar months in the three-year vesting period. For purposes of this calculation, the Participant will be credited with a whole month if the Participant was employed on the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of the month.</w:t>
      </w:r>
    </w:p>
    <w:p>
      <w:pPr>
        <w:spacing w:after="0" w:line="84" w:lineRule="exact"/>
        <w:rPr>
          <w:rFonts w:ascii="Arial" w:cs="Arial" w:eastAsia="Arial" w:hAnsi="Arial"/>
          <w:sz w:val="13"/>
          <w:szCs w:val="13"/>
          <w:color w:val="auto"/>
        </w:rPr>
      </w:pPr>
    </w:p>
    <w:p>
      <w:pPr>
        <w:ind w:right="520" w:firstLine="6"/>
        <w:spacing w:after="0" w:line="328" w:lineRule="auto"/>
        <w:tabs>
          <w:tab w:leader="none" w:pos="18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Ratification of Actions.</w:t>
      </w:r>
      <w:r>
        <w:rPr>
          <w:rFonts w:ascii="Arial" w:cs="Arial" w:eastAsia="Arial" w:hAnsi="Arial"/>
          <w:sz w:val="13"/>
          <w:szCs w:val="13"/>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30" w:lineRule="exact"/>
        <w:rPr>
          <w:rFonts w:ascii="Arial" w:cs="Arial" w:eastAsia="Arial" w:hAnsi="Arial"/>
          <w:sz w:val="13"/>
          <w:szCs w:val="13"/>
          <w:color w:val="auto"/>
        </w:rPr>
      </w:pPr>
    </w:p>
    <w:p>
      <w:pPr>
        <w:jc w:val="both"/>
        <w:ind w:firstLine="523"/>
        <w:spacing w:after="0" w:line="272" w:lineRule="auto"/>
        <w:tabs>
          <w:tab w:leader="none" w:pos="718" w:val="left"/>
        </w:tabs>
        <w:numPr>
          <w:ilvl w:val="1"/>
          <w:numId w:val="97"/>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63" w:lineRule="exact"/>
        <w:rPr>
          <w:rFonts w:ascii="Arial" w:cs="Arial" w:eastAsia="Arial" w:hAnsi="Arial"/>
          <w:sz w:val="14"/>
          <w:szCs w:val="14"/>
          <w:color w:val="auto"/>
        </w:rPr>
      </w:pPr>
    </w:p>
    <w:p>
      <w:pPr>
        <w:jc w:val="both"/>
        <w:ind w:firstLine="523"/>
        <w:spacing w:after="0" w:line="272" w:lineRule="auto"/>
        <w:tabs>
          <w:tab w:leader="none" w:pos="708" w:val="left"/>
        </w:tabs>
        <w:numPr>
          <w:ilvl w:val="1"/>
          <w:numId w:val="97"/>
        </w:numPr>
        <w:rPr>
          <w:rFonts w:ascii="Arial" w:cs="Arial" w:eastAsia="Arial" w:hAnsi="Arial"/>
          <w:sz w:val="14"/>
          <w:szCs w:val="14"/>
          <w:color w:val="auto"/>
        </w:rPr>
      </w:pPr>
      <w:r>
        <w:rPr>
          <w:rFonts w:ascii="Arial" w:cs="Arial" w:eastAsia="Arial" w:hAnsi="Arial"/>
          <w:sz w:val="14"/>
          <w:szCs w:val="14"/>
          <w:u w:val="single" w:color="auto"/>
          <w:color w:val="auto"/>
        </w:rPr>
        <w:t>Governing Law and Severability.</w:t>
      </w:r>
      <w:r>
        <w:rPr>
          <w:rFonts w:ascii="Arial" w:cs="Arial" w:eastAsia="Arial" w:hAnsi="Arial"/>
          <w:sz w:val="14"/>
          <w:szCs w:val="14"/>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64" w:lineRule="exact"/>
        <w:rPr>
          <w:sz w:val="20"/>
          <w:szCs w:val="20"/>
          <w:color w:val="auto"/>
        </w:rPr>
      </w:pPr>
    </w:p>
    <w:p>
      <w:pPr>
        <w:ind w:left="180" w:hanging="174"/>
        <w:spacing w:after="0"/>
        <w:tabs>
          <w:tab w:leader="none" w:pos="180"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xml:space="preserve"> Capitalized terms not otherwise defined herein shall have the meanings given them in the Plan. The following definitions apply to the Grant and this Annex A:</w:t>
      </w:r>
    </w:p>
    <w:p>
      <w:pPr>
        <w:spacing w:after="0" w:line="205"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8.1   “Change in Control” means the earliest of:</w:t>
      </w:r>
    </w:p>
    <w:p>
      <w:pPr>
        <w:spacing w:after="0" w:line="205" w:lineRule="exact"/>
        <w:rPr>
          <w:rFonts w:ascii="Arial" w:cs="Arial" w:eastAsia="Arial" w:hAnsi="Arial"/>
          <w:sz w:val="14"/>
          <w:szCs w:val="14"/>
          <w:color w:val="auto"/>
        </w:rPr>
      </w:pPr>
    </w:p>
    <w:p>
      <w:pPr>
        <w:jc w:val="both"/>
        <w:ind w:left="1040" w:hanging="207"/>
        <w:spacing w:after="0" w:line="263" w:lineRule="auto"/>
        <w:tabs>
          <w:tab w:leader="none" w:pos="104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170" w:lineRule="exact"/>
        <w:rPr>
          <w:rFonts w:ascii="Arial" w:cs="Arial" w:eastAsia="Arial" w:hAnsi="Arial"/>
          <w:sz w:val="14"/>
          <w:szCs w:val="14"/>
          <w:color w:val="auto"/>
        </w:rPr>
      </w:pPr>
    </w:p>
    <w:p>
      <w:pPr>
        <w:jc w:val="both"/>
        <w:ind w:left="1040" w:hanging="246"/>
        <w:spacing w:after="0" w:line="272" w:lineRule="auto"/>
        <w:tabs>
          <w:tab w:leader="none" w:pos="104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63" w:lineRule="exact"/>
        <w:rPr>
          <w:rFonts w:ascii="Arial" w:cs="Arial" w:eastAsia="Arial" w:hAnsi="Arial"/>
          <w:sz w:val="14"/>
          <w:szCs w:val="14"/>
          <w:color w:val="auto"/>
        </w:rPr>
      </w:pPr>
    </w:p>
    <w:p>
      <w:pPr>
        <w:ind w:left="1040" w:hanging="286"/>
        <w:spacing w:after="0" w:line="288" w:lineRule="auto"/>
        <w:tabs>
          <w:tab w:leader="none" w:pos="104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52" w:lineRule="exact"/>
        <w:rPr>
          <w:rFonts w:ascii="Arial" w:cs="Arial" w:eastAsia="Arial" w:hAnsi="Arial"/>
          <w:sz w:val="14"/>
          <w:szCs w:val="14"/>
          <w:color w:val="auto"/>
        </w:rPr>
      </w:pPr>
    </w:p>
    <w:p>
      <w:pPr>
        <w:jc w:val="both"/>
        <w:ind w:left="1040" w:hanging="278"/>
        <w:spacing w:after="0" w:line="294" w:lineRule="auto"/>
        <w:tabs>
          <w:tab w:leader="none" w:pos="1040" w:val="left"/>
        </w:tabs>
        <w:numPr>
          <w:ilvl w:val="1"/>
          <w:numId w:val="98"/>
        </w:numPr>
        <w:rPr>
          <w:rFonts w:ascii="Arial" w:cs="Arial" w:eastAsia="Arial" w:hAnsi="Arial"/>
          <w:sz w:val="13"/>
          <w:szCs w:val="13"/>
          <w:color w:val="auto"/>
        </w:rPr>
      </w:pPr>
      <w:r>
        <w:rPr>
          <w:rFonts w:ascii="Arial" w:cs="Arial" w:eastAsia="Arial" w:hAnsi="Arial"/>
          <w:sz w:val="13"/>
          <w:szCs w:val="13"/>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51"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67"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color w:val="auto"/>
        </w:rPr>
        <w:t>“Code” means the Internal Revenue Code of 1986, as it may be amended from time to time.</w:t>
      </w:r>
    </w:p>
    <w:p>
      <w:pPr>
        <w:spacing w:after="0" w:line="205"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3"/>
          <w:szCs w:val="13"/>
          <w:color w:val="auto"/>
        </w:rPr>
        <w:t>“Disability” or “Disabled” means a physical or mental condition in which the Participant is:</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(i) unable to engage in any substantial gainful activity by reason of any medically determinable physical or mental impairment that can be expected to result in death or can be expected</w:t>
      </w:r>
    </w:p>
    <w:p>
      <w:pPr>
        <w:sectPr>
          <w:pgSz w:w="11900" w:h="16849" w:orient="portrait"/>
          <w:cols w:equalWidth="0" w:num="1">
            <w:col w:w="11460"/>
          </w:cols>
          <w:pgMar w:left="220" w:top="825" w:right="219" w:bottom="0" w:gutter="0" w:footer="0" w:header="0"/>
        </w:sectPr>
      </w:pPr>
    </w:p>
    <w:bookmarkStart w:id="208" w:name="page209"/>
    <w:bookmarkEnd w:id="208"/>
    <w:p>
      <w:pPr>
        <w:ind w:left="1040"/>
        <w:spacing w:after="0"/>
        <w:rPr>
          <w:sz w:val="20"/>
          <w:szCs w:val="20"/>
          <w:color w:val="auto"/>
        </w:rPr>
      </w:pPr>
      <w:r>
        <w:rPr>
          <w:rFonts w:ascii="Arial" w:cs="Arial" w:eastAsia="Arial" w:hAnsi="Arial"/>
          <w:sz w:val="14"/>
          <w:szCs w:val="14"/>
          <w:color w:val="auto"/>
        </w:rPr>
        <w:t>to last for a continuous period of not less than twelve (12) months;</w:t>
      </w:r>
    </w:p>
    <w:p>
      <w:pPr>
        <w:spacing w:after="0" w:line="205" w:lineRule="exact"/>
        <w:rPr>
          <w:sz w:val="20"/>
          <w:szCs w:val="20"/>
          <w:color w:val="auto"/>
        </w:rPr>
      </w:pPr>
    </w:p>
    <w:p>
      <w:pPr>
        <w:ind w:left="1040" w:hanging="246"/>
        <w:spacing w:after="0" w:line="288" w:lineRule="auto"/>
        <w:tabs>
          <w:tab w:leader="none" w:pos="10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52" w:lineRule="exact"/>
        <w:rPr>
          <w:rFonts w:ascii="Arial" w:cs="Arial" w:eastAsia="Arial" w:hAnsi="Arial"/>
          <w:sz w:val="14"/>
          <w:szCs w:val="14"/>
          <w:color w:val="auto"/>
        </w:rPr>
      </w:pPr>
    </w:p>
    <w:p>
      <w:pPr>
        <w:ind w:left="1040" w:hanging="286"/>
        <w:spacing w:after="0"/>
        <w:tabs>
          <w:tab w:leader="none" w:pos="10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determined to be totally disabled by the Social Security Administration; or</w:t>
      </w:r>
    </w:p>
    <w:p>
      <w:pPr>
        <w:spacing w:after="0" w:line="205" w:lineRule="exact"/>
        <w:rPr>
          <w:rFonts w:ascii="Arial" w:cs="Arial" w:eastAsia="Arial" w:hAnsi="Arial"/>
          <w:sz w:val="14"/>
          <w:szCs w:val="14"/>
          <w:color w:val="auto"/>
        </w:rPr>
      </w:pPr>
    </w:p>
    <w:p>
      <w:pPr>
        <w:ind w:left="1040" w:hanging="278"/>
        <w:spacing w:after="0" w:line="288" w:lineRule="auto"/>
        <w:tabs>
          <w:tab w:leader="none" w:pos="10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8.4 “Related Company”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0" w:lineRule="exact"/>
        <w:rPr>
          <w:sz w:val="20"/>
          <w:szCs w:val="20"/>
          <w:color w:val="auto"/>
        </w:rPr>
      </w:pPr>
    </w:p>
    <w:p>
      <w:pPr>
        <w:jc w:val="both"/>
        <w:ind w:right="240" w:firstLine="517"/>
        <w:spacing w:after="0" w:line="328" w:lineRule="auto"/>
        <w:rPr>
          <w:sz w:val="20"/>
          <w:szCs w:val="20"/>
          <w:color w:val="auto"/>
        </w:rPr>
      </w:pPr>
      <w:r>
        <w:rPr>
          <w:rFonts w:ascii="Arial" w:cs="Arial" w:eastAsia="Arial" w:hAnsi="Arial"/>
          <w:sz w:val="13"/>
          <w:szCs w:val="13"/>
          <w:color w:val="auto"/>
        </w:rPr>
        <w:t>8.5 “Retirement” means Separation from Service, for reasons other than death or Disability, on or after attaining Normal Retirement Age or Early Retirement Age as defined in the Minnesota Power and Affiliated Companies Retirement Plan A, without regard to whether the Participant is a participant under the Minnesota Power and Affiliated Companies Retirement Plan A.</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8.6 “Separation from Service”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3" w:lineRule="exact"/>
        <w:rPr>
          <w:sz w:val="20"/>
          <w:szCs w:val="20"/>
          <w:color w:val="auto"/>
        </w:rPr>
      </w:pPr>
    </w:p>
    <w:p>
      <w:pPr>
        <w:ind w:right="160" w:firstLine="517"/>
        <w:spacing w:after="0" w:line="272" w:lineRule="auto"/>
        <w:rPr>
          <w:sz w:val="20"/>
          <w:szCs w:val="20"/>
          <w:color w:val="auto"/>
        </w:rPr>
      </w:pPr>
      <w:r>
        <w:rPr>
          <w:rFonts w:ascii="Arial" w:cs="Arial" w:eastAsia="Arial" w:hAnsi="Arial"/>
          <w:sz w:val="14"/>
          <w:szCs w:val="14"/>
          <w:color w:val="auto"/>
        </w:rPr>
        <w:t>8.7 “Specified Employee” means a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436245</wp:posOffset>
            </wp:positionV>
            <wp:extent cx="7280275"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09" w:name="page210"/>
    <w:bookmarkEnd w:id="2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0" w:name="page211"/>
    <w:bookmarkEnd w:id="210"/>
    <w:p>
      <w:pPr>
        <w:jc w:val="right"/>
        <w:spacing w:after="0"/>
        <w:rPr>
          <w:sz w:val="20"/>
          <w:szCs w:val="20"/>
          <w:color w:val="auto"/>
        </w:rPr>
      </w:pPr>
      <w:r>
        <w:rPr>
          <w:rFonts w:ascii="Arial" w:cs="Arial" w:eastAsia="Arial" w:hAnsi="Arial"/>
          <w:sz w:val="17"/>
          <w:szCs w:val="17"/>
          <w:b w:val="1"/>
          <w:bCs w:val="1"/>
          <w:color w:val="auto"/>
        </w:rPr>
        <w:t>Exhibit 10(o)5</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ALLETE</w:t>
      </w:r>
    </w:p>
    <w:p>
      <w:pPr>
        <w:spacing w:after="0" w:line="2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NON-EMPLOYEE DIRECTOR COMPENSATION DEFERRAL PLAN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80"/>
        <w:spacing w:after="0"/>
        <w:rPr>
          <w:sz w:val="20"/>
          <w:szCs w:val="20"/>
          <w:color w:val="auto"/>
        </w:rPr>
      </w:pPr>
      <w:r>
        <w:rPr>
          <w:rFonts w:ascii="Arial" w:cs="Arial" w:eastAsia="Arial" w:hAnsi="Arial"/>
          <w:sz w:val="14"/>
          <w:szCs w:val="14"/>
          <w:color w:val="auto"/>
        </w:rPr>
        <w:t>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928370</wp:posOffset>
            </wp:positionV>
            <wp:extent cx="7280275"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TABLE OF CONTENTS</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86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372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ARTICLE 1</w:t>
            </w:r>
          </w:p>
        </w:tc>
        <w:tc>
          <w:tcPr>
            <w:tcW w:w="7360" w:type="dxa"/>
            <w:vAlign w:val="bottom"/>
            <w:gridSpan w:val="4"/>
            <w:shd w:val="clear" w:color="auto" w:fill="CCEEFF"/>
          </w:tcPr>
          <w:p>
            <w:pPr>
              <w:ind w:left="540"/>
              <w:spacing w:after="0"/>
              <w:rPr>
                <w:sz w:val="20"/>
                <w:szCs w:val="20"/>
                <w:color w:val="auto"/>
              </w:rPr>
            </w:pPr>
            <w:r>
              <w:rPr>
                <w:rFonts w:ascii="Arial" w:cs="Arial" w:eastAsia="Arial" w:hAnsi="Arial"/>
                <w:sz w:val="14"/>
                <w:szCs w:val="14"/>
                <w:color w:val="auto"/>
              </w:rPr>
              <w:t>Establishment and Purpose</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ARTICLE 2</w:t>
            </w: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9"/>
              </w:rPr>
              <w:t>Administration</w:t>
            </w:r>
          </w:p>
        </w:tc>
        <w:tc>
          <w:tcPr>
            <w:tcW w:w="2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2.1</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Administrator</w:t>
            </w:r>
          </w:p>
        </w:tc>
        <w:tc>
          <w:tcPr>
            <w:tcW w:w="28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2.2</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Duties</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2.3</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Agents</w:t>
            </w:r>
          </w:p>
        </w:tc>
        <w:tc>
          <w:tcPr>
            <w:tcW w:w="28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2.4</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Binding Effect of Decisions</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2.5</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Company Information</w:t>
            </w:r>
          </w:p>
        </w:tc>
        <w:tc>
          <w:tcPr>
            <w:tcW w:w="28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ARTICLE 3</w:t>
            </w:r>
          </w:p>
        </w:tc>
        <w:tc>
          <w:tcPr>
            <w:tcW w:w="1440" w:type="dxa"/>
            <w:vAlign w:val="bottom"/>
          </w:tcPr>
          <w:p>
            <w:pPr>
              <w:ind w:left="540"/>
              <w:spacing w:after="0"/>
              <w:rPr>
                <w:sz w:val="20"/>
                <w:szCs w:val="20"/>
                <w:color w:val="auto"/>
              </w:rPr>
            </w:pPr>
            <w:r>
              <w:rPr>
                <w:rFonts w:ascii="Arial" w:cs="Arial" w:eastAsia="Arial" w:hAnsi="Arial"/>
                <w:sz w:val="14"/>
                <w:szCs w:val="14"/>
                <w:color w:val="auto"/>
              </w:rPr>
              <w:t>Participation</w:t>
            </w:r>
          </w:p>
        </w:tc>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ARTICLE 4</w:t>
            </w:r>
          </w:p>
        </w:tc>
        <w:tc>
          <w:tcPr>
            <w:tcW w:w="1440" w:type="dxa"/>
            <w:vAlign w:val="bottom"/>
          </w:tcPr>
          <w:p>
            <w:pPr>
              <w:ind w:left="540"/>
              <w:spacing w:after="0"/>
              <w:rPr>
                <w:sz w:val="20"/>
                <w:szCs w:val="20"/>
                <w:color w:val="auto"/>
              </w:rPr>
            </w:pPr>
            <w:r>
              <w:rPr>
                <w:rFonts w:ascii="Arial" w:cs="Arial" w:eastAsia="Arial" w:hAnsi="Arial"/>
                <w:sz w:val="14"/>
                <w:szCs w:val="14"/>
                <w:color w:val="auto"/>
              </w:rPr>
              <w:t>Deferrals</w:t>
            </w:r>
          </w:p>
        </w:tc>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4.1</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Annual Deferral Election</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4.2</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Cancellations of Deferral Elections due to Unforeseeable Emergency</w:t>
            </w:r>
          </w:p>
        </w:tc>
        <w:tc>
          <w:tcPr>
            <w:tcW w:w="28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ARTICLE 5</w:t>
            </w:r>
          </w:p>
        </w:tc>
        <w:tc>
          <w:tcPr>
            <w:tcW w:w="7360" w:type="dxa"/>
            <w:vAlign w:val="bottom"/>
            <w:gridSpan w:val="4"/>
          </w:tcPr>
          <w:p>
            <w:pPr>
              <w:ind w:left="540"/>
              <w:spacing w:after="0"/>
              <w:rPr>
                <w:sz w:val="20"/>
                <w:szCs w:val="20"/>
                <w:color w:val="auto"/>
              </w:rPr>
            </w:pPr>
            <w:r>
              <w:rPr>
                <w:rFonts w:ascii="Arial" w:cs="Arial" w:eastAsia="Arial" w:hAnsi="Arial"/>
                <w:sz w:val="14"/>
                <w:szCs w:val="14"/>
                <w:color w:val="auto"/>
              </w:rPr>
              <w:t>Accounts and Investments</w:t>
            </w:r>
          </w:p>
        </w:tc>
        <w:tc>
          <w:tcPr>
            <w:tcW w:w="28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5.1</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Establishment of Accounts</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5.2</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Timing of Credits to Accounts</w:t>
            </w:r>
          </w:p>
        </w:tc>
        <w:tc>
          <w:tcPr>
            <w:tcW w:w="28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5.3</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Vesting</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5.4</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Investments</w:t>
            </w:r>
          </w:p>
        </w:tc>
        <w:tc>
          <w:tcPr>
            <w:tcW w:w="28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5.5</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Valuation Date</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ARTICLE 6</w:t>
            </w: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Distributions</w:t>
            </w:r>
          </w:p>
        </w:tc>
        <w:tc>
          <w:tcPr>
            <w:tcW w:w="2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6.1</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Distributions</w:t>
            </w:r>
          </w:p>
        </w:tc>
        <w:tc>
          <w:tcPr>
            <w:tcW w:w="28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6.2</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Additional Distribution Rules</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6.3</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Subsequent Changes in Time and Form of Payment</w:t>
            </w:r>
          </w:p>
        </w:tc>
        <w:tc>
          <w:tcPr>
            <w:tcW w:w="286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ARTICLE 7</w:t>
            </w:r>
          </w:p>
        </w:tc>
        <w:tc>
          <w:tcPr>
            <w:tcW w:w="7360" w:type="dxa"/>
            <w:vAlign w:val="bottom"/>
            <w:gridSpan w:val="4"/>
          </w:tcPr>
          <w:p>
            <w:pPr>
              <w:ind w:left="540"/>
              <w:spacing w:after="0"/>
              <w:rPr>
                <w:sz w:val="20"/>
                <w:szCs w:val="20"/>
                <w:color w:val="auto"/>
              </w:rPr>
            </w:pPr>
            <w:r>
              <w:rPr>
                <w:rFonts w:ascii="Arial" w:cs="Arial" w:eastAsia="Arial" w:hAnsi="Arial"/>
                <w:sz w:val="14"/>
                <w:szCs w:val="14"/>
                <w:color w:val="auto"/>
              </w:rPr>
              <w:t>Payment Acceleration and Delay</w:t>
            </w:r>
          </w:p>
        </w:tc>
        <w:tc>
          <w:tcPr>
            <w:tcW w:w="286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7.1</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Permitted Accelerations of Payment</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7.2</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Permissible Distribution Delays</w:t>
            </w:r>
          </w:p>
        </w:tc>
        <w:tc>
          <w:tcPr>
            <w:tcW w:w="286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7.3</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Suspension Not Allowed</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372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ARTICLE 8</w:t>
            </w:r>
          </w:p>
        </w:tc>
        <w:tc>
          <w:tcPr>
            <w:tcW w:w="7360" w:type="dxa"/>
            <w:vAlign w:val="bottom"/>
            <w:gridSpan w:val="4"/>
            <w:shd w:val="clear" w:color="auto" w:fill="CCEEFF"/>
          </w:tcPr>
          <w:p>
            <w:pPr>
              <w:ind w:left="540"/>
              <w:spacing w:after="0"/>
              <w:rPr>
                <w:sz w:val="20"/>
                <w:szCs w:val="20"/>
                <w:color w:val="auto"/>
              </w:rPr>
            </w:pPr>
            <w:r>
              <w:rPr>
                <w:rFonts w:ascii="Arial" w:cs="Arial" w:eastAsia="Arial" w:hAnsi="Arial"/>
                <w:sz w:val="14"/>
                <w:szCs w:val="14"/>
                <w:color w:val="auto"/>
              </w:rPr>
              <w:t>Beneficiary Designation</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8.1</w:t>
            </w:r>
          </w:p>
        </w:tc>
        <w:tc>
          <w:tcPr>
            <w:tcW w:w="5920" w:type="dxa"/>
            <w:vAlign w:val="bottom"/>
            <w:gridSpan w:val="3"/>
          </w:tcPr>
          <w:p>
            <w:pPr>
              <w:ind w:left="40"/>
              <w:spacing w:after="0"/>
              <w:rPr>
                <w:sz w:val="20"/>
                <w:szCs w:val="20"/>
                <w:color w:val="auto"/>
              </w:rPr>
            </w:pPr>
            <w:r>
              <w:rPr>
                <w:rFonts w:ascii="Arial" w:cs="Arial" w:eastAsia="Arial" w:hAnsi="Arial"/>
                <w:sz w:val="14"/>
                <w:szCs w:val="14"/>
                <w:color w:val="auto"/>
              </w:rPr>
              <w:t>Beneficiary</w:t>
            </w:r>
          </w:p>
        </w:tc>
        <w:tc>
          <w:tcPr>
            <w:tcW w:w="28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8.2</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 Beneficiary Designation</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01" w:right="21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760" w:type="dxa"/>
            <w:vAlign w:val="bottom"/>
            <w:gridSpan w:val="2"/>
          </w:tcPr>
          <w:p>
            <w:pPr>
              <w:ind w:left="27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ARTICLE 9</w:t>
            </w:r>
          </w:p>
        </w:tc>
        <w:tc>
          <w:tcPr>
            <w:tcW w:w="6300" w:type="dxa"/>
            <w:vAlign w:val="bottom"/>
            <w:gridSpan w:val="2"/>
          </w:tcPr>
          <w:p>
            <w:pPr>
              <w:ind w:left="620"/>
              <w:spacing w:after="0"/>
              <w:rPr>
                <w:sz w:val="20"/>
                <w:szCs w:val="20"/>
                <w:color w:val="auto"/>
              </w:rPr>
            </w:pPr>
            <w:r>
              <w:rPr>
                <w:rFonts w:ascii="Arial" w:cs="Arial" w:eastAsia="Arial" w:hAnsi="Arial"/>
                <w:sz w:val="14"/>
                <w:szCs w:val="14"/>
                <w:color w:val="auto"/>
              </w:rPr>
              <w:t>Claims Procedures</w:t>
            </w:r>
          </w:p>
        </w:tc>
        <w:tc>
          <w:tcPr>
            <w:tcW w:w="374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300" w:type="dxa"/>
            <w:vAlign w:val="bottom"/>
            <w:gridSpan w:val="2"/>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ARTICLE 10</w:t>
            </w:r>
          </w:p>
        </w:tc>
        <w:tc>
          <w:tcPr>
            <w:tcW w:w="6300" w:type="dxa"/>
            <w:vAlign w:val="bottom"/>
            <w:gridSpan w:val="2"/>
          </w:tcPr>
          <w:p>
            <w:pPr>
              <w:ind w:left="620"/>
              <w:spacing w:after="0"/>
              <w:rPr>
                <w:sz w:val="20"/>
                <w:szCs w:val="20"/>
                <w:color w:val="auto"/>
              </w:rPr>
            </w:pPr>
            <w:r>
              <w:rPr>
                <w:rFonts w:ascii="Arial" w:cs="Arial" w:eastAsia="Arial" w:hAnsi="Arial"/>
                <w:sz w:val="14"/>
                <w:szCs w:val="14"/>
                <w:color w:val="auto"/>
              </w:rPr>
              <w:t>Amendment or Termination</w:t>
            </w:r>
          </w:p>
        </w:tc>
        <w:tc>
          <w:tcPr>
            <w:tcW w:w="374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300" w:type="dxa"/>
            <w:vAlign w:val="bottom"/>
            <w:gridSpan w:val="2"/>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ARTICLE 11</w:t>
            </w:r>
          </w:p>
        </w:tc>
        <w:tc>
          <w:tcPr>
            <w:tcW w:w="6300" w:type="dxa"/>
            <w:vAlign w:val="bottom"/>
            <w:gridSpan w:val="2"/>
          </w:tcPr>
          <w:p>
            <w:pPr>
              <w:ind w:left="620"/>
              <w:spacing w:after="0"/>
              <w:rPr>
                <w:sz w:val="20"/>
                <w:szCs w:val="20"/>
                <w:color w:val="auto"/>
              </w:rPr>
            </w:pPr>
            <w:r>
              <w:rPr>
                <w:rFonts w:ascii="Arial" w:cs="Arial" w:eastAsia="Arial" w:hAnsi="Arial"/>
                <w:sz w:val="14"/>
                <w:szCs w:val="14"/>
                <w:color w:val="auto"/>
              </w:rPr>
              <w:t>Miscellaneous Provisions</w:t>
            </w:r>
          </w:p>
        </w:tc>
        <w:tc>
          <w:tcPr>
            <w:tcW w:w="374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11.1</w:t>
            </w:r>
          </w:p>
        </w:tc>
        <w:tc>
          <w:tcPr>
            <w:tcW w:w="4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Unsecured General Creditor</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Arial" w:cs="Arial" w:eastAsia="Arial" w:hAnsi="Arial"/>
                <w:sz w:val="14"/>
                <w:szCs w:val="14"/>
                <w:color w:val="auto"/>
              </w:rPr>
              <w:t>11.2</w:t>
            </w:r>
          </w:p>
        </w:tc>
        <w:tc>
          <w:tcPr>
            <w:tcW w:w="4940" w:type="dxa"/>
            <w:vAlign w:val="bottom"/>
          </w:tcPr>
          <w:p>
            <w:pPr>
              <w:ind w:left="80"/>
              <w:spacing w:after="0"/>
              <w:rPr>
                <w:sz w:val="20"/>
                <w:szCs w:val="20"/>
                <w:color w:val="auto"/>
              </w:rPr>
            </w:pPr>
            <w:r>
              <w:rPr>
                <w:rFonts w:ascii="Arial" w:cs="Arial" w:eastAsia="Arial" w:hAnsi="Arial"/>
                <w:sz w:val="14"/>
                <w:szCs w:val="14"/>
                <w:color w:val="auto"/>
              </w:rPr>
              <w:t>Trust Fund</w:t>
            </w:r>
          </w:p>
        </w:tc>
        <w:tc>
          <w:tcPr>
            <w:tcW w:w="374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11.3</w:t>
            </w:r>
          </w:p>
        </w:tc>
        <w:tc>
          <w:tcPr>
            <w:tcW w:w="4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Section 409A Compliance</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Arial" w:cs="Arial" w:eastAsia="Arial" w:hAnsi="Arial"/>
                <w:sz w:val="14"/>
                <w:szCs w:val="14"/>
                <w:color w:val="auto"/>
              </w:rPr>
              <w:t>11.4</w:t>
            </w:r>
          </w:p>
        </w:tc>
        <w:tc>
          <w:tcPr>
            <w:tcW w:w="4940" w:type="dxa"/>
            <w:vAlign w:val="bottom"/>
          </w:tcPr>
          <w:p>
            <w:pPr>
              <w:ind w:left="80"/>
              <w:spacing w:after="0"/>
              <w:rPr>
                <w:sz w:val="20"/>
                <w:szCs w:val="20"/>
                <w:color w:val="auto"/>
              </w:rPr>
            </w:pPr>
            <w:r>
              <w:rPr>
                <w:rFonts w:ascii="Arial" w:cs="Arial" w:eastAsia="Arial" w:hAnsi="Arial"/>
                <w:sz w:val="14"/>
                <w:szCs w:val="14"/>
                <w:color w:val="auto"/>
              </w:rPr>
              <w:t>Company’s Liability</w:t>
            </w:r>
          </w:p>
        </w:tc>
        <w:tc>
          <w:tcPr>
            <w:tcW w:w="374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11.5</w:t>
            </w:r>
          </w:p>
        </w:tc>
        <w:tc>
          <w:tcPr>
            <w:tcW w:w="4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Nonassignability</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Arial" w:cs="Arial" w:eastAsia="Arial" w:hAnsi="Arial"/>
                <w:sz w:val="14"/>
                <w:szCs w:val="14"/>
                <w:color w:val="auto"/>
              </w:rPr>
              <w:t>11.6</w:t>
            </w:r>
          </w:p>
        </w:tc>
        <w:tc>
          <w:tcPr>
            <w:tcW w:w="4940" w:type="dxa"/>
            <w:vAlign w:val="bottom"/>
          </w:tcPr>
          <w:p>
            <w:pPr>
              <w:ind w:left="80"/>
              <w:spacing w:after="0"/>
              <w:rPr>
                <w:sz w:val="20"/>
                <w:szCs w:val="20"/>
                <w:color w:val="auto"/>
              </w:rPr>
            </w:pPr>
            <w:r>
              <w:rPr>
                <w:rFonts w:ascii="Arial" w:cs="Arial" w:eastAsia="Arial" w:hAnsi="Arial"/>
                <w:sz w:val="14"/>
                <w:szCs w:val="14"/>
                <w:color w:val="auto"/>
              </w:rPr>
              <w:t>No Right to Board Position</w:t>
            </w:r>
          </w:p>
        </w:tc>
        <w:tc>
          <w:tcPr>
            <w:tcW w:w="37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11.7</w:t>
            </w:r>
          </w:p>
        </w:tc>
        <w:tc>
          <w:tcPr>
            <w:tcW w:w="4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Incompetency</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Arial" w:cs="Arial" w:eastAsia="Arial" w:hAnsi="Arial"/>
                <w:sz w:val="14"/>
                <w:szCs w:val="14"/>
                <w:color w:val="auto"/>
              </w:rPr>
              <w:t>11.8</w:t>
            </w:r>
          </w:p>
        </w:tc>
        <w:tc>
          <w:tcPr>
            <w:tcW w:w="4940" w:type="dxa"/>
            <w:vAlign w:val="bottom"/>
          </w:tcPr>
          <w:p>
            <w:pPr>
              <w:ind w:left="80"/>
              <w:spacing w:after="0"/>
              <w:rPr>
                <w:sz w:val="20"/>
                <w:szCs w:val="20"/>
                <w:color w:val="auto"/>
              </w:rPr>
            </w:pPr>
            <w:r>
              <w:rPr>
                <w:rFonts w:ascii="Arial" w:cs="Arial" w:eastAsia="Arial" w:hAnsi="Arial"/>
                <w:sz w:val="14"/>
                <w:szCs w:val="14"/>
                <w:color w:val="auto"/>
              </w:rPr>
              <w:t>Furnishing Information</w:t>
            </w:r>
          </w:p>
        </w:tc>
        <w:tc>
          <w:tcPr>
            <w:tcW w:w="37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11.9</w:t>
            </w:r>
          </w:p>
        </w:tc>
        <w:tc>
          <w:tcPr>
            <w:tcW w:w="4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Notice</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Arial" w:cs="Arial" w:eastAsia="Arial" w:hAnsi="Arial"/>
                <w:sz w:val="14"/>
                <w:szCs w:val="14"/>
                <w:color w:val="auto"/>
              </w:rPr>
              <w:t>11.10</w:t>
            </w:r>
          </w:p>
        </w:tc>
        <w:tc>
          <w:tcPr>
            <w:tcW w:w="4940" w:type="dxa"/>
            <w:vAlign w:val="bottom"/>
          </w:tcPr>
          <w:p>
            <w:pPr>
              <w:ind w:left="80"/>
              <w:spacing w:after="0"/>
              <w:rPr>
                <w:sz w:val="20"/>
                <w:szCs w:val="20"/>
                <w:color w:val="auto"/>
              </w:rPr>
            </w:pPr>
            <w:r>
              <w:rPr>
                <w:rFonts w:ascii="Arial" w:cs="Arial" w:eastAsia="Arial" w:hAnsi="Arial"/>
                <w:sz w:val="14"/>
                <w:szCs w:val="14"/>
                <w:color w:val="auto"/>
              </w:rPr>
              <w:t>Gender and Number</w:t>
            </w:r>
          </w:p>
        </w:tc>
        <w:tc>
          <w:tcPr>
            <w:tcW w:w="37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11.11</w:t>
            </w:r>
          </w:p>
        </w:tc>
        <w:tc>
          <w:tcPr>
            <w:tcW w:w="4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Headings</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Arial" w:cs="Arial" w:eastAsia="Arial" w:hAnsi="Arial"/>
                <w:sz w:val="14"/>
                <w:szCs w:val="14"/>
                <w:color w:val="auto"/>
              </w:rPr>
              <w:t>11.12</w:t>
            </w:r>
          </w:p>
        </w:tc>
        <w:tc>
          <w:tcPr>
            <w:tcW w:w="4940" w:type="dxa"/>
            <w:vAlign w:val="bottom"/>
          </w:tcPr>
          <w:p>
            <w:pPr>
              <w:ind w:left="80"/>
              <w:spacing w:after="0"/>
              <w:rPr>
                <w:sz w:val="20"/>
                <w:szCs w:val="20"/>
                <w:color w:val="auto"/>
              </w:rPr>
            </w:pPr>
            <w:r>
              <w:rPr>
                <w:rFonts w:ascii="Arial" w:cs="Arial" w:eastAsia="Arial" w:hAnsi="Arial"/>
                <w:sz w:val="14"/>
                <w:szCs w:val="14"/>
                <w:color w:val="auto"/>
              </w:rPr>
              <w:t>Applicable Law and Construction</w:t>
            </w:r>
          </w:p>
        </w:tc>
        <w:tc>
          <w:tcPr>
            <w:tcW w:w="37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11.13</w:t>
            </w:r>
          </w:p>
        </w:tc>
        <w:tc>
          <w:tcPr>
            <w:tcW w:w="4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Invalid or Unenforceable Provisions</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Arial" w:cs="Arial" w:eastAsia="Arial" w:hAnsi="Arial"/>
                <w:sz w:val="14"/>
                <w:szCs w:val="14"/>
                <w:color w:val="auto"/>
              </w:rPr>
              <w:t>11.14</w:t>
            </w:r>
          </w:p>
        </w:tc>
        <w:tc>
          <w:tcPr>
            <w:tcW w:w="4940" w:type="dxa"/>
            <w:vAlign w:val="bottom"/>
          </w:tcPr>
          <w:p>
            <w:pPr>
              <w:ind w:left="80"/>
              <w:spacing w:after="0"/>
              <w:rPr>
                <w:sz w:val="20"/>
                <w:szCs w:val="20"/>
                <w:color w:val="auto"/>
              </w:rPr>
            </w:pPr>
            <w:r>
              <w:rPr>
                <w:rFonts w:ascii="Arial" w:cs="Arial" w:eastAsia="Arial" w:hAnsi="Arial"/>
                <w:sz w:val="14"/>
                <w:szCs w:val="14"/>
                <w:color w:val="auto"/>
              </w:rPr>
              <w:t>Successors</w:t>
            </w:r>
          </w:p>
        </w:tc>
        <w:tc>
          <w:tcPr>
            <w:tcW w:w="37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ARTICLE 12</w:t>
            </w:r>
          </w:p>
        </w:tc>
        <w:tc>
          <w:tcPr>
            <w:tcW w:w="1360" w:type="dxa"/>
            <w:vAlign w:val="bottom"/>
          </w:tcPr>
          <w:p>
            <w:pPr>
              <w:ind w:left="620"/>
              <w:spacing w:after="0"/>
              <w:rPr>
                <w:sz w:val="20"/>
                <w:szCs w:val="20"/>
                <w:color w:val="auto"/>
              </w:rPr>
            </w:pPr>
            <w:r>
              <w:rPr>
                <w:rFonts w:ascii="Arial" w:cs="Arial" w:eastAsia="Arial" w:hAnsi="Arial"/>
                <w:sz w:val="14"/>
                <w:szCs w:val="14"/>
                <w:color w:val="auto"/>
              </w:rPr>
              <w:t>Definitions</w:t>
            </w:r>
          </w:p>
        </w:tc>
        <w:tc>
          <w:tcPr>
            <w:tcW w:w="4940" w:type="dxa"/>
            <w:vAlign w:val="bottom"/>
          </w:tcPr>
          <w:p>
            <w:pPr>
              <w:spacing w:after="0"/>
              <w:rPr>
                <w:sz w:val="15"/>
                <w:szCs w:val="15"/>
                <w:color w:val="auto"/>
              </w:rPr>
            </w:pPr>
          </w:p>
        </w:tc>
        <w:tc>
          <w:tcPr>
            <w:tcW w:w="37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2"/>
        </w:trPr>
        <w:tc>
          <w:tcPr>
            <w:tcW w:w="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410210</wp:posOffset>
            </wp:positionV>
            <wp:extent cx="7274560" cy="1092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825" w:right="21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14"/>
          <w:szCs w:val="14"/>
          <w:b w:val="1"/>
          <w:bCs w:val="1"/>
          <w:color w:val="auto"/>
        </w:rPr>
        <w:t>ALLETE</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NON-EMPLOYEE DIRECTOR COMPENSATION DEFERRAL PLAN II</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Effective January 1, 2009</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1</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Establishment and Purpose</w:t>
      </w:r>
    </w:p>
    <w:p>
      <w:pPr>
        <w:spacing w:after="0" w:line="209" w:lineRule="exact"/>
        <w:rPr>
          <w:sz w:val="20"/>
          <w:szCs w:val="20"/>
          <w:color w:val="auto"/>
        </w:rPr>
      </w:pPr>
    </w:p>
    <w:p>
      <w:pPr>
        <w:ind w:firstLine="517"/>
        <w:spacing w:after="0" w:line="263" w:lineRule="auto"/>
        <w:rPr>
          <w:sz w:val="20"/>
          <w:szCs w:val="20"/>
          <w:color w:val="auto"/>
        </w:rPr>
      </w:pPr>
      <w:r>
        <w:rPr>
          <w:rFonts w:ascii="Arial" w:cs="Arial" w:eastAsia="Arial" w:hAnsi="Arial"/>
          <w:sz w:val="14"/>
          <w:szCs w:val="14"/>
          <w:color w:val="auto"/>
        </w:rPr>
        <w:t>This document includes the terms of the ALLETE Non-Employee Director Compensation Deferral Plan II, the purpose of which is to provide Directors an opportunity to elect to defer Compensation. The Plan is a successor to the ALLETE Director Compensation Deferral Plan (the “Predecessor Plan”). On December 31, 2004, the Company froze the Predecessor Plan, and on January 1, 2005, the Company established the Plan to govern amounts initially deferred after December 31, 2004 and investment earnings thereon.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Effective January 1, 2009, the Company amends and restates the Plan in its entirety to comply with Section 409A. Capitalized terms, unless otherwise defined herein, shall have the meaning provided in Article 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2</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Administration</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b w:val="1"/>
          <w:bCs w:val="1"/>
          <w:u w:val="single" w:color="auto"/>
          <w:color w:val="auto"/>
        </w:rPr>
        <w:t>Administrator</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280"/>
        <w:spacing w:after="0" w:line="272" w:lineRule="auto"/>
        <w:rPr>
          <w:sz w:val="20"/>
          <w:szCs w:val="20"/>
          <w:color w:val="auto"/>
        </w:rPr>
      </w:pPr>
      <w:r>
        <w:rPr>
          <w:rFonts w:ascii="Arial" w:cs="Arial" w:eastAsia="Arial" w:hAnsi="Arial"/>
          <w:sz w:val="14"/>
          <w:szCs w:val="14"/>
          <w:color w:val="auto"/>
        </w:rPr>
        <w:t>The Executive Compensation Committee of the Board shall administer the Plan. Notwithstanding the foregoing, the Administrator may delegate any of its duties to such other person or persons from time to time as it may designate. Members of the Executive Compensation Committee may participate in the Plan; however, any Director serving on the Executive Compensation Committee shall not vote or act on any matter relating solely to himself or herself.</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b w:val="1"/>
          <w:bCs w:val="1"/>
          <w:u w:val="single" w:color="auto"/>
          <w:color w:val="auto"/>
        </w:rPr>
        <w:t>Duties</w:t>
      </w:r>
      <w:r>
        <w:rPr>
          <w:rFonts w:ascii="Arial" w:cs="Arial" w:eastAsia="Arial" w:hAnsi="Arial"/>
          <w:sz w:val="13"/>
          <w:szCs w:val="13"/>
          <w:b w:val="1"/>
          <w:bCs w:val="1"/>
          <w:color w:val="auto"/>
        </w:rPr>
        <w:t>.</w:t>
      </w:r>
    </w:p>
    <w:p>
      <w:pPr>
        <w:spacing w:after="0" w:line="209" w:lineRule="exact"/>
        <w:rPr>
          <w:sz w:val="20"/>
          <w:szCs w:val="20"/>
          <w:color w:val="auto"/>
        </w:rPr>
      </w:pPr>
    </w:p>
    <w:p>
      <w:pPr>
        <w:jc w:val="both"/>
        <w:ind w:left="520" w:right="60"/>
        <w:spacing w:after="0" w:line="272" w:lineRule="auto"/>
        <w:rPr>
          <w:sz w:val="20"/>
          <w:szCs w:val="20"/>
          <w:color w:val="auto"/>
        </w:rPr>
      </w:pPr>
      <w:r>
        <w:rPr>
          <w:rFonts w:ascii="Arial" w:cs="Arial" w:eastAsia="Arial" w:hAnsi="Arial"/>
          <w:sz w:val="14"/>
          <w:szCs w:val="14"/>
          <w:color w:val="auto"/>
        </w:rPr>
        <w:t>The Administrator has the authority to construe and interpret all provisions of the Plan, to resolve any ambiguities, to adopt rules and practices concerning the administration of the Plan, to make any determinations and calculations necessary or appropriate hereunder, and, to the maximum extent permitted by Section 409A, the authority to remedy any errors, inconsistencies or omissions. The Company shall pay all expenses and liabilities incurred in connection with Plan administration.</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b w:val="1"/>
          <w:bCs w:val="1"/>
          <w:u w:val="single" w:color="auto"/>
          <w:color w:val="auto"/>
        </w:rPr>
        <w:t>Agents</w:t>
      </w:r>
      <w:r>
        <w:rPr>
          <w:rFonts w:ascii="Arial" w:cs="Arial" w:eastAsia="Arial" w:hAnsi="Arial"/>
          <w:sz w:val="12"/>
          <w:szCs w:val="12"/>
          <w:b w:val="1"/>
          <w:bCs w:val="1"/>
          <w:color w:val="auto"/>
        </w:rPr>
        <w:t>.</w:t>
      </w:r>
    </w:p>
    <w:p>
      <w:pPr>
        <w:spacing w:after="0" w:line="209" w:lineRule="exact"/>
        <w:rPr>
          <w:sz w:val="20"/>
          <w:szCs w:val="20"/>
          <w:color w:val="auto"/>
        </w:rPr>
      </w:pPr>
    </w:p>
    <w:p>
      <w:pPr>
        <w:jc w:val="both"/>
        <w:ind w:left="520" w:right="80"/>
        <w:spacing w:after="0" w:line="328" w:lineRule="auto"/>
        <w:rPr>
          <w:sz w:val="20"/>
          <w:szCs w:val="20"/>
          <w:color w:val="auto"/>
        </w:rPr>
      </w:pPr>
      <w:r>
        <w:rPr>
          <w:rFonts w:ascii="Arial" w:cs="Arial" w:eastAsia="Arial" w:hAnsi="Arial"/>
          <w:sz w:val="13"/>
          <w:szCs w:val="13"/>
          <w:color w:val="auto"/>
        </w:rPr>
        <w:t>The Administrator may engage the services of accountants, attorneys, actuaries, investment consultants, and such other professional personnel as are deemed necessary or advisable to assist in fulfilling the Administrator’s responsibilities. The Administrator, the Company and the Board may rely upon the advice, opinions or valuations of any such persons.</w:t>
      </w:r>
    </w:p>
    <w:p>
      <w:pPr>
        <w:spacing w:after="0" w:line="126"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2"/>
          <w:szCs w:val="12"/>
          <w:b w:val="1"/>
          <w:bCs w:val="1"/>
          <w:u w:val="single" w:color="auto"/>
          <w:color w:val="auto"/>
        </w:rPr>
        <w:t>Binding Effect of Decisions</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decision or action of the Administrator with respect to any question arising out of or in connection with the administration, interpretation and</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437" w:right="239" w:bottom="1440" w:gutter="0" w:footer="0" w:header="0"/>
        </w:sectPr>
      </w:pPr>
    </w:p>
    <w:bookmarkStart w:id="214" w:name="page215"/>
    <w:bookmarkEnd w:id="214"/>
    <w:p>
      <w:pPr>
        <w:ind w:left="520" w:right="20"/>
        <w:spacing w:after="0" w:line="272" w:lineRule="auto"/>
        <w:rPr>
          <w:sz w:val="20"/>
          <w:szCs w:val="20"/>
          <w:color w:val="auto"/>
        </w:rPr>
      </w:pPr>
      <w:r>
        <w:rPr>
          <w:rFonts w:ascii="Arial" w:cs="Arial" w:eastAsia="Arial" w:hAnsi="Arial"/>
          <w:sz w:val="14"/>
          <w:szCs w:val="14"/>
          <w:color w:val="auto"/>
        </w:rPr>
        <w:t>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3"/>
          <w:szCs w:val="13"/>
          <w:b w:val="1"/>
          <w:bCs w:val="1"/>
          <w:u w:val="single" w:color="auto"/>
          <w:color w:val="auto"/>
        </w:rPr>
        <w:t>Company Information</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180"/>
        <w:spacing w:after="0" w:line="288" w:lineRule="auto"/>
        <w:rPr>
          <w:sz w:val="20"/>
          <w:szCs w:val="20"/>
          <w:color w:val="auto"/>
        </w:rPr>
      </w:pPr>
      <w:r>
        <w:rPr>
          <w:rFonts w:ascii="Arial" w:cs="Arial" w:eastAsia="Arial" w:hAnsi="Arial"/>
          <w:sz w:val="14"/>
          <w:szCs w:val="14"/>
          <w:color w:val="auto"/>
        </w:rPr>
        <w:t>To enable the Administrator to perform its duties, the Company shall supply full and timely information to the Administrator on all matters relating to the Compensation, the Directors, the date and circumstances of a Director’s Separation from Service, and other pertinent information as the Administrator may reasonably require.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Participation</w:t>
      </w:r>
    </w:p>
    <w:p>
      <w:pPr>
        <w:spacing w:after="0" w:line="205" w:lineRule="exact"/>
        <w:rPr>
          <w:sz w:val="20"/>
          <w:szCs w:val="20"/>
          <w:color w:val="auto"/>
        </w:rPr>
      </w:pPr>
    </w:p>
    <w:p>
      <w:pPr>
        <w:ind w:firstLine="517"/>
        <w:spacing w:after="0" w:line="302" w:lineRule="auto"/>
        <w:rPr>
          <w:sz w:val="20"/>
          <w:szCs w:val="20"/>
          <w:color w:val="auto"/>
        </w:rPr>
      </w:pPr>
      <w:r>
        <w:rPr>
          <w:rFonts w:ascii="Arial" w:cs="Arial" w:eastAsia="Arial" w:hAnsi="Arial"/>
          <w:sz w:val="13"/>
          <w:szCs w:val="13"/>
          <w:color w:val="auto"/>
        </w:rPr>
        <w:t>Directors may participate in the Plan, but only with respect to Plan Years commencing after an individual first becomes a Director. Each Plan Year, the Administrator shall notify Directors of their eligibility to participate in the Plan during the following Plan Year. A Director who is eligible to participate shall become a participant by completing an election form on which the Director elects Deferrals and delivering the completed form to the Company as specified in the Plan. The terms of this Plan shall continue to govern a Director’s Account until the Account is paid in full.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Deferrals</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b w:val="1"/>
          <w:bCs w:val="1"/>
          <w:u w:val="single" w:color="auto"/>
          <w:color w:val="auto"/>
        </w:rPr>
        <w:t>Annual Deferral Election</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180"/>
        <w:spacing w:after="0" w:line="264" w:lineRule="auto"/>
        <w:rPr>
          <w:sz w:val="20"/>
          <w:szCs w:val="20"/>
          <w:color w:val="auto"/>
        </w:rPr>
      </w:pPr>
      <w:r>
        <w:rPr>
          <w:rFonts w:ascii="Arial" w:cs="Arial" w:eastAsia="Arial" w:hAnsi="Arial"/>
          <w:sz w:val="14"/>
          <w:szCs w:val="14"/>
          <w:color w:val="auto"/>
        </w:rPr>
        <w:t>For each Plan Year, a Director may elect: (i) to defer some or all of the Director’s Compensation and (ii) to the extent permitted by this Plan, the time and form of distribution of Deferrals. Elections are effective on a calendar-year basis and become irrevocable no later than the date specified by the Administrator, but in any event before the beginning of the Plan Year to which the elections relate. A Director’s election will become effective only if the forms required by the Administrator have been properly completed and signed by the Director, timely delivered to the Administrator, and accepted by the Administrator. A Director who fails to file the election before the required date will be treated as having elected not to defer any amounts for the following Plan Year.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b w:val="1"/>
          <w:bCs w:val="1"/>
          <w:u w:val="single" w:color="auto"/>
          <w:color w:val="auto"/>
        </w:rPr>
        <w:t>Cancellations of Deferral Elections due to Unforeseeable Emergency</w:t>
      </w:r>
      <w:r>
        <w:rPr>
          <w:rFonts w:ascii="Arial" w:cs="Arial" w:eastAsia="Arial" w:hAnsi="Arial"/>
          <w:sz w:val="12"/>
          <w:szCs w:val="12"/>
          <w:color w:val="auto"/>
        </w:rPr>
        <w:t>.</w:t>
      </w:r>
    </w:p>
    <w:p>
      <w:pPr>
        <w:spacing w:after="0" w:line="209" w:lineRule="exact"/>
        <w:rPr>
          <w:sz w:val="20"/>
          <w:szCs w:val="20"/>
          <w:color w:val="auto"/>
        </w:rPr>
      </w:pPr>
    </w:p>
    <w:p>
      <w:pPr>
        <w:ind w:left="520" w:right="120"/>
        <w:spacing w:after="0" w:line="302" w:lineRule="auto"/>
        <w:rPr>
          <w:sz w:val="20"/>
          <w:szCs w:val="20"/>
          <w:color w:val="auto"/>
        </w:rPr>
      </w:pPr>
      <w:r>
        <w:rPr>
          <w:rFonts w:ascii="Arial" w:cs="Arial" w:eastAsia="Arial" w:hAnsi="Arial"/>
          <w:sz w:val="13"/>
          <w:szCs w:val="13"/>
          <w:color w:val="auto"/>
        </w:rPr>
        <w:t>If a Director experiences an Unforeseeable Emergency during a Plan Year, the Director may submit to the Administrator a written request to cancel Deferrals for the Plan Year to satisfy the Unforeseeable Emergency. If the Administrator either approves the Director’s request to cancel Deferrals for the Plan Year, or approves a request for a distribution of prior Deferrals in accordance with Section 6.1.3, then effective as of the date the request is approved the Administrator shall cancel the Director’s deferral elections for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215" w:name="page216"/>
    <w:bookmarkEnd w:id="215"/>
    <w:p>
      <w:pPr>
        <w:ind w:left="520"/>
        <w:spacing w:after="0"/>
        <w:rPr>
          <w:sz w:val="20"/>
          <w:szCs w:val="20"/>
          <w:color w:val="auto"/>
        </w:rPr>
      </w:pPr>
      <w:r>
        <w:rPr>
          <w:rFonts w:ascii="Arial" w:cs="Arial" w:eastAsia="Arial" w:hAnsi="Arial"/>
          <w:sz w:val="14"/>
          <w:szCs w:val="14"/>
          <w:color w:val="auto"/>
        </w:rPr>
        <w:t>remainder of the Plan Year. A Director whose Deferrals are canceled during a Plan Year in accordance with this section may elect Deferrals for the following Plan Year.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Accounts and Investments</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b w:val="1"/>
          <w:bCs w:val="1"/>
          <w:u w:val="single" w:color="auto"/>
          <w:color w:val="auto"/>
        </w:rPr>
        <w:t>Establishment of Accounts</w:t>
      </w:r>
      <w:r>
        <w:rPr>
          <w:rFonts w:ascii="Arial" w:cs="Arial" w:eastAsia="Arial" w:hAnsi="Arial"/>
          <w:sz w:val="12"/>
          <w:szCs w:val="12"/>
          <w:b w:val="1"/>
          <w:bCs w:val="1"/>
          <w:color w:val="auto"/>
        </w:rPr>
        <w:t>.</w:t>
      </w:r>
    </w:p>
    <w:p>
      <w:pPr>
        <w:spacing w:after="0" w:line="209" w:lineRule="exact"/>
        <w:rPr>
          <w:sz w:val="20"/>
          <w:szCs w:val="20"/>
          <w:color w:val="auto"/>
        </w:rPr>
      </w:pPr>
    </w:p>
    <w:p>
      <w:pPr>
        <w:jc w:val="both"/>
        <w:ind w:left="520" w:right="20"/>
        <w:spacing w:after="0" w:line="272" w:lineRule="auto"/>
        <w:rPr>
          <w:sz w:val="20"/>
          <w:szCs w:val="20"/>
          <w:color w:val="auto"/>
        </w:rPr>
      </w:pPr>
      <w:r>
        <w:rPr>
          <w:rFonts w:ascii="Arial" w:cs="Arial" w:eastAsia="Arial" w:hAnsi="Arial"/>
          <w:sz w:val="14"/>
          <w:szCs w:val="14"/>
          <w:color w:val="auto"/>
        </w:rPr>
        <w:t>The Company will establish notional accounts for each Director as the Administrator deems necessary or advisable from time to time to be consistent with 2.1 and 5.4 below. The Company will establish a Director’s Account no later than the date on which the Director first elects to defer any amounts into the Account. Each Account shall be credited as appropriate for Deferrals and earnings with respect to Deferrals and debited for distributions from the Account.</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b w:val="1"/>
          <w:bCs w:val="1"/>
          <w:u w:val="single" w:color="auto"/>
          <w:color w:val="auto"/>
        </w:rPr>
        <w:t>Timing of Credits to Accounts</w:t>
      </w:r>
      <w:r>
        <w:rPr>
          <w:rFonts w:ascii="Arial" w:cs="Arial" w:eastAsia="Arial" w:hAnsi="Arial"/>
          <w:sz w:val="12"/>
          <w:szCs w:val="12"/>
          <w:b w:val="1"/>
          <w:bCs w:val="1"/>
          <w:color w:val="auto"/>
        </w:rPr>
        <w:t>.</w:t>
      </w:r>
    </w:p>
    <w:p>
      <w:pPr>
        <w:spacing w:after="0" w:line="209" w:lineRule="exact"/>
        <w:rPr>
          <w:sz w:val="20"/>
          <w:szCs w:val="20"/>
          <w:color w:val="auto"/>
        </w:rPr>
      </w:pPr>
    </w:p>
    <w:p>
      <w:pPr>
        <w:ind w:left="520" w:right="60"/>
        <w:spacing w:after="0" w:line="288" w:lineRule="auto"/>
        <w:rPr>
          <w:sz w:val="20"/>
          <w:szCs w:val="20"/>
          <w:color w:val="auto"/>
        </w:rPr>
      </w:pPr>
      <w:r>
        <w:rPr>
          <w:rFonts w:ascii="Arial" w:cs="Arial" w:eastAsia="Arial" w:hAnsi="Arial"/>
          <w:sz w:val="14"/>
          <w:szCs w:val="14"/>
          <w:color w:val="auto"/>
        </w:rPr>
        <w:t>The Administrator shall credit a Director’s Deferrals to the Director’s Account not later than the end of the calendar year during which the Company would otherwise have paid the amounts to the Director but for the Director’s deferral election.</w:t>
      </w:r>
    </w:p>
    <w:p>
      <w:pPr>
        <w:spacing w:after="0" w:line="14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2"/>
          <w:szCs w:val="12"/>
          <w:b w:val="1"/>
          <w:bCs w:val="1"/>
          <w:u w:val="single" w:color="auto"/>
          <w:color w:val="auto"/>
        </w:rPr>
        <w:t>Vesting</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Director Accounts are fully vested at all times.</w:t>
      </w:r>
    </w:p>
    <w:p>
      <w:pPr>
        <w:spacing w:after="0" w:line="20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2"/>
          <w:szCs w:val="12"/>
          <w:b w:val="1"/>
          <w:bCs w:val="1"/>
          <w:u w:val="single" w:color="auto"/>
          <w:color w:val="auto"/>
        </w:rPr>
        <w:t>Investments</w:t>
      </w:r>
      <w:r>
        <w:rPr>
          <w:rFonts w:ascii="Arial" w:cs="Arial" w:eastAsia="Arial" w:hAnsi="Arial"/>
          <w:sz w:val="12"/>
          <w:szCs w:val="12"/>
          <w:b w:val="1"/>
          <w:bCs w:val="1"/>
          <w:color w:val="auto"/>
        </w:rPr>
        <w:t>.</w:t>
      </w:r>
    </w:p>
    <w:p>
      <w:pPr>
        <w:spacing w:after="0" w:line="209" w:lineRule="exact"/>
        <w:rPr>
          <w:sz w:val="20"/>
          <w:szCs w:val="20"/>
          <w:color w:val="auto"/>
        </w:rPr>
      </w:pPr>
    </w:p>
    <w:p>
      <w:pPr>
        <w:ind w:left="520" w:right="160"/>
        <w:spacing w:after="0" w:line="272" w:lineRule="auto"/>
        <w:rPr>
          <w:sz w:val="20"/>
          <w:szCs w:val="20"/>
          <w:color w:val="auto"/>
        </w:rPr>
      </w:pPr>
      <w:r>
        <w:rPr>
          <w:rFonts w:ascii="Arial" w:cs="Arial" w:eastAsia="Arial" w:hAnsi="Arial"/>
          <w:sz w:val="14"/>
          <w:szCs w:val="14"/>
          <w:color w:val="auto"/>
        </w:rPr>
        <w:t>The Administrator may select investment funds to use for measuring notional gains and losses. The Administrator will establish, from time to time, rules and procedures for allowing each Director, who has not had a Separation from Service, to designate which one or more of the selected investment funds will be used to determine the notional gains and losses credited or debited to the Director’s Account prior to Separation from Service.</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3"/>
          <w:szCs w:val="13"/>
          <w:b w:val="1"/>
          <w:bCs w:val="1"/>
          <w:u w:val="single" w:color="auto"/>
          <w:color w:val="auto"/>
        </w:rPr>
        <w:t>Valuation Date</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120"/>
        <w:spacing w:after="0" w:line="288" w:lineRule="auto"/>
        <w:rPr>
          <w:sz w:val="20"/>
          <w:szCs w:val="20"/>
          <w:color w:val="auto"/>
        </w:rPr>
      </w:pPr>
      <w:r>
        <w:rPr>
          <w:rFonts w:ascii="Arial" w:cs="Arial" w:eastAsia="Arial" w:hAnsi="Arial"/>
          <w:sz w:val="14"/>
          <w:szCs w:val="14"/>
          <w:color w:val="auto"/>
        </w:rPr>
        <w:t>As of each Valuation Date, each Account will be adjusted to reflect the effect of notional investment gains or losses, additions, distributions, transfers and all other transactions with respect to that Account since the previous Valuation Date.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Distributions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6.1 </w:t>
      </w:r>
      <w:r>
        <w:rPr>
          <w:rFonts w:ascii="Arial" w:cs="Arial" w:eastAsia="Arial" w:hAnsi="Arial"/>
          <w:sz w:val="14"/>
          <w:szCs w:val="14"/>
          <w:b w:val="1"/>
          <w:bCs w:val="1"/>
          <w:u w:val="single" w:color="auto"/>
          <w:color w:val="auto"/>
        </w:rPr>
        <w:t>Distributions</w:t>
      </w:r>
      <w:r>
        <w:rPr>
          <w:rFonts w:ascii="Arial" w:cs="Arial" w:eastAsia="Arial" w:hAnsi="Arial"/>
          <w:sz w:val="14"/>
          <w:szCs w:val="14"/>
          <w:b w:val="1"/>
          <w:bCs w:val="1"/>
          <w:color w:val="auto"/>
        </w:rPr>
        <w:t>.</w:t>
      </w:r>
    </w:p>
    <w:p>
      <w:pPr>
        <w:spacing w:after="0" w:line="209" w:lineRule="exact"/>
        <w:rPr>
          <w:sz w:val="20"/>
          <w:szCs w:val="20"/>
          <w:color w:val="auto"/>
        </w:rPr>
      </w:pPr>
    </w:p>
    <w:p>
      <w:pPr>
        <w:ind w:left="520"/>
        <w:spacing w:after="0" w:line="263" w:lineRule="auto"/>
        <w:rPr>
          <w:sz w:val="20"/>
          <w:szCs w:val="20"/>
          <w:color w:val="auto"/>
        </w:rPr>
      </w:pPr>
      <w:r>
        <w:rPr>
          <w:rFonts w:ascii="Arial" w:cs="Arial" w:eastAsia="Arial" w:hAnsi="Arial"/>
          <w:sz w:val="14"/>
          <w:szCs w:val="14"/>
          <w:color w:val="auto"/>
        </w:rPr>
        <w:t>The Plan provides for distributions in a Specified Year, upon a Separation from Service or upon an Unforeseeable Emergency. As described in Section 6.1.1, each Plan Year a Director may elect to have all or a portion of the Deferrals for that year distributed in a Specified Year. With respect to amounts not subject to distribution in a Specified Year, the Plan requires distribution upon Separation from Service at a time and in a form elected by the Director, or for Directors who fail to elect, at a time and in a form specified by the Plan. A Director wishing to elect a time and form of distribution upon Separation from Service must submit a distribution election at the time of the Director’s initial Deferrals. A Director’s distribution elections are irrevocable and will govern the Deferrals to which the election relates until the amounts covered by the election are paid in full or until subsequently changed in accordance with Section 6.3. Notwithstanding any elections by a Director, all distributions are subject to the provisions of Section 6.2.</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441" w:right="239" w:bottom="1440" w:gutter="0" w:footer="0" w:header="0"/>
        </w:sectPr>
      </w:pPr>
    </w:p>
    <w:bookmarkStart w:id="216" w:name="page217"/>
    <w:bookmarkEnd w:id="216"/>
    <w:p>
      <w:pPr>
        <w:jc w:val="both"/>
        <w:ind w:left="1020" w:hanging="358"/>
        <w:spacing w:after="0" w:line="266" w:lineRule="auto"/>
        <w:rPr>
          <w:sz w:val="20"/>
          <w:szCs w:val="20"/>
          <w:color w:val="auto"/>
        </w:rPr>
      </w:pPr>
      <w:r>
        <w:rPr>
          <w:rFonts w:ascii="Arial" w:cs="Arial" w:eastAsia="Arial" w:hAnsi="Arial"/>
          <w:sz w:val="14"/>
          <w:szCs w:val="14"/>
          <w:color w:val="auto"/>
        </w:rPr>
        <w:t xml:space="preserve">6.1.1 </w:t>
      </w:r>
      <w:r>
        <w:rPr>
          <w:rFonts w:ascii="Arial" w:cs="Arial" w:eastAsia="Arial" w:hAnsi="Arial"/>
          <w:sz w:val="14"/>
          <w:szCs w:val="14"/>
          <w:b w:val="1"/>
          <w:bCs w:val="1"/>
          <w:u w:val="single" w:color="auto"/>
          <w:color w:val="auto"/>
        </w:rPr>
        <w:t>Specified Year</w:t>
      </w:r>
      <w:r>
        <w:rPr>
          <w:rFonts w:ascii="Arial" w:cs="Arial" w:eastAsia="Arial" w:hAnsi="Arial"/>
          <w:sz w:val="14"/>
          <w:szCs w:val="14"/>
          <w:color w:val="auto"/>
        </w:rPr>
        <w:t>. A Director may elect to receive a distribution of Deferrals in a Specified Year, which may be no earlier than the third Plan Year beginning after the date on which the Director initially elects to receive a distribution in a Specified Year. Except as otherwise provided in this subsection or in Section 6.3, once a Director has elected to receive a distribution in a Specified Year, the Director may not elect to receive a distribution in a different Specified Year. Beginning during the year preceding a Specified Year previously elected by the Director, the Director may elect to receive a distribution of Deferrals in a later Specified Year, subject, however, to the restrictions of this subsection. All amounts distributable in a Specified Year will be paid in a single lump sum.</w:t>
      </w:r>
    </w:p>
    <w:p>
      <w:pPr>
        <w:spacing w:after="0" w:line="164" w:lineRule="exact"/>
        <w:rPr>
          <w:sz w:val="20"/>
          <w:szCs w:val="20"/>
          <w:color w:val="auto"/>
        </w:rPr>
      </w:pPr>
    </w:p>
    <w:p>
      <w:pPr>
        <w:jc w:val="both"/>
        <w:ind w:left="1020" w:hanging="358"/>
        <w:spacing w:after="0" w:line="275" w:lineRule="auto"/>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b w:val="1"/>
          <w:bCs w:val="1"/>
          <w:u w:val="single" w:color="auto"/>
          <w:color w:val="auto"/>
        </w:rPr>
        <w:t>Separation from Service</w:t>
      </w:r>
      <w:r>
        <w:rPr>
          <w:rFonts w:ascii="Arial" w:cs="Arial" w:eastAsia="Arial" w:hAnsi="Arial"/>
          <w:sz w:val="14"/>
          <w:szCs w:val="14"/>
          <w:color w:val="auto"/>
        </w:rPr>
        <w:t>. A Director may elect to receive a distribution of Deferrals commencing upon Separation from Service or during any of the first five years following the year of the Separation from Service. A Director may elect to receive the distribution in the form of a lump sum, annual installments over a period of five (5), ten (10), or fifteen (15) years, or a combination of both a lump sum and installments.</w:t>
      </w:r>
    </w:p>
    <w:p>
      <w:pPr>
        <w:spacing w:after="0" w:line="158" w:lineRule="exact"/>
        <w:rPr>
          <w:sz w:val="20"/>
          <w:szCs w:val="20"/>
          <w:color w:val="auto"/>
        </w:rPr>
      </w:pPr>
    </w:p>
    <w:p>
      <w:pPr>
        <w:jc w:val="both"/>
        <w:ind w:left="1020" w:hanging="358"/>
        <w:spacing w:after="0" w:line="30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b w:val="1"/>
          <w:bCs w:val="1"/>
          <w:u w:val="single" w:color="auto"/>
          <w:color w:val="auto"/>
        </w:rPr>
        <w:t>Unforeseeable Emergency</w:t>
      </w:r>
      <w:r>
        <w:rPr>
          <w:rFonts w:ascii="Arial" w:cs="Arial" w:eastAsia="Arial" w:hAnsi="Arial"/>
          <w:sz w:val="13"/>
          <w:szCs w:val="13"/>
          <w:color w:val="auto"/>
        </w:rPr>
        <w:t>. A Director may submit a written request for a distribution on account of an Unforeseeable Emergency. Upon approval by the Administrator of a Director’s request, the Director’s Account, or that portion of the Director’s Account deemed necessary by the Administrator to satisfy the Unforeseeable Emergency plus amounts necessary to pay taxes reasonably anticipated because of the distribution, will be distributed in a single lump sum in a manner consistent with Section 409A.</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u w:val="single" w:color="auto"/>
          <w:color w:val="auto"/>
        </w:rPr>
        <w:t>Additional Distribution Rules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93" w:lineRule="exact"/>
        <w:rPr>
          <w:sz w:val="20"/>
          <w:szCs w:val="20"/>
          <w:color w:val="auto"/>
        </w:rPr>
      </w:pPr>
    </w:p>
    <w:p>
      <w:pPr>
        <w:jc w:val="both"/>
        <w:ind w:left="1020" w:hanging="358"/>
        <w:spacing w:after="0" w:line="294" w:lineRule="auto"/>
        <w:rPr>
          <w:sz w:val="20"/>
          <w:szCs w:val="20"/>
          <w:color w:val="auto"/>
        </w:rPr>
      </w:pPr>
      <w:r>
        <w:rPr>
          <w:rFonts w:ascii="Arial" w:cs="Arial" w:eastAsia="Arial" w:hAnsi="Arial"/>
          <w:sz w:val="14"/>
          <w:szCs w:val="14"/>
          <w:color w:val="auto"/>
        </w:rPr>
        <w:t xml:space="preserve">6.2.1 </w:t>
      </w:r>
      <w:r>
        <w:rPr>
          <w:rFonts w:ascii="Arial" w:cs="Arial" w:eastAsia="Arial" w:hAnsi="Arial"/>
          <w:sz w:val="14"/>
          <w:szCs w:val="14"/>
          <w:b w:val="1"/>
          <w:bCs w:val="1"/>
          <w:u w:val="single" w:color="auto"/>
          <w:color w:val="auto"/>
        </w:rPr>
        <w:t>Default Time and Form of Payment</w:t>
      </w:r>
      <w:r>
        <w:rPr>
          <w:rFonts w:ascii="Arial" w:cs="Arial" w:eastAsia="Arial" w:hAnsi="Arial"/>
          <w:sz w:val="14"/>
          <w:szCs w:val="14"/>
          <w:b w:val="1"/>
          <w:bCs w:val="1"/>
          <w:color w:val="auto"/>
        </w:rPr>
        <w:t>.</w:t>
      </w:r>
      <w:r>
        <w:rPr>
          <w:rFonts w:ascii="Arial" w:cs="Arial" w:eastAsia="Arial" w:hAnsi="Arial"/>
          <w:sz w:val="14"/>
          <w:szCs w:val="14"/>
          <w:color w:val="auto"/>
        </w:rPr>
        <w:t xml:space="preserve"> If a Director fails timely to elect a time and form of payment, the Director’s Account will be distributed upon any Separation from Service in the form of a single lump sum payment.</w:t>
      </w:r>
    </w:p>
    <w:p>
      <w:pPr>
        <w:spacing w:after="0" w:line="144" w:lineRule="exact"/>
        <w:rPr>
          <w:sz w:val="20"/>
          <w:szCs w:val="20"/>
          <w:color w:val="auto"/>
        </w:rPr>
      </w:pPr>
    </w:p>
    <w:p>
      <w:pPr>
        <w:jc w:val="both"/>
        <w:ind w:left="1020" w:hanging="358"/>
        <w:spacing w:after="0" w:line="250" w:lineRule="auto"/>
        <w:rPr>
          <w:sz w:val="20"/>
          <w:szCs w:val="20"/>
          <w:color w:val="auto"/>
        </w:rPr>
      </w:pPr>
      <w:r>
        <w:rPr>
          <w:rFonts w:ascii="Arial" w:cs="Arial" w:eastAsia="Arial" w:hAnsi="Arial"/>
          <w:sz w:val="14"/>
          <w:szCs w:val="14"/>
          <w:color w:val="auto"/>
        </w:rPr>
        <w:t xml:space="preserve">6.2.2 </w:t>
      </w:r>
      <w:r>
        <w:rPr>
          <w:rFonts w:ascii="Arial" w:cs="Arial" w:eastAsia="Arial" w:hAnsi="Arial"/>
          <w:sz w:val="14"/>
          <w:szCs w:val="14"/>
          <w:b w:val="1"/>
          <w:bCs w:val="1"/>
          <w:u w:val="single" w:color="auto"/>
          <w:color w:val="auto"/>
        </w:rPr>
        <w:t>Rules Applicable to All Distributions</w:t>
      </w:r>
      <w:r>
        <w:rPr>
          <w:rFonts w:ascii="Arial" w:cs="Arial" w:eastAsia="Arial" w:hAnsi="Arial"/>
          <w:sz w:val="14"/>
          <w:szCs w:val="14"/>
          <w:b w:val="1"/>
          <w:bCs w:val="1"/>
          <w:color w:val="auto"/>
        </w:rPr>
        <w:t>.</w:t>
      </w:r>
      <w:r>
        <w:rPr>
          <w:rFonts w:ascii="Arial" w:cs="Arial" w:eastAsia="Arial" w:hAnsi="Arial"/>
          <w:sz w:val="14"/>
          <w:szCs w:val="14"/>
          <w:color w:val="auto"/>
        </w:rPr>
        <w:t xml:space="preserve"> Except as otherwise provided in this section, if a Director has elected to receive a distribution commencing upon a Distribution Event, or if the distribution is required upon Separation from Service, the distribution will commence between the date of the Distribution Event and the end of the year in which the Distribution Event occurs. If a Director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the third calendar month following the Distribution Event, even if after the end of the year during which the Distribution Event occurs; provided, however, the Director will not be permitted, directly or indirectly, to designate the taxable year of the distribution. If a Director has elected to receive a distribution commencing during any of the first five years following a Separation from Service, the distribution will commence during the year elected by the Director. If a Director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373"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728027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180"/>
          </w:cols>
          <w:pgMar w:left="500" w:top="513" w:right="219" w:bottom="1440" w:gutter="0" w:footer="0" w:header="0"/>
        </w:sectPr>
      </w:pPr>
    </w:p>
    <w:bookmarkStart w:id="217" w:name="page218"/>
    <w:bookmarkEnd w:id="217"/>
    <w:p>
      <w:pPr>
        <w:jc w:val="both"/>
        <w:ind w:left="1300" w:hanging="358"/>
        <w:spacing w:after="0" w:line="269" w:lineRule="auto"/>
        <w:rPr>
          <w:sz w:val="20"/>
          <w:szCs w:val="20"/>
          <w:color w:val="auto"/>
        </w:rPr>
      </w:pPr>
      <w:r>
        <w:rPr>
          <w:rFonts w:ascii="Arial" w:cs="Arial" w:eastAsia="Arial" w:hAnsi="Arial"/>
          <w:sz w:val="14"/>
          <w:szCs w:val="14"/>
          <w:color w:val="auto"/>
        </w:rPr>
        <w:t xml:space="preserve">6.2.3 </w:t>
      </w:r>
      <w:r>
        <w:rPr>
          <w:rFonts w:ascii="Arial" w:cs="Arial" w:eastAsia="Arial" w:hAnsi="Arial"/>
          <w:sz w:val="14"/>
          <w:szCs w:val="14"/>
          <w:b w:val="1"/>
          <w:bCs w:val="1"/>
          <w:u w:val="single" w:color="auto"/>
          <w:color w:val="auto"/>
        </w:rPr>
        <w:t>Installment Payments</w:t>
      </w:r>
      <w:r>
        <w:rPr>
          <w:rFonts w:ascii="Arial" w:cs="Arial" w:eastAsia="Arial" w:hAnsi="Arial"/>
          <w:sz w:val="14"/>
          <w:szCs w:val="14"/>
          <w:b w:val="1"/>
          <w:bCs w:val="1"/>
          <w:color w:val="auto"/>
        </w:rPr>
        <w:t>.</w:t>
      </w:r>
      <w:r>
        <w:rPr>
          <w:rFonts w:ascii="Arial" w:cs="Arial" w:eastAsia="Arial" w:hAnsi="Arial"/>
          <w:sz w:val="14"/>
          <w:szCs w:val="14"/>
          <w:color w:val="auto"/>
        </w:rPr>
        <w:t xml:space="preserve"> If a Director elects to receive distributions in annual installments, the Director’s Account will be paid in substantially equal installments in consecutive years over the period elected by the Director. During the distribution period the Director’s Account will be credited with interest compounded monthly at a rate of 7.5% per year. Each annual installment will be paid during the Plan Year in which it is due. Any installment distribution that complies with this section shall be deemed for all purposes to comply with the Plan requirements regarding the time and form of distributions.</w:t>
      </w:r>
    </w:p>
    <w:p>
      <w:pPr>
        <w:spacing w:after="0" w:line="162" w:lineRule="exact"/>
        <w:rPr>
          <w:sz w:val="20"/>
          <w:szCs w:val="20"/>
          <w:color w:val="auto"/>
        </w:rPr>
      </w:pPr>
    </w:p>
    <w:p>
      <w:pPr>
        <w:jc w:val="both"/>
        <w:ind w:left="1300" w:hanging="358"/>
        <w:spacing w:after="0" w:line="275" w:lineRule="auto"/>
        <w:rPr>
          <w:sz w:val="20"/>
          <w:szCs w:val="20"/>
          <w:color w:val="auto"/>
        </w:rPr>
      </w:pPr>
      <w:r>
        <w:rPr>
          <w:rFonts w:ascii="Arial" w:cs="Arial" w:eastAsia="Arial" w:hAnsi="Arial"/>
          <w:sz w:val="14"/>
          <w:szCs w:val="14"/>
          <w:color w:val="auto"/>
        </w:rPr>
        <w:t xml:space="preserve">6.2.4 </w:t>
      </w:r>
      <w:r>
        <w:rPr>
          <w:rFonts w:ascii="Arial" w:cs="Arial" w:eastAsia="Arial" w:hAnsi="Arial"/>
          <w:sz w:val="14"/>
          <w:szCs w:val="14"/>
          <w:b w:val="1"/>
          <w:bCs w:val="1"/>
          <w:u w:val="single" w:color="auto"/>
          <w:color w:val="auto"/>
        </w:rPr>
        <w:t>Death After Commencement of Distributions</w:t>
      </w:r>
      <w:r>
        <w:rPr>
          <w:rFonts w:ascii="Arial" w:cs="Arial" w:eastAsia="Arial" w:hAnsi="Arial"/>
          <w:sz w:val="14"/>
          <w:szCs w:val="14"/>
          <w:b w:val="1"/>
          <w:bCs w:val="1"/>
          <w:color w:val="auto"/>
        </w:rPr>
        <w:t>.</w:t>
      </w:r>
      <w:r>
        <w:rPr>
          <w:rFonts w:ascii="Arial" w:cs="Arial" w:eastAsia="Arial" w:hAnsi="Arial"/>
          <w:sz w:val="14"/>
          <w:szCs w:val="14"/>
          <w:color w:val="auto"/>
        </w:rPr>
        <w:t xml:space="preserve"> Upon the death of a Director after distributions of the Director’s Account have commenced, the balance of the Director’s Account will be distributed to the Director’s Beneficiary at the same times and in the same forms that the Account would have been distributed to the Director if the Director had survived.</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b w:val="1"/>
          <w:bCs w:val="1"/>
          <w:u w:val="single" w:color="auto"/>
          <w:color w:val="auto"/>
        </w:rPr>
        <w:t>Subsequent Changes in Time and Form of Payment</w:t>
      </w:r>
      <w:r>
        <w:rPr>
          <w:rFonts w:ascii="Arial" w:cs="Arial" w:eastAsia="Arial" w:hAnsi="Arial"/>
          <w:sz w:val="14"/>
          <w:szCs w:val="14"/>
          <w:b w:val="1"/>
          <w:bCs w:val="1"/>
          <w:color w:val="auto"/>
        </w:rPr>
        <w:t>.</w:t>
      </w:r>
    </w:p>
    <w:p>
      <w:pPr>
        <w:spacing w:after="0" w:line="209" w:lineRule="exact"/>
        <w:rPr>
          <w:sz w:val="20"/>
          <w:szCs w:val="20"/>
          <w:color w:val="auto"/>
        </w:rPr>
      </w:pPr>
    </w:p>
    <w:p>
      <w:pPr>
        <w:ind w:left="520" w:right="60"/>
        <w:spacing w:after="0" w:line="284" w:lineRule="auto"/>
        <w:rPr>
          <w:sz w:val="20"/>
          <w:szCs w:val="20"/>
          <w:color w:val="auto"/>
        </w:rPr>
      </w:pPr>
      <w:r>
        <w:rPr>
          <w:rFonts w:ascii="Arial" w:cs="Arial" w:eastAsia="Arial" w:hAnsi="Arial"/>
          <w:sz w:val="13"/>
          <w:szCs w:val="13"/>
          <w:color w:val="auto"/>
        </w:rPr>
        <w:t>A Director may, in accordance with rules, procedures and forms specified from time to time by the Administrator, elect to change the time of payment or change the form in which the Director’s Account is distributed or both, provided that: (i) the Director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years from the date the distributions would otherwise have been paid, or in the case of installment payments, five years from the date the installments were scheduled to commence. For purposes of this section, distributions on account of a Specified Year are considered scheduled to commence on January 1 of the Specified Year and distributions on account of a Separation from Service are considered to commence on the date of the Separation from Service, or if the Director has elected to receive a distribution of Deferrals commencing during any of the first five years following the year of the Separation from Service, January 1 of the year elected by the Director. Any such election shall be irrevocable on the date it is filed with the Administrator unless subsequently changed pursuant to this Section.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Payment Acceleration and Delay</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2"/>
          <w:szCs w:val="12"/>
          <w:b w:val="1"/>
          <w:bCs w:val="1"/>
          <w:u w:val="single" w:color="auto"/>
          <w:color w:val="auto"/>
        </w:rPr>
        <w:t>Permitted Accelerations of Payment</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Except as otherwise provided herein or permitted by Section 409A, the Plan prohibits the acceleration of the time or schedule of any payment due under the Plan.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218" w:name="page219"/>
    <w:bookmarkEnd w:id="218"/>
    <w:p>
      <w:pPr>
        <w:ind w:left="520" w:right="20"/>
        <w:spacing w:after="0" w:line="244" w:lineRule="auto"/>
        <w:rPr>
          <w:sz w:val="20"/>
          <w:szCs w:val="20"/>
          <w:color w:val="auto"/>
        </w:rPr>
      </w:pPr>
      <w:r>
        <w:rPr>
          <w:rFonts w:ascii="Arial" w:cs="Arial" w:eastAsia="Arial" w:hAnsi="Arial"/>
          <w:sz w:val="14"/>
          <w:szCs w:val="14"/>
          <w:b w:val="1"/>
          <w:bCs w:val="1"/>
          <w:u w:val="single" w:color="auto"/>
          <w:color w:val="auto"/>
        </w:rPr>
        <w:t>Distribution in the Event of Taxation</w:t>
      </w:r>
      <w:r>
        <w:rPr>
          <w:rFonts w:ascii="Arial" w:cs="Arial" w:eastAsia="Arial" w:hAnsi="Arial"/>
          <w:sz w:val="14"/>
          <w:szCs w:val="14"/>
          <w:b w:val="1"/>
          <w:bCs w:val="1"/>
          <w:color w:val="auto"/>
        </w:rPr>
        <w:t xml:space="preserve">. </w:t>
      </w:r>
      <w:r>
        <w:rPr>
          <w:rFonts w:ascii="Arial" w:cs="Arial" w:eastAsia="Arial" w:hAnsi="Arial"/>
          <w:sz w:val="14"/>
          <w:szCs w:val="14"/>
          <w:color w:val="auto"/>
        </w:rPr>
        <w:t>If, for any reason, all or any portion of any benefit provided by the Plan becomes taxable to a Director because of a violation of Section 409A prior</w:t>
      </w:r>
      <w:r>
        <w:rPr>
          <w:rFonts w:ascii="Arial" w:cs="Arial" w:eastAsia="Arial" w:hAnsi="Arial"/>
          <w:sz w:val="14"/>
          <w:szCs w:val="14"/>
          <w:b w:val="1"/>
          <w:bCs w:val="1"/>
          <w:color w:val="auto"/>
        </w:rPr>
        <w:t xml:space="preserve"> </w:t>
      </w:r>
      <w:r>
        <w:rPr>
          <w:rFonts w:ascii="Arial" w:cs="Arial" w:eastAsia="Arial" w:hAnsi="Arial"/>
          <w:sz w:val="14"/>
          <w:szCs w:val="14"/>
          <w:color w:val="auto"/>
        </w:rPr>
        <w:t>to receipt, the Director may file a written request with the Administrator for a distribution of that portion of the Plan benefit that has become taxable. Upon the grant of such a request, which grant shall not be unreasonably withheld, the Director shall receive a distribution equal to the taxable portion of the plan benefit. If the request is granted, the tax liability distribution shall be paid between the date on which the Director’s request is approved and the end of the Plan Year during which the approval occurred, or if later, the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the third calendar month following the date on which the Director’s request is approved.</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00" w:type="dxa"/>
            <w:vAlign w:val="bottom"/>
          </w:tcPr>
          <w:p>
            <w:pPr>
              <w:jc w:val="right"/>
              <w:ind w:right="248"/>
              <w:spacing w:after="0"/>
              <w:rPr>
                <w:sz w:val="20"/>
                <w:szCs w:val="20"/>
                <w:color w:val="auto"/>
              </w:rPr>
            </w:pPr>
            <w:r>
              <w:rPr>
                <w:rFonts w:ascii="Arial" w:cs="Arial" w:eastAsia="Arial" w:hAnsi="Arial"/>
                <w:sz w:val="14"/>
                <w:szCs w:val="14"/>
                <w:color w:val="auto"/>
              </w:rPr>
              <w:t>7.1.1</w:t>
            </w:r>
          </w:p>
        </w:tc>
        <w:tc>
          <w:tcPr>
            <w:tcW w:w="160" w:type="dxa"/>
            <w:vAlign w:val="bottom"/>
          </w:tcPr>
          <w:p>
            <w:pPr>
              <w:spacing w:after="0"/>
              <w:rPr>
                <w:sz w:val="14"/>
                <w:szCs w:val="14"/>
                <w:color w:val="auto"/>
              </w:rPr>
            </w:pPr>
          </w:p>
        </w:tc>
        <w:tc>
          <w:tcPr>
            <w:tcW w:w="10160" w:type="dxa"/>
            <w:vAlign w:val="bottom"/>
            <w:gridSpan w:val="4"/>
          </w:tcPr>
          <w:p>
            <w:pPr>
              <w:spacing w:after="0"/>
              <w:rPr>
                <w:sz w:val="20"/>
                <w:szCs w:val="20"/>
                <w:color w:val="auto"/>
              </w:rPr>
            </w:pPr>
            <w:r>
              <w:rPr>
                <w:rFonts w:ascii="Arial" w:cs="Arial" w:eastAsia="Arial" w:hAnsi="Arial"/>
                <w:sz w:val="14"/>
                <w:szCs w:val="14"/>
                <w:b w:val="1"/>
                <w:bCs w:val="1"/>
                <w:color w:val="auto"/>
                <w:w w:val="97"/>
              </w:rPr>
              <w:t xml:space="preserve">Compliance with Ethics Laws or Conflicts of Interests Laws. </w:t>
            </w:r>
            <w:r>
              <w:rPr>
                <w:rFonts w:ascii="Arial" w:cs="Arial" w:eastAsia="Arial" w:hAnsi="Arial"/>
                <w:sz w:val="14"/>
                <w:szCs w:val="14"/>
                <w:color w:val="auto"/>
                <w:w w:val="97"/>
              </w:rPr>
              <w:t>The Administrator may, in its sole discretion, accelerate the time or schedule of a payment to the extent</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60" w:type="dxa"/>
            <w:vAlign w:val="bottom"/>
            <w:gridSpan w:val="4"/>
          </w:tcPr>
          <w:p>
            <w:pPr>
              <w:spacing w:after="0"/>
              <w:rPr>
                <w:sz w:val="20"/>
                <w:szCs w:val="20"/>
                <w:color w:val="auto"/>
              </w:rPr>
            </w:pPr>
            <w:r>
              <w:rPr>
                <w:rFonts w:ascii="Arial" w:cs="Arial" w:eastAsia="Arial" w:hAnsi="Arial"/>
                <w:sz w:val="14"/>
                <w:szCs w:val="14"/>
                <w:color w:val="auto"/>
                <w:w w:val="94"/>
              </w:rPr>
              <w:t>necessary to avoid the violation of any applicable Federal, state, local, or foreign ethics law or conflicts of interest law as provided in Treasury Regulations section 1.409A-3(j)</w:t>
            </w:r>
          </w:p>
        </w:tc>
      </w:tr>
      <w:tr>
        <w:trPr>
          <w:trHeight w:val="182"/>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60" w:type="dxa"/>
            <w:vAlign w:val="bottom"/>
            <w:gridSpan w:val="4"/>
          </w:tcPr>
          <w:p>
            <w:pPr>
              <w:spacing w:after="0"/>
              <w:rPr>
                <w:sz w:val="20"/>
                <w:szCs w:val="20"/>
                <w:color w:val="auto"/>
              </w:rPr>
            </w:pPr>
            <w:r>
              <w:rPr>
                <w:rFonts w:ascii="Arial" w:cs="Arial" w:eastAsia="Arial" w:hAnsi="Arial"/>
                <w:sz w:val="14"/>
                <w:szCs w:val="14"/>
                <w:color w:val="auto"/>
              </w:rPr>
              <w:t>(4)(iii)(B).</w:t>
            </w:r>
          </w:p>
        </w:tc>
      </w:tr>
      <w:tr>
        <w:trPr>
          <w:trHeight w:val="335"/>
        </w:trPr>
        <w:tc>
          <w:tcPr>
            <w:tcW w:w="700" w:type="dxa"/>
            <w:vAlign w:val="bottom"/>
          </w:tcPr>
          <w:p>
            <w:pPr>
              <w:jc w:val="right"/>
              <w:ind w:right="248"/>
              <w:spacing w:after="0"/>
              <w:rPr>
                <w:sz w:val="20"/>
                <w:szCs w:val="20"/>
                <w:color w:val="auto"/>
              </w:rPr>
            </w:pPr>
            <w:r>
              <w:rPr>
                <w:rFonts w:ascii="Arial" w:cs="Arial" w:eastAsia="Arial" w:hAnsi="Arial"/>
                <w:sz w:val="14"/>
                <w:szCs w:val="14"/>
                <w:color w:val="auto"/>
              </w:rPr>
              <w:t>7.1.2</w:t>
            </w:r>
          </w:p>
        </w:tc>
        <w:tc>
          <w:tcPr>
            <w:tcW w:w="16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4"/>
                <w:szCs w:val="14"/>
                <w:b w:val="1"/>
                <w:bCs w:val="1"/>
                <w:color w:val="auto"/>
                <w:w w:val="94"/>
              </w:rPr>
              <w:t xml:space="preserve">Small Accounts. </w:t>
            </w:r>
            <w:r>
              <w:rPr>
                <w:rFonts w:ascii="Arial" w:cs="Arial" w:eastAsia="Arial" w:hAnsi="Arial"/>
                <w:sz w:val="14"/>
                <w:szCs w:val="14"/>
                <w:color w:val="auto"/>
                <w:w w:val="94"/>
              </w:rPr>
              <w:t>The Administrator may, in its sole discretion, distribute the Director’s Account in a single lump sum provided: (i) the distribution results in the payment of the</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60" w:type="dxa"/>
            <w:vAlign w:val="bottom"/>
            <w:gridSpan w:val="4"/>
          </w:tcPr>
          <w:p>
            <w:pPr>
              <w:spacing w:after="0"/>
              <w:rPr>
                <w:sz w:val="20"/>
                <w:szCs w:val="20"/>
                <w:color w:val="auto"/>
              </w:rPr>
            </w:pPr>
            <w:r>
              <w:rPr>
                <w:rFonts w:ascii="Arial" w:cs="Arial" w:eastAsia="Arial" w:hAnsi="Arial"/>
                <w:sz w:val="14"/>
                <w:szCs w:val="14"/>
                <w:color w:val="auto"/>
                <w:w w:val="94"/>
              </w:rPr>
              <w:t>Director’s entire Account and all other account balance plans required to be aggregated with the Director’s Account pursuant to Section 409A and (ii) the total distribution does</w:t>
            </w:r>
          </w:p>
        </w:tc>
      </w:tr>
      <w:tr>
        <w:trPr>
          <w:trHeight w:val="172"/>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160" w:type="dxa"/>
            <w:vAlign w:val="bottom"/>
            <w:gridSpan w:val="4"/>
          </w:tcPr>
          <w:p>
            <w:pPr>
              <w:spacing w:after="0"/>
              <w:rPr>
                <w:sz w:val="20"/>
                <w:szCs w:val="20"/>
                <w:color w:val="auto"/>
              </w:rPr>
            </w:pPr>
            <w:r>
              <w:rPr>
                <w:rFonts w:ascii="Arial" w:cs="Arial" w:eastAsia="Arial" w:hAnsi="Arial"/>
                <w:sz w:val="14"/>
                <w:szCs w:val="14"/>
                <w:color w:val="auto"/>
                <w:w w:val="99"/>
              </w:rPr>
              <w:t>not exceed the applicable dollar limit under Code section 402(g)(1)(B). The Administrator shall notify the Director in writing if the Administrator exercises its discretion</w:t>
            </w:r>
          </w:p>
        </w:tc>
      </w:tr>
      <w:tr>
        <w:trPr>
          <w:trHeight w:val="182"/>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60" w:type="dxa"/>
            <w:vAlign w:val="bottom"/>
            <w:gridSpan w:val="4"/>
          </w:tcPr>
          <w:p>
            <w:pPr>
              <w:spacing w:after="0"/>
              <w:rPr>
                <w:sz w:val="20"/>
                <w:szCs w:val="20"/>
                <w:color w:val="auto"/>
              </w:rPr>
            </w:pPr>
            <w:r>
              <w:rPr>
                <w:rFonts w:ascii="Arial" w:cs="Arial" w:eastAsia="Arial" w:hAnsi="Arial"/>
                <w:sz w:val="14"/>
                <w:szCs w:val="14"/>
                <w:color w:val="auto"/>
              </w:rPr>
              <w:t>pursuant to this Section.</w:t>
            </w:r>
          </w:p>
        </w:tc>
      </w:tr>
      <w:tr>
        <w:trPr>
          <w:trHeight w:val="335"/>
        </w:trPr>
        <w:tc>
          <w:tcPr>
            <w:tcW w:w="700" w:type="dxa"/>
            <w:vAlign w:val="bottom"/>
          </w:tcPr>
          <w:p>
            <w:pPr>
              <w:jc w:val="right"/>
              <w:ind w:right="328"/>
              <w:spacing w:after="0"/>
              <w:rPr>
                <w:sz w:val="20"/>
                <w:szCs w:val="20"/>
                <w:color w:val="auto"/>
              </w:rPr>
            </w:pPr>
            <w:r>
              <w:rPr>
                <w:rFonts w:ascii="Arial" w:cs="Arial" w:eastAsia="Arial" w:hAnsi="Arial"/>
                <w:sz w:val="14"/>
                <w:szCs w:val="14"/>
                <w:color w:val="auto"/>
                <w:w w:val="89"/>
              </w:rPr>
              <w:t>7.1.3</w:t>
            </w:r>
          </w:p>
        </w:tc>
        <w:tc>
          <w:tcPr>
            <w:tcW w:w="10320" w:type="dxa"/>
            <w:vAlign w:val="bottom"/>
            <w:gridSpan w:val="5"/>
          </w:tcPr>
          <w:p>
            <w:pPr>
              <w:spacing w:after="0"/>
              <w:rPr>
                <w:sz w:val="20"/>
                <w:szCs w:val="20"/>
                <w:color w:val="auto"/>
              </w:rPr>
            </w:pPr>
            <w:r>
              <w:rPr>
                <w:rFonts w:ascii="Arial" w:cs="Arial" w:eastAsia="Arial" w:hAnsi="Arial"/>
                <w:sz w:val="14"/>
                <w:szCs w:val="14"/>
                <w:b w:val="1"/>
                <w:bCs w:val="1"/>
                <w:color w:val="auto"/>
                <w:w w:val="94"/>
              </w:rPr>
              <w:t xml:space="preserve">Settlement of a Bona Fide Dispute. </w:t>
            </w:r>
            <w:r>
              <w:rPr>
                <w:rFonts w:ascii="Arial" w:cs="Arial" w:eastAsia="Arial" w:hAnsi="Arial"/>
                <w:sz w:val="14"/>
                <w:szCs w:val="14"/>
                <w:color w:val="auto"/>
                <w:w w:val="94"/>
              </w:rPr>
              <w:t>The Administrator may, in its sole discretion, accelerate the time or schedule of a distribution as part of a settlement of a bona fide dispute</w:t>
            </w:r>
          </w:p>
        </w:tc>
      </w:tr>
      <w:tr>
        <w:trPr>
          <w:trHeight w:val="20"/>
        </w:trPr>
        <w:tc>
          <w:tcPr>
            <w:tcW w:w="700" w:type="dxa"/>
            <w:vAlign w:val="bottom"/>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10320" w:type="dxa"/>
            <w:vAlign w:val="bottom"/>
            <w:gridSpan w:val="5"/>
          </w:tcPr>
          <w:p>
            <w:pPr>
              <w:spacing w:after="0"/>
              <w:rPr>
                <w:sz w:val="20"/>
                <w:szCs w:val="20"/>
                <w:color w:val="auto"/>
              </w:rPr>
            </w:pPr>
            <w:r>
              <w:rPr>
                <w:rFonts w:ascii="Arial" w:cs="Arial" w:eastAsia="Arial" w:hAnsi="Arial"/>
                <w:sz w:val="14"/>
                <w:szCs w:val="14"/>
                <w:color w:val="auto"/>
                <w:w w:val="93"/>
              </w:rPr>
              <w:t>between the Director and the Company over a Director’s right to a distribution provided that the distribution relates only to the deferred compensation in dispute and the Company</w:t>
            </w:r>
          </w:p>
        </w:tc>
      </w:tr>
      <w:tr>
        <w:trPr>
          <w:trHeight w:val="182"/>
        </w:trPr>
        <w:tc>
          <w:tcPr>
            <w:tcW w:w="700" w:type="dxa"/>
            <w:vAlign w:val="bottom"/>
          </w:tcPr>
          <w:p>
            <w:pPr>
              <w:spacing w:after="0"/>
              <w:rPr>
                <w:sz w:val="15"/>
                <w:szCs w:val="15"/>
                <w:color w:val="auto"/>
              </w:rPr>
            </w:pPr>
          </w:p>
        </w:tc>
        <w:tc>
          <w:tcPr>
            <w:tcW w:w="10320" w:type="dxa"/>
            <w:vAlign w:val="bottom"/>
            <w:gridSpan w:val="5"/>
          </w:tcPr>
          <w:p>
            <w:pPr>
              <w:spacing w:after="0"/>
              <w:rPr>
                <w:sz w:val="20"/>
                <w:szCs w:val="20"/>
                <w:color w:val="auto"/>
              </w:rPr>
            </w:pPr>
            <w:r>
              <w:rPr>
                <w:rFonts w:ascii="Arial" w:cs="Arial" w:eastAsia="Arial" w:hAnsi="Arial"/>
                <w:sz w:val="14"/>
                <w:szCs w:val="14"/>
                <w:color w:val="auto"/>
              </w:rPr>
              <w:t>is not experiencing a downturn in financial health.</w:t>
            </w:r>
          </w:p>
        </w:tc>
      </w:tr>
    </w:tbl>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b w:val="1"/>
          <w:bCs w:val="1"/>
          <w:u w:val="single" w:color="auto"/>
          <w:color w:val="auto"/>
        </w:rPr>
        <w:t>Permissible Distribution Delays</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Notwithstanding anything in the Plan to the contrary, to the extent permitted by Section 409A, the Administrator may, in its sole discretion, delay distribution to a Director: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jc w:val="right"/>
              <w:ind w:right="168"/>
              <w:spacing w:after="0"/>
              <w:rPr>
                <w:sz w:val="20"/>
                <w:szCs w:val="20"/>
                <w:color w:val="auto"/>
              </w:rPr>
            </w:pPr>
            <w:r>
              <w:rPr>
                <w:rFonts w:ascii="Arial" w:cs="Arial" w:eastAsia="Arial" w:hAnsi="Arial"/>
                <w:sz w:val="14"/>
                <w:szCs w:val="14"/>
                <w:color w:val="auto"/>
              </w:rPr>
              <w:t>7.2.1</w:t>
            </w:r>
          </w:p>
        </w:tc>
        <w:tc>
          <w:tcPr>
            <w:tcW w:w="10400" w:type="dxa"/>
            <w:vAlign w:val="bottom"/>
          </w:tcPr>
          <w:p>
            <w:pPr>
              <w:ind w:left="240"/>
              <w:spacing w:after="0"/>
              <w:rPr>
                <w:sz w:val="20"/>
                <w:szCs w:val="20"/>
                <w:color w:val="auto"/>
              </w:rPr>
            </w:pPr>
            <w:r>
              <w:rPr>
                <w:rFonts w:ascii="Arial" w:cs="Arial" w:eastAsia="Arial" w:hAnsi="Arial"/>
                <w:sz w:val="14"/>
                <w:szCs w:val="14"/>
                <w:color w:val="auto"/>
                <w:w w:val="94"/>
              </w:rPr>
              <w:t>If the distribution would jeopardize the Company’s ability to continue as a going concern, provided that the delayed distribution is distributed in the first calendar year in which</w:t>
            </w:r>
          </w:p>
        </w:tc>
      </w:tr>
      <w:tr>
        <w:trPr>
          <w:trHeight w:val="182"/>
        </w:trPr>
        <w:tc>
          <w:tcPr>
            <w:tcW w:w="1060" w:type="dxa"/>
            <w:vAlign w:val="bottom"/>
          </w:tcPr>
          <w:p>
            <w:pPr>
              <w:spacing w:after="0"/>
              <w:rPr>
                <w:sz w:val="15"/>
                <w:szCs w:val="15"/>
                <w:color w:val="auto"/>
              </w:rPr>
            </w:pPr>
          </w:p>
        </w:tc>
        <w:tc>
          <w:tcPr>
            <w:tcW w:w="10400" w:type="dxa"/>
            <w:vAlign w:val="bottom"/>
          </w:tcPr>
          <w:p>
            <w:pPr>
              <w:ind w:left="240"/>
              <w:spacing w:after="0"/>
              <w:rPr>
                <w:sz w:val="20"/>
                <w:szCs w:val="20"/>
                <w:color w:val="auto"/>
              </w:rPr>
            </w:pPr>
            <w:r>
              <w:rPr>
                <w:rFonts w:ascii="Arial" w:cs="Arial" w:eastAsia="Arial" w:hAnsi="Arial"/>
                <w:sz w:val="14"/>
                <w:szCs w:val="14"/>
                <w:color w:val="auto"/>
              </w:rPr>
              <w:t>the distribution would not have such effect.</w:t>
            </w:r>
          </w:p>
        </w:tc>
      </w:tr>
      <w:tr>
        <w:trPr>
          <w:trHeight w:val="357"/>
        </w:trPr>
        <w:tc>
          <w:tcPr>
            <w:tcW w:w="1060" w:type="dxa"/>
            <w:vAlign w:val="bottom"/>
          </w:tcPr>
          <w:p>
            <w:pPr>
              <w:jc w:val="right"/>
              <w:ind w:right="168"/>
              <w:spacing w:after="0"/>
              <w:rPr>
                <w:sz w:val="20"/>
                <w:szCs w:val="20"/>
                <w:color w:val="auto"/>
              </w:rPr>
            </w:pPr>
            <w:r>
              <w:rPr>
                <w:rFonts w:ascii="Arial" w:cs="Arial" w:eastAsia="Arial" w:hAnsi="Arial"/>
                <w:sz w:val="14"/>
                <w:szCs w:val="14"/>
                <w:color w:val="auto"/>
              </w:rPr>
              <w:t>7.2.2</w:t>
            </w:r>
          </w:p>
        </w:tc>
        <w:tc>
          <w:tcPr>
            <w:tcW w:w="10400" w:type="dxa"/>
            <w:vAlign w:val="bottom"/>
          </w:tcPr>
          <w:p>
            <w:pPr>
              <w:ind w:left="240"/>
              <w:spacing w:after="0"/>
              <w:rPr>
                <w:sz w:val="20"/>
                <w:szCs w:val="20"/>
                <w:color w:val="auto"/>
              </w:rPr>
            </w:pPr>
            <w:r>
              <w:rPr>
                <w:rFonts w:ascii="Arial" w:cs="Arial" w:eastAsia="Arial" w:hAnsi="Arial"/>
                <w:sz w:val="14"/>
                <w:szCs w:val="14"/>
                <w:color w:val="auto"/>
                <w:w w:val="96"/>
              </w:rPr>
              <w:t>If the distribution would violate Federal securities or other applicable laws, provided that the delayed distribution is distributed at the earliest date at which the Administrator</w:t>
            </w:r>
          </w:p>
        </w:tc>
      </w:tr>
      <w:tr>
        <w:trPr>
          <w:trHeight w:val="182"/>
        </w:trPr>
        <w:tc>
          <w:tcPr>
            <w:tcW w:w="1060" w:type="dxa"/>
            <w:vAlign w:val="bottom"/>
          </w:tcPr>
          <w:p>
            <w:pPr>
              <w:spacing w:after="0"/>
              <w:rPr>
                <w:sz w:val="15"/>
                <w:szCs w:val="15"/>
                <w:color w:val="auto"/>
              </w:rPr>
            </w:pPr>
          </w:p>
        </w:tc>
        <w:tc>
          <w:tcPr>
            <w:tcW w:w="10400" w:type="dxa"/>
            <w:vAlign w:val="bottom"/>
          </w:tcPr>
          <w:p>
            <w:pPr>
              <w:ind w:left="240"/>
              <w:spacing w:after="0"/>
              <w:rPr>
                <w:sz w:val="20"/>
                <w:szCs w:val="20"/>
                <w:color w:val="auto"/>
              </w:rPr>
            </w:pPr>
            <w:r>
              <w:rPr>
                <w:rFonts w:ascii="Arial" w:cs="Arial" w:eastAsia="Arial" w:hAnsi="Arial"/>
                <w:sz w:val="14"/>
                <w:szCs w:val="14"/>
                <w:color w:val="auto"/>
              </w:rPr>
              <w:t>reasonably anticipates that the distribution will not cause such violation.</w:t>
            </w:r>
          </w:p>
        </w:tc>
      </w:tr>
      <w:tr>
        <w:trPr>
          <w:trHeight w:val="560"/>
        </w:trPr>
        <w:tc>
          <w:tcPr>
            <w:tcW w:w="106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14"/>
                <w:szCs w:val="14"/>
                <w:color w:val="auto"/>
              </w:rPr>
              <w:t>7</w:t>
            </w:r>
          </w:p>
        </w:tc>
      </w:tr>
      <w:tr>
        <w:trPr>
          <w:trHeight w:val="93"/>
        </w:trPr>
        <w:tc>
          <w:tcPr>
            <w:tcW w:w="1060" w:type="dxa"/>
            <w:vAlign w:val="bottom"/>
            <w:tcBorders>
              <w:bottom w:val="single" w:sz="8" w:color="808080"/>
            </w:tcBorders>
          </w:tcPr>
          <w:p>
            <w:pPr>
              <w:spacing w:after="0"/>
              <w:rPr>
                <w:sz w:val="8"/>
                <w:szCs w:val="8"/>
                <w:color w:val="auto"/>
              </w:rPr>
            </w:pPr>
          </w:p>
        </w:tc>
        <w:tc>
          <w:tcPr>
            <w:tcW w:w="104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19" w:name="page220"/>
    <w:bookmarkEnd w:id="219"/>
    <w:p>
      <w:pPr>
        <w:ind w:left="1160" w:right="380" w:hanging="678"/>
        <w:spacing w:after="0" w:line="288" w:lineRule="auto"/>
        <w:tabs>
          <w:tab w:leader="none" w:pos="1140" w:val="left"/>
        </w:tabs>
        <w:rPr>
          <w:sz w:val="20"/>
          <w:szCs w:val="20"/>
          <w:color w:val="auto"/>
        </w:rPr>
      </w:pPr>
      <w:r>
        <w:rPr>
          <w:rFonts w:ascii="Arial" w:cs="Arial" w:eastAsia="Arial" w:hAnsi="Arial"/>
          <w:sz w:val="14"/>
          <w:szCs w:val="14"/>
          <w:color w:val="auto"/>
        </w:rPr>
        <w:t>7.2.3</w:t>
      </w:r>
      <w:r>
        <w:rPr>
          <w:sz w:val="20"/>
          <w:szCs w:val="20"/>
          <w:color w:val="auto"/>
        </w:rPr>
        <w:tab/>
      </w:r>
      <w:r>
        <w:rPr>
          <w:rFonts w:ascii="Arial" w:cs="Arial" w:eastAsia="Arial" w:hAnsi="Arial"/>
          <w:sz w:val="14"/>
          <w:szCs w:val="14"/>
          <w:color w:val="auto"/>
        </w:rPr>
        <w:t>If calculation of the distribution is not administratively practicable due to events beyond the control of the Director, provided that the delayed distribution is paid in the first calendar year in which the calculation of the distribution is administratively practicable.</w:t>
      </w:r>
    </w:p>
    <w:p>
      <w:pPr>
        <w:spacing w:after="0" w:line="34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2"/>
          <w:szCs w:val="12"/>
          <w:b w:val="1"/>
          <w:bCs w:val="1"/>
          <w:u w:val="single" w:color="auto"/>
          <w:color w:val="auto"/>
        </w:rPr>
        <w:t>Suspension Not Allowed</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line="288" w:lineRule="auto"/>
        <w:rPr>
          <w:sz w:val="20"/>
          <w:szCs w:val="20"/>
          <w:color w:val="auto"/>
        </w:rPr>
      </w:pPr>
      <w:r>
        <w:rPr>
          <w:rFonts w:ascii="Arial" w:cs="Arial" w:eastAsia="Arial" w:hAnsi="Arial"/>
          <w:sz w:val="14"/>
          <w:szCs w:val="14"/>
          <w:color w:val="auto"/>
        </w:rPr>
        <w:t>If a Director whose distributions have commenced becomes eligible again to defer Compensation under any plan maintained by a Related Company, distribution of any remaining amounts in his Account may not be suspended.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Beneficiary Designation</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b w:val="1"/>
          <w:bCs w:val="1"/>
          <w:u w:val="single" w:color="auto"/>
          <w:color w:val="auto"/>
        </w:rPr>
        <w:t>Beneficiary</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120"/>
        <w:spacing w:after="0" w:line="294" w:lineRule="auto"/>
        <w:rPr>
          <w:sz w:val="20"/>
          <w:szCs w:val="20"/>
          <w:color w:val="auto"/>
        </w:rPr>
      </w:pPr>
      <w:r>
        <w:rPr>
          <w:rFonts w:ascii="Arial" w:cs="Arial" w:eastAsia="Arial" w:hAnsi="Arial"/>
          <w:sz w:val="13"/>
          <w:szCs w:val="13"/>
          <w:color w:val="auto"/>
        </w:rPr>
        <w:t>Each Director shall have the right, at any time, to designate a Beneficiary(ies) (both primary as well as contingent) to whom a Director’s Account shall be paid if a Director dies prior to complete distribution of the Account. Each Beneficiary designation shall be in a written form prescribed by the Administrator, and will be effective only when filed with the Administrator during the Director’s lifetime. Any Beneficiary designation may be changed by a Director without the consent of the previously named Beneficiary by filing a new Beneficiary designation with the Administrator. The most recent Beneficiary designation received by the Administrator shall control the distribution of a Director’s Account in the event of the Director’s death.</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2"/>
          <w:szCs w:val="12"/>
          <w:b w:val="1"/>
          <w:bCs w:val="1"/>
          <w:u w:val="single" w:color="auto"/>
          <w:color w:val="auto"/>
        </w:rPr>
        <w:t>No Beneficiary Designation</w:t>
      </w:r>
      <w:r>
        <w:rPr>
          <w:rFonts w:ascii="Arial" w:cs="Arial" w:eastAsia="Arial" w:hAnsi="Arial"/>
          <w:sz w:val="12"/>
          <w:szCs w:val="12"/>
          <w:b w:val="1"/>
          <w:bCs w:val="1"/>
          <w:color w:val="auto"/>
        </w:rPr>
        <w:t>.</w:t>
      </w:r>
    </w:p>
    <w:p>
      <w:pPr>
        <w:spacing w:after="0" w:line="209" w:lineRule="exact"/>
        <w:rPr>
          <w:sz w:val="20"/>
          <w:szCs w:val="20"/>
          <w:color w:val="auto"/>
        </w:rPr>
      </w:pPr>
    </w:p>
    <w:p>
      <w:pPr>
        <w:ind w:left="520" w:right="340"/>
        <w:spacing w:after="0" w:line="272" w:lineRule="auto"/>
        <w:rPr>
          <w:sz w:val="20"/>
          <w:szCs w:val="20"/>
          <w:color w:val="auto"/>
        </w:rPr>
      </w:pPr>
      <w:r>
        <w:rPr>
          <w:rFonts w:ascii="Arial" w:cs="Arial" w:eastAsia="Arial" w:hAnsi="Arial"/>
          <w:sz w:val="14"/>
          <w:szCs w:val="14"/>
          <w:color w:val="auto"/>
        </w:rPr>
        <w:t>In the absence of an effective Beneficiary designation, or if all designated Beneficiaries predecease the Director or die prior to the complete distribution of the Director’s Account, the Account shall be paid in the following order of precedence: (a) the Director’s surviving spouse; (b) the Director’s children (including adopted children), per stirpes; or (c) the Director’s estate.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9</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Claims Procedures</w:t>
      </w:r>
    </w:p>
    <w:p>
      <w:pPr>
        <w:spacing w:after="0" w:line="209" w:lineRule="exact"/>
        <w:rPr>
          <w:sz w:val="20"/>
          <w:szCs w:val="20"/>
          <w:color w:val="auto"/>
        </w:rPr>
      </w:pPr>
    </w:p>
    <w:p>
      <w:pPr>
        <w:ind w:right="540" w:firstLine="517"/>
        <w:spacing w:after="0" w:line="288" w:lineRule="auto"/>
        <w:rPr>
          <w:sz w:val="20"/>
          <w:szCs w:val="20"/>
          <w:color w:val="auto"/>
        </w:rPr>
      </w:pPr>
      <w:r>
        <w:rPr>
          <w:rFonts w:ascii="Arial" w:cs="Arial" w:eastAsia="Arial" w:hAnsi="Arial"/>
          <w:sz w:val="14"/>
          <w:szCs w:val="14"/>
          <w:color w:val="auto"/>
        </w:rPr>
        <w:t>Any Director or Beneficiary, or his or her authorized representative, may file a claim for benefits due him or her under the Plan by written request to the Company, setting forth with specificity the facts and events which give rise to the claim. The Company shall promptly respond, consistent with any legal requirements that might apply.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Amendment or Termination</w:t>
      </w:r>
    </w:p>
    <w:p>
      <w:pPr>
        <w:spacing w:after="0" w:line="209" w:lineRule="exact"/>
        <w:rPr>
          <w:sz w:val="20"/>
          <w:szCs w:val="20"/>
          <w:color w:val="auto"/>
        </w:rPr>
      </w:pPr>
    </w:p>
    <w:p>
      <w:pPr>
        <w:ind w:right="40" w:firstLine="517"/>
        <w:spacing w:after="0" w:line="294" w:lineRule="auto"/>
        <w:rPr>
          <w:sz w:val="20"/>
          <w:szCs w:val="20"/>
          <w:color w:val="auto"/>
        </w:rPr>
      </w:pPr>
      <w:r>
        <w:rPr>
          <w:rFonts w:ascii="Arial" w:cs="Arial" w:eastAsia="Arial" w:hAnsi="Arial"/>
          <w:sz w:val="13"/>
          <w:szCs w:val="13"/>
          <w:color w:val="auto"/>
        </w:rPr>
        <w:t>The Company hereby reserves the right to amend, modify, or terminate the Plan at any time by action of the Board, with or without prior notice. No amendment or termination shall reduce any Director’s Account without the written consent of the affected Director. Notwithstanding anything herein to the contrary, to the extent consistent with Section 409A, the Board may terminate the Plan and distribute to each Director the amount in his or her Account in a lump sum; provided that all distributions (i) commence no earlier than the date that is twelve (12) months following the termination date (or any earlier date that would comply with Section 409A) and (ii) are completed by the date that is twenty-four (24) months following the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220" w:name="page221"/>
    <w:bookmarkEnd w:id="220"/>
    <w:p>
      <w:pPr>
        <w:jc w:val="both"/>
        <w:spacing w:after="0" w:line="267" w:lineRule="auto"/>
        <w:rPr>
          <w:sz w:val="20"/>
          <w:szCs w:val="20"/>
          <w:color w:val="auto"/>
        </w:rPr>
      </w:pPr>
      <w:r>
        <w:rPr>
          <w:rFonts w:ascii="Arial" w:cs="Arial" w:eastAsia="Arial" w:hAnsi="Arial"/>
          <w:sz w:val="14"/>
          <w:szCs w:val="14"/>
          <w:color w:val="auto"/>
        </w:rPr>
        <w:t>termination date (or any later date that would comply with Section 409A). In addition, distributions may be accelerated upon a Plan termination as provided above only if, to the extent required under Section 409A, (i) all other nonqualified deferred compensation “account balance plans” (within the meaning of Section 409A), in which any Director participates are terminated along with the Plan, and (ii) the Company does not adopt any new nonqualified deferred compensation “account balance plan” (within the meaning of Section 409A), for three years following the date of Plan termination.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Miscellaneous Provisions</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b w:val="1"/>
          <w:bCs w:val="1"/>
          <w:u w:val="single" w:color="auto"/>
          <w:color w:val="auto"/>
        </w:rPr>
        <w:t>Unsecured General Creditor</w:t>
      </w:r>
      <w:r>
        <w:rPr>
          <w:rFonts w:ascii="Arial" w:cs="Arial" w:eastAsia="Arial" w:hAnsi="Arial"/>
          <w:sz w:val="13"/>
          <w:szCs w:val="13"/>
          <w:b w:val="1"/>
          <w:bCs w:val="1"/>
          <w:color w:val="auto"/>
        </w:rPr>
        <w:t>.</w:t>
      </w:r>
    </w:p>
    <w:p>
      <w:pPr>
        <w:spacing w:after="0" w:line="209" w:lineRule="exact"/>
        <w:rPr>
          <w:sz w:val="20"/>
          <w:szCs w:val="20"/>
          <w:color w:val="auto"/>
        </w:rPr>
      </w:pPr>
    </w:p>
    <w:p>
      <w:pPr>
        <w:jc w:val="both"/>
        <w:ind w:left="520" w:right="480"/>
        <w:spacing w:after="0" w:line="272" w:lineRule="auto"/>
        <w:rPr>
          <w:sz w:val="20"/>
          <w:szCs w:val="20"/>
          <w:color w:val="auto"/>
        </w:rPr>
      </w:pPr>
      <w:r>
        <w:rPr>
          <w:rFonts w:ascii="Arial" w:cs="Arial" w:eastAsia="Arial" w:hAnsi="Arial"/>
          <w:sz w:val="14"/>
          <w:szCs w:val="14"/>
          <w:color w:val="auto"/>
        </w:rPr>
        <w:t>Directors and their Beneficiaries, heirs, successors and assigns shall have no legal or equitable rights, interests or claims in any property or assets of the Company. Any and all of the Company’s assets shall be, and remain, the general, unpledged unrestricted assets of the Company. The Company’s obligation under the Plan shall be merely that of an unfunded and unsecured promise to pay money in the future.</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3"/>
          <w:szCs w:val="13"/>
          <w:b w:val="1"/>
          <w:bCs w:val="1"/>
          <w:u w:val="single" w:color="auto"/>
          <w:color w:val="auto"/>
        </w:rPr>
        <w:t>Trust Fund</w:t>
      </w:r>
      <w:r>
        <w:rPr>
          <w:rFonts w:ascii="Arial" w:cs="Arial" w:eastAsia="Arial" w:hAnsi="Arial"/>
          <w:sz w:val="13"/>
          <w:szCs w:val="13"/>
          <w:b w:val="1"/>
          <w:bCs w:val="1"/>
          <w:color w:val="auto"/>
        </w:rPr>
        <w:t>.</w:t>
      </w:r>
    </w:p>
    <w:p>
      <w:pPr>
        <w:spacing w:after="0" w:line="209" w:lineRule="exact"/>
        <w:rPr>
          <w:sz w:val="20"/>
          <w:szCs w:val="20"/>
          <w:color w:val="auto"/>
        </w:rPr>
      </w:pPr>
    </w:p>
    <w:p>
      <w:pPr>
        <w:jc w:val="both"/>
        <w:ind w:left="520" w:right="60"/>
        <w:spacing w:after="0" w:line="272" w:lineRule="auto"/>
        <w:rPr>
          <w:sz w:val="20"/>
          <w:szCs w:val="20"/>
          <w:color w:val="auto"/>
        </w:rPr>
      </w:pPr>
      <w:r>
        <w:rPr>
          <w:rFonts w:ascii="Arial" w:cs="Arial" w:eastAsia="Arial" w:hAnsi="Arial"/>
          <w:sz w:val="14"/>
          <w:szCs w:val="14"/>
          <w:color w:val="auto"/>
        </w:rPr>
        <w:t>At its discretion, the Company may establish a Trust, with such trustees as the Company may approve, for the purpose of providing for the distribution of benefits owed under this Plan. The Trust’s assets shall be held for distribution of all the Company’s general creditors in the event of insolvency or bankruptcy. To the extent any Plan benefits are paid from any such Trust, the Company shall have no further obligations to pay them. If not paid from the Trust, such benefits shall remain the obligation of the Company.</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2"/>
          <w:szCs w:val="12"/>
          <w:b w:val="1"/>
          <w:bCs w:val="1"/>
          <w:u w:val="single" w:color="auto"/>
          <w:color w:val="auto"/>
        </w:rPr>
        <w:t>Section 409A Compliance</w:t>
      </w:r>
      <w:r>
        <w:rPr>
          <w:rFonts w:ascii="Arial" w:cs="Arial" w:eastAsia="Arial" w:hAnsi="Arial"/>
          <w:sz w:val="12"/>
          <w:szCs w:val="12"/>
          <w:b w:val="1"/>
          <w:bCs w:val="1"/>
          <w:color w:val="auto"/>
        </w:rPr>
        <w:t>.</w:t>
      </w:r>
    </w:p>
    <w:p>
      <w:pPr>
        <w:spacing w:after="0" w:line="209" w:lineRule="exact"/>
        <w:rPr>
          <w:sz w:val="20"/>
          <w:szCs w:val="20"/>
          <w:color w:val="auto"/>
        </w:rPr>
      </w:pPr>
    </w:p>
    <w:p>
      <w:pPr>
        <w:ind w:left="520" w:right="180"/>
        <w:spacing w:after="0" w:line="272" w:lineRule="auto"/>
        <w:rPr>
          <w:sz w:val="20"/>
          <w:szCs w:val="20"/>
          <w:color w:val="auto"/>
        </w:rPr>
      </w:pPr>
      <w:r>
        <w:rPr>
          <w:rFonts w:ascii="Arial" w:cs="Arial" w:eastAsia="Arial" w:hAnsi="Arial"/>
          <w:sz w:val="14"/>
          <w:szCs w:val="14"/>
          <w:color w:val="auto"/>
        </w:rPr>
        <w:t>All provisions of the Plan shall be interpreted and administered to the extent possible in a manner consistent with Section 409A. To 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Director.</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3"/>
          <w:szCs w:val="13"/>
          <w:b w:val="1"/>
          <w:bCs w:val="1"/>
          <w:u w:val="single" w:color="auto"/>
          <w:color w:val="auto"/>
        </w:rPr>
        <w:t>Company’s Liability</w:t>
      </w:r>
      <w:r>
        <w:rPr>
          <w:rFonts w:ascii="Arial" w:cs="Arial" w:eastAsia="Arial" w:hAnsi="Arial"/>
          <w:sz w:val="13"/>
          <w:szCs w:val="13"/>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Company’s liability for the distribution of benefits shall be defined only by the Plan. The Company shall have no obligation to a Director except as expressly provided in the Plan.</w:t>
      </w:r>
    </w:p>
    <w:p>
      <w:pPr>
        <w:spacing w:after="0" w:line="21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2"/>
          <w:szCs w:val="12"/>
          <w:b w:val="1"/>
          <w:bCs w:val="1"/>
          <w:u w:val="single" w:color="auto"/>
          <w:color w:val="auto"/>
        </w:rPr>
        <w:t>Nonassignability</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Neither a Director nor any other person shall have any right to commute, sell, assign, transfer, pledge, anticipate, mortgage or otherwise encumber, transfer, hypothecate, alienate or convey</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advance of actual receipt, the amounts, if any, payable hereunder, or any part thereof, which are, and all rights to which are expressly declared to be, unassignable and non-</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transferable. No part of the amounts payable shall, prior to actual payment, be subject to seizure, attachment, garnishment or sequestration for the payment of any debts, judgments, alimony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or separate maintenance owed by a Director or any other person, be transferable by operation of law in the event of a Director’s or any other person’s bankruptcy or insolvency or be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transferable to a spouse as a result of a property settlement or otherwise.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221" w:name="page222"/>
    <w:bookmarkEnd w:id="221"/>
    <w:p>
      <w:pPr>
        <w:spacing w:after="0"/>
        <w:tabs>
          <w:tab w:leader="none" w:pos="50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3"/>
          <w:szCs w:val="13"/>
          <w:b w:val="1"/>
          <w:bCs w:val="1"/>
          <w:u w:val="single" w:color="auto"/>
          <w:color w:val="auto"/>
        </w:rPr>
        <w:t>No Right to Board Position</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240"/>
        <w:spacing w:after="0" w:line="288" w:lineRule="auto"/>
        <w:rPr>
          <w:sz w:val="20"/>
          <w:szCs w:val="20"/>
          <w:color w:val="auto"/>
        </w:rPr>
      </w:pPr>
      <w:r>
        <w:rPr>
          <w:rFonts w:ascii="Arial" w:cs="Arial" w:eastAsia="Arial" w:hAnsi="Arial"/>
          <w:sz w:val="14"/>
          <w:szCs w:val="14"/>
          <w:color w:val="auto"/>
        </w:rPr>
        <w:t>Nothing in the Plan shall be deemed to create any obligation on the part of the Board to nominate any of its members for reelection by the Company’s stockholders, nor confer upon any Director the right to remain a member of the Board for any period of time, or at any particular rate of compensation.</w:t>
      </w:r>
    </w:p>
    <w:p>
      <w:pPr>
        <w:spacing w:after="0" w:line="14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2"/>
          <w:szCs w:val="12"/>
          <w:b w:val="1"/>
          <w:bCs w:val="1"/>
          <w:u w:val="single" w:color="auto"/>
          <w:color w:val="auto"/>
        </w:rPr>
        <w:t>Incompetency</w:t>
      </w:r>
      <w:r>
        <w:rPr>
          <w:rFonts w:ascii="Arial" w:cs="Arial" w:eastAsia="Arial" w:hAnsi="Arial"/>
          <w:sz w:val="12"/>
          <w:szCs w:val="12"/>
          <w:b w:val="1"/>
          <w:bCs w:val="1"/>
          <w:color w:val="auto"/>
        </w:rPr>
        <w:t>.</w:t>
      </w:r>
    </w:p>
    <w:p>
      <w:pPr>
        <w:spacing w:after="0" w:line="209" w:lineRule="exact"/>
        <w:rPr>
          <w:sz w:val="20"/>
          <w:szCs w:val="20"/>
          <w:color w:val="auto"/>
        </w:rPr>
      </w:pPr>
    </w:p>
    <w:p>
      <w:pPr>
        <w:ind w:left="520" w:right="380"/>
        <w:spacing w:after="0" w:line="294" w:lineRule="auto"/>
        <w:rPr>
          <w:sz w:val="20"/>
          <w:szCs w:val="20"/>
          <w:color w:val="auto"/>
        </w:rPr>
      </w:pPr>
      <w:r>
        <w:rPr>
          <w:rFonts w:ascii="Arial" w:cs="Arial" w:eastAsia="Arial" w:hAnsi="Arial"/>
          <w:sz w:val="13"/>
          <w:szCs w:val="13"/>
          <w:color w:val="auto"/>
        </w:rPr>
        <w:t>If the Administrator determines that a distribution under this Plan is to be paid to a minor, to a person 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Any distribution shall be for the account of the Director and the Director’s Beneficiary, as the case may be, and shall completely discharge any liability for such amount.</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3"/>
          <w:szCs w:val="13"/>
          <w:b w:val="1"/>
          <w:bCs w:val="1"/>
          <w:u w:val="single" w:color="auto"/>
          <w:color w:val="auto"/>
        </w:rPr>
        <w:t>Furnishing Information</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20"/>
        <w:spacing w:after="0" w:line="288" w:lineRule="auto"/>
        <w:rPr>
          <w:sz w:val="20"/>
          <w:szCs w:val="20"/>
          <w:color w:val="auto"/>
        </w:rPr>
      </w:pPr>
      <w:r>
        <w:rPr>
          <w:rFonts w:ascii="Arial" w:cs="Arial" w:eastAsia="Arial" w:hAnsi="Arial"/>
          <w:sz w:val="14"/>
          <w:szCs w:val="14"/>
          <w:color w:val="auto"/>
        </w:rPr>
        <w:t>A Director or his Beneficiary will cooperate with the Administrator by furnishing any and all information requested by the Administrator and take such other actions as may be requested in order to facilitate the administration of the Plan and the distributions hereunder.</w:t>
      </w:r>
    </w:p>
    <w:p>
      <w:pPr>
        <w:spacing w:after="0" w:line="14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3"/>
          <w:szCs w:val="13"/>
          <w:b w:val="1"/>
          <w:bCs w:val="1"/>
          <w:u w:val="single" w:color="auto"/>
          <w:color w:val="auto"/>
        </w:rPr>
        <w:t>Notice</w:t>
      </w:r>
      <w:r>
        <w:rPr>
          <w:rFonts w:ascii="Arial" w:cs="Arial" w:eastAsia="Arial" w:hAnsi="Arial"/>
          <w:sz w:val="13"/>
          <w:szCs w:val="13"/>
          <w:b w:val="1"/>
          <w:bCs w:val="1"/>
          <w:color w:val="auto"/>
        </w:rPr>
        <w:t>.</w:t>
      </w:r>
    </w:p>
    <w:p>
      <w:pPr>
        <w:spacing w:after="0" w:line="209" w:lineRule="exact"/>
        <w:rPr>
          <w:sz w:val="20"/>
          <w:szCs w:val="20"/>
          <w:color w:val="auto"/>
        </w:rPr>
      </w:pPr>
    </w:p>
    <w:p>
      <w:pPr>
        <w:jc w:val="both"/>
        <w:ind w:left="520" w:right="60"/>
        <w:spacing w:after="0" w:line="302" w:lineRule="auto"/>
        <w:rPr>
          <w:sz w:val="20"/>
          <w:szCs w:val="20"/>
          <w:color w:val="auto"/>
        </w:rPr>
      </w:pPr>
      <w:r>
        <w:rPr>
          <w:rFonts w:ascii="Arial" w:cs="Arial" w:eastAsia="Arial" w:hAnsi="Arial"/>
          <w:sz w:val="13"/>
          <w:szCs w:val="13"/>
          <w:color w:val="auto"/>
        </w:rPr>
        <w:t>Any notice or filing required or permitted under the Plan shall be sufficient if in writing and if (i) hand-delivered 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11.10</w:t>
      </w:r>
      <w:r>
        <w:rPr>
          <w:sz w:val="20"/>
          <w:szCs w:val="20"/>
          <w:color w:val="auto"/>
        </w:rPr>
        <w:tab/>
      </w:r>
      <w:r>
        <w:rPr>
          <w:rFonts w:ascii="Arial" w:cs="Arial" w:eastAsia="Arial" w:hAnsi="Arial"/>
          <w:sz w:val="13"/>
          <w:szCs w:val="13"/>
          <w:b w:val="1"/>
          <w:bCs w:val="1"/>
          <w:u w:val="single" w:color="auto"/>
          <w:color w:val="auto"/>
        </w:rPr>
        <w:t>Gender and Number</w:t>
      </w:r>
      <w:r>
        <w:rPr>
          <w:rFonts w:ascii="Arial" w:cs="Arial" w:eastAsia="Arial" w:hAnsi="Arial"/>
          <w:sz w:val="13"/>
          <w:szCs w:val="13"/>
          <w:b w:val="1"/>
          <w:bCs w:val="1"/>
          <w:color w:val="auto"/>
        </w:rPr>
        <w:t>.</w:t>
      </w:r>
    </w:p>
    <w:p>
      <w:pPr>
        <w:spacing w:after="0" w:line="209" w:lineRule="exact"/>
        <w:rPr>
          <w:sz w:val="20"/>
          <w:szCs w:val="20"/>
          <w:color w:val="auto"/>
        </w:rPr>
      </w:pPr>
    </w:p>
    <w:p>
      <w:pPr>
        <w:ind w:left="520" w:right="100"/>
        <w:spacing w:after="0" w:line="288" w:lineRule="auto"/>
        <w:rPr>
          <w:sz w:val="20"/>
          <w:szCs w:val="20"/>
          <w:color w:val="auto"/>
        </w:rPr>
      </w:pPr>
      <w:r>
        <w:rPr>
          <w:rFonts w:ascii="Arial" w:cs="Arial" w:eastAsia="Arial" w:hAnsi="Arial"/>
          <w:sz w:val="14"/>
          <w:szCs w:val="14"/>
          <w:color w:val="auto"/>
        </w:rPr>
        <w:t>Except when otherwise indicated by context, words in the masculine gender shall include the feminine and neuter genders, the singular shall include the plural, and the plural shall include the singular.</w:t>
      </w:r>
    </w:p>
    <w:p>
      <w:pPr>
        <w:spacing w:after="0" w:line="14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2"/>
          <w:szCs w:val="12"/>
          <w:b w:val="1"/>
          <w:bCs w:val="1"/>
          <w:u w:val="single" w:color="auto"/>
          <w:color w:val="auto"/>
        </w:rPr>
        <w:t>Headings</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headings contained in this Plan are for convenience only and will not control or affect the meaning or construction of any of the terms or provisions of this Plan.</w:t>
      </w:r>
    </w:p>
    <w:p>
      <w:pPr>
        <w:spacing w:after="0" w:line="201"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3"/>
          <w:szCs w:val="13"/>
          <w:b w:val="1"/>
          <w:bCs w:val="1"/>
          <w:u w:val="single" w:color="auto"/>
          <w:color w:val="auto"/>
        </w:rPr>
        <w:t>Applicable Law and Construction</w:t>
      </w:r>
      <w:r>
        <w:rPr>
          <w:rFonts w:ascii="Arial" w:cs="Arial" w:eastAsia="Arial" w:hAnsi="Arial"/>
          <w:sz w:val="13"/>
          <w:szCs w:val="13"/>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Plan shall be governed by, construed and administered in accordance with the laws of the State of Minnesota, other than its laws respecting choice of law.</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11.13</w:t>
      </w:r>
      <w:r>
        <w:rPr>
          <w:sz w:val="20"/>
          <w:szCs w:val="20"/>
          <w:color w:val="auto"/>
        </w:rPr>
        <w:tab/>
      </w:r>
      <w:r>
        <w:rPr>
          <w:rFonts w:ascii="Arial" w:cs="Arial" w:eastAsia="Arial" w:hAnsi="Arial"/>
          <w:sz w:val="12"/>
          <w:szCs w:val="12"/>
          <w:b w:val="1"/>
          <w:bCs w:val="1"/>
          <w:u w:val="single" w:color="auto"/>
          <w:color w:val="auto"/>
        </w:rPr>
        <w:t>Invalid or Unenforceable Provisions</w:t>
      </w:r>
      <w:r>
        <w:rPr>
          <w:rFonts w:ascii="Arial" w:cs="Arial" w:eastAsia="Arial" w:hAnsi="Arial"/>
          <w:sz w:val="12"/>
          <w:szCs w:val="12"/>
          <w:b w:val="1"/>
          <w:bCs w:val="1"/>
          <w:color w:val="auto"/>
        </w:rPr>
        <w:t>.</w:t>
      </w:r>
    </w:p>
    <w:p>
      <w:pPr>
        <w:spacing w:after="0" w:line="209" w:lineRule="exact"/>
        <w:rPr>
          <w:sz w:val="20"/>
          <w:szCs w:val="20"/>
          <w:color w:val="auto"/>
        </w:rPr>
      </w:pPr>
    </w:p>
    <w:p>
      <w:pPr>
        <w:ind w:left="520"/>
        <w:spacing w:after="0" w:line="272" w:lineRule="auto"/>
        <w:rPr>
          <w:sz w:val="20"/>
          <w:szCs w:val="20"/>
          <w:color w:val="auto"/>
        </w:rPr>
      </w:pPr>
      <w:r>
        <w:rPr>
          <w:rFonts w:ascii="Arial" w:cs="Arial" w:eastAsia="Arial" w:hAnsi="Arial"/>
          <w:sz w:val="14"/>
          <w:szCs w:val="14"/>
          <w:color w:val="auto"/>
        </w:rPr>
        <w:t>If any provision of this Plan shall be held invalid or unenforceable, such invalidity 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16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11.14</w:t>
      </w:r>
      <w:r>
        <w:rPr>
          <w:sz w:val="20"/>
          <w:szCs w:val="20"/>
          <w:color w:val="auto"/>
        </w:rPr>
        <w:tab/>
      </w:r>
      <w:r>
        <w:rPr>
          <w:rFonts w:ascii="Arial" w:cs="Arial" w:eastAsia="Arial" w:hAnsi="Arial"/>
          <w:sz w:val="11"/>
          <w:szCs w:val="11"/>
          <w:b w:val="1"/>
          <w:bCs w:val="1"/>
          <w:u w:val="single" w:color="auto"/>
          <w:color w:val="auto"/>
        </w:rPr>
        <w:t>Successors</w:t>
      </w:r>
      <w:r>
        <w:rPr>
          <w:rFonts w:ascii="Arial" w:cs="Arial" w:eastAsia="Arial" w:hAnsi="Arial"/>
          <w:sz w:val="11"/>
          <w:szCs w:val="11"/>
          <w:b w:val="1"/>
          <w:bCs w:val="1"/>
          <w:color w:val="auto"/>
        </w:rPr>
        <w: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Plan shall bind any successor (whether direct or indirect, by purchase, merger, consolidation or otherwise) to all or substantially all of the business or assets of</w:t>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60"/>
          </w:cols>
          <w:pgMar w:left="220" w:top="437" w:right="319" w:bottom="1440" w:gutter="0" w:footer="0" w:header="0"/>
        </w:sectPr>
      </w:pPr>
    </w:p>
    <w:bookmarkStart w:id="222" w:name="page223"/>
    <w:bookmarkEnd w:id="222"/>
    <w:p>
      <w:pPr>
        <w:spacing w:after="0" w:line="267" w:lineRule="auto"/>
        <w:rPr>
          <w:sz w:val="20"/>
          <w:szCs w:val="20"/>
          <w:color w:val="auto"/>
        </w:rPr>
      </w:pPr>
      <w:r>
        <w:rPr>
          <w:rFonts w:ascii="Arial" w:cs="Arial" w:eastAsia="Arial" w:hAnsi="Arial"/>
          <w:sz w:val="14"/>
          <w:szCs w:val="14"/>
          <w:color w:val="auto"/>
        </w:rPr>
        <w:t>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Company under this Plan, in the same manner and to the same extent that the Company and each Company would be required to perform if no such succession had taken place.</w:t>
      </w:r>
    </w:p>
    <w:p>
      <w:pPr>
        <w:spacing w:after="0" w:line="163"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ARTICLE 12</w:t>
      </w: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u w:val="single" w:color="auto"/>
          <w:color w:val="auto"/>
        </w:rPr>
        <w:t>Definitions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terms shall have the meanings set forth below:</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“Account” means the Company’s bookkeeping entry representing the Director’s Deferrals, and such other accounts or sub-accounts as the Administrator deems necessary or appropriate.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“Administrator” means the Executive Compensation Committee of the Board.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“Beneficiary” means one or more persons, trusts, estates or other entities, designated in accordance with this Plan, that are entitled to receive Plan benefits upon the death of a Director.</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“Board” means the Board of Directors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“Code” means the Internal Revenue Code of 1986, as it may be amended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“Company” means ALLETE, Inc., a Minnesota Corporation, and any successor to all, or substantially all, of the Company’s assets or business.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“Compensation” means the cash compensation for services as a Director, excluding perquisites and reimbursements.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“Deferrals” means any portion of a Director’s Compensation that a Director elects to defer in accordance with the Plan.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 means a member of the Board who is not an employee of any Related Company.</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“Distribution Event” means a Specified Year, a Separation from Service or the Administrator’s determination regarding the occurrence of an Unforeseeable Emergency.</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“IRS” means the Internal Revenue Service.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“Plan” means the ALLETE Non-Employee Director Compensation Deferral Plan II, as amended from time to time.</w:t>
      </w:r>
    </w:p>
    <w:p>
      <w:pPr>
        <w:spacing w:after="0" w:line="200" w:lineRule="exact"/>
        <w:rPr>
          <w:sz w:val="20"/>
          <w:szCs w:val="20"/>
          <w:color w:val="auto"/>
        </w:rPr>
      </w:pPr>
    </w:p>
    <w:p>
      <w:pPr>
        <w:spacing w:after="0" w:line="31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00"/>
          </w:cols>
          <w:pgMar w:left="740" w:top="441" w:right="259" w:bottom="1440" w:gutter="0" w:footer="0" w:header="0"/>
        </w:sectPr>
      </w:pPr>
    </w:p>
    <w:bookmarkStart w:id="223" w:name="page224"/>
    <w:bookmarkEnd w:id="223"/>
    <w:p>
      <w:pPr>
        <w:ind w:left="520"/>
        <w:spacing w:after="0"/>
        <w:rPr>
          <w:sz w:val="20"/>
          <w:szCs w:val="20"/>
          <w:color w:val="auto"/>
        </w:rPr>
      </w:pPr>
      <w:r>
        <w:rPr>
          <w:rFonts w:ascii="Arial" w:cs="Arial" w:eastAsia="Arial" w:hAnsi="Arial"/>
          <w:sz w:val="14"/>
          <w:szCs w:val="14"/>
          <w:color w:val="auto"/>
        </w:rPr>
        <w:t>“Plan Year” means a period beginning on January 1 of each calendar year and continuing through December 31 of such calendar year.</w:t>
      </w:r>
    </w:p>
    <w:p>
      <w:pPr>
        <w:spacing w:after="0" w:line="205" w:lineRule="exact"/>
        <w:rPr>
          <w:sz w:val="20"/>
          <w:szCs w:val="20"/>
          <w:color w:val="auto"/>
        </w:rPr>
      </w:pPr>
    </w:p>
    <w:p>
      <w:pPr>
        <w:ind w:right="160" w:firstLine="517"/>
        <w:spacing w:after="0" w:line="263" w:lineRule="auto"/>
        <w:rPr>
          <w:sz w:val="20"/>
          <w:szCs w:val="20"/>
          <w:color w:val="auto"/>
        </w:rPr>
      </w:pPr>
      <w:r>
        <w:rPr>
          <w:rFonts w:ascii="Arial" w:cs="Arial" w:eastAsia="Arial" w:hAnsi="Arial"/>
          <w:sz w:val="14"/>
          <w:szCs w:val="14"/>
          <w:color w:val="auto"/>
        </w:rPr>
        <w:t>“Related Company”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0" w:lineRule="exact"/>
        <w:rPr>
          <w:sz w:val="20"/>
          <w:szCs w:val="20"/>
          <w:color w:val="auto"/>
        </w:rPr>
      </w:pPr>
    </w:p>
    <w:p>
      <w:pPr>
        <w:ind w:right="520" w:firstLine="517"/>
        <w:spacing w:after="0" w:line="288" w:lineRule="auto"/>
        <w:rPr>
          <w:sz w:val="20"/>
          <w:szCs w:val="20"/>
          <w:color w:val="auto"/>
        </w:rPr>
      </w:pPr>
      <w:r>
        <w:rPr>
          <w:rFonts w:ascii="Arial" w:cs="Arial" w:eastAsia="Arial" w:hAnsi="Arial"/>
          <w:sz w:val="14"/>
          <w:szCs w:val="14"/>
          <w:color w:val="auto"/>
        </w:rPr>
        <w:t>“Section 409A” means section 409A of the Code (and any successor provision), and regulations and other guidance issued by the Treasury Department and Internal Revenue Service thereunder.</w:t>
      </w:r>
    </w:p>
    <w:p>
      <w:pPr>
        <w:spacing w:after="0" w:line="152" w:lineRule="exact"/>
        <w:rPr>
          <w:sz w:val="20"/>
          <w:szCs w:val="20"/>
          <w:color w:val="auto"/>
        </w:rPr>
      </w:pPr>
    </w:p>
    <w:p>
      <w:pPr>
        <w:ind w:right="220" w:firstLine="517"/>
        <w:spacing w:after="0" w:line="288" w:lineRule="auto"/>
        <w:rPr>
          <w:sz w:val="20"/>
          <w:szCs w:val="20"/>
          <w:color w:val="auto"/>
        </w:rPr>
      </w:pPr>
      <w:r>
        <w:rPr>
          <w:rFonts w:ascii="Arial" w:cs="Arial" w:eastAsia="Arial" w:hAnsi="Arial"/>
          <w:sz w:val="14"/>
          <w:szCs w:val="14"/>
          <w:color w:val="auto"/>
        </w:rPr>
        <w:t>“Separation from Service” means that the Director ceases to perform services as a Director and the Company does not then anticipate that the Director will continue to perform services in any capacity for any Related Company.</w:t>
      </w:r>
    </w:p>
    <w:p>
      <w:pPr>
        <w:spacing w:after="0" w:line="152" w:lineRule="exact"/>
        <w:rPr>
          <w:sz w:val="20"/>
          <w:szCs w:val="20"/>
          <w:color w:val="auto"/>
        </w:rPr>
      </w:pPr>
    </w:p>
    <w:p>
      <w:pPr>
        <w:ind w:right="20" w:firstLine="517"/>
        <w:spacing w:after="0" w:line="288" w:lineRule="auto"/>
        <w:rPr>
          <w:sz w:val="20"/>
          <w:szCs w:val="20"/>
          <w:color w:val="auto"/>
        </w:rPr>
      </w:pPr>
      <w:r>
        <w:rPr>
          <w:rFonts w:ascii="Arial" w:cs="Arial" w:eastAsia="Arial" w:hAnsi="Arial"/>
          <w:sz w:val="14"/>
          <w:szCs w:val="14"/>
          <w:color w:val="auto"/>
        </w:rPr>
        <w:t>“Specified Year” means the year specified by a Director as the year in which the Director will receive a distribution payment of all or a portion of his Account. The Specified Year must be at least two years after the year the compensation would have been paid but for the Director’s deferral election.</w:t>
      </w:r>
    </w:p>
    <w:p>
      <w:pPr>
        <w:spacing w:after="0" w:line="152" w:lineRule="exact"/>
        <w:rPr>
          <w:sz w:val="20"/>
          <w:szCs w:val="20"/>
          <w:color w:val="auto"/>
        </w:rPr>
      </w:pPr>
    </w:p>
    <w:p>
      <w:pPr>
        <w:ind w:right="100" w:firstLine="517"/>
        <w:spacing w:after="0" w:line="288" w:lineRule="auto"/>
        <w:rPr>
          <w:sz w:val="20"/>
          <w:szCs w:val="20"/>
          <w:color w:val="auto"/>
        </w:rPr>
      </w:pPr>
      <w:r>
        <w:rPr>
          <w:rFonts w:ascii="Arial" w:cs="Arial" w:eastAsia="Arial" w:hAnsi="Arial"/>
          <w:sz w:val="14"/>
          <w:szCs w:val="14"/>
          <w:color w:val="auto"/>
        </w:rPr>
        <w:t>“Trust” means one or more trusts established pursuant to the ALLETE, Inc. Non-Employee Director Compensation Trust Agreement, effective October 11, 2004, between the Company and the trustee named therein, as amended from time to time.</w:t>
      </w:r>
    </w:p>
    <w:p>
      <w:pPr>
        <w:spacing w:after="0" w:line="152"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color w:val="auto"/>
        </w:rPr>
        <w:t>“Unforeseeable Emergency” means an unanticipated emergency that is caused by an event beyond the control of the Director that would result in severe financial hardship to the Director resulting from (i) an illness or accident of the Director or the Director’s spouse, the Director’s beneficiary, or the Director’s dependent (as defined in Code section 152, without regard to Code sections 152(b)(1), (b)(2), and (d)(1)(B)), (ii) a loss of the Director’s property due to casualty, or (iii) such other similar extraordinary and unforeseeable circumstances arising as a result of events beyond the control of the Director, all as determined in the sole discretion of the Administrator.</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“Valuation Date” means each day that the U.S. stock markets are open or such other dates as may be set by the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8027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41" w:right="219" w:bottom="1440" w:gutter="0" w:footer="0" w:header="0"/>
        </w:sectPr>
      </w:pPr>
    </w:p>
    <w:bookmarkStart w:id="224" w:name="page225"/>
    <w:bookmarkEnd w:id="224"/>
    <w:p>
      <w:pPr>
        <w:spacing w:after="0"/>
        <w:rPr>
          <w:sz w:val="20"/>
          <w:szCs w:val="20"/>
          <w:color w:val="auto"/>
        </w:rPr>
      </w:pPr>
      <w:r>
        <w:rPr>
          <w:rFonts w:ascii="Arial" w:cs="Arial" w:eastAsia="Arial" w:hAnsi="Arial"/>
          <w:sz w:val="13"/>
          <w:szCs w:val="13"/>
          <w:color w:val="auto"/>
        </w:rPr>
        <w:t>IN WITNESS WHEREOF, ALLETE, Inc. has caused these presents to be signed and its corporate seal to be hereunto affixed by its duly authorized officers, effective as of January 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ALLETE, Inc.</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Donald J. Shippar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60" w:type="dxa"/>
            <w:vAlign w:val="bottom"/>
          </w:tcPr>
          <w:p>
            <w:pPr>
              <w:ind w:left="760"/>
              <w:spacing w:after="0"/>
              <w:rPr>
                <w:sz w:val="20"/>
                <w:szCs w:val="20"/>
                <w:color w:val="auto"/>
              </w:rPr>
            </w:pPr>
            <w:r>
              <w:rPr>
                <w:rFonts w:ascii="Arial" w:cs="Arial" w:eastAsia="Arial" w:hAnsi="Arial"/>
                <w:sz w:val="14"/>
                <w:szCs w:val="14"/>
                <w:color w:val="auto"/>
              </w:rPr>
              <w:t>Donald J. Shippar</w:t>
            </w:r>
          </w:p>
        </w:tc>
      </w:tr>
      <w:tr>
        <w:trPr>
          <w:trHeight w:val="366"/>
        </w:trPr>
        <w:tc>
          <w:tcPr>
            <w:tcW w:w="320" w:type="dxa"/>
            <w:vAlign w:val="bottom"/>
          </w:tcPr>
          <w:p>
            <w:pPr>
              <w:spacing w:after="0"/>
              <w:rPr>
                <w:sz w:val="24"/>
                <w:szCs w:val="24"/>
                <w:color w:val="auto"/>
              </w:rPr>
            </w:pPr>
          </w:p>
        </w:tc>
        <w:tc>
          <w:tcPr>
            <w:tcW w:w="4120" w:type="dxa"/>
            <w:vAlign w:val="bottom"/>
            <w:gridSpan w:val="2"/>
          </w:tcPr>
          <w:p>
            <w:pPr>
              <w:ind w:left="900"/>
              <w:spacing w:after="0"/>
              <w:rPr>
                <w:sz w:val="20"/>
                <w:szCs w:val="20"/>
                <w:color w:val="auto"/>
              </w:rPr>
            </w:pPr>
            <w:r>
              <w:rPr>
                <w:rFonts w:ascii="Arial" w:cs="Arial" w:eastAsia="Arial" w:hAnsi="Arial"/>
                <w:sz w:val="14"/>
                <w:szCs w:val="14"/>
                <w:color w:val="auto"/>
                <w:w w:val="96"/>
              </w:rPr>
              <w:t>Its:   Chairman, President and Chief Executive Officer</w:t>
            </w:r>
          </w:p>
        </w:tc>
      </w:tr>
      <w:tr>
        <w:trPr>
          <w:trHeight w:val="754"/>
        </w:trPr>
        <w:tc>
          <w:tcPr>
            <w:tcW w:w="4440" w:type="dxa"/>
            <w:vAlign w:val="bottom"/>
            <w:gridSpan w:val="3"/>
          </w:tcPr>
          <w:p>
            <w:pPr>
              <w:spacing w:after="0"/>
              <w:rPr>
                <w:sz w:val="20"/>
                <w:szCs w:val="20"/>
                <w:color w:val="auto"/>
              </w:rPr>
            </w:pPr>
            <w:r>
              <w:rPr>
                <w:rFonts w:ascii="Arial" w:cs="Arial" w:eastAsia="Arial" w:hAnsi="Arial"/>
                <w:sz w:val="14"/>
                <w:szCs w:val="14"/>
                <w:color w:val="auto"/>
              </w:rPr>
              <w:t>ATTEST</w:t>
            </w:r>
          </w:p>
        </w:tc>
      </w:tr>
      <w:tr>
        <w:trPr>
          <w:trHeight w:val="335"/>
        </w:trPr>
        <w:tc>
          <w:tcPr>
            <w:tcW w:w="320" w:type="dxa"/>
            <w:vAlign w:val="bottom"/>
          </w:tcPr>
          <w:p>
            <w:pPr>
              <w:spacing w:after="0"/>
              <w:rPr>
                <w:sz w:val="20"/>
                <w:szCs w:val="20"/>
                <w:color w:val="auto"/>
              </w:rPr>
            </w:pPr>
            <w:r>
              <w:rPr>
                <w:rFonts w:ascii="Arial" w:cs="Arial" w:eastAsia="Arial" w:hAnsi="Arial"/>
                <w:sz w:val="14"/>
                <w:szCs w:val="14"/>
                <w:color w:val="auto"/>
              </w:rPr>
              <w:t>By:</w:t>
            </w:r>
          </w:p>
        </w:tc>
        <w:tc>
          <w:tcPr>
            <w:tcW w:w="4120" w:type="dxa"/>
            <w:vAlign w:val="bottom"/>
            <w:gridSpan w:val="2"/>
          </w:tcPr>
          <w:p>
            <w:pPr>
              <w:spacing w:after="0"/>
              <w:rPr>
                <w:sz w:val="20"/>
                <w:szCs w:val="20"/>
                <w:color w:val="auto"/>
              </w:rPr>
            </w:pPr>
            <w:r>
              <w:rPr>
                <w:rFonts w:ascii="Arial" w:cs="Arial" w:eastAsia="Arial" w:hAnsi="Arial"/>
                <w:sz w:val="14"/>
                <w:szCs w:val="14"/>
                <w:color w:val="auto"/>
              </w:rPr>
              <w:t>Deborah A. Amberg</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78"/>
        </w:trPr>
        <w:tc>
          <w:tcPr>
            <w:tcW w:w="4440" w:type="dxa"/>
            <w:vAlign w:val="bottom"/>
            <w:gridSpan w:val="3"/>
          </w:tcPr>
          <w:p>
            <w:pPr>
              <w:ind w:left="40"/>
              <w:spacing w:after="0"/>
              <w:rPr>
                <w:sz w:val="20"/>
                <w:szCs w:val="20"/>
                <w:color w:val="auto"/>
              </w:rPr>
            </w:pPr>
            <w:r>
              <w:rPr>
                <w:rFonts w:ascii="Arial" w:cs="Arial" w:eastAsia="Arial" w:hAnsi="Arial"/>
                <w:sz w:val="14"/>
                <w:szCs w:val="14"/>
                <w:color w:val="auto"/>
              </w:rPr>
              <w:t>Deborah A. Amberg</w:t>
            </w:r>
          </w:p>
        </w:tc>
      </w:tr>
      <w:tr>
        <w:trPr>
          <w:trHeight w:val="366"/>
        </w:trPr>
        <w:tc>
          <w:tcPr>
            <w:tcW w:w="320" w:type="dxa"/>
            <w:vAlign w:val="bottom"/>
          </w:tcPr>
          <w:p>
            <w:pPr>
              <w:spacing w:after="0"/>
              <w:rPr>
                <w:sz w:val="20"/>
                <w:szCs w:val="20"/>
                <w:color w:val="auto"/>
              </w:rPr>
            </w:pPr>
            <w:r>
              <w:rPr>
                <w:rFonts w:ascii="Arial" w:cs="Arial" w:eastAsia="Arial" w:hAnsi="Arial"/>
                <w:sz w:val="14"/>
                <w:szCs w:val="14"/>
                <w:color w:val="auto"/>
              </w:rPr>
              <w:t>Its:</w:t>
            </w:r>
          </w:p>
        </w:tc>
        <w:tc>
          <w:tcPr>
            <w:tcW w:w="4120" w:type="dxa"/>
            <w:vAlign w:val="bottom"/>
            <w:gridSpan w:val="2"/>
          </w:tcPr>
          <w:p>
            <w:pPr>
              <w:ind w:left="80"/>
              <w:spacing w:after="0"/>
              <w:rPr>
                <w:sz w:val="20"/>
                <w:szCs w:val="20"/>
                <w:color w:val="auto"/>
              </w:rPr>
            </w:pPr>
            <w:r>
              <w:rPr>
                <w:rFonts w:ascii="Arial" w:cs="Arial" w:eastAsia="Arial" w:hAnsi="Arial"/>
                <w:sz w:val="14"/>
                <w:szCs w:val="14"/>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66040</wp:posOffset>
            </wp:positionV>
            <wp:extent cx="728027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800"/>
          </w:cols>
          <w:pgMar w:left="740" w:top="442" w:right="359" w:bottom="1440" w:gutter="0" w:footer="0" w:header="0"/>
        </w:sectPr>
      </w:pPr>
    </w:p>
    <w:bookmarkStart w:id="225" w:name="page226"/>
    <w:bookmarkEnd w:id="2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Exhibit 12</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ALLETE 2008 Form 10-K</w:t>
            </w:r>
          </w:p>
        </w:tc>
        <w:tc>
          <w:tcPr>
            <w:tcW w:w="0" w:type="dxa"/>
            <w:vAlign w:val="bottom"/>
          </w:tcPr>
          <w:p>
            <w:pPr>
              <w:spacing w:after="0"/>
              <w:rPr>
                <w:sz w:val="1"/>
                <w:szCs w:val="1"/>
                <w:color w:val="auto"/>
              </w:rPr>
            </w:pPr>
          </w:p>
        </w:tc>
      </w:tr>
      <w:tr>
        <w:trPr>
          <w:trHeight w:val="35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ALLETE</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Computation of Ratios of Earnings to Fixed Charges (Unaudited)</w:t>
            </w: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w:t>
            </w:r>
          </w:p>
        </w:tc>
        <w:tc>
          <w:tcPr>
            <w:tcW w:w="15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2008</w:t>
            </w:r>
          </w:p>
        </w:tc>
        <w:tc>
          <w:tcPr>
            <w:tcW w:w="14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2007</w:t>
            </w:r>
          </w:p>
        </w:tc>
        <w:tc>
          <w:tcPr>
            <w:tcW w:w="14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2006</w:t>
            </w:r>
          </w:p>
        </w:tc>
        <w:tc>
          <w:tcPr>
            <w:tcW w:w="13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2005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Millions Except Ratios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Before Minority Interest and Income Taxes</w:t>
            </w:r>
          </w:p>
        </w:tc>
        <w:tc>
          <w:tcPr>
            <w:tcW w:w="15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$126.4</w:t>
            </w:r>
          </w:p>
        </w:tc>
        <w:tc>
          <w:tcPr>
            <w:tcW w:w="14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$137.2</w:t>
            </w:r>
          </w:p>
        </w:tc>
        <w:tc>
          <w:tcPr>
            <w:tcW w:w="14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$128.2</w:t>
            </w:r>
          </w:p>
        </w:tc>
        <w:tc>
          <w:tcPr>
            <w:tcW w:w="1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$19.8</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 xml:space="preserve">Less: Minority Interest </w:t>
            </w:r>
            <w:r>
              <w:rPr>
                <w:rFonts w:ascii="Arial" w:cs="Arial" w:eastAsia="Arial" w:hAnsi="Arial"/>
                <w:sz w:val="14"/>
                <w:szCs w:val="14"/>
                <w:i w:val="1"/>
                <w:iCs w:val="1"/>
                <w:color w:val="auto"/>
              </w:rPr>
              <w:t>(a)</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Undistributed Income from Less than 50 percent</w:t>
            </w:r>
          </w:p>
        </w:tc>
        <w:tc>
          <w:tcPr>
            <w:tcW w:w="15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Owned Equity Investment</w:t>
            </w: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3.8</w:t>
            </w: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3.3</w:t>
            </w: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2.3</w:t>
            </w: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122.6</w:t>
            </w:r>
          </w:p>
        </w:tc>
        <w:tc>
          <w:tcPr>
            <w:tcW w:w="14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133.9</w:t>
            </w:r>
          </w:p>
        </w:tc>
        <w:tc>
          <w:tcPr>
            <w:tcW w:w="14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125.9</w:t>
            </w:r>
          </w:p>
        </w:tc>
        <w:tc>
          <w:tcPr>
            <w:tcW w:w="1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19.8</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Fixed Charges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on Long-Term Debt</w:t>
            </w:r>
          </w:p>
        </w:tc>
        <w:tc>
          <w:tcPr>
            <w:tcW w:w="15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25.9</w:t>
            </w:r>
          </w:p>
        </w:tc>
        <w:tc>
          <w:tcPr>
            <w:tcW w:w="14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21.2</w:t>
            </w:r>
          </w:p>
        </w:tc>
        <w:tc>
          <w:tcPr>
            <w:tcW w:w="14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22.2</w:t>
            </w:r>
          </w:p>
        </w:tc>
        <w:tc>
          <w:tcPr>
            <w:tcW w:w="1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23.1</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tcPr>
          <w:p>
            <w:pPr>
              <w:ind w:left="380"/>
              <w:spacing w:after="0"/>
              <w:rPr>
                <w:sz w:val="20"/>
                <w:szCs w:val="20"/>
                <w:color w:val="auto"/>
              </w:rPr>
            </w:pPr>
            <w:r>
              <w:rPr>
                <w:rFonts w:ascii="Arial" w:cs="Arial" w:eastAsia="Arial" w:hAnsi="Arial"/>
                <w:sz w:val="14"/>
                <w:szCs w:val="14"/>
                <w:color w:val="auto"/>
              </w:rPr>
              <w:t>AFUDC - Debt</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1.5</w:t>
            </w: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2.0</w:t>
            </w:r>
          </w:p>
        </w:tc>
        <w:tc>
          <w:tcPr>
            <w:tcW w:w="1460" w:type="dxa"/>
            <w:vAlign w:val="bottom"/>
          </w:tcPr>
          <w:p>
            <w:pPr>
              <w:jc w:val="right"/>
              <w:ind w:right="508"/>
              <w:spacing w:after="0"/>
              <w:rPr>
                <w:sz w:val="20"/>
                <w:szCs w:val="20"/>
                <w:color w:val="auto"/>
              </w:rPr>
            </w:pPr>
            <w:r>
              <w:rPr>
                <w:rFonts w:ascii="Arial" w:cs="Arial" w:eastAsia="Arial" w:hAnsi="Arial"/>
                <w:sz w:val="14"/>
                <w:szCs w:val="14"/>
                <w:color w:val="auto"/>
              </w:rPr>
              <w:t>0.6</w:t>
            </w:r>
          </w:p>
        </w:tc>
        <w:tc>
          <w:tcPr>
            <w:tcW w:w="1340" w:type="dxa"/>
            <w:vAlign w:val="bottom"/>
          </w:tcPr>
          <w:p>
            <w:pPr>
              <w:jc w:val="right"/>
              <w:ind w:right="428"/>
              <w:spacing w:after="0"/>
              <w:rPr>
                <w:sz w:val="20"/>
                <w:szCs w:val="20"/>
                <w:color w:val="auto"/>
              </w:rPr>
            </w:pPr>
            <w:r>
              <w:rPr>
                <w:rFonts w:ascii="Arial" w:cs="Arial" w:eastAsia="Arial" w:hAnsi="Arial"/>
                <w:sz w:val="14"/>
                <w:szCs w:val="14"/>
                <w:color w:val="auto"/>
              </w:rPr>
              <w:t>0.3</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Interest Charges (</w:t>
            </w:r>
            <w:r>
              <w:rPr>
                <w:rFonts w:ascii="Arial" w:cs="Arial" w:eastAsia="Arial" w:hAnsi="Arial"/>
                <w:sz w:val="14"/>
                <w:szCs w:val="14"/>
                <w:i w:val="1"/>
                <w:iCs w:val="1"/>
                <w:color w:val="auto"/>
              </w:rPr>
              <w:t>b</w:t>
            </w:r>
            <w:r>
              <w:rPr>
                <w:rFonts w:ascii="Arial" w:cs="Arial" w:eastAsia="Arial" w:hAnsi="Arial"/>
                <w:sz w:val="14"/>
                <w:szCs w:val="14"/>
                <w:color w:val="auto"/>
              </w:rPr>
              <w:t>)</w:t>
            </w:r>
          </w:p>
        </w:tc>
        <w:tc>
          <w:tcPr>
            <w:tcW w:w="15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0.4</w:t>
            </w:r>
          </w:p>
        </w:tc>
        <w:tc>
          <w:tcPr>
            <w:tcW w:w="14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1.5</w:t>
            </w:r>
          </w:p>
        </w:tc>
        <w:tc>
          <w:tcPr>
            <w:tcW w:w="14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2.9</w:t>
            </w:r>
          </w:p>
        </w:tc>
        <w:tc>
          <w:tcPr>
            <w:tcW w:w="13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1.1</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Interest Component of All Rentals (</w:t>
            </w:r>
            <w:r>
              <w:rPr>
                <w:rFonts w:ascii="Arial" w:cs="Arial" w:eastAsia="Arial" w:hAnsi="Arial"/>
                <w:sz w:val="14"/>
                <w:szCs w:val="14"/>
                <w:i w:val="1"/>
                <w:iCs w:val="1"/>
                <w:color w:val="auto"/>
              </w:rPr>
              <w:t>c</w:t>
            </w:r>
            <w:r>
              <w:rPr>
                <w:rFonts w:ascii="Arial" w:cs="Arial" w:eastAsia="Arial" w:hAnsi="Arial"/>
                <w:sz w:val="14"/>
                <w:szCs w:val="14"/>
                <w:color w:val="auto"/>
              </w:rPr>
              <w:t>)</w:t>
            </w: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2.5</w:t>
            </w: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1.9</w:t>
            </w: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w:t>
            </w: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2.8</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Total Fixed Charges</w:t>
            </w:r>
          </w:p>
        </w:tc>
        <w:tc>
          <w:tcPr>
            <w:tcW w:w="156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30.3</w:t>
            </w:r>
          </w:p>
        </w:tc>
        <w:tc>
          <w:tcPr>
            <w:tcW w:w="14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26.6</w:t>
            </w:r>
          </w:p>
        </w:tc>
        <w:tc>
          <w:tcPr>
            <w:tcW w:w="14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27.7</w:t>
            </w:r>
          </w:p>
        </w:tc>
        <w:tc>
          <w:tcPr>
            <w:tcW w:w="1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27.3</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Earnings Before Income Taxes and Fixed Charges</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$152.9</w:t>
            </w: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$160.5</w:t>
            </w:r>
          </w:p>
        </w:tc>
        <w:tc>
          <w:tcPr>
            <w:tcW w:w="1460" w:type="dxa"/>
            <w:vAlign w:val="bottom"/>
          </w:tcPr>
          <w:p>
            <w:pPr>
              <w:jc w:val="right"/>
              <w:ind w:right="508"/>
              <w:spacing w:after="0"/>
              <w:rPr>
                <w:sz w:val="20"/>
                <w:szCs w:val="20"/>
                <w:color w:val="auto"/>
              </w:rPr>
            </w:pPr>
            <w:r>
              <w:rPr>
                <w:rFonts w:ascii="Arial" w:cs="Arial" w:eastAsia="Arial" w:hAnsi="Arial"/>
                <w:sz w:val="14"/>
                <w:szCs w:val="14"/>
                <w:color w:val="auto"/>
              </w:rPr>
              <w:t>$153.6</w:t>
            </w:r>
          </w:p>
        </w:tc>
        <w:tc>
          <w:tcPr>
            <w:tcW w:w="1340" w:type="dxa"/>
            <w:vAlign w:val="bottom"/>
          </w:tcPr>
          <w:p>
            <w:pPr>
              <w:jc w:val="right"/>
              <w:ind w:right="428"/>
              <w:spacing w:after="0"/>
              <w:rPr>
                <w:sz w:val="20"/>
                <w:szCs w:val="20"/>
                <w:color w:val="auto"/>
              </w:rPr>
            </w:pPr>
            <w:r>
              <w:rPr>
                <w:rFonts w:ascii="Arial" w:cs="Arial" w:eastAsia="Arial" w:hAnsi="Arial"/>
                <w:sz w:val="14"/>
                <w:szCs w:val="14"/>
                <w:color w:val="auto"/>
              </w:rPr>
              <w:t>$47.1</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Ratio of Earnings to Fixed Charges</w:t>
            </w:r>
          </w:p>
        </w:tc>
        <w:tc>
          <w:tcPr>
            <w:tcW w:w="156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5.05</w:t>
            </w:r>
          </w:p>
        </w:tc>
        <w:tc>
          <w:tcPr>
            <w:tcW w:w="14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6.03</w:t>
            </w:r>
          </w:p>
        </w:tc>
        <w:tc>
          <w:tcPr>
            <w:tcW w:w="14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5.55</w:t>
            </w:r>
          </w:p>
        </w:tc>
        <w:tc>
          <w:tcPr>
            <w:tcW w:w="13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1.73</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20" w:hanging="236"/>
        <w:spacing w:after="0"/>
        <w:tabs>
          <w:tab w:leader="none" w:pos="52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Pre-tax income of subsidiaries that have not incurred fixed charges.</w:t>
      </w:r>
    </w:p>
    <w:p>
      <w:pPr>
        <w:spacing w:after="0" w:line="20" w:lineRule="exact"/>
        <w:rPr>
          <w:rFonts w:ascii="Arial" w:cs="Arial" w:eastAsia="Arial" w:hAnsi="Arial"/>
          <w:sz w:val="14"/>
          <w:szCs w:val="14"/>
          <w:i w:val="1"/>
          <w:iCs w:val="1"/>
          <w:color w:val="auto"/>
        </w:rPr>
      </w:pPr>
    </w:p>
    <w:p>
      <w:pPr>
        <w:ind w:left="520" w:hanging="236"/>
        <w:spacing w:after="0"/>
        <w:tabs>
          <w:tab w:leader="none" w:pos="52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interest expense relating to the adoption of FIN 48 – “Accounting for Uncertainty in Income Taxes.”</w:t>
      </w:r>
    </w:p>
    <w:p>
      <w:pPr>
        <w:spacing w:after="0" w:line="11" w:lineRule="exact"/>
        <w:rPr>
          <w:rFonts w:ascii="Arial" w:cs="Arial" w:eastAsia="Arial" w:hAnsi="Arial"/>
          <w:sz w:val="14"/>
          <w:szCs w:val="14"/>
          <w:i w:val="1"/>
          <w:iCs w:val="1"/>
          <w:color w:val="auto"/>
        </w:rPr>
      </w:pPr>
    </w:p>
    <w:p>
      <w:pPr>
        <w:ind w:left="520" w:hanging="228"/>
        <w:spacing w:after="0"/>
        <w:tabs>
          <w:tab w:leader="none" w:pos="52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interest portion of rents estimated at 33 1/3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-320040</wp:posOffset>
            </wp:positionV>
            <wp:extent cx="7274560" cy="1092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-100965</wp:posOffset>
            </wp:positionV>
            <wp:extent cx="7274560" cy="1092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456565</wp:posOffset>
            </wp:positionV>
            <wp:extent cx="728027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27" w:name="page228"/>
    <w:bookmarkEnd w:id="2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Exhibit 21</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ALLETE 2008 Form 10-K</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0" w:type="dxa"/>
            <w:vAlign w:val="bottom"/>
          </w:tcPr>
          <w:p>
            <w:pPr>
              <w:jc w:val="center"/>
              <w:ind w:left="2948"/>
              <w:spacing w:after="0"/>
              <w:rPr>
                <w:sz w:val="20"/>
                <w:szCs w:val="20"/>
                <w:color w:val="auto"/>
              </w:rPr>
            </w:pPr>
            <w:r>
              <w:rPr>
                <w:rFonts w:ascii="Arial" w:cs="Arial" w:eastAsia="Arial" w:hAnsi="Arial"/>
                <w:sz w:val="14"/>
                <w:szCs w:val="14"/>
                <w:b w:val="1"/>
                <w:bCs w:val="1"/>
                <w:color w:val="auto"/>
              </w:rPr>
              <w:t>SUBSIDIARIES OF THE REGISTRANT</w:t>
            </w: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jc w:val="center"/>
              <w:ind w:left="2968"/>
              <w:spacing w:after="0"/>
              <w:rPr>
                <w:sz w:val="20"/>
                <w:szCs w:val="20"/>
                <w:color w:val="auto"/>
              </w:rPr>
            </w:pPr>
            <w:r>
              <w:rPr>
                <w:rFonts w:ascii="Arial" w:cs="Arial" w:eastAsia="Arial" w:hAnsi="Arial"/>
                <w:sz w:val="14"/>
                <w:szCs w:val="14"/>
                <w:b w:val="1"/>
                <w:bCs w:val="1"/>
                <w:color w:val="auto"/>
                <w:w w:val="91"/>
              </w:rPr>
              <w:t>(As of December 31, 2008)</w:t>
            </w: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0" w:type="dxa"/>
            <w:vAlign w:val="bottom"/>
          </w:tcPr>
          <w:p>
            <w:pPr>
              <w:jc w:val="center"/>
              <w:ind w:left="2948"/>
              <w:spacing w:after="0"/>
              <w:rPr>
                <w:sz w:val="20"/>
                <w:szCs w:val="20"/>
                <w:color w:val="auto"/>
              </w:rPr>
            </w:pPr>
            <w:r>
              <w:rPr>
                <w:rFonts w:ascii="Arial" w:cs="Arial" w:eastAsia="Arial" w:hAnsi="Arial"/>
                <w:sz w:val="14"/>
                <w:szCs w:val="14"/>
                <w:b w:val="1"/>
                <w:bCs w:val="1"/>
                <w:color w:val="auto"/>
                <w:w w:val="95"/>
              </w:rPr>
              <w:t>(Reported Under Item 601 of Regulation S-K)</w:t>
            </w: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spacing w:after="0"/>
              <w:rPr>
                <w:sz w:val="14"/>
                <w:szCs w:val="14"/>
                <w:color w:val="auto"/>
              </w:rPr>
            </w:pPr>
          </w:p>
        </w:tc>
        <w:tc>
          <w:tcPr>
            <w:tcW w:w="3040" w:type="dxa"/>
            <w:vAlign w:val="bottom"/>
            <w:shd w:val="clear" w:color="auto" w:fill="CCEEFF"/>
          </w:tcPr>
          <w:p>
            <w:pPr>
              <w:ind w:left="1340"/>
              <w:spacing w:after="0"/>
              <w:rPr>
                <w:sz w:val="20"/>
                <w:szCs w:val="20"/>
                <w:color w:val="auto"/>
              </w:rPr>
            </w:pPr>
            <w:r>
              <w:rPr>
                <w:rFonts w:ascii="Arial" w:cs="Arial" w:eastAsia="Arial" w:hAnsi="Arial"/>
                <w:sz w:val="14"/>
                <w:szCs w:val="14"/>
                <w:b w:val="1"/>
                <w:bCs w:val="1"/>
                <w:color w:val="auto"/>
              </w:rPr>
              <w:t>State or Country</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060" w:type="dxa"/>
            <w:vAlign w:val="bottom"/>
            <w:gridSpan w:val="2"/>
          </w:tcPr>
          <w:p>
            <w:pPr>
              <w:ind w:left="1420"/>
              <w:spacing w:after="0"/>
              <w:rPr>
                <w:sz w:val="20"/>
                <w:szCs w:val="20"/>
                <w:color w:val="auto"/>
              </w:rPr>
            </w:pPr>
            <w:r>
              <w:rPr>
                <w:rFonts w:ascii="Arial" w:cs="Arial" w:eastAsia="Arial" w:hAnsi="Arial"/>
                <w:sz w:val="14"/>
                <w:szCs w:val="14"/>
                <w:b w:val="1"/>
                <w:bCs w:val="1"/>
                <w:color w:val="auto"/>
              </w:rPr>
              <w:t>of Organization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 xml:space="preserve">ALLETE, Inc. </w:t>
            </w:r>
            <w:r>
              <w:rPr>
                <w:rFonts w:ascii="Arial" w:cs="Arial" w:eastAsia="Arial" w:hAnsi="Arial"/>
                <w:sz w:val="14"/>
                <w:szCs w:val="14"/>
                <w:i w:val="1"/>
                <w:iCs w:val="1"/>
                <w:color w:val="auto"/>
              </w:rPr>
              <w:t>(d.b.a. ALLETE; Minnesota Power; Minnesota Power, Inc.;</w:t>
            </w:r>
          </w:p>
        </w:tc>
        <w:tc>
          <w:tcPr>
            <w:tcW w:w="30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0"/>
              <w:spacing w:after="0"/>
              <w:rPr>
                <w:sz w:val="20"/>
                <w:szCs w:val="20"/>
                <w:color w:val="auto"/>
              </w:rPr>
            </w:pPr>
            <w:r>
              <w:rPr>
                <w:rFonts w:ascii="Arial" w:cs="Arial" w:eastAsia="Arial" w:hAnsi="Arial"/>
                <w:sz w:val="14"/>
                <w:szCs w:val="14"/>
                <w:i w:val="1"/>
                <w:iCs w:val="1"/>
                <w:color w:val="auto"/>
              </w:rPr>
              <w:t>Minnesota Power &amp; Light Company; MPEX; MPEX A Division of Minnesota Power)</w:t>
            </w: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ALLETE Automotive Services, LLC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0"/>
              <w:spacing w:after="0"/>
              <w:rPr>
                <w:sz w:val="20"/>
                <w:szCs w:val="20"/>
                <w:color w:val="auto"/>
              </w:rPr>
            </w:pPr>
            <w:r>
              <w:rPr>
                <w:rFonts w:ascii="Arial" w:cs="Arial" w:eastAsia="Arial" w:hAnsi="Arial"/>
                <w:sz w:val="14"/>
                <w:szCs w:val="14"/>
                <w:color w:val="auto"/>
              </w:rPr>
              <w:t>ALLETE Capital II</w:t>
            </w:r>
          </w:p>
        </w:tc>
        <w:tc>
          <w:tcPr>
            <w:tcW w:w="3040" w:type="dxa"/>
            <w:vAlign w:val="bottom"/>
          </w:tcPr>
          <w:p>
            <w:pPr>
              <w:ind w:left="130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ALLETE Capital III</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0"/>
              <w:spacing w:after="0"/>
              <w:rPr>
                <w:sz w:val="20"/>
                <w:szCs w:val="20"/>
                <w:color w:val="auto"/>
              </w:rPr>
            </w:pPr>
            <w:r>
              <w:rPr>
                <w:rFonts w:ascii="Arial" w:cs="Arial" w:eastAsia="Arial" w:hAnsi="Arial"/>
                <w:sz w:val="14"/>
                <w:szCs w:val="14"/>
                <w:color w:val="auto"/>
              </w:rPr>
              <w:t xml:space="preserve">ALLETE Properties, LLC </w:t>
            </w:r>
            <w:r>
              <w:rPr>
                <w:rFonts w:ascii="Arial" w:cs="Arial" w:eastAsia="Arial" w:hAnsi="Arial"/>
                <w:sz w:val="14"/>
                <w:szCs w:val="14"/>
                <w:i w:val="1"/>
                <w:iCs w:val="1"/>
                <w:color w:val="auto"/>
              </w:rPr>
              <w:t>(d.b.a. ALLETE Properties)</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ALLETE Carolinas, LLC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ALLETE Commercial, LLC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Cape Coral Holdings,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Cape Properties, Inc.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Lehigh Acquisition Corporation</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80"/>
              <w:spacing w:after="0"/>
              <w:rPr>
                <w:sz w:val="20"/>
                <w:szCs w:val="20"/>
                <w:color w:val="auto"/>
              </w:rPr>
            </w:pPr>
            <w:r>
              <w:rPr>
                <w:rFonts w:ascii="Arial" w:cs="Arial" w:eastAsia="Arial" w:hAnsi="Arial"/>
                <w:sz w:val="14"/>
                <w:szCs w:val="14"/>
                <w:color w:val="auto"/>
              </w:rPr>
              <w:t>Florida Landmark Communities, Inc.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Cliffside Properties,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3060"/>
              <w:spacing w:after="0"/>
              <w:rPr>
                <w:sz w:val="20"/>
                <w:szCs w:val="20"/>
                <w:color w:val="auto"/>
              </w:rPr>
            </w:pPr>
            <w:r>
              <w:rPr>
                <w:rFonts w:ascii="Arial" w:cs="Arial" w:eastAsia="Arial" w:hAnsi="Arial"/>
                <w:sz w:val="14"/>
                <w:szCs w:val="14"/>
                <w:color w:val="auto"/>
              </w:rPr>
              <w:t>Enterprise Lehigh, Inc.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Lehigh Corporation</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3060"/>
              <w:spacing w:after="0"/>
              <w:rPr>
                <w:sz w:val="20"/>
                <w:szCs w:val="20"/>
                <w:color w:val="auto"/>
              </w:rPr>
            </w:pPr>
            <w:r>
              <w:rPr>
                <w:rFonts w:ascii="Arial" w:cs="Arial" w:eastAsia="Arial" w:hAnsi="Arial"/>
                <w:sz w:val="14"/>
                <w:szCs w:val="14"/>
                <w:color w:val="auto"/>
              </w:rPr>
              <w:t>Lehigh Land &amp; Investment, Inc.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3060"/>
              <w:spacing w:after="0"/>
              <w:rPr>
                <w:sz w:val="20"/>
                <w:szCs w:val="20"/>
                <w:color w:val="auto"/>
              </w:rPr>
            </w:pPr>
            <w:r>
              <w:rPr>
                <w:rFonts w:ascii="Arial" w:cs="Arial" w:eastAsia="Arial" w:hAnsi="Arial"/>
                <w:sz w:val="14"/>
                <w:szCs w:val="14"/>
                <w:color w:val="auto"/>
              </w:rPr>
              <w:t>Palm Coast Holdings,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3060"/>
              <w:spacing w:after="0"/>
              <w:rPr>
                <w:sz w:val="20"/>
                <w:szCs w:val="20"/>
                <w:color w:val="auto"/>
              </w:rPr>
            </w:pPr>
            <w:r>
              <w:rPr>
                <w:rFonts w:ascii="Arial" w:cs="Arial" w:eastAsia="Arial" w:hAnsi="Arial"/>
                <w:sz w:val="14"/>
                <w:szCs w:val="14"/>
                <w:color w:val="auto"/>
              </w:rPr>
              <w:t>Port Orange Holdings, LLC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80"/>
              <w:spacing w:after="0"/>
              <w:rPr>
                <w:sz w:val="20"/>
                <w:szCs w:val="20"/>
                <w:color w:val="auto"/>
              </w:rPr>
            </w:pPr>
            <w:r>
              <w:rPr>
                <w:rFonts w:ascii="Arial" w:cs="Arial" w:eastAsia="Arial" w:hAnsi="Arial"/>
                <w:sz w:val="14"/>
                <w:szCs w:val="14"/>
                <w:color w:val="auto"/>
              </w:rPr>
              <w:t>Interlachen Lakes Estates,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80"/>
              <w:spacing w:after="0"/>
              <w:rPr>
                <w:sz w:val="20"/>
                <w:szCs w:val="20"/>
                <w:color w:val="auto"/>
              </w:rPr>
            </w:pPr>
            <w:r>
              <w:rPr>
                <w:rFonts w:ascii="Arial" w:cs="Arial" w:eastAsia="Arial" w:hAnsi="Arial"/>
                <w:sz w:val="14"/>
                <w:szCs w:val="14"/>
                <w:color w:val="auto"/>
              </w:rPr>
              <w:t>SRC of Florida, Inc.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80"/>
              <w:spacing w:after="0"/>
              <w:rPr>
                <w:sz w:val="20"/>
                <w:szCs w:val="20"/>
                <w:color w:val="auto"/>
              </w:rPr>
            </w:pPr>
            <w:r>
              <w:rPr>
                <w:rFonts w:ascii="Arial" w:cs="Arial" w:eastAsia="Arial" w:hAnsi="Arial"/>
                <w:sz w:val="14"/>
                <w:szCs w:val="14"/>
                <w:color w:val="auto"/>
              </w:rPr>
              <w:t>Sundowner Properties,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Palm Coast Forest, LLC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Palm Coast Land, LLC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Tomoka Holdings, LLC</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ALLETE Water Services,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Florida Water Services Corporation</w:t>
            </w:r>
          </w:p>
        </w:tc>
        <w:tc>
          <w:tcPr>
            <w:tcW w:w="3040" w:type="dxa"/>
            <w:vAlign w:val="bottom"/>
          </w:tcPr>
          <w:p>
            <w:pPr>
              <w:ind w:left="130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80"/>
              <w:spacing w:after="0"/>
              <w:rPr>
                <w:sz w:val="20"/>
                <w:szCs w:val="20"/>
                <w:color w:val="auto"/>
              </w:rPr>
            </w:pPr>
            <w:r>
              <w:rPr>
                <w:rFonts w:ascii="Arial" w:cs="Arial" w:eastAsia="Arial" w:hAnsi="Arial"/>
                <w:sz w:val="14"/>
                <w:szCs w:val="14"/>
                <w:color w:val="auto"/>
              </w:rPr>
              <w:t>Auto Replacement Property, LLC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80"/>
              <w:spacing w:after="0"/>
              <w:rPr>
                <w:sz w:val="20"/>
                <w:szCs w:val="20"/>
                <w:color w:val="auto"/>
              </w:rPr>
            </w:pPr>
            <w:r>
              <w:rPr>
                <w:rFonts w:ascii="Arial" w:cs="Arial" w:eastAsia="Arial" w:hAnsi="Arial"/>
                <w:sz w:val="14"/>
                <w:szCs w:val="14"/>
                <w:color w:val="auto"/>
              </w:rPr>
              <w:t>Energy Replacement Property, LLC</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Georgia Water Services Corporation</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0"/>
              <w:spacing w:after="0"/>
              <w:rPr>
                <w:sz w:val="20"/>
                <w:szCs w:val="20"/>
                <w:color w:val="auto"/>
              </w:rPr>
            </w:pPr>
            <w:r>
              <w:rPr>
                <w:rFonts w:ascii="Arial" w:cs="Arial" w:eastAsia="Arial" w:hAnsi="Arial"/>
                <w:sz w:val="14"/>
                <w:szCs w:val="14"/>
                <w:color w:val="auto"/>
              </w:rPr>
              <w:t>Energy Land, Incorporated</w:t>
            </w:r>
          </w:p>
        </w:tc>
        <w:tc>
          <w:tcPr>
            <w:tcW w:w="3040" w:type="dxa"/>
            <w:vAlign w:val="bottom"/>
          </w:tcPr>
          <w:p>
            <w:pPr>
              <w:ind w:left="130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Lakeview Financial Corporation I</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0"/>
              <w:spacing w:after="0"/>
              <w:rPr>
                <w:sz w:val="20"/>
                <w:szCs w:val="20"/>
                <w:color w:val="auto"/>
              </w:rPr>
            </w:pPr>
            <w:r>
              <w:rPr>
                <w:rFonts w:ascii="Arial" w:cs="Arial" w:eastAsia="Arial" w:hAnsi="Arial"/>
                <w:sz w:val="14"/>
                <w:szCs w:val="14"/>
                <w:color w:val="auto"/>
              </w:rPr>
              <w:t>Lakeview Financial Corporation II</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Logistics Coal, LLC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0"/>
              <w:spacing w:after="0"/>
              <w:rPr>
                <w:sz w:val="20"/>
                <w:szCs w:val="20"/>
                <w:color w:val="auto"/>
              </w:rPr>
            </w:pPr>
            <w:r>
              <w:rPr>
                <w:rFonts w:ascii="Arial" w:cs="Arial" w:eastAsia="Arial" w:hAnsi="Arial"/>
                <w:sz w:val="14"/>
                <w:szCs w:val="14"/>
                <w:color w:val="auto"/>
              </w:rPr>
              <w:t>Minnesota Power Enterprises, Inc.</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BNI Coal, Ltd.</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MP Affiliate Resources, Inc.</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Rainy River Energy Corporation</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Rainy River Energy Corporation - Wisconsin</w:t>
            </w:r>
          </w:p>
        </w:tc>
        <w:tc>
          <w:tcPr>
            <w:tcW w:w="3040" w:type="dxa"/>
            <w:vAlign w:val="bottom"/>
          </w:tcPr>
          <w:p>
            <w:pPr>
              <w:ind w:left="130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Synertec, Incorporated</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240"/>
              <w:spacing w:after="0"/>
              <w:rPr>
                <w:sz w:val="20"/>
                <w:szCs w:val="20"/>
                <w:color w:val="auto"/>
              </w:rPr>
            </w:pPr>
            <w:r>
              <w:rPr>
                <w:rFonts w:ascii="Arial" w:cs="Arial" w:eastAsia="Arial" w:hAnsi="Arial"/>
                <w:sz w:val="14"/>
                <w:szCs w:val="14"/>
                <w:color w:val="auto"/>
              </w:rPr>
              <w:t>Upper Minnesota Properties, Inc.</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800"/>
              <w:spacing w:after="0"/>
              <w:rPr>
                <w:sz w:val="20"/>
                <w:szCs w:val="20"/>
                <w:color w:val="auto"/>
              </w:rPr>
            </w:pPr>
            <w:r>
              <w:rPr>
                <w:rFonts w:ascii="Arial" w:cs="Arial" w:eastAsia="Arial" w:hAnsi="Arial"/>
                <w:sz w:val="14"/>
                <w:szCs w:val="14"/>
                <w:color w:val="auto"/>
              </w:rPr>
              <w:t>Upper Minnesota Properties - Development,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800"/>
              <w:spacing w:after="0"/>
              <w:rPr>
                <w:sz w:val="20"/>
                <w:szCs w:val="20"/>
                <w:color w:val="auto"/>
              </w:rPr>
            </w:pPr>
            <w:r>
              <w:rPr>
                <w:rFonts w:ascii="Arial" w:cs="Arial" w:eastAsia="Arial" w:hAnsi="Arial"/>
                <w:sz w:val="14"/>
                <w:szCs w:val="14"/>
                <w:color w:val="auto"/>
              </w:rPr>
              <w:t>Upper Minnesota Properties - Irving, Inc.</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800"/>
              <w:spacing w:after="0"/>
              <w:rPr>
                <w:sz w:val="20"/>
                <w:szCs w:val="20"/>
                <w:color w:val="auto"/>
              </w:rPr>
            </w:pPr>
            <w:r>
              <w:rPr>
                <w:rFonts w:ascii="Arial" w:cs="Arial" w:eastAsia="Arial" w:hAnsi="Arial"/>
                <w:sz w:val="14"/>
                <w:szCs w:val="14"/>
                <w:color w:val="auto"/>
              </w:rPr>
              <w:t>Upper Minnesota Properties - Meadowlands,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3580"/>
              <w:spacing w:after="0"/>
              <w:rPr>
                <w:sz w:val="20"/>
                <w:szCs w:val="20"/>
                <w:color w:val="auto"/>
              </w:rPr>
            </w:pPr>
            <w:r>
              <w:rPr>
                <w:rFonts w:ascii="Arial" w:cs="Arial" w:eastAsia="Arial" w:hAnsi="Arial"/>
                <w:sz w:val="14"/>
                <w:szCs w:val="14"/>
                <w:color w:val="auto"/>
              </w:rPr>
              <w:t>Meadowlands Affordable Housing Limited Partnership</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MP Investments, Inc.</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220"/>
              <w:spacing w:after="0"/>
              <w:rPr>
                <w:sz w:val="20"/>
                <w:szCs w:val="20"/>
                <w:color w:val="auto"/>
              </w:rPr>
            </w:pPr>
            <w:r>
              <w:rPr>
                <w:rFonts w:ascii="Arial" w:cs="Arial" w:eastAsia="Arial" w:hAnsi="Arial"/>
                <w:sz w:val="14"/>
                <w:szCs w:val="14"/>
                <w:color w:val="auto"/>
              </w:rPr>
              <w:t>RendField Land Company, Inc.</w:t>
            </w:r>
          </w:p>
        </w:tc>
        <w:tc>
          <w:tcPr>
            <w:tcW w:w="3040" w:type="dxa"/>
            <w:vAlign w:val="bottom"/>
          </w:tcPr>
          <w:p>
            <w:pPr>
              <w:ind w:left="130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Superior Water, Light and Power Company</w:t>
            </w:r>
          </w:p>
        </w:tc>
        <w:tc>
          <w:tcPr>
            <w:tcW w:w="304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7"/>
        </w:trPr>
        <w:tc>
          <w:tcPr>
            <w:tcW w:w="20" w:type="dxa"/>
            <w:vAlign w:val="bottom"/>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29" w:name="page230"/>
    <w:bookmarkEnd w:id="2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jc w:val="right"/>
        <w:spacing w:after="0"/>
        <w:rPr>
          <w:sz w:val="20"/>
          <w:szCs w:val="20"/>
          <w:color w:val="auto"/>
        </w:rPr>
      </w:pPr>
      <w:r>
        <w:rPr>
          <w:rFonts w:ascii="Arial" w:cs="Arial" w:eastAsia="Arial" w:hAnsi="Arial"/>
          <w:sz w:val="17"/>
          <w:szCs w:val="17"/>
          <w:b w:val="1"/>
          <w:bCs w:val="1"/>
          <w:color w:val="auto"/>
        </w:rPr>
        <w:t>Exhibit 23(a)</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hereby consent to the incorporation by reference in the Registration Statements on Form S-3 (Nos. 333-150681, 333-02109, 333-41882, 333-57104, 333-147965) and Form S-8 (Nos. 333-16445, 333-16463, 333-82901, 333-91348, 333-105225, 333-124455) of ALLETE, Inc. of our report dated February 13, 2009,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PricewaterhouseCoopers LLP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923925</wp:posOffset>
            </wp:positionV>
            <wp:extent cx="7293610" cy="19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3610" cy="19685"/>
                    </a:xfrm>
                    <a:prstGeom prst="rect">
                      <a:avLst/>
                    </a:prstGeom>
                    <a:noFill/>
                  </pic:spPr>
                </pic:pic>
              </a:graphicData>
            </a:graphic>
          </wp:anchor>
        </w:drawing>
      </w:r>
    </w:p>
    <w:p>
      <w:pPr>
        <w:sectPr>
          <w:pgSz w:w="11900" w:h="16838" w:orient="portrait"/>
          <w:cols w:equalWidth="0" w:num="1">
            <w:col w:w="11460"/>
          </w:cols>
          <w:pgMar w:left="220" w:top="311"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7"/>
          <w:szCs w:val="17"/>
          <w:b w:val="1"/>
          <w:bCs w:val="1"/>
          <w:color w:val="auto"/>
        </w:rPr>
        <w:t>Exhibit 23(b)</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2008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statements of law and legal conclusions under “Item 1. Business” in ALLETE’s Annual Report on Form 10-K for the year ended December 31, 2008, have been reviewed by me and are set forth therein in reliance upon my opinion as an expert.</w:t>
      </w:r>
    </w:p>
    <w:p>
      <w:pPr>
        <w:spacing w:after="0" w:line="200" w:lineRule="exact"/>
        <w:rPr>
          <w:sz w:val="20"/>
          <w:szCs w:val="20"/>
          <w:color w:val="auto"/>
        </w:rPr>
      </w:pPr>
    </w:p>
    <w:p>
      <w:pPr>
        <w:spacing w:after="0" w:line="335"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I hereby consent to the incorporation by reference of such statements of law and legal conclusions in Registration Statement Nos. 333-150681, 333-02109, 333-41882, 333-57104 and 333-147965 on Form S-3, and Registration Statement Nos. 333-16445, 333-16463, 333-82901, 333-91348, 333-105225 and 333-24455 on Form S-8.</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Deborah A. Amberg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Duluth, Minnesota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923925</wp:posOffset>
            </wp:positionV>
            <wp:extent cx="7293610" cy="19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3610" cy="19685"/>
                    </a:xfrm>
                    <a:prstGeom prst="rect">
                      <a:avLst/>
                    </a:prstGeom>
                    <a:noFill/>
                  </pic:spPr>
                </pic:pic>
              </a:graphicData>
            </a:graphic>
          </wp:anchor>
        </w:drawing>
      </w:r>
    </w:p>
    <w:p>
      <w:pPr>
        <w:sectPr>
          <w:pgSz w:w="11900" w:h="16838" w:orient="portrait"/>
          <w:cols w:equalWidth="0" w:num="1">
            <w:col w:w="11460"/>
          </w:cols>
          <w:pgMar w:left="220" w:top="311" w:right="2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4"/>
          <w:szCs w:val="14"/>
          <w:b w:val="1"/>
          <w:bCs w:val="1"/>
          <w:color w:val="auto"/>
        </w:rPr>
        <w:t>Exhibit 31(a)</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ALLETE 2008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13a-14(a)/15d-14(a) Certification by the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I, Donald J. Shippar, of ALLETE, Inc. (ALLETE), certify that:</w:t>
      </w:r>
    </w:p>
    <w:p>
      <w:pPr>
        <w:spacing w:after="0" w:line="205" w:lineRule="exact"/>
        <w:rPr>
          <w:sz w:val="20"/>
          <w:szCs w:val="20"/>
          <w:color w:val="auto"/>
        </w:rPr>
      </w:pPr>
    </w:p>
    <w:p>
      <w:pPr>
        <w:ind w:left="260" w:hanging="175"/>
        <w:spacing w:after="0"/>
        <w:tabs>
          <w:tab w:leader="none" w:pos="2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fiscal year ended December 31, 2008, of ALLETE;</w:t>
      </w:r>
    </w:p>
    <w:p>
      <w:pPr>
        <w:spacing w:after="0" w:line="205" w:lineRule="exact"/>
        <w:rPr>
          <w:rFonts w:ascii="Arial" w:cs="Arial" w:eastAsia="Arial" w:hAnsi="Arial"/>
          <w:sz w:val="14"/>
          <w:szCs w:val="14"/>
          <w:color w:val="auto"/>
        </w:rPr>
      </w:pPr>
    </w:p>
    <w:p>
      <w:pPr>
        <w:ind w:left="260" w:hanging="175"/>
        <w:spacing w:after="0" w:line="288" w:lineRule="auto"/>
        <w:tabs>
          <w:tab w:leader="none" w:pos="2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left="260" w:hanging="175"/>
        <w:spacing w:after="0" w:line="288" w:lineRule="auto"/>
        <w:tabs>
          <w:tab w:leader="none" w:pos="2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260" w:hanging="175"/>
        <w:spacing w:after="0" w:line="288" w:lineRule="auto"/>
        <w:tabs>
          <w:tab w:leader="none" w:pos="2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4"/>
          <w:szCs w:val="14"/>
          <w:color w:val="auto"/>
        </w:rPr>
      </w:pPr>
    </w:p>
    <w:p>
      <w:pPr>
        <w:ind w:left="520" w:hanging="255"/>
        <w:spacing w:after="0" w:line="328" w:lineRule="auto"/>
        <w:tabs>
          <w:tab w:leader="none" w:pos="52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520" w:hanging="255"/>
        <w:spacing w:after="0" w:line="328" w:lineRule="auto"/>
        <w:tabs>
          <w:tab w:leader="none" w:pos="52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520" w:hanging="255"/>
        <w:spacing w:after="0" w:line="288" w:lineRule="auto"/>
        <w:tabs>
          <w:tab w:leader="none" w:pos="5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520" w:hanging="255"/>
        <w:spacing w:after="0" w:line="328" w:lineRule="auto"/>
        <w:tabs>
          <w:tab w:leader="none" w:pos="52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260" w:hanging="175"/>
        <w:spacing w:after="0" w:line="288" w:lineRule="auto"/>
        <w:tabs>
          <w:tab w:leader="none" w:pos="2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left="520" w:hanging="255"/>
        <w:spacing w:after="0" w:line="288" w:lineRule="auto"/>
        <w:tabs>
          <w:tab w:leader="none" w:pos="5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520" w:hanging="255"/>
        <w:spacing w:after="0"/>
        <w:tabs>
          <w:tab w:leader="none" w:pos="5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spacing w:after="0"/>
        <w:tabs>
          <w:tab w:leader="none" w:pos="3660" w:val="left"/>
        </w:tabs>
        <w:rPr>
          <w:sz w:val="20"/>
          <w:szCs w:val="20"/>
          <w:color w:val="auto"/>
        </w:rPr>
      </w:pPr>
      <w:r>
        <w:rPr>
          <w:rFonts w:ascii="Arial" w:cs="Arial" w:eastAsia="Arial" w:hAnsi="Arial"/>
          <w:sz w:val="14"/>
          <w:szCs w:val="14"/>
          <w:color w:val="auto"/>
        </w:rPr>
        <w:t>Date: February 13, 2009</w:t>
      </w:r>
      <w:r>
        <w:rPr>
          <w:sz w:val="20"/>
          <w:szCs w:val="20"/>
          <w:color w:val="auto"/>
        </w:rPr>
        <w:tab/>
      </w:r>
      <w:r>
        <w:rPr>
          <w:rFonts w:ascii="Arial" w:cs="Arial" w:eastAsia="Arial" w:hAnsi="Arial"/>
          <w:sz w:val="12"/>
          <w:szCs w:val="12"/>
          <w:u w:val="single" w:color="auto"/>
          <w:color w:val="auto"/>
        </w:rPr>
        <w:t>Donald J. Shippar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Donald J. Shippar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7280275"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33" w:name="page234"/>
    <w:bookmarkEnd w:id="2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4" w:name="page235"/>
    <w:bookmarkEnd w:id="234"/>
    <w:p>
      <w:pPr>
        <w:jc w:val="right"/>
        <w:spacing w:after="0"/>
        <w:rPr>
          <w:sz w:val="20"/>
          <w:szCs w:val="20"/>
          <w:color w:val="auto"/>
        </w:rPr>
      </w:pPr>
      <w:r>
        <w:rPr>
          <w:rFonts w:ascii="Arial" w:cs="Arial" w:eastAsia="Arial" w:hAnsi="Arial"/>
          <w:sz w:val="14"/>
          <w:szCs w:val="14"/>
          <w:b w:val="1"/>
          <w:bCs w:val="1"/>
          <w:color w:val="auto"/>
        </w:rPr>
        <w:t>Exhibit 31(b)</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ALLETE 2008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13a-14(a)/15d-14(a) Certification by the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I, Mark A. Schober, of ALLETE, Inc. (ALLETE), certify that:</w:t>
      </w:r>
    </w:p>
    <w:p>
      <w:pPr>
        <w:spacing w:after="0" w:line="205" w:lineRule="exact"/>
        <w:rPr>
          <w:sz w:val="20"/>
          <w:szCs w:val="20"/>
          <w:color w:val="auto"/>
        </w:rPr>
      </w:pPr>
    </w:p>
    <w:p>
      <w:pPr>
        <w:ind w:left="260" w:hanging="175"/>
        <w:spacing w:after="0"/>
        <w:tabs>
          <w:tab w:leader="none" w:pos="2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fiscal year ended December 31, 2008, of ALLETE;</w:t>
      </w:r>
    </w:p>
    <w:p>
      <w:pPr>
        <w:spacing w:after="0" w:line="205" w:lineRule="exact"/>
        <w:rPr>
          <w:rFonts w:ascii="Arial" w:cs="Arial" w:eastAsia="Arial" w:hAnsi="Arial"/>
          <w:sz w:val="14"/>
          <w:szCs w:val="14"/>
          <w:color w:val="auto"/>
        </w:rPr>
      </w:pPr>
    </w:p>
    <w:p>
      <w:pPr>
        <w:ind w:left="260" w:hanging="175"/>
        <w:spacing w:after="0" w:line="288" w:lineRule="auto"/>
        <w:tabs>
          <w:tab w:leader="none" w:pos="2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left="260" w:hanging="175"/>
        <w:spacing w:after="0" w:line="288" w:lineRule="auto"/>
        <w:tabs>
          <w:tab w:leader="none" w:pos="2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260" w:hanging="175"/>
        <w:spacing w:after="0" w:line="288" w:lineRule="auto"/>
        <w:tabs>
          <w:tab w:leader="none" w:pos="2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4"/>
          <w:szCs w:val="14"/>
          <w:color w:val="auto"/>
        </w:rPr>
      </w:pPr>
    </w:p>
    <w:p>
      <w:pPr>
        <w:ind w:left="520" w:hanging="255"/>
        <w:spacing w:after="0" w:line="328" w:lineRule="auto"/>
        <w:tabs>
          <w:tab w:leader="none" w:pos="52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520" w:hanging="255"/>
        <w:spacing w:after="0" w:line="328" w:lineRule="auto"/>
        <w:tabs>
          <w:tab w:leader="none" w:pos="52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520" w:hanging="255"/>
        <w:spacing w:after="0" w:line="288" w:lineRule="auto"/>
        <w:tabs>
          <w:tab w:leader="none" w:pos="52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520" w:hanging="255"/>
        <w:spacing w:after="0" w:line="328" w:lineRule="auto"/>
        <w:tabs>
          <w:tab w:leader="none" w:pos="52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260" w:hanging="175"/>
        <w:spacing w:after="0" w:line="288" w:lineRule="auto"/>
        <w:tabs>
          <w:tab w:leader="none" w:pos="2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left="520" w:hanging="255"/>
        <w:spacing w:after="0" w:line="288" w:lineRule="auto"/>
        <w:tabs>
          <w:tab w:leader="none" w:pos="52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520" w:hanging="255"/>
        <w:spacing w:after="0"/>
        <w:tabs>
          <w:tab w:leader="none" w:pos="52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spacing w:after="0"/>
        <w:tabs>
          <w:tab w:leader="none" w:pos="3500" w:val="left"/>
        </w:tabs>
        <w:rPr>
          <w:sz w:val="20"/>
          <w:szCs w:val="20"/>
          <w:color w:val="auto"/>
        </w:rPr>
      </w:pPr>
      <w:r>
        <w:rPr>
          <w:rFonts w:ascii="Arial" w:cs="Arial" w:eastAsia="Arial" w:hAnsi="Arial"/>
          <w:sz w:val="14"/>
          <w:szCs w:val="14"/>
          <w:color w:val="auto"/>
        </w:rPr>
        <w:t>Date: February 13, 2009</w:t>
      </w:r>
      <w:r>
        <w:rPr>
          <w:sz w:val="20"/>
          <w:szCs w:val="20"/>
          <w:color w:val="auto"/>
        </w:rPr>
        <w:tab/>
      </w:r>
      <w:r>
        <w:rPr>
          <w:rFonts w:ascii="Arial" w:cs="Arial" w:eastAsia="Arial" w:hAnsi="Arial"/>
          <w:sz w:val="13"/>
          <w:szCs w:val="13"/>
          <w:u w:val="single" w:color="auto"/>
          <w:color w:val="auto"/>
        </w:rPr>
        <w:t>Mark A. Schober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Mark A. Schober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7280275" cy="19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35" w:name="page236"/>
    <w:bookmarkEnd w:id="2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6" w:name="page237"/>
    <w:bookmarkEnd w:id="236"/>
    <w:p>
      <w:pPr>
        <w:jc w:val="right"/>
        <w:spacing w:after="0"/>
        <w:rPr>
          <w:sz w:val="20"/>
          <w:szCs w:val="20"/>
          <w:color w:val="auto"/>
        </w:rPr>
      </w:pPr>
      <w:r>
        <w:rPr>
          <w:rFonts w:ascii="Arial" w:cs="Arial" w:eastAsia="Arial" w:hAnsi="Arial"/>
          <w:sz w:val="14"/>
          <w:szCs w:val="14"/>
          <w:b w:val="1"/>
          <w:bCs w:val="1"/>
          <w:color w:val="auto"/>
        </w:rPr>
        <w:t>Exhibit 32</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ALLETE 2008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1350 Certification of Periodic Report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By the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Section 906 of the Sarbanes-Oxley Act of 2002, 18 U.S.C. Section 1350, each of the undersigned officers of ALLETE, Inc. (ALLETE), does hereby certify that:</w:t>
      </w:r>
    </w:p>
    <w:p>
      <w:pPr>
        <w:spacing w:after="0" w:line="205" w:lineRule="exact"/>
        <w:rPr>
          <w:sz w:val="20"/>
          <w:szCs w:val="20"/>
          <w:color w:val="auto"/>
        </w:rPr>
      </w:pPr>
    </w:p>
    <w:p>
      <w:pPr>
        <w:ind w:left="260" w:hanging="175"/>
        <w:spacing w:after="0" w:line="288" w:lineRule="auto"/>
        <w:tabs>
          <w:tab w:leader="none" w:pos="2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Annual Report on Form 10-K of ALLETE for the fiscal year ended December 31, 2008, (Report) fully complies with the requirements of Section 13(a) of the Securities Exchange Act of 1934 (15 U.S.C. 78m); and</w:t>
      </w:r>
    </w:p>
    <w:p>
      <w:pPr>
        <w:spacing w:after="0" w:line="152" w:lineRule="exact"/>
        <w:rPr>
          <w:rFonts w:ascii="Arial" w:cs="Arial" w:eastAsia="Arial" w:hAnsi="Arial"/>
          <w:sz w:val="14"/>
          <w:szCs w:val="14"/>
          <w:color w:val="auto"/>
        </w:rPr>
      </w:pPr>
    </w:p>
    <w:p>
      <w:pPr>
        <w:ind w:left="260" w:hanging="175"/>
        <w:spacing w:after="0"/>
        <w:tabs>
          <w:tab w:leader="none" w:pos="2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93" w:lineRule="exact"/>
        <w:rPr>
          <w:sz w:val="20"/>
          <w:szCs w:val="20"/>
          <w:color w:val="auto"/>
        </w:rPr>
      </w:pPr>
    </w:p>
    <w:p>
      <w:pPr>
        <w:spacing w:after="0"/>
        <w:tabs>
          <w:tab w:leader="none" w:pos="3840" w:val="left"/>
        </w:tabs>
        <w:rPr>
          <w:sz w:val="20"/>
          <w:szCs w:val="20"/>
          <w:color w:val="auto"/>
        </w:rPr>
      </w:pPr>
      <w:r>
        <w:rPr>
          <w:rFonts w:ascii="Arial" w:cs="Arial" w:eastAsia="Arial" w:hAnsi="Arial"/>
          <w:sz w:val="14"/>
          <w:szCs w:val="14"/>
          <w:color w:val="auto"/>
        </w:rPr>
        <w:t>Date: February 13, 2009</w:t>
      </w:r>
      <w:r>
        <w:rPr>
          <w:sz w:val="20"/>
          <w:szCs w:val="20"/>
          <w:color w:val="auto"/>
        </w:rPr>
        <w:tab/>
      </w:r>
      <w:r>
        <w:rPr>
          <w:rFonts w:ascii="Arial" w:cs="Arial" w:eastAsia="Arial" w:hAnsi="Arial"/>
          <w:sz w:val="12"/>
          <w:szCs w:val="12"/>
          <w:u w:val="single" w:color="auto"/>
          <w:color w:val="auto"/>
        </w:rPr>
        <w:t>Donald J. Shippar</w:t>
      </w:r>
    </w:p>
    <w:p>
      <w:pPr>
        <w:spacing w:after="0" w:line="205"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Donald J. Shippar</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840" w:val="left"/>
        </w:tabs>
        <w:rPr>
          <w:sz w:val="20"/>
          <w:szCs w:val="20"/>
          <w:color w:val="auto"/>
        </w:rPr>
      </w:pPr>
      <w:r>
        <w:rPr>
          <w:rFonts w:ascii="Arial" w:cs="Arial" w:eastAsia="Arial" w:hAnsi="Arial"/>
          <w:sz w:val="14"/>
          <w:szCs w:val="14"/>
          <w:color w:val="auto"/>
        </w:rPr>
        <w:t>Date: February 13, 2009</w:t>
      </w:r>
      <w:r>
        <w:rPr>
          <w:sz w:val="20"/>
          <w:szCs w:val="20"/>
          <w:color w:val="auto"/>
        </w:rPr>
        <w:tab/>
      </w:r>
      <w:r>
        <w:rPr>
          <w:rFonts w:ascii="Arial" w:cs="Arial" w:eastAsia="Arial" w:hAnsi="Arial"/>
          <w:sz w:val="13"/>
          <w:szCs w:val="13"/>
          <w:u w:val="single" w:color="auto"/>
          <w:color w:val="auto"/>
        </w:rPr>
        <w:t>Mark A. Schober</w:t>
      </w:r>
    </w:p>
    <w:p>
      <w:pPr>
        <w:spacing w:after="0" w:line="205"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Mark A. Schober</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Senior Vice President and Chief Financial Officer</w:t>
      </w:r>
    </w:p>
    <w:p>
      <w:pPr>
        <w:spacing w:after="0" w:line="200" w:lineRule="exact"/>
        <w:rPr>
          <w:sz w:val="20"/>
          <w:szCs w:val="20"/>
          <w:color w:val="auto"/>
        </w:rPr>
      </w:pPr>
    </w:p>
    <w:p>
      <w:pPr>
        <w:spacing w:after="0" w:line="3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60"/>
          </w:cols>
          <w:pgMar w:left="220" w:top="125" w:right="219" w:bottom="1440" w:gutter="0" w:footer="0" w:header="0"/>
        </w:sectPr>
      </w:pPr>
    </w:p>
    <w:bookmarkStart w:id="237" w:name="page238"/>
    <w:bookmarkEnd w:id="237"/>
    <w:p>
      <w:pPr>
        <w:ind w:left="10700"/>
        <w:spacing w:after="0"/>
        <w:rPr>
          <w:sz w:val="20"/>
          <w:szCs w:val="20"/>
          <w:color w:val="auto"/>
        </w:rPr>
      </w:pPr>
      <w:r>
        <w:rPr>
          <w:rFonts w:ascii="Arial" w:cs="Arial" w:eastAsia="Arial" w:hAnsi="Arial"/>
          <w:sz w:val="16"/>
          <w:szCs w:val="16"/>
          <w:b w:val="1"/>
          <w:bCs w:val="1"/>
          <w:color w:val="auto"/>
        </w:rPr>
        <w:t>Exhibit 99</w:t>
      </w:r>
    </w:p>
    <w:p>
      <w:pPr>
        <w:spacing w:after="0" w:line="209"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ALLETE 2008 10-K</w:t>
      </w:r>
    </w:p>
    <w:p>
      <w:pPr>
        <w:sectPr>
          <w:pgSz w:w="11900" w:h="16838" w:orient="portrait"/>
          <w:cols w:equalWidth="0" w:num="1">
            <w:col w:w="11460"/>
          </w:cols>
          <w:pgMar w:left="220" w:top="118" w:right="219" w:bottom="1440" w:gutter="0" w:footer="0" w:header="0"/>
        </w:sectPr>
      </w:pPr>
    </w:p>
    <w:p>
      <w:pPr>
        <w:spacing w:after="0" w:line="210" w:lineRule="exact"/>
        <w:rPr>
          <w:sz w:val="20"/>
          <w:szCs w:val="20"/>
          <w:color w:val="auto"/>
        </w:rPr>
      </w:pPr>
    </w:p>
    <w:p>
      <w:pPr>
        <w:ind w:left="8800"/>
        <w:spacing w:after="0"/>
        <w:rPr>
          <w:sz w:val="20"/>
          <w:szCs w:val="20"/>
          <w:color w:val="auto"/>
        </w:rPr>
      </w:pPr>
      <w:r>
        <w:rPr>
          <w:rFonts w:ascii="Arial" w:cs="Arial" w:eastAsia="Arial" w:hAnsi="Arial"/>
          <w:sz w:val="12"/>
          <w:szCs w:val="12"/>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21590</wp:posOffset>
            </wp:positionV>
            <wp:extent cx="1450975" cy="650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50975" cy="650240"/>
                    </a:xfrm>
                    <a:prstGeom prst="rect">
                      <a:avLst/>
                    </a:prstGeom>
                    <a:noFill/>
                  </pic:spPr>
                </pic:pic>
              </a:graphicData>
            </a:graphic>
          </wp:anchor>
        </w:drawing>
      </w:r>
    </w:p>
    <w:p>
      <w:pPr>
        <w:spacing w:after="0" w:line="24" w:lineRule="exact"/>
        <w:rPr>
          <w:sz w:val="20"/>
          <w:szCs w:val="20"/>
          <w:color w:val="auto"/>
        </w:rPr>
      </w:pPr>
    </w:p>
    <w:p>
      <w:pPr>
        <w:ind w:left="8800"/>
        <w:spacing w:after="0"/>
        <w:rPr>
          <w:sz w:val="20"/>
          <w:szCs w:val="20"/>
          <w:color w:val="auto"/>
        </w:rPr>
      </w:pPr>
      <w:r>
        <w:rPr>
          <w:rFonts w:ascii="Arial" w:cs="Arial" w:eastAsia="Arial" w:hAnsi="Arial"/>
          <w:sz w:val="14"/>
          <w:szCs w:val="14"/>
          <w:i w:val="1"/>
          <w:iCs w:val="1"/>
          <w:color w:val="auto"/>
        </w:rPr>
        <w:t>Contact: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February 13, 2009 Tim Thorp 218-723-3953 tthorp@allete.com</w:t>
      </w:r>
    </w:p>
    <w:p>
      <w:pPr>
        <w:spacing w:after="0" w:line="200" w:lineRule="exact"/>
        <w:rPr>
          <w:sz w:val="20"/>
          <w:szCs w:val="20"/>
          <w:color w:val="auto"/>
        </w:rPr>
      </w:pPr>
    </w:p>
    <w:p>
      <w:pPr>
        <w:sectPr>
          <w:pgSz w:w="11900" w:h="16838" w:orient="portrait"/>
          <w:cols w:equalWidth="0" w:num="2">
            <w:col w:w="9660" w:space="720"/>
            <w:col w:w="1080"/>
          </w:cols>
          <w:pgMar w:left="220" w:top="118" w:right="21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52"/>
          <w:szCs w:val="52"/>
          <w:b w:val="1"/>
          <w:bCs w:val="1"/>
          <w:i w:val="1"/>
          <w:iCs w:val="1"/>
          <w:color w:val="auto"/>
        </w:rPr>
        <w:t>NEWS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 Inc. reports 2008 earnings of $2.82 per share</w:t>
      </w:r>
    </w:p>
    <w:p>
      <w:pPr>
        <w:spacing w:after="0" w:line="399" w:lineRule="exact"/>
        <w:rPr>
          <w:sz w:val="20"/>
          <w:szCs w:val="20"/>
          <w:color w:val="auto"/>
        </w:rPr>
      </w:pPr>
    </w:p>
    <w:p>
      <w:pPr>
        <w:jc w:val="both"/>
        <w:ind w:left="400"/>
        <w:spacing w:after="0" w:line="288" w:lineRule="auto"/>
        <w:rPr>
          <w:sz w:val="20"/>
          <w:szCs w:val="20"/>
          <w:color w:val="auto"/>
        </w:rPr>
      </w:pPr>
      <w:r>
        <w:rPr>
          <w:rFonts w:ascii="Arial" w:cs="Arial" w:eastAsia="Arial" w:hAnsi="Arial"/>
          <w:sz w:val="14"/>
          <w:szCs w:val="14"/>
          <w:color w:val="auto"/>
        </w:rPr>
        <w:t>ALLETE, Inc. (NYSE: ALE) today reported 2008 earnings of $2.82 per share, compared with 2007 earnings of $3.08. Net income for 2008 was $82.5 million on operating revenue of $801 million, versus 2007 net income of $87.6 million and operating revenue of $841.7 million.</w:t>
      </w:r>
    </w:p>
    <w:p>
      <w:pPr>
        <w:spacing w:after="0" w:line="152" w:lineRule="exact"/>
        <w:rPr>
          <w:sz w:val="20"/>
          <w:szCs w:val="20"/>
          <w:color w:val="auto"/>
        </w:rPr>
      </w:pPr>
    </w:p>
    <w:p>
      <w:pPr>
        <w:jc w:val="both"/>
        <w:ind w:left="400"/>
        <w:spacing w:after="0" w:line="288" w:lineRule="auto"/>
        <w:rPr>
          <w:sz w:val="20"/>
          <w:szCs w:val="20"/>
          <w:color w:val="auto"/>
        </w:rPr>
      </w:pPr>
      <w:r>
        <w:rPr>
          <w:rFonts w:ascii="Arial" w:cs="Arial" w:eastAsia="Arial" w:hAnsi="Arial"/>
          <w:sz w:val="14"/>
          <w:szCs w:val="14"/>
          <w:color w:val="auto"/>
        </w:rPr>
        <w:t>“ALLETE achieved 2008 earnings within the guidance range we projected at the end of 2007,” said Don Shippar, ALLETE’s Chairman, President and Chief Executive Officer. “We’re pleased to have met our financial expectations despite the difficult economic environment.”</w:t>
      </w:r>
    </w:p>
    <w:p>
      <w:pPr>
        <w:spacing w:after="0" w:line="148" w:lineRule="exact"/>
        <w:rPr>
          <w:sz w:val="20"/>
          <w:szCs w:val="20"/>
          <w:color w:val="auto"/>
        </w:rPr>
      </w:pPr>
    </w:p>
    <w:p>
      <w:pPr>
        <w:jc w:val="both"/>
        <w:ind w:left="400"/>
        <w:spacing w:after="0" w:line="275"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Regulated Operations</w:t>
      </w:r>
      <w:r>
        <w:rPr>
          <w:rFonts w:ascii="Arial" w:cs="Arial" w:eastAsia="Arial" w:hAnsi="Arial"/>
          <w:sz w:val="14"/>
          <w:szCs w:val="14"/>
          <w:color w:val="auto"/>
        </w:rPr>
        <w:t xml:space="preserve"> segment recorded net income of $67.9 million during the year. The company received additional revenue from a wholesale electric rate increase and from interim retail rates now under review by the Minnesota Public Utilities Commission. ALLETE also recorded higher income from its investment in the American Transmission Company due to a higher investment balance.</w:t>
      </w:r>
    </w:p>
    <w:p>
      <w:pPr>
        <w:spacing w:after="0" w:line="162" w:lineRule="exact"/>
        <w:rPr>
          <w:sz w:val="20"/>
          <w:szCs w:val="20"/>
          <w:color w:val="auto"/>
        </w:rPr>
      </w:pPr>
    </w:p>
    <w:p>
      <w:pPr>
        <w:jc w:val="both"/>
        <w:ind w:left="400"/>
        <w:spacing w:after="0" w:line="288" w:lineRule="auto"/>
        <w:rPr>
          <w:sz w:val="20"/>
          <w:szCs w:val="20"/>
          <w:color w:val="auto"/>
        </w:rPr>
      </w:pPr>
      <w:r>
        <w:rPr>
          <w:rFonts w:ascii="Arial" w:cs="Arial" w:eastAsia="Arial" w:hAnsi="Arial"/>
          <w:sz w:val="14"/>
          <w:szCs w:val="14"/>
          <w:color w:val="auto"/>
        </w:rPr>
        <w:t>Electric sales to other power suppliers declined in 2008 due to the expiration of two sales contracts. The company also incurred higher operations and maintenance expense, depreciation, and interest expense during the year.</w:t>
      </w:r>
    </w:p>
    <w:p>
      <w:pPr>
        <w:spacing w:after="0" w:line="148" w:lineRule="exact"/>
        <w:rPr>
          <w:sz w:val="20"/>
          <w:szCs w:val="20"/>
          <w:color w:val="auto"/>
        </w:rPr>
      </w:pPr>
    </w:p>
    <w:p>
      <w:pPr>
        <w:jc w:val="both"/>
        <w:ind w:left="400"/>
        <w:spacing w:after="0" w:line="294"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Investments and Other</w:t>
      </w:r>
      <w:r>
        <w:rPr>
          <w:rFonts w:ascii="Arial" w:cs="Arial" w:eastAsia="Arial" w:hAnsi="Arial"/>
          <w:sz w:val="14"/>
          <w:szCs w:val="14"/>
          <w:color w:val="auto"/>
        </w:rPr>
        <w:t xml:space="preserve"> segment recorded net income of $14.6 million in 2008 as harsh real estate market conditions in Florida persisted throughout the year. ALLETE recorded a gain on the sale of securities in the first quarter and a tax benefit in the third quarter of 2008.</w:t>
      </w:r>
    </w:p>
    <w:p>
      <w:pPr>
        <w:spacing w:after="0" w:line="148" w:lineRule="exact"/>
        <w:rPr>
          <w:sz w:val="20"/>
          <w:szCs w:val="20"/>
          <w:color w:val="auto"/>
        </w:rPr>
      </w:pPr>
    </w:p>
    <w:p>
      <w:pPr>
        <w:jc w:val="both"/>
        <w:ind w:left="400"/>
        <w:spacing w:after="0" w:line="288" w:lineRule="auto"/>
        <w:rPr>
          <w:sz w:val="20"/>
          <w:szCs w:val="20"/>
          <w:color w:val="auto"/>
        </w:rPr>
      </w:pPr>
      <w:r>
        <w:rPr>
          <w:rFonts w:ascii="Arial" w:cs="Arial" w:eastAsia="Arial" w:hAnsi="Arial"/>
          <w:sz w:val="14"/>
          <w:szCs w:val="14"/>
          <w:color w:val="auto"/>
        </w:rPr>
        <w:t>In the fourth quarter of 2008, ALLETE earned 78 cents per share – one cent more than the corresponding period in 2007. Net income was $23.5 million on operating revenue of $196.1 million in 2008. ALLETE recorded net income of $22.2 million on operating revenue of $212.3 million during the fourth quarter of 2007.</w:t>
      </w:r>
    </w:p>
    <w:p>
      <w:pPr>
        <w:spacing w:after="0" w:line="152" w:lineRule="exact"/>
        <w:rPr>
          <w:sz w:val="20"/>
          <w:szCs w:val="20"/>
          <w:color w:val="auto"/>
        </w:rPr>
      </w:pPr>
    </w:p>
    <w:p>
      <w:pPr>
        <w:jc w:val="both"/>
        <w:ind w:left="400"/>
        <w:spacing w:after="0" w:line="288" w:lineRule="auto"/>
        <w:rPr>
          <w:sz w:val="20"/>
          <w:szCs w:val="20"/>
          <w:color w:val="auto"/>
        </w:rPr>
      </w:pPr>
      <w:r>
        <w:rPr>
          <w:rFonts w:ascii="Arial" w:cs="Arial" w:eastAsia="Arial" w:hAnsi="Arial"/>
          <w:sz w:val="14"/>
          <w:szCs w:val="14"/>
          <w:color w:val="auto"/>
        </w:rPr>
        <w:t>“The current economic climate presents a challenge to us and to our customers,” Shippar said. The company will respond to the current economic downturn by managing costs and capital expenditures and by remarketing available power, he said.</w:t>
      </w:r>
    </w:p>
    <w:p>
      <w:pPr>
        <w:spacing w:after="0" w:line="152" w:lineRule="exact"/>
        <w:rPr>
          <w:sz w:val="20"/>
          <w:szCs w:val="20"/>
          <w:color w:val="auto"/>
        </w:rPr>
      </w:pPr>
    </w:p>
    <w:p>
      <w:pPr>
        <w:jc w:val="both"/>
        <w:ind w:left="400"/>
        <w:spacing w:after="0" w:line="328" w:lineRule="auto"/>
        <w:rPr>
          <w:sz w:val="20"/>
          <w:szCs w:val="20"/>
          <w:color w:val="auto"/>
        </w:rPr>
      </w:pPr>
      <w:r>
        <w:rPr>
          <w:rFonts w:ascii="Arial" w:cs="Arial" w:eastAsia="Arial" w:hAnsi="Arial"/>
          <w:sz w:val="13"/>
          <w:szCs w:val="13"/>
          <w:color w:val="auto"/>
        </w:rPr>
        <w:t>Although the company expects little, if any, earnings from its ALLETE Properties investments in 2009, Shippar said he anticipated increased income from its investment in ATC. The company expects to meet the 2009 guidance ALLETE issued on December 5, 2008 – earnings of between $2.10 and $2.35 per share, from net income ranging from $67 million to $75 million.</w:t>
      </w:r>
    </w:p>
    <w:p>
      <w:pPr>
        <w:spacing w:after="0" w:line="130" w:lineRule="exact"/>
        <w:rPr>
          <w:sz w:val="20"/>
          <w:szCs w:val="20"/>
          <w:color w:val="auto"/>
        </w:rPr>
      </w:pPr>
    </w:p>
    <w:p>
      <w:pPr>
        <w:jc w:val="both"/>
        <w:ind w:left="400"/>
        <w:spacing w:after="0" w:line="288" w:lineRule="auto"/>
        <w:rPr>
          <w:sz w:val="20"/>
          <w:szCs w:val="20"/>
          <w:color w:val="auto"/>
        </w:rPr>
      </w:pPr>
      <w:r>
        <w:rPr>
          <w:rFonts w:ascii="Arial" w:cs="Arial" w:eastAsia="Arial" w:hAnsi="Arial"/>
          <w:sz w:val="14"/>
          <w:szCs w:val="14"/>
          <w:color w:val="auto"/>
        </w:rPr>
        <w:t xml:space="preserve">ALLETE’s corporate headquarters are located in Duluth, Minnesota. ALLETE provides energy services in the upper Midwest and has real estate holdings in Florida. More information about the company is available on ALLETE’s Web site at </w:t>
      </w:r>
      <w:r>
        <w:rPr>
          <w:rFonts w:ascii="Arial" w:cs="Arial" w:eastAsia="Arial" w:hAnsi="Arial"/>
          <w:sz w:val="14"/>
          <w:szCs w:val="14"/>
          <w:u w:val="single" w:color="auto"/>
          <w:color w:val="auto"/>
        </w:rPr>
        <w:t>www.allete.com</w:t>
      </w:r>
      <w:r>
        <w:rPr>
          <w:rFonts w:ascii="Arial" w:cs="Arial" w:eastAsia="Arial" w:hAnsi="Arial"/>
          <w:sz w:val="14"/>
          <w:szCs w:val="14"/>
          <w:color w:val="auto"/>
        </w:rPr>
        <w:t>.</w:t>
      </w:r>
    </w:p>
    <w:p>
      <w:pPr>
        <w:spacing w:after="0" w:line="152" w:lineRule="exact"/>
        <w:rPr>
          <w:sz w:val="20"/>
          <w:szCs w:val="20"/>
          <w:color w:val="auto"/>
        </w:rPr>
      </w:pPr>
    </w:p>
    <w:p>
      <w:pPr>
        <w:jc w:val="both"/>
        <w:ind w:left="400"/>
        <w:spacing w:after="0" w:line="261" w:lineRule="auto"/>
        <w:rPr>
          <w:sz w:val="20"/>
          <w:szCs w:val="20"/>
          <w:color w:val="auto"/>
        </w:rPr>
      </w:pPr>
      <w:r>
        <w:rPr>
          <w:rFonts w:ascii="Arial" w:cs="Arial" w:eastAsia="Arial" w:hAnsi="Arial"/>
          <w:sz w:val="14"/>
          <w:szCs w:val="14"/>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7280275" cy="19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40" w:type="dxa"/>
            <w:vAlign w:val="bottom"/>
            <w:gridSpan w:val="2"/>
          </w:tcPr>
          <w:p>
            <w:pPr>
              <w:jc w:val="center"/>
              <w:ind w:right="1788"/>
              <w:spacing w:after="0"/>
              <w:rPr>
                <w:sz w:val="20"/>
                <w:szCs w:val="20"/>
                <w:color w:val="auto"/>
              </w:rPr>
            </w:pPr>
            <w:r>
              <w:rPr>
                <w:rFonts w:ascii="Arial" w:cs="Arial" w:eastAsia="Arial" w:hAnsi="Arial"/>
                <w:sz w:val="14"/>
                <w:szCs w:val="14"/>
                <w:b w:val="1"/>
                <w:bCs w:val="1"/>
                <w:color w:val="auto"/>
              </w:rPr>
              <w:t>ALLETE, Inc.</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40" w:type="dxa"/>
            <w:vAlign w:val="bottom"/>
            <w:gridSpan w:val="2"/>
          </w:tcPr>
          <w:p>
            <w:pPr>
              <w:jc w:val="center"/>
              <w:ind w:right="1788"/>
              <w:spacing w:after="0"/>
              <w:rPr>
                <w:sz w:val="20"/>
                <w:szCs w:val="20"/>
                <w:color w:val="auto"/>
              </w:rPr>
            </w:pPr>
            <w:r>
              <w:rPr>
                <w:rFonts w:ascii="Arial" w:cs="Arial" w:eastAsia="Arial" w:hAnsi="Arial"/>
                <w:sz w:val="14"/>
                <w:szCs w:val="14"/>
                <w:b w:val="1"/>
                <w:bCs w:val="1"/>
                <w:color w:val="auto"/>
                <w:w w:val="91"/>
              </w:rPr>
              <w:t>Consolidated Statement of Income</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520" w:type="dxa"/>
            <w:vAlign w:val="bottom"/>
            <w:gridSpan w:val="3"/>
          </w:tcPr>
          <w:p>
            <w:pPr>
              <w:jc w:val="center"/>
              <w:ind w:right="708"/>
              <w:spacing w:after="0"/>
              <w:rPr>
                <w:sz w:val="20"/>
                <w:szCs w:val="20"/>
                <w:color w:val="auto"/>
              </w:rPr>
            </w:pPr>
            <w:r>
              <w:rPr>
                <w:rFonts w:ascii="Arial" w:cs="Arial" w:eastAsia="Arial" w:hAnsi="Arial"/>
                <w:sz w:val="14"/>
                <w:szCs w:val="14"/>
                <w:b w:val="1"/>
                <w:bCs w:val="1"/>
                <w:color w:val="auto"/>
                <w:w w:val="92"/>
              </w:rPr>
              <w:t>For the Periods Ended December 31, 2008 and 2007</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40" w:type="dxa"/>
            <w:vAlign w:val="bottom"/>
            <w:gridSpan w:val="2"/>
          </w:tcPr>
          <w:p>
            <w:pPr>
              <w:jc w:val="center"/>
              <w:ind w:right="1768"/>
              <w:spacing w:after="0"/>
              <w:rPr>
                <w:sz w:val="20"/>
                <w:szCs w:val="20"/>
                <w:color w:val="auto"/>
              </w:rPr>
            </w:pPr>
            <w:r>
              <w:rPr>
                <w:rFonts w:ascii="Arial" w:cs="Arial" w:eastAsia="Arial" w:hAnsi="Arial"/>
                <w:sz w:val="14"/>
                <w:szCs w:val="14"/>
                <w:color w:val="auto"/>
                <w:w w:val="94"/>
              </w:rPr>
              <w:t>Millions Except Per Share Amounts</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2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Quarter Ended</w:t>
            </w:r>
          </w:p>
        </w:tc>
        <w:tc>
          <w:tcPr>
            <w:tcW w:w="178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Year to Date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2008</w:t>
            </w: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2007</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Revenue</w:t>
            </w:r>
          </w:p>
        </w:tc>
        <w:tc>
          <w:tcPr>
            <w:tcW w:w="10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$196.1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Fuel and Purchased Power</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360"/>
              <w:spacing w:after="0"/>
              <w:rPr>
                <w:sz w:val="20"/>
                <w:szCs w:val="20"/>
                <w:color w:val="auto"/>
              </w:rPr>
            </w:pPr>
            <w:r>
              <w:rPr>
                <w:rFonts w:ascii="Arial" w:cs="Arial" w:eastAsia="Arial" w:hAnsi="Arial"/>
                <w:sz w:val="14"/>
                <w:szCs w:val="14"/>
                <w:color w:val="auto"/>
              </w:rPr>
              <w:t>Operating and Maintenance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jc w:val="right"/>
              <w:ind w:right="88"/>
              <w:spacing w:after="0"/>
              <w:rPr>
                <w:sz w:val="20"/>
                <w:szCs w:val="20"/>
                <w:color w:val="auto"/>
              </w:rPr>
            </w:pPr>
            <w:r>
              <w:rPr>
                <w:rFonts w:ascii="Arial" w:cs="Arial" w:eastAsia="Arial" w:hAnsi="Arial"/>
                <w:sz w:val="14"/>
                <w:szCs w:val="14"/>
                <w:color w:val="auto"/>
              </w:rPr>
              <w:t>76.6</w:t>
            </w:r>
          </w:p>
        </w:tc>
        <w:tc>
          <w:tcPr>
            <w:tcW w:w="800" w:type="dxa"/>
            <w:vAlign w:val="bottom"/>
          </w:tcPr>
          <w:p>
            <w:pPr>
              <w:jc w:val="right"/>
              <w:spacing w:after="0"/>
              <w:rPr>
                <w:sz w:val="20"/>
                <w:szCs w:val="20"/>
                <w:color w:val="auto"/>
              </w:rPr>
            </w:pPr>
            <w:r>
              <w:rPr>
                <w:rFonts w:ascii="Arial" w:cs="Arial" w:eastAsia="Arial" w:hAnsi="Arial"/>
                <w:sz w:val="14"/>
                <w:szCs w:val="14"/>
                <w:color w:val="auto"/>
              </w:rPr>
              <w:t>81.0</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318.1</w:t>
            </w:r>
          </w:p>
        </w:tc>
        <w:tc>
          <w:tcPr>
            <w:tcW w:w="840" w:type="dxa"/>
            <w:vAlign w:val="bottom"/>
          </w:tcPr>
          <w:p>
            <w:pPr>
              <w:jc w:val="right"/>
              <w:spacing w:after="0"/>
              <w:rPr>
                <w:sz w:val="20"/>
                <w:szCs w:val="20"/>
                <w:color w:val="auto"/>
              </w:rPr>
            </w:pPr>
            <w:r>
              <w:rPr>
                <w:rFonts w:ascii="Arial" w:cs="Arial" w:eastAsia="Arial" w:hAnsi="Arial"/>
                <w:sz w:val="14"/>
                <w:szCs w:val="14"/>
                <w:color w:val="auto"/>
              </w:rPr>
              <w:t>313.9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Depreciation</w:t>
            </w:r>
          </w:p>
        </w:tc>
        <w:tc>
          <w:tcPr>
            <w:tcW w:w="10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679.2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10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360"/>
              <w:spacing w:after="0"/>
              <w:rPr>
                <w:sz w:val="20"/>
                <w:szCs w:val="20"/>
                <w:color w:val="auto"/>
              </w:rPr>
            </w:pPr>
            <w:r>
              <w:rPr>
                <w:rFonts w:ascii="Arial" w:cs="Arial" w:eastAsia="Arial" w:hAnsi="Arial"/>
                <w:sz w:val="14"/>
                <w:szCs w:val="14"/>
                <w:color w:val="auto"/>
              </w:rPr>
              <w:t>Equity Earnings in ATC</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Total Other Income (Expense)</w:t>
            </w: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5"/>
              </w:rPr>
              <w:t>Income from Continuing Operations Before Minority</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360"/>
              <w:spacing w:after="0"/>
              <w:rPr>
                <w:sz w:val="20"/>
                <w:szCs w:val="20"/>
                <w:color w:val="auto"/>
              </w:rPr>
            </w:pPr>
            <w:r>
              <w:rPr>
                <w:rFonts w:ascii="Arial" w:cs="Arial" w:eastAsia="Arial" w:hAnsi="Arial"/>
                <w:sz w:val="14"/>
                <w:szCs w:val="14"/>
                <w:b w:val="1"/>
                <w:bCs w:val="1"/>
                <w:color w:val="auto"/>
              </w:rPr>
              <w:t>Interest and Income Taxes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jc w:val="right"/>
              <w:ind w:right="88"/>
              <w:spacing w:after="0"/>
              <w:rPr>
                <w:sz w:val="20"/>
                <w:szCs w:val="20"/>
                <w:color w:val="auto"/>
              </w:rPr>
            </w:pPr>
            <w:r>
              <w:rPr>
                <w:rFonts w:ascii="Arial" w:cs="Arial" w:eastAsia="Arial" w:hAnsi="Arial"/>
                <w:sz w:val="14"/>
                <w:szCs w:val="14"/>
                <w:color w:val="auto"/>
              </w:rPr>
              <w:t>38.8</w:t>
            </w:r>
          </w:p>
        </w:tc>
        <w:tc>
          <w:tcPr>
            <w:tcW w:w="800" w:type="dxa"/>
            <w:vAlign w:val="bottom"/>
          </w:tcPr>
          <w:p>
            <w:pPr>
              <w:jc w:val="right"/>
              <w:spacing w:after="0"/>
              <w:rPr>
                <w:sz w:val="20"/>
                <w:szCs w:val="20"/>
                <w:color w:val="auto"/>
              </w:rPr>
            </w:pPr>
            <w:r>
              <w:rPr>
                <w:rFonts w:ascii="Arial" w:cs="Arial" w:eastAsia="Arial" w:hAnsi="Arial"/>
                <w:sz w:val="14"/>
                <w:szCs w:val="14"/>
                <w:color w:val="auto"/>
              </w:rPr>
              <w:t>34.8</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126.4</w:t>
            </w:r>
          </w:p>
        </w:tc>
        <w:tc>
          <w:tcPr>
            <w:tcW w:w="840" w:type="dxa"/>
            <w:vAlign w:val="bottom"/>
          </w:tcPr>
          <w:p>
            <w:pPr>
              <w:jc w:val="right"/>
              <w:spacing w:after="0"/>
              <w:rPr>
                <w:sz w:val="20"/>
                <w:szCs w:val="20"/>
                <w:color w:val="auto"/>
              </w:rPr>
            </w:pPr>
            <w:r>
              <w:rPr>
                <w:rFonts w:ascii="Arial" w:cs="Arial" w:eastAsia="Arial" w:hAnsi="Arial"/>
                <w:sz w:val="14"/>
                <w:szCs w:val="14"/>
                <w:color w:val="auto"/>
              </w:rPr>
              <w:t>137.2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Tax Expense</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Minority Interest</w:t>
            </w: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Shares of Common Stock</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360"/>
              <w:spacing w:after="0"/>
              <w:rPr>
                <w:sz w:val="20"/>
                <w:szCs w:val="20"/>
                <w:color w:val="auto"/>
              </w:rPr>
            </w:pPr>
            <w:r>
              <w:rPr>
                <w:rFonts w:ascii="Arial" w:cs="Arial" w:eastAsia="Arial" w:hAnsi="Arial"/>
                <w:sz w:val="14"/>
                <w:szCs w:val="14"/>
                <w:color w:val="auto"/>
              </w:rPr>
              <w:t>Basic</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jc w:val="right"/>
              <w:ind w:right="88"/>
              <w:spacing w:after="0"/>
              <w:rPr>
                <w:sz w:val="20"/>
                <w:szCs w:val="20"/>
                <w:color w:val="auto"/>
              </w:rPr>
            </w:pPr>
            <w:r>
              <w:rPr>
                <w:rFonts w:ascii="Arial" w:cs="Arial" w:eastAsia="Arial" w:hAnsi="Arial"/>
                <w:sz w:val="14"/>
                <w:szCs w:val="14"/>
                <w:color w:val="auto"/>
              </w:rPr>
              <w:t>30.1</w:t>
            </w:r>
          </w:p>
        </w:tc>
        <w:tc>
          <w:tcPr>
            <w:tcW w:w="800" w:type="dxa"/>
            <w:vAlign w:val="bottom"/>
          </w:tcPr>
          <w:p>
            <w:pPr>
              <w:jc w:val="right"/>
              <w:spacing w:after="0"/>
              <w:rPr>
                <w:sz w:val="20"/>
                <w:szCs w:val="20"/>
                <w:color w:val="auto"/>
              </w:rPr>
            </w:pPr>
            <w:r>
              <w:rPr>
                <w:rFonts w:ascii="Arial" w:cs="Arial" w:eastAsia="Arial" w:hAnsi="Arial"/>
                <w:sz w:val="14"/>
                <w:szCs w:val="14"/>
                <w:color w:val="auto"/>
              </w:rPr>
              <w:t>28.6</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840" w:type="dxa"/>
            <w:vAlign w:val="bottom"/>
          </w:tcPr>
          <w:p>
            <w:pPr>
              <w:jc w:val="right"/>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0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Basic Earnings Per Share of Common Stock</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Earnings Per Share of Common Stock</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Dividends Per Share of Common Stock</w:t>
            </w:r>
          </w:p>
        </w:tc>
        <w:tc>
          <w:tcPr>
            <w:tcW w:w="10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$0.43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40" w:type="dxa"/>
            <w:vAlign w:val="bottom"/>
            <w:gridSpan w:val="2"/>
          </w:tcPr>
          <w:p>
            <w:pPr>
              <w:jc w:val="center"/>
              <w:ind w:right="1788"/>
              <w:spacing w:after="0"/>
              <w:rPr>
                <w:sz w:val="20"/>
                <w:szCs w:val="20"/>
                <w:color w:val="auto"/>
              </w:rPr>
            </w:pPr>
            <w:r>
              <w:rPr>
                <w:rFonts w:ascii="Arial" w:cs="Arial" w:eastAsia="Arial" w:hAnsi="Arial"/>
                <w:sz w:val="14"/>
                <w:szCs w:val="14"/>
                <w:b w:val="1"/>
                <w:bCs w:val="1"/>
                <w:color w:val="auto"/>
                <w:w w:val="90"/>
              </w:rPr>
              <w:t>Consolidated Balance Sheet</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20" w:type="dxa"/>
            <w:vAlign w:val="bottom"/>
          </w:tcPr>
          <w:p>
            <w:pPr>
              <w:jc w:val="center"/>
              <w:ind w:right="2788"/>
              <w:spacing w:after="0"/>
              <w:rPr>
                <w:sz w:val="20"/>
                <w:szCs w:val="20"/>
                <w:color w:val="auto"/>
              </w:rPr>
            </w:pPr>
            <w:r>
              <w:rPr>
                <w:rFonts w:ascii="Arial" w:cs="Arial" w:eastAsia="Arial" w:hAnsi="Arial"/>
                <w:sz w:val="14"/>
                <w:szCs w:val="14"/>
                <w:color w:val="auto"/>
              </w:rPr>
              <w:t>Millions</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Dec. 31,</w:t>
            </w:r>
          </w:p>
        </w:tc>
        <w:tc>
          <w:tcPr>
            <w:tcW w:w="10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Dec. 31,</w:t>
            </w:r>
          </w:p>
        </w:tc>
        <w:tc>
          <w:tcPr>
            <w:tcW w:w="34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Dec. 31,</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Dec.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2008</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3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2008</w:t>
            </w: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2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Liabilities and Shareholders' Equity</w:t>
            </w: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$102.0</w:t>
            </w:r>
          </w:p>
        </w:tc>
        <w:tc>
          <w:tcPr>
            <w:tcW w:w="1020" w:type="dxa"/>
            <w:vAlign w:val="bottom"/>
          </w:tcPr>
          <w:p>
            <w:pPr>
              <w:jc w:val="right"/>
              <w:spacing w:after="0"/>
              <w:rPr>
                <w:sz w:val="20"/>
                <w:szCs w:val="20"/>
                <w:color w:val="auto"/>
              </w:rPr>
            </w:pPr>
            <w:r>
              <w:rPr>
                <w:rFonts w:ascii="Arial" w:cs="Arial" w:eastAsia="Arial" w:hAnsi="Arial"/>
                <w:sz w:val="14"/>
                <w:szCs w:val="14"/>
                <w:color w:val="auto"/>
              </w:rPr>
              <w:t>$46.4</w:t>
            </w:r>
          </w:p>
        </w:tc>
        <w:tc>
          <w:tcPr>
            <w:tcW w:w="3420" w:type="dxa"/>
            <w:vAlign w:val="bottom"/>
          </w:tcPr>
          <w:p>
            <w:pPr>
              <w:ind w:left="300"/>
              <w:spacing w:after="0"/>
              <w:rPr>
                <w:sz w:val="20"/>
                <w:szCs w:val="20"/>
                <w:color w:val="auto"/>
              </w:rPr>
            </w:pPr>
            <w:r>
              <w:rPr>
                <w:rFonts w:ascii="Arial" w:cs="Arial" w:eastAsia="Arial" w:hAnsi="Arial"/>
                <w:sz w:val="14"/>
                <w:szCs w:val="14"/>
                <w:color w:val="auto"/>
              </w:rPr>
              <w:t>Current Liabilities</w:t>
            </w:r>
          </w:p>
        </w:tc>
        <w:tc>
          <w:tcPr>
            <w:tcW w:w="8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$150.7</w:t>
            </w:r>
          </w:p>
        </w:tc>
        <w:tc>
          <w:tcPr>
            <w:tcW w:w="840" w:type="dxa"/>
            <w:vAlign w:val="bottom"/>
          </w:tcPr>
          <w:p>
            <w:pPr>
              <w:jc w:val="right"/>
              <w:spacing w:after="0"/>
              <w:rPr>
                <w:sz w:val="20"/>
                <w:szCs w:val="20"/>
                <w:color w:val="auto"/>
              </w:rPr>
            </w:pPr>
            <w:r>
              <w:rPr>
                <w:rFonts w:ascii="Arial" w:cs="Arial" w:eastAsia="Arial" w:hAnsi="Arial"/>
                <w:sz w:val="14"/>
                <w:szCs w:val="14"/>
                <w:color w:val="auto"/>
              </w:rPr>
              <w:t>$137.1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Long-Term Debt</w:t>
            </w: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588.3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1,387.3</w:t>
            </w:r>
          </w:p>
        </w:tc>
        <w:tc>
          <w:tcPr>
            <w:tcW w:w="1020" w:type="dxa"/>
            <w:vAlign w:val="bottom"/>
          </w:tcPr>
          <w:p>
            <w:pPr>
              <w:jc w:val="right"/>
              <w:spacing w:after="0"/>
              <w:rPr>
                <w:sz w:val="20"/>
                <w:szCs w:val="20"/>
                <w:color w:val="auto"/>
              </w:rPr>
            </w:pPr>
            <w:r>
              <w:rPr>
                <w:rFonts w:ascii="Arial" w:cs="Arial" w:eastAsia="Arial" w:hAnsi="Arial"/>
                <w:sz w:val="14"/>
                <w:szCs w:val="14"/>
                <w:color w:val="auto"/>
              </w:rPr>
              <w:t>1,104.5</w:t>
            </w:r>
          </w:p>
        </w:tc>
        <w:tc>
          <w:tcPr>
            <w:tcW w:w="3420" w:type="dxa"/>
            <w:vAlign w:val="bottom"/>
          </w:tcPr>
          <w:p>
            <w:pPr>
              <w:ind w:left="300"/>
              <w:spacing w:after="0"/>
              <w:rPr>
                <w:sz w:val="20"/>
                <w:szCs w:val="20"/>
                <w:color w:val="auto"/>
              </w:rPr>
            </w:pPr>
            <w:r>
              <w:rPr>
                <w:rFonts w:ascii="Arial" w:cs="Arial" w:eastAsia="Arial" w:hAnsi="Arial"/>
                <w:sz w:val="14"/>
                <w:szCs w:val="14"/>
                <w:color w:val="auto"/>
              </w:rPr>
              <w:t>Other Liabilities</w:t>
            </w:r>
          </w:p>
        </w:tc>
        <w:tc>
          <w:tcPr>
            <w:tcW w:w="8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568.7</w:t>
            </w:r>
          </w:p>
        </w:tc>
        <w:tc>
          <w:tcPr>
            <w:tcW w:w="840" w:type="dxa"/>
            <w:vAlign w:val="bottom"/>
          </w:tcPr>
          <w:p>
            <w:pPr>
              <w:jc w:val="right"/>
              <w:spacing w:after="0"/>
              <w:rPr>
                <w:sz w:val="20"/>
                <w:szCs w:val="20"/>
                <w:color w:val="auto"/>
              </w:rPr>
            </w:pPr>
            <w:r>
              <w:rPr>
                <w:rFonts w:ascii="Arial" w:cs="Arial" w:eastAsia="Arial" w:hAnsi="Arial"/>
                <w:sz w:val="14"/>
                <w:szCs w:val="14"/>
                <w:color w:val="auto"/>
              </w:rPr>
              <w:t>353.6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Investment in ATC</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76.9</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Shareholders' Equity</w:t>
            </w: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827.1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Investments</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136.9</w:t>
            </w:r>
          </w:p>
        </w:tc>
        <w:tc>
          <w:tcPr>
            <w:tcW w:w="1020" w:type="dxa"/>
            <w:vAlign w:val="bottom"/>
          </w:tcPr>
          <w:p>
            <w:pPr>
              <w:jc w:val="right"/>
              <w:spacing w:after="0"/>
              <w:rPr>
                <w:sz w:val="20"/>
                <w:szCs w:val="20"/>
                <w:color w:val="auto"/>
              </w:rPr>
            </w:pPr>
            <w:r>
              <w:rPr>
                <w:rFonts w:ascii="Arial" w:cs="Arial" w:eastAsia="Arial" w:hAnsi="Arial"/>
                <w:sz w:val="14"/>
                <w:szCs w:val="14"/>
                <w:color w:val="auto"/>
              </w:rPr>
              <w:t>148.1</w:t>
            </w: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281.4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3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Assets</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$2,134.8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$1,644.2</w:t>
            </w:r>
          </w:p>
        </w:tc>
        <w:tc>
          <w:tcPr>
            <w:tcW w:w="34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Total Liabilities and Shareholders' Equity</w:t>
            </w: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$2,134.8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31" w:right="21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180" w:type="dxa"/>
            <w:vAlign w:val="bottom"/>
            <w:tcBorders>
              <w:top w:val="single" w:sz="8" w:color="auto"/>
            </w:tcBorders>
            <w:shd w:val="clear" w:color="auto" w:fill="CCEEFF"/>
          </w:tcPr>
          <w:p>
            <w:pPr>
              <w:spacing w:after="0"/>
              <w:rPr>
                <w:sz w:val="15"/>
                <w:szCs w:val="15"/>
                <w:color w:val="auto"/>
              </w:rPr>
            </w:pPr>
          </w:p>
        </w:tc>
        <w:tc>
          <w:tcPr>
            <w:tcW w:w="3360" w:type="dxa"/>
            <w:vAlign w:val="bottom"/>
            <w:tcBorders>
              <w:top w:val="single" w:sz="8" w:color="auto"/>
            </w:tcBorders>
            <w:gridSpan w:val="2"/>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Year to Date</w:t>
            </w: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4"/>
                <w:szCs w:val="14"/>
                <w:color w:val="auto"/>
              </w:rPr>
            </w:pPr>
          </w:p>
        </w:tc>
        <w:tc>
          <w:tcPr>
            <w:tcW w:w="190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ALLETE, Inc.</w:t>
            </w:r>
          </w:p>
        </w:tc>
        <w:tc>
          <w:tcPr>
            <w:tcW w:w="24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2008</w:t>
            </w:r>
          </w:p>
        </w:tc>
        <w:tc>
          <w:tcPr>
            <w:tcW w:w="920" w:type="dxa"/>
            <w:vAlign w:val="bottom"/>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83"/>
              </w:rPr>
              <w:t>2007</w:t>
            </w:r>
          </w:p>
        </w:tc>
        <w:tc>
          <w:tcPr>
            <w:tcW w:w="124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2008</w:t>
            </w:r>
          </w:p>
        </w:tc>
        <w:tc>
          <w:tcPr>
            <w:tcW w:w="6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Income (Loss)</w:t>
            </w:r>
          </w:p>
        </w:tc>
        <w:tc>
          <w:tcPr>
            <w:tcW w:w="2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Millions</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840"/>
              <w:spacing w:after="0"/>
              <w:rPr>
                <w:sz w:val="20"/>
                <w:szCs w:val="20"/>
                <w:color w:val="auto"/>
              </w:rPr>
            </w:pPr>
            <w:r>
              <w:rPr>
                <w:rFonts w:ascii="Arial" w:cs="Arial" w:eastAsia="Arial" w:hAnsi="Arial"/>
                <w:sz w:val="14"/>
                <w:szCs w:val="14"/>
                <w:color w:val="auto"/>
              </w:rPr>
              <w:t>Regulated Operations</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$21.4</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$18.9</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$67.9</w:t>
            </w:r>
          </w:p>
        </w:tc>
        <w:tc>
          <w:tcPr>
            <w:tcW w:w="660" w:type="dxa"/>
            <w:vAlign w:val="bottom"/>
          </w:tcPr>
          <w:p>
            <w:pPr>
              <w:jc w:val="right"/>
              <w:spacing w:after="0"/>
              <w:rPr>
                <w:sz w:val="20"/>
                <w:szCs w:val="20"/>
                <w:color w:val="auto"/>
              </w:rPr>
            </w:pPr>
            <w:r>
              <w:rPr>
                <w:rFonts w:ascii="Arial" w:cs="Arial" w:eastAsia="Arial" w:hAnsi="Arial"/>
                <w:sz w:val="14"/>
                <w:szCs w:val="14"/>
                <w:color w:val="auto"/>
              </w:rPr>
              <w:t>$62.4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Investments and Other</w:t>
            </w:r>
          </w:p>
        </w:tc>
        <w:tc>
          <w:tcPr>
            <w:tcW w:w="24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2.1</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3.3</w:t>
            </w:r>
          </w:p>
        </w:tc>
        <w:tc>
          <w:tcPr>
            <w:tcW w:w="1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14.6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Net Income</w:t>
            </w:r>
          </w:p>
        </w:tc>
        <w:tc>
          <w:tcPr>
            <w:tcW w:w="2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$23.5</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$22.2</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$82.5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Earnings Per Share</w:t>
            </w:r>
          </w:p>
        </w:tc>
        <w:tc>
          <w:tcPr>
            <w:tcW w:w="2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$0.78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$0.77</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$2.82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20" w:type="dxa"/>
            <w:vAlign w:val="bottom"/>
            <w:vMerge w:val="restart"/>
          </w:tcPr>
          <w:p>
            <w:pPr>
              <w:spacing w:after="0"/>
              <w:rPr>
                <w:sz w:val="24"/>
                <w:szCs w:val="24"/>
                <w:color w:val="auto"/>
              </w:rPr>
            </w:pPr>
          </w:p>
        </w:tc>
        <w:tc>
          <w:tcPr>
            <w:tcW w:w="6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Statistical Data</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Corporate</w:t>
            </w:r>
          </w:p>
        </w:tc>
        <w:tc>
          <w:tcPr>
            <w:tcW w:w="2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Common Stock</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1460"/>
              <w:spacing w:after="0"/>
              <w:rPr>
                <w:sz w:val="20"/>
                <w:szCs w:val="20"/>
                <w:color w:val="auto"/>
              </w:rPr>
            </w:pPr>
            <w:r>
              <w:rPr>
                <w:rFonts w:ascii="Arial" w:cs="Arial" w:eastAsia="Arial" w:hAnsi="Arial"/>
                <w:sz w:val="14"/>
                <w:szCs w:val="14"/>
                <w:color w:val="auto"/>
              </w:rPr>
              <w:t>High</w:t>
            </w:r>
          </w:p>
        </w:tc>
        <w:tc>
          <w:tcPr>
            <w:tcW w:w="2440" w:type="dxa"/>
            <w:vAlign w:val="bottom"/>
          </w:tcPr>
          <w:p>
            <w:pPr>
              <w:jc w:val="right"/>
              <w:ind w:right="328"/>
              <w:spacing w:after="0"/>
              <w:rPr>
                <w:sz w:val="20"/>
                <w:szCs w:val="20"/>
                <w:color w:val="auto"/>
              </w:rPr>
            </w:pPr>
            <w:r>
              <w:rPr>
                <w:rFonts w:ascii="Arial" w:cs="Arial" w:eastAsia="Arial" w:hAnsi="Arial"/>
                <w:sz w:val="14"/>
                <w:szCs w:val="14"/>
                <w:color w:val="auto"/>
              </w:rPr>
              <w:t>$44.63</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$46.48</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$49.00</w:t>
            </w:r>
          </w:p>
        </w:tc>
        <w:tc>
          <w:tcPr>
            <w:tcW w:w="660" w:type="dxa"/>
            <w:vAlign w:val="bottom"/>
          </w:tcPr>
          <w:p>
            <w:pPr>
              <w:jc w:val="right"/>
              <w:spacing w:after="0"/>
              <w:rPr>
                <w:sz w:val="20"/>
                <w:szCs w:val="20"/>
                <w:color w:val="auto"/>
              </w:rPr>
            </w:pPr>
            <w:r>
              <w:rPr>
                <w:rFonts w:ascii="Arial" w:cs="Arial" w:eastAsia="Arial" w:hAnsi="Arial"/>
                <w:sz w:val="14"/>
                <w:szCs w:val="14"/>
                <w:color w:val="auto"/>
              </w:rPr>
              <w:t>$51.30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Low</w:t>
            </w:r>
          </w:p>
        </w:tc>
        <w:tc>
          <w:tcPr>
            <w:tcW w:w="24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$28.28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$38.17</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$28.28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1460"/>
              <w:spacing w:after="0"/>
              <w:rPr>
                <w:sz w:val="20"/>
                <w:szCs w:val="20"/>
                <w:color w:val="auto"/>
              </w:rPr>
            </w:pPr>
            <w:r>
              <w:rPr>
                <w:rFonts w:ascii="Arial" w:cs="Arial" w:eastAsia="Arial" w:hAnsi="Arial"/>
                <w:sz w:val="14"/>
                <w:szCs w:val="14"/>
                <w:color w:val="auto"/>
              </w:rPr>
              <w:t>Close</w:t>
            </w:r>
          </w:p>
        </w:tc>
        <w:tc>
          <w:tcPr>
            <w:tcW w:w="2440" w:type="dxa"/>
            <w:vAlign w:val="bottom"/>
          </w:tcPr>
          <w:p>
            <w:pPr>
              <w:jc w:val="right"/>
              <w:ind w:right="328"/>
              <w:spacing w:after="0"/>
              <w:rPr>
                <w:sz w:val="20"/>
                <w:szCs w:val="20"/>
                <w:color w:val="auto"/>
              </w:rPr>
            </w:pPr>
            <w:r>
              <w:rPr>
                <w:rFonts w:ascii="Arial" w:cs="Arial" w:eastAsia="Arial" w:hAnsi="Arial"/>
                <w:sz w:val="14"/>
                <w:szCs w:val="14"/>
                <w:color w:val="auto"/>
              </w:rPr>
              <w:t>$32.27</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$39.58</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$32.27</w:t>
            </w:r>
          </w:p>
        </w:tc>
        <w:tc>
          <w:tcPr>
            <w:tcW w:w="660" w:type="dxa"/>
            <w:vAlign w:val="bottom"/>
          </w:tcPr>
          <w:p>
            <w:pPr>
              <w:jc w:val="right"/>
              <w:spacing w:after="0"/>
              <w:rPr>
                <w:sz w:val="20"/>
                <w:szCs w:val="20"/>
                <w:color w:val="auto"/>
              </w:rPr>
            </w:pPr>
            <w:r>
              <w:rPr>
                <w:rFonts w:ascii="Arial" w:cs="Arial" w:eastAsia="Arial" w:hAnsi="Arial"/>
                <w:sz w:val="14"/>
                <w:szCs w:val="14"/>
                <w:color w:val="auto"/>
              </w:rPr>
              <w:t>$39.58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Book Value</w:t>
            </w:r>
          </w:p>
        </w:tc>
        <w:tc>
          <w:tcPr>
            <w:tcW w:w="24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$25.37</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$24.11</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$25.37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20" w:type="dxa"/>
            <w:vAlign w:val="bottom"/>
            <w:vMerge w:val="restart"/>
          </w:tcPr>
          <w:p>
            <w:pPr>
              <w:spacing w:after="0"/>
              <w:rPr>
                <w:sz w:val="24"/>
                <w:szCs w:val="24"/>
                <w:color w:val="auto"/>
              </w:rPr>
            </w:pPr>
          </w:p>
        </w:tc>
        <w:tc>
          <w:tcPr>
            <w:tcW w:w="6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Kilowatt-hours Sold</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Millions</w:t>
            </w:r>
          </w:p>
        </w:tc>
        <w:tc>
          <w:tcPr>
            <w:tcW w:w="2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Regulated Utility</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1460"/>
              <w:spacing w:after="0"/>
              <w:rPr>
                <w:sz w:val="20"/>
                <w:szCs w:val="20"/>
                <w:color w:val="auto"/>
              </w:rPr>
            </w:pPr>
            <w:r>
              <w:rPr>
                <w:rFonts w:ascii="Arial" w:cs="Arial" w:eastAsia="Arial" w:hAnsi="Arial"/>
                <w:sz w:val="14"/>
                <w:szCs w:val="14"/>
                <w:color w:val="auto"/>
              </w:rPr>
              <w:t>Retail and Municipals</w:t>
            </w:r>
          </w:p>
        </w:tc>
        <w:tc>
          <w:tcPr>
            <w:tcW w:w="2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2080"/>
              <w:spacing w:after="0"/>
              <w:rPr>
                <w:sz w:val="20"/>
                <w:szCs w:val="20"/>
                <w:color w:val="auto"/>
              </w:rPr>
            </w:pPr>
            <w:r>
              <w:rPr>
                <w:rFonts w:ascii="Arial" w:cs="Arial" w:eastAsia="Arial" w:hAnsi="Arial"/>
                <w:sz w:val="14"/>
                <w:szCs w:val="14"/>
                <w:color w:val="auto"/>
              </w:rPr>
              <w:t>Residential</w:t>
            </w:r>
          </w:p>
        </w:tc>
        <w:tc>
          <w:tcPr>
            <w:tcW w:w="2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318.2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309.0</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1,172.1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2080"/>
              <w:spacing w:after="0"/>
              <w:rPr>
                <w:sz w:val="20"/>
                <w:szCs w:val="20"/>
                <w:color w:val="auto"/>
              </w:rPr>
            </w:pPr>
            <w:r>
              <w:rPr>
                <w:rFonts w:ascii="Arial" w:cs="Arial" w:eastAsia="Arial" w:hAnsi="Arial"/>
                <w:sz w:val="14"/>
                <w:szCs w:val="14"/>
                <w:color w:val="auto"/>
              </w:rPr>
              <w:t>Commercial</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343.9</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339.5</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1,371.6</w:t>
            </w:r>
          </w:p>
        </w:tc>
        <w:tc>
          <w:tcPr>
            <w:tcW w:w="660" w:type="dxa"/>
            <w:vAlign w:val="bottom"/>
          </w:tcPr>
          <w:p>
            <w:pPr>
              <w:jc w:val="right"/>
              <w:spacing w:after="0"/>
              <w:rPr>
                <w:sz w:val="20"/>
                <w:szCs w:val="20"/>
                <w:color w:val="auto"/>
              </w:rPr>
            </w:pPr>
            <w:r>
              <w:rPr>
                <w:rFonts w:ascii="Arial" w:cs="Arial" w:eastAsia="Arial" w:hAnsi="Arial"/>
                <w:sz w:val="14"/>
                <w:szCs w:val="14"/>
                <w:color w:val="auto"/>
              </w:rPr>
              <w:t>1,373.1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2080"/>
              <w:spacing w:after="0"/>
              <w:rPr>
                <w:sz w:val="20"/>
                <w:szCs w:val="20"/>
                <w:color w:val="auto"/>
              </w:rPr>
            </w:pPr>
            <w:r>
              <w:rPr>
                <w:rFonts w:ascii="Arial" w:cs="Arial" w:eastAsia="Arial" w:hAnsi="Arial"/>
                <w:sz w:val="14"/>
                <w:szCs w:val="14"/>
                <w:color w:val="auto"/>
              </w:rPr>
              <w:t>Municipals</w:t>
            </w:r>
          </w:p>
        </w:tc>
        <w:tc>
          <w:tcPr>
            <w:tcW w:w="2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259.1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256.2</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1,001.6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2080"/>
              <w:spacing w:after="0"/>
              <w:rPr>
                <w:sz w:val="20"/>
                <w:szCs w:val="20"/>
                <w:color w:val="auto"/>
              </w:rPr>
            </w:pPr>
            <w:r>
              <w:rPr>
                <w:rFonts w:ascii="Arial" w:cs="Arial" w:eastAsia="Arial" w:hAnsi="Arial"/>
                <w:sz w:val="14"/>
                <w:szCs w:val="14"/>
                <w:color w:val="auto"/>
              </w:rPr>
              <w:t>Industrial</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1,725.7</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1,838.3</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7,191.9</w:t>
            </w:r>
          </w:p>
        </w:tc>
        <w:tc>
          <w:tcPr>
            <w:tcW w:w="660" w:type="dxa"/>
            <w:vAlign w:val="bottom"/>
          </w:tcPr>
          <w:p>
            <w:pPr>
              <w:jc w:val="right"/>
              <w:spacing w:after="0"/>
              <w:rPr>
                <w:sz w:val="20"/>
                <w:szCs w:val="20"/>
                <w:color w:val="auto"/>
              </w:rPr>
            </w:pPr>
            <w:r>
              <w:rPr>
                <w:rFonts w:ascii="Arial" w:cs="Arial" w:eastAsia="Arial" w:hAnsi="Arial"/>
                <w:sz w:val="14"/>
                <w:szCs w:val="14"/>
                <w:color w:val="auto"/>
              </w:rPr>
              <w:t>7,053.5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shd w:val="clear" w:color="auto" w:fill="CCEEFF"/>
          </w:tcPr>
          <w:p>
            <w:pPr>
              <w:ind w:left="2080"/>
              <w:spacing w:after="0"/>
              <w:rPr>
                <w:sz w:val="20"/>
                <w:szCs w:val="20"/>
                <w:color w:val="auto"/>
              </w:rPr>
            </w:pPr>
            <w:r>
              <w:rPr>
                <w:rFonts w:ascii="Arial" w:cs="Arial" w:eastAsia="Arial" w:hAnsi="Arial"/>
                <w:sz w:val="14"/>
                <w:szCs w:val="14"/>
                <w:color w:val="auto"/>
              </w:rPr>
              <w:t>Other</w:t>
            </w:r>
          </w:p>
        </w:tc>
        <w:tc>
          <w:tcPr>
            <w:tcW w:w="24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20.9</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22.0</w:t>
            </w:r>
          </w:p>
        </w:tc>
        <w:tc>
          <w:tcPr>
            <w:tcW w:w="1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82.9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3320"/>
              <w:spacing w:after="0"/>
              <w:rPr>
                <w:sz w:val="20"/>
                <w:szCs w:val="20"/>
                <w:color w:val="auto"/>
              </w:rPr>
            </w:pPr>
            <w:r>
              <w:rPr>
                <w:rFonts w:ascii="Arial" w:cs="Arial" w:eastAsia="Arial" w:hAnsi="Arial"/>
                <w:sz w:val="14"/>
                <w:szCs w:val="14"/>
                <w:color w:val="auto"/>
              </w:rPr>
              <w:t>Total Retail and Municipal</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2,667.8</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2,765.0</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10,820.1</w:t>
            </w:r>
          </w:p>
        </w:tc>
        <w:tc>
          <w:tcPr>
            <w:tcW w:w="660" w:type="dxa"/>
            <w:vAlign w:val="bottom"/>
          </w:tcPr>
          <w:p>
            <w:pPr>
              <w:jc w:val="right"/>
              <w:spacing w:after="0"/>
              <w:rPr>
                <w:sz w:val="20"/>
                <w:szCs w:val="20"/>
                <w:color w:val="auto"/>
              </w:rPr>
            </w:pPr>
            <w:r>
              <w:rPr>
                <w:rFonts w:ascii="Arial" w:cs="Arial" w:eastAsia="Arial" w:hAnsi="Arial"/>
                <w:sz w:val="14"/>
                <w:szCs w:val="14"/>
                <w:color w:val="auto"/>
              </w:rPr>
              <w:t>10,660.0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Other Power Suppliers</w:t>
            </w:r>
          </w:p>
        </w:tc>
        <w:tc>
          <w:tcPr>
            <w:tcW w:w="24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556.3</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548.5</w:t>
            </w:r>
          </w:p>
        </w:tc>
        <w:tc>
          <w:tcPr>
            <w:tcW w:w="1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1,800.3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3320"/>
              <w:spacing w:after="0"/>
              <w:rPr>
                <w:sz w:val="20"/>
                <w:szCs w:val="20"/>
                <w:color w:val="auto"/>
              </w:rPr>
            </w:pPr>
            <w:r>
              <w:rPr>
                <w:rFonts w:ascii="Arial" w:cs="Arial" w:eastAsia="Arial" w:hAnsi="Arial"/>
                <w:sz w:val="14"/>
                <w:szCs w:val="14"/>
                <w:color w:val="auto"/>
              </w:rPr>
              <w:t>Total Regulated Utility</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3,224.1</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3,313.5</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12,620.4</w:t>
            </w:r>
          </w:p>
        </w:tc>
        <w:tc>
          <w:tcPr>
            <w:tcW w:w="660" w:type="dxa"/>
            <w:vAlign w:val="bottom"/>
          </w:tcPr>
          <w:p>
            <w:pPr>
              <w:jc w:val="right"/>
              <w:spacing w:after="0"/>
              <w:rPr>
                <w:sz w:val="20"/>
                <w:szCs w:val="20"/>
                <w:color w:val="auto"/>
              </w:rPr>
            </w:pPr>
            <w:r>
              <w:rPr>
                <w:rFonts w:ascii="Arial" w:cs="Arial" w:eastAsia="Arial" w:hAnsi="Arial"/>
                <w:sz w:val="14"/>
                <w:szCs w:val="14"/>
                <w:color w:val="auto"/>
              </w:rPr>
              <w:t>12,817.3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Non-regulated Energy Operations</w:t>
            </w:r>
          </w:p>
        </w:tc>
        <w:tc>
          <w:tcPr>
            <w:tcW w:w="24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48.1</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64.2</w:t>
            </w:r>
          </w:p>
        </w:tc>
        <w:tc>
          <w:tcPr>
            <w:tcW w:w="1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217.0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Borders>
              <w:bottom w:val="single" w:sz="8" w:color="auto"/>
            </w:tcBorders>
          </w:tcPr>
          <w:p>
            <w:pPr>
              <w:ind w:left="3320"/>
              <w:spacing w:after="0"/>
              <w:rPr>
                <w:sz w:val="20"/>
                <w:szCs w:val="20"/>
                <w:color w:val="auto"/>
              </w:rPr>
            </w:pPr>
            <w:r>
              <w:rPr>
                <w:rFonts w:ascii="Arial" w:cs="Arial" w:eastAsia="Arial" w:hAnsi="Arial"/>
                <w:sz w:val="14"/>
                <w:szCs w:val="14"/>
                <w:color w:val="auto"/>
              </w:rPr>
              <w:t>Total Kilowatt-hours Sold</w:t>
            </w:r>
          </w:p>
        </w:tc>
        <w:tc>
          <w:tcPr>
            <w:tcW w:w="2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3,272.2</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3,377.7</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12,837.4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1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Real Estate</w:t>
            </w:r>
          </w:p>
        </w:tc>
        <w:tc>
          <w:tcPr>
            <w:tcW w:w="2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Town Center Development Project</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1460"/>
              <w:spacing w:after="0"/>
              <w:rPr>
                <w:sz w:val="20"/>
                <w:szCs w:val="20"/>
                <w:color w:val="auto"/>
              </w:rPr>
            </w:pPr>
            <w:r>
              <w:rPr>
                <w:rFonts w:ascii="Arial" w:cs="Arial" w:eastAsia="Arial" w:hAnsi="Arial"/>
                <w:sz w:val="14"/>
                <w:szCs w:val="14"/>
                <w:color w:val="auto"/>
              </w:rPr>
              <w:t>Non-residential Square Footage Sold</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65,583</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540,059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Residential Units</w:t>
            </w:r>
          </w:p>
        </w:tc>
        <w:tc>
          <w:tcPr>
            <w:tcW w:w="2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Palm Coast Park Development Project</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1460"/>
              <w:spacing w:after="0"/>
              <w:rPr>
                <w:sz w:val="20"/>
                <w:szCs w:val="20"/>
                <w:color w:val="auto"/>
              </w:rPr>
            </w:pPr>
            <w:r>
              <w:rPr>
                <w:rFonts w:ascii="Arial" w:cs="Arial" w:eastAsia="Arial" w:hAnsi="Arial"/>
                <w:sz w:val="14"/>
                <w:szCs w:val="14"/>
                <w:color w:val="auto"/>
              </w:rPr>
              <w:t>Non-residential Square Footage Sold</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Residential Units</w:t>
            </w:r>
          </w:p>
        </w:tc>
        <w:tc>
          <w:tcPr>
            <w:tcW w:w="2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Other Land</w:t>
            </w:r>
          </w:p>
        </w:tc>
        <w:tc>
          <w:tcPr>
            <w:tcW w:w="2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Pr>
          <w:p>
            <w:pPr>
              <w:ind w:left="1460"/>
              <w:spacing w:after="0"/>
              <w:rPr>
                <w:sz w:val="20"/>
                <w:szCs w:val="20"/>
                <w:color w:val="auto"/>
              </w:rPr>
            </w:pPr>
            <w:r>
              <w:rPr>
                <w:rFonts w:ascii="Arial" w:cs="Arial" w:eastAsia="Arial" w:hAnsi="Arial"/>
                <w:sz w:val="14"/>
                <w:szCs w:val="14"/>
                <w:color w:val="auto"/>
              </w:rPr>
              <w:t>Acres Sold</w:t>
            </w:r>
          </w:p>
        </w:tc>
        <w:tc>
          <w:tcPr>
            <w:tcW w:w="2440" w:type="dxa"/>
            <w:vAlign w:val="bottom"/>
          </w:tcPr>
          <w:p>
            <w:pPr>
              <w:jc w:val="right"/>
              <w:ind w:right="348"/>
              <w:spacing w:after="0"/>
              <w:rPr>
                <w:sz w:val="20"/>
                <w:szCs w:val="20"/>
                <w:color w:val="auto"/>
              </w:rPr>
            </w:pPr>
            <w:r>
              <w:rPr>
                <w:rFonts w:ascii="Arial" w:cs="Arial" w:eastAsia="Arial" w:hAnsi="Arial"/>
                <w:sz w:val="14"/>
                <w:szCs w:val="14"/>
                <w:color w:val="auto"/>
              </w:rPr>
              <w:t>167</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33</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219</w:t>
            </w:r>
          </w:p>
        </w:tc>
        <w:tc>
          <w:tcPr>
            <w:tcW w:w="660" w:type="dxa"/>
            <w:vAlign w:val="bottom"/>
          </w:tcPr>
          <w:p>
            <w:pPr>
              <w:jc w:val="right"/>
              <w:spacing w:after="0"/>
              <w:rPr>
                <w:sz w:val="20"/>
                <w:szCs w:val="20"/>
                <w:color w:val="auto"/>
              </w:rPr>
            </w:pPr>
            <w:r>
              <w:rPr>
                <w:rFonts w:ascii="Arial" w:cs="Arial" w:eastAsia="Arial" w:hAnsi="Arial"/>
                <w:sz w:val="14"/>
                <w:szCs w:val="14"/>
                <w:color w:val="auto"/>
              </w:rPr>
              <w:t>483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00"/>
        <w:spacing w:after="0" w:line="294" w:lineRule="auto"/>
        <w:rPr>
          <w:sz w:val="20"/>
          <w:szCs w:val="20"/>
          <w:color w:val="auto"/>
        </w:rPr>
      </w:pPr>
      <w:r>
        <w:rPr>
          <w:rFonts w:ascii="Arial" w:cs="Arial" w:eastAsia="Arial" w:hAnsi="Arial"/>
          <w:sz w:val="14"/>
          <w:szCs w:val="14"/>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303530</wp:posOffset>
            </wp:positionV>
            <wp:extent cx="728027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26" w:right="219" w:bottom="1440" w:gutter="0" w:footer="0" w:header="0"/>
        </w:sectPr>
      </w:pPr>
    </w:p>
    <w:bookmarkStart w:id="240" w:name="page241"/>
    <w:bookmarkEnd w:id="2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R"/>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lowerLetter"/>
      <w:start w:val="1"/>
    </w:lvl>
  </w:abstractNum>
  <w:abstractNum w:abstractNumId="3">
    <w:nsid w:val="520EEDD1"/>
    <w:multiLevelType w:val="hybridMultilevel"/>
    <w:lvl w:ilvl="0">
      <w:lvlJc w:val="left"/>
      <w:lvlText w:val="(%1)"/>
      <w:numFmt w:val="lowerLetter"/>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1)"/>
      <w:numFmt w:val="lowerLetter"/>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1)"/>
      <w:numFmt w:val="lowerLetter"/>
      <w:start w:val="1"/>
    </w:lvl>
  </w:abstractNum>
  <w:abstractNum w:abstractNumId="8">
    <w:nsid w:val="275AC794"/>
    <w:multiLevelType w:val="hybridMultilevel"/>
    <w:lvl w:ilvl="0">
      <w:lvlJc w:val="left"/>
      <w:lvlText w:val="(%1)"/>
      <w:numFmt w:val="lowerLetter"/>
      <w:start w:val="1"/>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1)"/>
      <w:numFmt w:val="lowerLetter"/>
      <w:start w:val="1"/>
    </w:lvl>
  </w:abstractNum>
  <w:abstractNum w:abstractNumId="13">
    <w:nsid w:val="47398C89"/>
    <w:multiLevelType w:val="hybridMultilevel"/>
    <w:lvl w:ilvl="0">
      <w:lvlJc w:val="left"/>
      <w:lvlText w:val="(%1)"/>
      <w:numFmt w:val="lowerLetter"/>
      <w:start w:val="1"/>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1)"/>
      <w:numFmt w:val="lowerLetter"/>
      <w:start w:val="1"/>
    </w:lvl>
  </w:abstractNum>
  <w:abstractNum w:abstractNumId="18">
    <w:nsid w:val="10233C99"/>
    <w:multiLevelType w:val="hybridMultilevel"/>
    <w:lvl w:ilvl="0">
      <w:lvlJc w:val="left"/>
      <w:lvlText w:val="(%1)"/>
      <w:numFmt w:val="decimal"/>
      <w:start w:val="3"/>
    </w:lvl>
  </w:abstractNum>
  <w:abstractNum w:abstractNumId="19">
    <w:nsid w:val="3F6AB60F"/>
    <w:multiLevelType w:val="hybridMultilevel"/>
    <w:lvl w:ilvl="0">
      <w:lvlJc w:val="left"/>
      <w:lvlText w:val="%1"/>
      <w:numFmt w:val="decimal"/>
      <w:start w:val="99"/>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1)"/>
      <w:numFmt w:val="decimal"/>
      <w:start w:val="2"/>
    </w:lvl>
  </w:abstractNum>
  <w:abstractNum w:abstractNumId="23">
    <w:nsid w:val="579BE4F1"/>
    <w:multiLevelType w:val="hybridMultilevel"/>
    <w:lvl w:ilvl="0">
      <w:lvlJc w:val="left"/>
      <w:lvlText w:val="(%1)"/>
      <w:numFmt w:val="decimal"/>
      <w:start w:val="3"/>
    </w:lvl>
  </w:abstractNum>
  <w:abstractNum w:abstractNumId="24">
    <w:nsid w:val="310C50B3"/>
    <w:multiLevelType w:val="hybridMultilevel"/>
    <w:lvl w:ilvl="0">
      <w:lvlJc w:val="left"/>
      <w:lvlText w:val="(%1)"/>
      <w:numFmt w:val="lowerLetter"/>
      <w:start w:val="1"/>
    </w:lvl>
  </w:abstractNum>
  <w:abstractNum w:abstractNumId="25">
    <w:nsid w:val="5FF87E05"/>
    <w:multiLevelType w:val="hybridMultilevel"/>
    <w:lvl w:ilvl="0">
      <w:lvlJc w:val="left"/>
      <w:lvlText w:val="(%1)"/>
      <w:numFmt w:val="lowerLetter"/>
      <w:start w:val="1"/>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upperLetter"/>
      <w:start w:val="1"/>
    </w:lvl>
    <w:lvl w:ilvl="1">
      <w:lvlJc w:val="left"/>
      <w:lvlText w:val="(%2)"/>
      <w:numFmt w:val="upperLetter"/>
      <w:start w:val="9"/>
    </w:lvl>
    <w:lvl w:ilvl="2">
      <w:lvlJc w:val="left"/>
      <w:lvlText w:val="%3"/>
      <w:numFmt w:val="upperLetter"/>
      <w:start w:val="1"/>
    </w:lvl>
    <w:lvl w:ilvl="3">
      <w:lvlJc w:val="left"/>
      <w:lvlText w:val="%4"/>
      <w:numFmt w:val="upperLetter"/>
      <w:start w:val="1"/>
    </w:lvl>
  </w:abstractNum>
  <w:abstractNum w:abstractNumId="29">
    <w:nsid w:val="4AD084E9"/>
    <w:multiLevelType w:val="hybridMultilevel"/>
    <w:lvl w:ilvl="0">
      <w:lvlJc w:val="left"/>
      <w:lvlText w:val="(%1)"/>
      <w:numFmt w:val="upperLetter"/>
      <w:start w:val="35"/>
    </w:lvl>
    <w:lvl w:ilvl="1">
      <w:lvlJc w:val="left"/>
      <w:lvlText w:val="%2"/>
      <w:numFmt w:val="upperLetter"/>
      <w:start w:val="1"/>
    </w:lvl>
    <w:lvl w:ilvl="2">
      <w:lvlJc w:val="left"/>
      <w:lvlText w:val="(%3)"/>
      <w:numFmt w:val="upperLetter"/>
      <w:start w:val="35"/>
    </w:lvl>
    <w:lvl w:ilvl="3">
      <w:lvlJc w:val="left"/>
      <w:lvlText w:val="%4"/>
      <w:numFmt w:val="upperLetter"/>
      <w:start w:val="1"/>
    </w:lvl>
  </w:abstractNum>
  <w:abstractNum w:abstractNumId="30">
    <w:nsid w:val="1F48EAA1"/>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61"/>
    </w:lvl>
    <w:lvl w:ilvl="3">
      <w:lvlJc w:val="left"/>
      <w:lvlText w:val="%4"/>
      <w:numFmt w:val="upperLetter"/>
      <w:start w:val="1"/>
    </w:lvl>
  </w:abstractNum>
  <w:abstractNum w:abstractNumId="31">
    <w:nsid w:val="1381823A"/>
    <w:multiLevelType w:val="hybridMultilevel"/>
    <w:lvl w:ilvl="0">
      <w:lvlJc w:val="left"/>
      <w:lvlText w:val="(%1)"/>
      <w:numFmt w:val="lowerLetter"/>
      <w:start w:val="2"/>
    </w:lvl>
  </w:abstractNum>
  <w:abstractNum w:abstractNumId="32">
    <w:nsid w:val="5DB70AE5"/>
    <w:multiLevelType w:val="hybridMultilevel"/>
    <w:lvl w:ilvl="0">
      <w:lvlJc w:val="left"/>
      <w:lvlText w:val="(%1)"/>
      <w:numFmt w:val="lowerRoman"/>
      <w:start w:val="2"/>
    </w:lvl>
  </w:abstractNum>
  <w:abstractNum w:abstractNumId="33">
    <w:nsid w:val="100F8FCA"/>
    <w:multiLevelType w:val="hybridMultilevel"/>
    <w:lvl w:ilvl="0">
      <w:lvlJc w:val="left"/>
      <w:lvlText w:val="(%1)"/>
      <w:numFmt w:val="upperLetter"/>
      <w:start w:val="22"/>
    </w:lvl>
  </w:abstractNum>
  <w:abstractNum w:abstractNumId="34">
    <w:nsid w:val="6590700B"/>
    <w:multiLevelType w:val="hybridMultilevel"/>
    <w:lvl w:ilvl="0">
      <w:lvlJc w:val="left"/>
      <w:lvlText w:val="%1"/>
      <w:numFmt w:val="upperLetter"/>
      <w:start w:val="1"/>
    </w:lvl>
    <w:lvl w:ilvl="1">
      <w:lvlJc w:val="left"/>
      <w:lvlText w:val="(%2)"/>
      <w:numFmt w:val="upperLetter"/>
      <w:start w:val="9"/>
    </w:lvl>
  </w:abstractNum>
  <w:abstractNum w:abstractNumId="35">
    <w:nsid w:val="15014ACB"/>
    <w:multiLevelType w:val="hybridMultilevel"/>
    <w:lvl w:ilvl="0">
      <w:lvlJc w:val="left"/>
      <w:lvlText w:val="(%1)"/>
      <w:numFmt w:val="upperLetter"/>
      <w:start w:val="35"/>
    </w:lvl>
    <w:lvl w:ilvl="1">
      <w:lvlJc w:val="left"/>
      <w:lvlText w:val="(%2)"/>
      <w:numFmt w:val="upperLetter"/>
      <w:start w:val="35"/>
    </w:lvl>
  </w:abstractNum>
  <w:abstractNum w:abstractNumId="36">
    <w:nsid w:val="5F5E7FD0"/>
    <w:multiLevelType w:val="hybridMultilevel"/>
    <w:lvl w:ilvl="0">
      <w:lvlJc w:val="left"/>
      <w:lvlText w:val="(%1)"/>
      <w:numFmt w:val="lowerLetter"/>
      <w:start w:val="2"/>
    </w:lvl>
  </w:abstractNum>
  <w:abstractNum w:abstractNumId="37">
    <w:nsid w:val="98A3148"/>
    <w:multiLevelType w:val="hybridMultilevel"/>
    <w:lvl w:ilvl="0">
      <w:lvlJc w:val="left"/>
      <w:lvlText w:val="(%1)"/>
      <w:numFmt w:val="lowerRoman"/>
      <w:start w:val="2"/>
    </w:lvl>
  </w:abstractNum>
  <w:abstractNum w:abstractNumId="38">
    <w:nsid w:val="799D0247"/>
    <w:multiLevelType w:val="hybridMultilevel"/>
    <w:lvl w:ilvl="0">
      <w:lvlJc w:val="left"/>
      <w:lvlText w:val="(%1)"/>
      <w:numFmt w:val="upperLetter"/>
      <w:start w:val="22"/>
    </w:lvl>
  </w:abstractNum>
  <w:abstractNum w:abstractNumId="39">
    <w:nsid w:val="6B94764"/>
    <w:multiLevelType w:val="hybridMultilevel"/>
    <w:lvl w:ilvl="0">
      <w:lvlJc w:val="left"/>
      <w:lvlText w:val="(%1)"/>
      <w:numFmt w:val="upperLetter"/>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upperLetter"/>
      <w:start w:val="1"/>
    </w:lvl>
    <w:lvl w:ilvl="1">
      <w:lvlJc w:val="left"/>
      <w:lvlText w:val="(%2)"/>
      <w:numFmt w:val="upperLetter"/>
      <w:start w:val="9"/>
    </w:lvl>
    <w:lvl w:ilvl="2">
      <w:lvlJc w:val="left"/>
      <w:lvlText w:val="%3"/>
      <w:numFmt w:val="upperLetter"/>
      <w:start w:val="1"/>
    </w:lvl>
  </w:abstractNum>
  <w:abstractNum w:abstractNumId="44">
    <w:nsid w:val="5DC79EA8"/>
    <w:multiLevelType w:val="hybridMultilevel"/>
    <w:lvl w:ilvl="0">
      <w:lvlJc w:val="left"/>
      <w:lvlText w:val="(%1)"/>
      <w:numFmt w:val="upperLetter"/>
      <w:start w:val="35"/>
    </w:lvl>
    <w:lvl w:ilvl="1">
      <w:lvlJc w:val="left"/>
      <w:lvlText w:val="%2"/>
      <w:numFmt w:val="upperLetter"/>
      <w:start w:val="1"/>
    </w:lvl>
    <w:lvl w:ilvl="2">
      <w:lvlJc w:val="left"/>
      <w:lvlText w:val="(%3)"/>
      <w:numFmt w:val="upperLetter"/>
      <w:start w:val="35"/>
    </w:lvl>
  </w:abstractNum>
  <w:abstractNum w:abstractNumId="45">
    <w:nsid w:val="540A471C"/>
    <w:multiLevelType w:val="hybridMultilevel"/>
    <w:lvl w:ilvl="0">
      <w:lvlJc w:val="left"/>
      <w:lvlText w:val="(%1)"/>
      <w:numFmt w:val="upperLetter"/>
      <w:start w:val="61"/>
    </w:lvl>
  </w:abstractNum>
  <w:abstractNum w:abstractNumId="46">
    <w:nsid w:val="7BD3EE7B"/>
    <w:multiLevelType w:val="hybridMultilevel"/>
    <w:lvl w:ilvl="0">
      <w:lvlJc w:val="left"/>
      <w:lvlText w:val="(%1)"/>
      <w:numFmt w:val="lowerLetter"/>
      <w:start w:val="2"/>
    </w:lvl>
  </w:abstractNum>
  <w:abstractNum w:abstractNumId="47">
    <w:nsid w:val="51D9C564"/>
    <w:multiLevelType w:val="hybridMultilevel"/>
    <w:lvl w:ilvl="0">
      <w:lvlJc w:val="left"/>
      <w:lvlText w:val="(%1)"/>
      <w:numFmt w:val="lowerRoman"/>
      <w:start w:val="2"/>
    </w:lvl>
  </w:abstractNum>
  <w:abstractNum w:abstractNumId="48">
    <w:nsid w:val="613EFDC5"/>
    <w:multiLevelType w:val="hybridMultilevel"/>
    <w:lvl w:ilvl="0">
      <w:lvlJc w:val="left"/>
      <w:lvlText w:val="(%1)"/>
      <w:numFmt w:val="upperLetter"/>
      <w:start w:val="22"/>
    </w:lvl>
  </w:abstractNum>
  <w:abstractNum w:abstractNumId="49">
    <w:nsid w:val="BF72B14"/>
    <w:multiLevelType w:val="hybridMultilevel"/>
    <w:lvl w:ilvl="0">
      <w:lvlJc w:val="left"/>
      <w:lvlText w:val="(%1)"/>
      <w:numFmt w:val="upperLetter"/>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lowerLetter"/>
      <w:start w:val="1"/>
    </w:lvl>
    <w:lvl w:ilvl="1">
      <w:lvlJc w:val="left"/>
      <w:lvlText w:val="(%2)"/>
      <w:numFmt w:val="lowerRoman"/>
      <w:start w:val="1"/>
    </w:lvl>
  </w:abstractNum>
  <w:abstractNum w:abstractNumId="54">
    <w:nsid w:val="1A32234B"/>
    <w:multiLevelType w:val="hybridMultilevel"/>
    <w:lvl w:ilvl="0">
      <w:lvlJc w:val="left"/>
      <w:lvlText w:val="(%1)"/>
      <w:numFmt w:val="lowerLetter"/>
      <w:start w:val="1"/>
    </w:lvl>
    <w:lvl w:ilvl="1">
      <w:lvlJc w:val="left"/>
      <w:lvlText w:val="(%2)"/>
      <w:numFmt w:val="lowerLetter"/>
      <w:start w:val="2"/>
    </w:lvl>
  </w:abstractNum>
  <w:abstractNum w:abstractNumId="55">
    <w:nsid w:val="3B0FD379"/>
    <w:multiLevelType w:val="hybridMultilevel"/>
    <w:lvl w:ilvl="0">
      <w:lvlJc w:val="left"/>
      <w:lvlText w:val="(%1)"/>
      <w:numFmt w:val="lowerLetter"/>
      <w:start w:val="3"/>
    </w:lvl>
    <w:lvl w:ilvl="1">
      <w:lvlJc w:val="left"/>
      <w:lvlText w:val="(%2)"/>
      <w:numFmt w:val="lowerLetter"/>
      <w:start w:val="4"/>
    </w:lvl>
  </w:abstractNum>
  <w:abstractNum w:abstractNumId="56">
    <w:nsid w:val="68EB2F63"/>
    <w:multiLevelType w:val="hybridMultilevel"/>
    <w:lvl w:ilvl="0">
      <w:lvlJc w:val="left"/>
      <w:lvlText w:val="(%1)"/>
      <w:numFmt w:val="lowerRoman"/>
      <w:start w:val="1"/>
    </w:lvl>
  </w:abstractNum>
  <w:abstractNum w:abstractNumId="57">
    <w:nsid w:val="4962813B"/>
    <w:multiLevelType w:val="hybridMultilevel"/>
    <w:lvl w:ilvl="0">
      <w:lvlJc w:val="left"/>
      <w:lvlText w:val="(%1)"/>
      <w:numFmt w:val="lowerRoman"/>
      <w:start w:val="2"/>
    </w:lvl>
  </w:abstractNum>
  <w:abstractNum w:abstractNumId="58">
    <w:nsid w:val="60B6DF70"/>
    <w:multiLevelType w:val="hybridMultilevel"/>
    <w:lvl w:ilvl="0">
      <w:lvlJc w:val="left"/>
      <w:lvlText w:val="(%1)"/>
      <w:numFmt w:val="lowerRoman"/>
      <w:start w:val="10"/>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upperLetter"/>
      <w:start w:val="1"/>
    </w:lvl>
  </w:abstractNum>
  <w:abstractNum w:abstractNumId="61">
    <w:nsid w:val="7FFFCA11"/>
    <w:multiLevelType w:val="hybridMultilevel"/>
    <w:lvl w:ilvl="0">
      <w:lvlJc w:val="left"/>
      <w:lvlText w:val="(%1)"/>
      <w:numFmt w:val="upperLetter"/>
      <w:start w:val="2"/>
    </w:lvl>
  </w:abstractNum>
  <w:abstractNum w:abstractNumId="62">
    <w:nsid w:val="1A27709E"/>
    <w:multiLevelType w:val="hybridMultilevel"/>
    <w:lvl w:ilvl="0">
      <w:lvlJc w:val="left"/>
      <w:lvlText w:val="(%1)"/>
      <w:numFmt w:val="upperLetter"/>
      <w:start w:val="7"/>
    </w:lvl>
  </w:abstractNum>
  <w:abstractNum w:abstractNumId="63">
    <w:nsid w:val="71EA1109"/>
    <w:multiLevelType w:val="hybridMultilevel"/>
    <w:lvl w:ilvl="0">
      <w:lvlJc w:val="left"/>
      <w:lvlText w:val="(%1)"/>
      <w:numFmt w:val="upperLetter"/>
      <w:start w:val="17"/>
    </w:lvl>
  </w:abstractNum>
  <w:abstractNum w:abstractNumId="64">
    <w:nsid w:val="100F59DC"/>
    <w:multiLevelType w:val="hybridMultilevel"/>
    <w:lvl w:ilvl="0">
      <w:lvlJc w:val="left"/>
      <w:lvlText w:val="(%1)"/>
      <w:numFmt w:val="upperLetter"/>
      <w:start w:val="1"/>
    </w:lvl>
  </w:abstractNum>
  <w:abstractNum w:abstractNumId="65">
    <w:nsid w:val="7FB7E0AA"/>
    <w:multiLevelType w:val="hybridMultilevel"/>
    <w:lvl w:ilvl="0">
      <w:lvlJc w:val="left"/>
      <w:lvlText w:val="%1"/>
      <w:numFmt w:val="upperLetter"/>
      <w:start w:val="1"/>
    </w:lvl>
    <w:lvl w:ilvl="1">
      <w:lvlJc w:val="left"/>
      <w:lvlText w:val="%2."/>
      <w:numFmt w:val="lowerRoman"/>
      <w:start w:val="1"/>
    </w:lvl>
  </w:abstractNum>
  <w:abstractNum w:abstractNumId="66">
    <w:nsid w:val="6EB5BD4"/>
    <w:multiLevelType w:val="hybridMultilevel"/>
    <w:lvl w:ilvl="0">
      <w:lvlJc w:val="left"/>
      <w:lvlText w:val="(%1)"/>
      <w:numFmt w:val="upperLetter"/>
      <w:start w:val="2"/>
    </w:lvl>
    <w:lvl w:ilvl="1">
      <w:lvlJc w:val="left"/>
      <w:lvlText w:val="%2"/>
      <w:numFmt w:val="lowerRoman"/>
      <w:start w:val="1"/>
    </w:lvl>
  </w:abstractNum>
  <w:abstractNum w:abstractNumId="67">
    <w:nsid w:val="6F6DD9AC"/>
    <w:multiLevelType w:val="hybridMultilevel"/>
    <w:lvl w:ilvl="0">
      <w:lvlJc w:val="left"/>
      <w:lvlText w:val="(%1)"/>
      <w:numFmt w:val="upperLetter"/>
      <w:start w:val="1"/>
    </w:lvl>
    <w:lvl w:ilvl="1">
      <w:lvlJc w:val="left"/>
      <w:lvlText w:val="(%2)"/>
      <w:numFmt w:val="lowerLetter"/>
      <w:start w:val="1"/>
    </w:lvl>
  </w:abstractNum>
  <w:abstractNum w:abstractNumId="68">
    <w:nsid w:val="94211F2"/>
    <w:multiLevelType w:val="hybridMultilevel"/>
    <w:lvl w:ilvl="0">
      <w:lvlJc w:val="left"/>
      <w:lvlText w:val="(%1)"/>
      <w:numFmt w:val="upperLetter"/>
      <w:start w:val="3"/>
    </w:lvl>
  </w:abstractNum>
  <w:abstractNum w:abstractNumId="69">
    <w:nsid w:val="885E1B"/>
    <w:multiLevelType w:val="hybridMultilevel"/>
    <w:lvl w:ilvl="0">
      <w:lvlJc w:val="left"/>
      <w:lvlText w:val="(%1)"/>
      <w:numFmt w:val="upperLetter"/>
      <w:start w:val="1"/>
    </w:lvl>
    <w:lvl w:ilvl="1">
      <w:lvlJc w:val="left"/>
      <w:lvlText w:val="(%2)"/>
      <w:numFmt w:val="decimal"/>
      <w:start w:val="1"/>
    </w:lvl>
  </w:abstractNum>
  <w:abstractNum w:abstractNumId="70">
    <w:nsid w:val="76272110"/>
    <w:multiLevelType w:val="hybridMultilevel"/>
    <w:lvl w:ilvl="0">
      <w:lvlJc w:val="left"/>
      <w:lvlText w:val="(%1)"/>
      <w:numFmt w:val="upperLetter"/>
      <w:start w:val="2"/>
    </w:lvl>
  </w:abstractNum>
  <w:abstractNum w:abstractNumId="71">
    <w:nsid w:val="4C04A8AF"/>
    <w:multiLevelType w:val="hybridMultilevel"/>
    <w:lvl w:ilvl="0">
      <w:lvlJc w:val="left"/>
      <w:lvlText w:val="(%1)"/>
      <w:numFmt w:val="upperLetter"/>
      <w:start w:val="1"/>
    </w:lvl>
  </w:abstractNum>
  <w:abstractNum w:abstractNumId="72">
    <w:nsid w:val="1716703B"/>
    <w:multiLevelType w:val="hybridMultilevel"/>
    <w:lvl w:ilvl="0">
      <w:lvlJc w:val="left"/>
      <w:lvlText w:val="(%1)"/>
      <w:numFmt w:val="upperLetter"/>
      <w:start w:val="2"/>
    </w:lvl>
  </w:abstractNum>
  <w:abstractNum w:abstractNumId="73">
    <w:nsid w:val="14E17E33"/>
    <w:multiLevelType w:val="hybridMultilevel"/>
    <w:lvl w:ilvl="0">
      <w:lvlJc w:val="left"/>
      <w:lvlText w:val="(%1)"/>
      <w:numFmt w:val="upperLetter"/>
      <w:start w:val="1"/>
    </w:lvl>
    <w:lvl w:ilvl="1">
      <w:lvlJc w:val="left"/>
      <w:lvlText w:val="(%2)"/>
      <w:numFmt w:val="decimal"/>
      <w:start w:val="1"/>
    </w:lvl>
  </w:abstractNum>
  <w:abstractNum w:abstractNumId="74">
    <w:nsid w:val="3222E7CD"/>
    <w:multiLevelType w:val="hybridMultilevel"/>
    <w:lvl w:ilvl="0">
      <w:lvlJc w:val="left"/>
      <w:lvlText w:val="(%1)"/>
      <w:numFmt w:val="lowerLetter"/>
      <w:start w:val="1"/>
    </w:lvl>
    <w:lvl w:ilvl="1">
      <w:lvlJc w:val="left"/>
      <w:lvlText w:val="(%2)"/>
      <w:numFmt w:val="lowerRoman"/>
      <w:start w:val="1"/>
    </w:lvl>
  </w:abstractNum>
  <w:abstractNum w:abstractNumId="75">
    <w:nsid w:val="74DE0EE3"/>
    <w:multiLevelType w:val="hybridMultilevel"/>
    <w:lvl w:ilvl="0">
      <w:lvlJc w:val="left"/>
      <w:lvlText w:val="(%1)"/>
      <w:numFmt w:val="upperLetter"/>
      <w:start w:val="2"/>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upperLetter"/>
      <w:start w:val="1"/>
    </w:lvl>
  </w:abstractNum>
  <w:abstractNum w:abstractNumId="78">
    <w:nsid w:val="46B7D447"/>
    <w:multiLevelType w:val="hybridMultilevel"/>
    <w:lvl w:ilvl="0">
      <w:lvlJc w:val="left"/>
      <w:lvlText w:val="(%1)"/>
      <w:numFmt w:val="upperLetter"/>
      <w:start w:val="2"/>
    </w:lvl>
  </w:abstractNum>
  <w:abstractNum w:abstractNumId="79">
    <w:nsid w:val="4A2AC315"/>
    <w:multiLevelType w:val="hybridMultilevel"/>
    <w:lvl w:ilvl="0">
      <w:lvlJc w:val="left"/>
      <w:lvlText w:val="(%1)"/>
      <w:numFmt w:val="upperLetter"/>
      <w:start w:val="1"/>
    </w:lvl>
  </w:abstractNum>
  <w:abstractNum w:abstractNumId="80">
    <w:nsid w:val="39EE015C"/>
    <w:multiLevelType w:val="hybridMultilevel"/>
    <w:lvl w:ilvl="0">
      <w:lvlJc w:val="left"/>
      <w:lvlText w:val="(%1)"/>
      <w:numFmt w:val="upperLetter"/>
      <w:start w:val="3"/>
    </w:lvl>
  </w:abstractNum>
  <w:abstractNum w:abstractNumId="81">
    <w:nsid w:val="57FC4FBB"/>
    <w:multiLevelType w:val="hybridMultilevel"/>
    <w:lvl w:ilvl="0">
      <w:lvlJc w:val="left"/>
      <w:lvlText w:val="(%1)"/>
      <w:numFmt w:val="upperLetter"/>
      <w:start w:val="1"/>
    </w:lvl>
    <w:lvl w:ilvl="1">
      <w:lvlJc w:val="left"/>
      <w:lvlText w:val="(%2)"/>
      <w:numFmt w:val="decimal"/>
      <w:start w:val="1"/>
    </w:lvl>
  </w:abstractNum>
  <w:abstractNum w:abstractNumId="82">
    <w:nsid w:val="CC1016F"/>
    <w:multiLevelType w:val="hybridMultilevel"/>
    <w:lvl w:ilvl="0">
      <w:lvlJc w:val="left"/>
      <w:lvlText w:val="%1"/>
      <w:numFmt w:val="decimal"/>
      <w:start w:val="1"/>
    </w:lvl>
    <w:lvl w:ilvl="1">
      <w:lvlJc w:val="left"/>
      <w:lvlText w:val="(%2)"/>
      <w:numFmt w:val="lowerLetter"/>
      <w:start w:val="1"/>
    </w:lvl>
  </w:abstractNum>
  <w:abstractNum w:abstractNumId="83">
    <w:nsid w:val="43F18422"/>
    <w:multiLevelType w:val="hybridMultilevel"/>
    <w:lvl w:ilvl="0">
      <w:lvlJc w:val="left"/>
      <w:lvlText w:val="(%1)"/>
      <w:numFmt w:val="decimal"/>
      <w:start w:val="3"/>
    </w:lvl>
    <w:lvl w:ilvl="1">
      <w:lvlJc w:val="left"/>
      <w:lvlText w:val="%2"/>
      <w:numFmt w:val="lowerLetter"/>
      <w:start w:val="1"/>
    </w:lvl>
  </w:abstractNum>
  <w:abstractNum w:abstractNumId="84">
    <w:nsid w:val="60EF0119"/>
    <w:multiLevelType w:val="hybridMultilevel"/>
    <w:lvl w:ilvl="0">
      <w:lvlJc w:val="left"/>
      <w:lvlText w:val="(%1)"/>
      <w:numFmt w:val="upperLetter"/>
      <w:start w:val="3"/>
    </w:lvl>
    <w:lvl w:ilvl="1">
      <w:lvlJc w:val="left"/>
      <w:lvlText w:val="(%2)"/>
      <w:numFmt w:val="decimal"/>
      <w:start w:val="1"/>
    </w:lvl>
  </w:abstractNum>
  <w:abstractNum w:abstractNumId="85">
    <w:nsid w:val="26F324B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6">
    <w:nsid w:val="7F01579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7">
    <w:nsid w:val="49DA307D"/>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Letter"/>
      <w:start w:val="1"/>
    </w:lvl>
  </w:abstractNum>
  <w:abstractNum w:abstractNumId="90">
    <w:nsid w:val="50801EE1"/>
    <w:multiLevelType w:val="hybridMultilevel"/>
    <w:lvl w:ilvl="0">
      <w:lvlJc w:val="left"/>
      <w:lvlText w:val="(%1)"/>
      <w:numFmt w:val="lowerLetter"/>
      <w:start w:val="1"/>
    </w:lvl>
  </w:abstractNum>
  <w:abstractNum w:abstractNumId="91">
    <w:nsid w:val="488AC1A"/>
    <w:multiLevelType w:val="hybridMultilevel"/>
    <w:lvl w:ilvl="0">
      <w:lvlJc w:val="left"/>
      <w:lvlText w:val="(%1)"/>
      <w:numFmt w:val="lowerRoman"/>
      <w:start w:val="1"/>
    </w:lvl>
  </w:abstractNum>
  <w:abstractNum w:abstractNumId="92">
    <w:nsid w:val="5FB8011C"/>
    <w:multiLevelType w:val="hybridMultilevel"/>
    <w:lvl w:ilvl="0">
      <w:lvlJc w:val="left"/>
      <w:lvlText w:val="(%1)"/>
      <w:numFmt w:val="lowerRoman"/>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lowerRoman"/>
      <w:start w:val="3"/>
    </w:lvl>
  </w:abstractNum>
  <w:abstractNum w:abstractNumId="95">
    <w:nsid w:val="6FC75AF8"/>
    <w:multiLevelType w:val="hybridMultilevel"/>
    <w:lvl w:ilvl="0">
      <w:lvlJc w:val="left"/>
      <w:lvlText w:val="%1."/>
      <w:numFmt w:val="decimal"/>
      <w:start w:val="1"/>
    </w:lvl>
  </w:abstractNum>
  <w:abstractNum w:abstractNumId="96">
    <w:nsid w:val="6A5F7029"/>
    <w:multiLevelType w:val="hybridMultilevel"/>
    <w:lvl w:ilvl="0">
      <w:lvlJc w:val="left"/>
      <w:lvlText w:val="%1."/>
      <w:numFmt w:val="decimal"/>
      <w:start w:val="4"/>
    </w:lvl>
    <w:lvl w:ilvl="1">
      <w:lvlJc w:val="left"/>
      <w:lvlText w:val="%2."/>
      <w:numFmt w:val="decimal"/>
      <w:start w:val="6"/>
    </w:lvl>
  </w:abstractNum>
  <w:abstractNum w:abstractNumId="97">
    <w:nsid w:val="7D5E18F8"/>
    <w:multiLevelType w:val="hybridMultilevel"/>
    <w:lvl w:ilvl="0">
      <w:lvlJc w:val="left"/>
      <w:lvlText w:val="%1."/>
      <w:numFmt w:val="decimal"/>
      <w:start w:val="8"/>
    </w:lvl>
    <w:lvl w:ilvl="1">
      <w:lvlJc w:val="left"/>
      <w:lvlText w:val="(%2)"/>
      <w:numFmt w:val="lowerRoman"/>
      <w:start w:val="1"/>
    </w:lvl>
  </w:abstractNum>
  <w:abstractNum w:abstractNumId="98">
    <w:nsid w:val="5F3534A4"/>
    <w:multiLevelType w:val="hybridMultilevel"/>
    <w:lvl w:ilvl="0">
      <w:lvlJc w:val="left"/>
      <w:lvlText w:val="(%1)"/>
      <w:numFmt w:val="lowerRoman"/>
      <w:start w:val="2"/>
    </w:lvl>
  </w:abstractNum>
  <w:abstractNum w:abstractNumId="99">
    <w:nsid w:val="73A1821B"/>
    <w:multiLevelType w:val="hybridMultilevel"/>
    <w:lvl w:ilvl="0">
      <w:lvlJc w:val="left"/>
      <w:lvlText w:val="(%1)"/>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2019-12-10T02:08:43Z</dcterms:created>
  <dcterms:modified xsi:type="dcterms:W3CDTF">2019-12-10T02:08:43Z</dcterms:modified>
</cp:coreProperties>
</file>